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03" w:rsidRPr="002478D6" w:rsidRDefault="00770803" w:rsidP="00C41D57">
      <w:pPr>
        <w:pStyle w:val="SingleLeft"/>
        <w:jc w:val="left"/>
        <w:rPr>
          <w:caps/>
        </w:rPr>
      </w:pPr>
    </w:p>
    <w:tbl>
      <w:tblPr>
        <w:tblStyle w:val="TableAEGreyTotals"/>
        <w:tblpPr w:leftFromText="180" w:rightFromText="180" w:vertAnchor="page" w:horzAnchor="page" w:tblpXSpec="center" w:tblpY="3121"/>
        <w:tblW w:w="0" w:type="auto"/>
        <w:tblLook w:val="01E0" w:firstRow="1" w:lastRow="1" w:firstColumn="1" w:lastColumn="1" w:noHBand="0" w:noVBand="0"/>
        <w:tblCaption w:val="Evaluation framework - Place Based Income Management heading"/>
      </w:tblPr>
      <w:tblGrid>
        <w:gridCol w:w="6487"/>
      </w:tblGrid>
      <w:tr w:rsidR="00042200" w:rsidRPr="00E2226B" w:rsidTr="00E16704">
        <w:trPr>
          <w:cnfStyle w:val="100000000000" w:firstRow="1" w:lastRow="0" w:firstColumn="0" w:lastColumn="0" w:oddVBand="0" w:evenVBand="0" w:oddHBand="0" w:evenHBand="0" w:firstRowFirstColumn="0" w:firstRowLastColumn="0" w:lastRowFirstColumn="0" w:lastRowLastColumn="0"/>
          <w:trHeight w:hRule="exact" w:val="8506"/>
          <w:tblHeader/>
        </w:trPr>
        <w:tc>
          <w:tcPr>
            <w:tcW w:w="6487" w:type="dxa"/>
          </w:tcPr>
          <w:p w:rsidR="00042200" w:rsidRDefault="002A239D" w:rsidP="00042200">
            <w:pPr>
              <w:pStyle w:val="ReportTitle"/>
              <w:framePr w:hSpace="0" w:wrap="auto" w:vAnchor="margin" w:hAnchor="text" w:yAlign="inline"/>
              <w:suppressOverlap w:val="0"/>
            </w:pPr>
            <w:r>
              <w:t>E</w:t>
            </w:r>
            <w:r w:rsidR="00854AD5">
              <w:t>valuation framework —Place Based Income Management</w:t>
            </w:r>
          </w:p>
          <w:p w:rsidR="00042200" w:rsidRDefault="00042200" w:rsidP="00AC4800">
            <w:pPr>
              <w:rPr>
                <w:color w:val="92D400"/>
                <w:sz w:val="56"/>
                <w:szCs w:val="56"/>
              </w:rPr>
            </w:pPr>
          </w:p>
          <w:p w:rsidR="00854AD5" w:rsidRPr="00E75B31" w:rsidRDefault="00854AD5" w:rsidP="00AC4800">
            <w:pPr>
              <w:rPr>
                <w:color w:val="00B050"/>
                <w:sz w:val="56"/>
                <w:szCs w:val="56"/>
              </w:rPr>
            </w:pPr>
            <w:r w:rsidRPr="00E75B31">
              <w:rPr>
                <w:color w:val="00B050"/>
                <w:sz w:val="56"/>
                <w:szCs w:val="56"/>
              </w:rPr>
              <w:t xml:space="preserve">Department of Families, Housing, Community </w:t>
            </w:r>
            <w:bookmarkStart w:id="0" w:name="_GoBack"/>
            <w:bookmarkEnd w:id="0"/>
            <w:r w:rsidRPr="00E75B31">
              <w:rPr>
                <w:color w:val="00B050"/>
                <w:sz w:val="56"/>
                <w:szCs w:val="56"/>
              </w:rPr>
              <w:t>Services and Indigenous Affairs</w:t>
            </w:r>
          </w:p>
          <w:p w:rsidR="00042200" w:rsidRPr="00917DCB" w:rsidRDefault="00C9023D" w:rsidP="00C9023D">
            <w:pPr>
              <w:pStyle w:val="ReportDate0"/>
            </w:pPr>
            <w:r w:rsidRPr="00E75B31">
              <w:rPr>
                <w:color w:val="00B050"/>
              </w:rPr>
              <w:t>Updated January 2013</w:t>
            </w:r>
          </w:p>
        </w:tc>
      </w:tr>
    </w:tbl>
    <w:p w:rsidR="001A17CE" w:rsidRPr="00C537EC" w:rsidRDefault="00BF4A39" w:rsidP="009B4B43">
      <w:pPr>
        <w:pStyle w:val="SingleLeft"/>
        <w:sectPr w:rsidR="001A17CE" w:rsidRPr="00C537EC" w:rsidSect="00042200">
          <w:headerReference w:type="even" r:id="rId9"/>
          <w:headerReference w:type="default" r:id="rId10"/>
          <w:footerReference w:type="even" r:id="rId11"/>
          <w:footerReference w:type="default" r:id="rId12"/>
          <w:headerReference w:type="first" r:id="rId13"/>
          <w:footerReference w:type="first" r:id="rId14"/>
          <w:pgSz w:w="11906" w:h="16838" w:code="9"/>
          <w:pgMar w:top="0" w:right="0" w:bottom="0" w:left="0" w:header="454" w:footer="454" w:gutter="0"/>
          <w:cols w:space="720"/>
          <w:titlePg/>
          <w:docGrid w:linePitch="360"/>
        </w:sectPr>
      </w:pPr>
      <w:r>
        <w:rPr>
          <w:noProof/>
          <w:lang w:eastAsia="en-AU"/>
        </w:rPr>
        <w:drawing>
          <wp:anchor distT="0" distB="0" distL="114300" distR="114300" simplePos="0" relativeHeight="251726848" behindDoc="1" locked="0" layoutInCell="1" allowOverlap="1">
            <wp:simplePos x="0" y="0"/>
            <wp:positionH relativeFrom="column">
              <wp:posOffset>619125</wp:posOffset>
            </wp:positionH>
            <wp:positionV relativeFrom="paragraph">
              <wp:posOffset>304165</wp:posOffset>
            </wp:positionV>
            <wp:extent cx="3235325" cy="215900"/>
            <wp:effectExtent l="0" t="0" r="3175" b="0"/>
            <wp:wrapSquare wrapText="bothSides"/>
            <wp:docPr id="12" name="Picture 1" descr="DAE.jpg" title="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325" cy="215900"/>
                    </a:xfrm>
                    <a:prstGeom prst="rect">
                      <a:avLst/>
                    </a:prstGeom>
                  </pic:spPr>
                </pic:pic>
              </a:graphicData>
            </a:graphic>
            <wp14:sizeRelH relativeFrom="page">
              <wp14:pctWidth>0</wp14:pctWidth>
            </wp14:sizeRelH>
            <wp14:sizeRelV relativeFrom="page">
              <wp14:pctHeight>0</wp14:pctHeight>
            </wp14:sizeRelV>
          </wp:anchor>
        </w:drawing>
      </w:r>
    </w:p>
    <w:p w:rsidR="0034223A" w:rsidRDefault="0034223A" w:rsidP="0034223A">
      <w:pPr>
        <w:pStyle w:val="BodyText"/>
      </w:pPr>
    </w:p>
    <w:p w:rsidR="0083527A" w:rsidRPr="00DE4E85" w:rsidRDefault="0083527A" w:rsidP="0083527A">
      <w:pPr>
        <w:pStyle w:val="Contents-Major"/>
      </w:pPr>
      <w:r w:rsidRPr="00306EC6">
        <w:t>Contents</w:t>
      </w:r>
    </w:p>
    <w:p w:rsidR="00C10F17" w:rsidRDefault="00D71A6F">
      <w:pPr>
        <w:pStyle w:val="TOC1"/>
        <w:rPr>
          <w:rFonts w:asciiTheme="minorHAnsi" w:eastAsiaTheme="minorEastAsia" w:hAnsiTheme="minorHAnsi" w:cstheme="minorBidi"/>
          <w:noProof/>
          <w:lang w:eastAsia="en-AU"/>
        </w:rPr>
      </w:pPr>
      <w:r>
        <w:rPr>
          <w:b/>
          <w:caps/>
        </w:rPr>
        <w:fldChar w:fldCharType="begin"/>
      </w:r>
      <w:r w:rsidR="00D657D5">
        <w:rPr>
          <w:b/>
          <w:caps/>
        </w:rPr>
        <w:instrText xml:space="preserve"> TOC \o "1-2" \h \z \t "Major Heading,1,Appendix,1,Glossary,1,Heading A,1" </w:instrText>
      </w:r>
      <w:r>
        <w:rPr>
          <w:b/>
          <w:caps/>
        </w:rPr>
        <w:fldChar w:fldCharType="separate"/>
      </w:r>
      <w:hyperlink w:anchor="_Toc342495215" w:history="1">
        <w:r w:rsidR="00C10F17" w:rsidRPr="00695634">
          <w:rPr>
            <w:rStyle w:val="Hyperlink"/>
            <w:noProof/>
          </w:rPr>
          <w:t>Glossary</w:t>
        </w:r>
        <w:r w:rsidR="00C10F17">
          <w:rPr>
            <w:noProof/>
            <w:webHidden/>
          </w:rPr>
          <w:tab/>
        </w:r>
        <w:r w:rsidR="00C10F17">
          <w:rPr>
            <w:noProof/>
            <w:webHidden/>
          </w:rPr>
          <w:fldChar w:fldCharType="begin"/>
        </w:r>
        <w:r w:rsidR="00C10F17">
          <w:rPr>
            <w:noProof/>
            <w:webHidden/>
          </w:rPr>
          <w:instrText xml:space="preserve"> PAGEREF _Toc342495215 \h </w:instrText>
        </w:r>
        <w:r w:rsidR="00C10F17">
          <w:rPr>
            <w:noProof/>
            <w:webHidden/>
          </w:rPr>
        </w:r>
        <w:r w:rsidR="00C10F17">
          <w:rPr>
            <w:noProof/>
            <w:webHidden/>
          </w:rPr>
          <w:fldChar w:fldCharType="separate"/>
        </w:r>
        <w:r w:rsidR="003C7E97">
          <w:rPr>
            <w:noProof/>
            <w:webHidden/>
          </w:rPr>
          <w:t>i</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16" w:history="1">
        <w:r w:rsidR="00C10F17" w:rsidRPr="00695634">
          <w:rPr>
            <w:rStyle w:val="Hyperlink"/>
            <w:noProof/>
          </w:rPr>
          <w:t>Executive Summary</w:t>
        </w:r>
        <w:r w:rsidR="00C10F17">
          <w:rPr>
            <w:noProof/>
            <w:webHidden/>
          </w:rPr>
          <w:tab/>
        </w:r>
        <w:r w:rsidR="00C10F17">
          <w:rPr>
            <w:noProof/>
            <w:webHidden/>
          </w:rPr>
          <w:fldChar w:fldCharType="begin"/>
        </w:r>
        <w:r w:rsidR="00C10F17">
          <w:rPr>
            <w:noProof/>
            <w:webHidden/>
          </w:rPr>
          <w:instrText xml:space="preserve"> PAGEREF _Toc342495216 \h </w:instrText>
        </w:r>
        <w:r w:rsidR="00C10F17">
          <w:rPr>
            <w:noProof/>
            <w:webHidden/>
          </w:rPr>
        </w:r>
        <w:r w:rsidR="00C10F17">
          <w:rPr>
            <w:noProof/>
            <w:webHidden/>
          </w:rPr>
          <w:fldChar w:fldCharType="separate"/>
        </w:r>
        <w:r w:rsidR="003C7E97">
          <w:rPr>
            <w:noProof/>
            <w:webHidden/>
          </w:rPr>
          <w:t>i</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17" w:history="1">
        <w:r w:rsidR="00C10F17" w:rsidRPr="00695634">
          <w:rPr>
            <w:rStyle w:val="Hyperlink"/>
            <w:noProof/>
          </w:rPr>
          <w:t>1</w:t>
        </w:r>
        <w:r w:rsidR="00C10F17">
          <w:rPr>
            <w:rFonts w:asciiTheme="minorHAnsi" w:eastAsiaTheme="minorEastAsia" w:hAnsiTheme="minorHAnsi" w:cstheme="minorBidi"/>
            <w:noProof/>
            <w:lang w:eastAsia="en-AU"/>
          </w:rPr>
          <w:tab/>
        </w:r>
        <w:r w:rsidR="00C10F17" w:rsidRPr="00695634">
          <w:rPr>
            <w:rStyle w:val="Hyperlink"/>
            <w:noProof/>
          </w:rPr>
          <w:t>Background</w:t>
        </w:r>
        <w:r w:rsidR="00C10F17">
          <w:rPr>
            <w:noProof/>
            <w:webHidden/>
          </w:rPr>
          <w:tab/>
        </w:r>
        <w:r w:rsidR="00C10F17">
          <w:rPr>
            <w:noProof/>
            <w:webHidden/>
          </w:rPr>
          <w:fldChar w:fldCharType="begin"/>
        </w:r>
        <w:r w:rsidR="00C10F17">
          <w:rPr>
            <w:noProof/>
            <w:webHidden/>
          </w:rPr>
          <w:instrText xml:space="preserve"> PAGEREF _Toc342495217 \h </w:instrText>
        </w:r>
        <w:r w:rsidR="00C10F17">
          <w:rPr>
            <w:noProof/>
            <w:webHidden/>
          </w:rPr>
        </w:r>
        <w:r w:rsidR="00C10F17">
          <w:rPr>
            <w:noProof/>
            <w:webHidden/>
          </w:rPr>
          <w:fldChar w:fldCharType="separate"/>
        </w:r>
        <w:r w:rsidR="003C7E97">
          <w:rPr>
            <w:noProof/>
            <w:webHidden/>
          </w:rPr>
          <w:t>7</w:t>
        </w:r>
        <w:r w:rsidR="00C10F17">
          <w:rPr>
            <w:noProof/>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18" w:history="1">
        <w:r w:rsidR="00C10F17" w:rsidRPr="00695634">
          <w:rPr>
            <w:rStyle w:val="Hyperlink"/>
            <w:rFonts w:cs="Arial"/>
          </w:rPr>
          <w:t>1.1</w:t>
        </w:r>
        <w:r w:rsidR="00C10F17">
          <w:rPr>
            <w:rFonts w:asciiTheme="minorHAnsi" w:eastAsiaTheme="minorEastAsia" w:hAnsiTheme="minorHAnsi" w:cstheme="minorBidi"/>
            <w:sz w:val="22"/>
            <w:szCs w:val="22"/>
            <w:lang w:eastAsia="en-AU"/>
          </w:rPr>
          <w:tab/>
        </w:r>
        <w:r w:rsidR="00C10F17" w:rsidRPr="00695634">
          <w:rPr>
            <w:rStyle w:val="Hyperlink"/>
          </w:rPr>
          <w:t>Evaluation governance</w:t>
        </w:r>
        <w:r w:rsidR="00C10F17">
          <w:rPr>
            <w:webHidden/>
          </w:rPr>
          <w:tab/>
        </w:r>
        <w:r w:rsidR="00C10F17">
          <w:rPr>
            <w:webHidden/>
          </w:rPr>
          <w:fldChar w:fldCharType="begin"/>
        </w:r>
        <w:r w:rsidR="00C10F17">
          <w:rPr>
            <w:webHidden/>
          </w:rPr>
          <w:instrText xml:space="preserve"> PAGEREF _Toc342495218 \h </w:instrText>
        </w:r>
        <w:r w:rsidR="00C10F17">
          <w:rPr>
            <w:webHidden/>
          </w:rPr>
        </w:r>
        <w:r w:rsidR="00C10F17">
          <w:rPr>
            <w:webHidden/>
          </w:rPr>
          <w:fldChar w:fldCharType="separate"/>
        </w:r>
        <w:r w:rsidR="003C7E97">
          <w:rPr>
            <w:webHidden/>
          </w:rPr>
          <w:t>7</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19" w:history="1">
        <w:r w:rsidR="00C10F17" w:rsidRPr="00695634">
          <w:rPr>
            <w:rStyle w:val="Hyperlink"/>
            <w:rFonts w:cs="Arial"/>
          </w:rPr>
          <w:t>1.2</w:t>
        </w:r>
        <w:r w:rsidR="00C10F17">
          <w:rPr>
            <w:rFonts w:asciiTheme="minorHAnsi" w:eastAsiaTheme="minorEastAsia" w:hAnsiTheme="minorHAnsi" w:cstheme="minorBidi"/>
            <w:sz w:val="22"/>
            <w:szCs w:val="22"/>
            <w:lang w:eastAsia="en-AU"/>
          </w:rPr>
          <w:tab/>
        </w:r>
        <w:r w:rsidR="00C10F17" w:rsidRPr="00695634">
          <w:rPr>
            <w:rStyle w:val="Hyperlink"/>
          </w:rPr>
          <w:t>Ethics review and guiding principles</w:t>
        </w:r>
        <w:r w:rsidR="00C10F17">
          <w:rPr>
            <w:webHidden/>
          </w:rPr>
          <w:tab/>
        </w:r>
        <w:r w:rsidR="00C10F17">
          <w:rPr>
            <w:webHidden/>
          </w:rPr>
          <w:fldChar w:fldCharType="begin"/>
        </w:r>
        <w:r w:rsidR="00C10F17">
          <w:rPr>
            <w:webHidden/>
          </w:rPr>
          <w:instrText xml:space="preserve"> PAGEREF _Toc342495219 \h </w:instrText>
        </w:r>
        <w:r w:rsidR="00C10F17">
          <w:rPr>
            <w:webHidden/>
          </w:rPr>
        </w:r>
        <w:r w:rsidR="00C10F17">
          <w:rPr>
            <w:webHidden/>
          </w:rPr>
          <w:fldChar w:fldCharType="separate"/>
        </w:r>
        <w:r w:rsidR="003C7E97">
          <w:rPr>
            <w:webHidden/>
          </w:rPr>
          <w:t>7</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0" w:history="1">
        <w:r w:rsidR="00C10F17" w:rsidRPr="00695634">
          <w:rPr>
            <w:rStyle w:val="Hyperlink"/>
            <w:rFonts w:cs="Arial"/>
          </w:rPr>
          <w:t>1.3</w:t>
        </w:r>
        <w:r w:rsidR="00C10F17">
          <w:rPr>
            <w:rFonts w:asciiTheme="minorHAnsi" w:eastAsiaTheme="minorEastAsia" w:hAnsiTheme="minorHAnsi" w:cstheme="minorBidi"/>
            <w:sz w:val="22"/>
            <w:szCs w:val="22"/>
            <w:lang w:eastAsia="en-AU"/>
          </w:rPr>
          <w:tab/>
        </w:r>
        <w:r w:rsidR="00C10F17" w:rsidRPr="00695634">
          <w:rPr>
            <w:rStyle w:val="Hyperlink"/>
          </w:rPr>
          <w:t>Deliverables and timeframes</w:t>
        </w:r>
        <w:r w:rsidR="00C10F17">
          <w:rPr>
            <w:webHidden/>
          </w:rPr>
          <w:tab/>
        </w:r>
        <w:r w:rsidR="00C10F17">
          <w:rPr>
            <w:webHidden/>
          </w:rPr>
          <w:fldChar w:fldCharType="begin"/>
        </w:r>
        <w:r w:rsidR="00C10F17">
          <w:rPr>
            <w:webHidden/>
          </w:rPr>
          <w:instrText xml:space="preserve"> PAGEREF _Toc342495220 \h </w:instrText>
        </w:r>
        <w:r w:rsidR="00C10F17">
          <w:rPr>
            <w:webHidden/>
          </w:rPr>
        </w:r>
        <w:r w:rsidR="00C10F17">
          <w:rPr>
            <w:webHidden/>
          </w:rPr>
          <w:fldChar w:fldCharType="separate"/>
        </w:r>
        <w:r w:rsidR="003C7E97">
          <w:rPr>
            <w:webHidden/>
          </w:rPr>
          <w:t>8</w:t>
        </w:r>
        <w:r w:rsidR="00C10F17">
          <w:rPr>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21" w:history="1">
        <w:r w:rsidR="00C10F17" w:rsidRPr="00695634">
          <w:rPr>
            <w:rStyle w:val="Hyperlink"/>
            <w:noProof/>
          </w:rPr>
          <w:t>2</w:t>
        </w:r>
        <w:r w:rsidR="00C10F17">
          <w:rPr>
            <w:rFonts w:asciiTheme="minorHAnsi" w:eastAsiaTheme="minorEastAsia" w:hAnsiTheme="minorHAnsi" w:cstheme="minorBidi"/>
            <w:noProof/>
            <w:lang w:eastAsia="en-AU"/>
          </w:rPr>
          <w:tab/>
        </w:r>
        <w:r w:rsidR="00C10F17" w:rsidRPr="00695634">
          <w:rPr>
            <w:rStyle w:val="Hyperlink"/>
            <w:noProof/>
          </w:rPr>
          <w:t>Place based income management</w:t>
        </w:r>
        <w:r w:rsidR="00C10F17">
          <w:rPr>
            <w:noProof/>
            <w:webHidden/>
          </w:rPr>
          <w:tab/>
        </w:r>
        <w:r w:rsidR="00C10F17">
          <w:rPr>
            <w:noProof/>
            <w:webHidden/>
          </w:rPr>
          <w:fldChar w:fldCharType="begin"/>
        </w:r>
        <w:r w:rsidR="00C10F17">
          <w:rPr>
            <w:noProof/>
            <w:webHidden/>
          </w:rPr>
          <w:instrText xml:space="preserve"> PAGEREF _Toc342495221 \h </w:instrText>
        </w:r>
        <w:r w:rsidR="00C10F17">
          <w:rPr>
            <w:noProof/>
            <w:webHidden/>
          </w:rPr>
        </w:r>
        <w:r w:rsidR="00C10F17">
          <w:rPr>
            <w:noProof/>
            <w:webHidden/>
          </w:rPr>
          <w:fldChar w:fldCharType="separate"/>
        </w:r>
        <w:r w:rsidR="003C7E97">
          <w:rPr>
            <w:noProof/>
            <w:webHidden/>
          </w:rPr>
          <w:t>9</w:t>
        </w:r>
        <w:r w:rsidR="00C10F17">
          <w:rPr>
            <w:noProof/>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2" w:history="1">
        <w:r w:rsidR="00C10F17" w:rsidRPr="00695634">
          <w:rPr>
            <w:rStyle w:val="Hyperlink"/>
            <w:rFonts w:cs="Arial"/>
          </w:rPr>
          <w:t>2.1</w:t>
        </w:r>
        <w:r w:rsidR="00C10F17">
          <w:rPr>
            <w:rFonts w:asciiTheme="minorHAnsi" w:eastAsiaTheme="minorEastAsia" w:hAnsiTheme="minorHAnsi" w:cstheme="minorBidi"/>
            <w:sz w:val="22"/>
            <w:szCs w:val="22"/>
            <w:lang w:eastAsia="en-AU"/>
          </w:rPr>
          <w:tab/>
        </w:r>
        <w:r w:rsidR="00C10F17" w:rsidRPr="00695634">
          <w:rPr>
            <w:rStyle w:val="Hyperlink"/>
          </w:rPr>
          <w:t>Purpose and objectives of PBIM</w:t>
        </w:r>
        <w:r w:rsidR="00C10F17">
          <w:rPr>
            <w:webHidden/>
          </w:rPr>
          <w:tab/>
        </w:r>
        <w:r w:rsidR="00C10F17">
          <w:rPr>
            <w:webHidden/>
          </w:rPr>
          <w:fldChar w:fldCharType="begin"/>
        </w:r>
        <w:r w:rsidR="00C10F17">
          <w:rPr>
            <w:webHidden/>
          </w:rPr>
          <w:instrText xml:space="preserve"> PAGEREF _Toc342495222 \h </w:instrText>
        </w:r>
        <w:r w:rsidR="00C10F17">
          <w:rPr>
            <w:webHidden/>
          </w:rPr>
        </w:r>
        <w:r w:rsidR="00C10F17">
          <w:rPr>
            <w:webHidden/>
          </w:rPr>
          <w:fldChar w:fldCharType="separate"/>
        </w:r>
        <w:r w:rsidR="003C7E97">
          <w:rPr>
            <w:webHidden/>
          </w:rPr>
          <w:t>9</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3" w:history="1">
        <w:r w:rsidR="00C10F17" w:rsidRPr="00695634">
          <w:rPr>
            <w:rStyle w:val="Hyperlink"/>
            <w:rFonts w:cs="Arial"/>
            <w:lang w:eastAsia="en-AU"/>
          </w:rPr>
          <w:t>2.2</w:t>
        </w:r>
        <w:r w:rsidR="00C10F17">
          <w:rPr>
            <w:rFonts w:asciiTheme="minorHAnsi" w:eastAsiaTheme="minorEastAsia" w:hAnsiTheme="minorHAnsi" w:cstheme="minorBidi"/>
            <w:sz w:val="22"/>
            <w:szCs w:val="22"/>
            <w:lang w:eastAsia="en-AU"/>
          </w:rPr>
          <w:tab/>
        </w:r>
        <w:r w:rsidR="00C10F17" w:rsidRPr="00695634">
          <w:rPr>
            <w:rStyle w:val="Hyperlink"/>
            <w:lang w:eastAsia="en-AU"/>
          </w:rPr>
          <w:t>Eligibility</w:t>
        </w:r>
        <w:r w:rsidR="00C10F17">
          <w:rPr>
            <w:webHidden/>
          </w:rPr>
          <w:tab/>
        </w:r>
        <w:r w:rsidR="00C10F17">
          <w:rPr>
            <w:webHidden/>
          </w:rPr>
          <w:fldChar w:fldCharType="begin"/>
        </w:r>
        <w:r w:rsidR="00C10F17">
          <w:rPr>
            <w:webHidden/>
          </w:rPr>
          <w:instrText xml:space="preserve"> PAGEREF _Toc342495223 \h </w:instrText>
        </w:r>
        <w:r w:rsidR="00C10F17">
          <w:rPr>
            <w:webHidden/>
          </w:rPr>
        </w:r>
        <w:r w:rsidR="00C10F17">
          <w:rPr>
            <w:webHidden/>
          </w:rPr>
          <w:fldChar w:fldCharType="separate"/>
        </w:r>
        <w:r w:rsidR="003C7E97">
          <w:rPr>
            <w:webHidden/>
          </w:rPr>
          <w:t>10</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4" w:history="1">
        <w:r w:rsidR="00C10F17" w:rsidRPr="00695634">
          <w:rPr>
            <w:rStyle w:val="Hyperlink"/>
            <w:rFonts w:cs="Arial"/>
          </w:rPr>
          <w:t>2.3</w:t>
        </w:r>
        <w:r w:rsidR="00C10F17">
          <w:rPr>
            <w:rFonts w:asciiTheme="minorHAnsi" w:eastAsiaTheme="minorEastAsia" w:hAnsiTheme="minorHAnsi" w:cstheme="minorBidi"/>
            <w:sz w:val="22"/>
            <w:szCs w:val="22"/>
            <w:lang w:eastAsia="en-AU"/>
          </w:rPr>
          <w:tab/>
        </w:r>
        <w:r w:rsidR="00C10F17" w:rsidRPr="00695634">
          <w:rPr>
            <w:rStyle w:val="Hyperlink"/>
          </w:rPr>
          <w:t>Income Management measures</w:t>
        </w:r>
        <w:r w:rsidR="00C10F17">
          <w:rPr>
            <w:webHidden/>
          </w:rPr>
          <w:tab/>
        </w:r>
        <w:r w:rsidR="00C10F17">
          <w:rPr>
            <w:webHidden/>
          </w:rPr>
          <w:fldChar w:fldCharType="begin"/>
        </w:r>
        <w:r w:rsidR="00C10F17">
          <w:rPr>
            <w:webHidden/>
          </w:rPr>
          <w:instrText xml:space="preserve"> PAGEREF _Toc342495224 \h </w:instrText>
        </w:r>
        <w:r w:rsidR="00C10F17">
          <w:rPr>
            <w:webHidden/>
          </w:rPr>
        </w:r>
        <w:r w:rsidR="00C10F17">
          <w:rPr>
            <w:webHidden/>
          </w:rPr>
          <w:fldChar w:fldCharType="separate"/>
        </w:r>
        <w:r w:rsidR="003C7E97">
          <w:rPr>
            <w:webHidden/>
          </w:rPr>
          <w:t>12</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5" w:history="1">
        <w:r w:rsidR="00C10F17" w:rsidRPr="00695634">
          <w:rPr>
            <w:rStyle w:val="Hyperlink"/>
            <w:rFonts w:cs="Arial"/>
          </w:rPr>
          <w:t>2.4</w:t>
        </w:r>
        <w:r w:rsidR="00C10F17">
          <w:rPr>
            <w:rFonts w:asciiTheme="minorHAnsi" w:eastAsiaTheme="minorEastAsia" w:hAnsiTheme="minorHAnsi" w:cstheme="minorBidi"/>
            <w:sz w:val="22"/>
            <w:szCs w:val="22"/>
            <w:lang w:eastAsia="en-AU"/>
          </w:rPr>
          <w:tab/>
        </w:r>
        <w:r w:rsidR="00C10F17" w:rsidRPr="00695634">
          <w:rPr>
            <w:rStyle w:val="Hyperlink"/>
          </w:rPr>
          <w:t>Matched Savings Payment and Voluntary Income Management Incentive Payment</w:t>
        </w:r>
        <w:r w:rsidR="00C10F17">
          <w:rPr>
            <w:webHidden/>
          </w:rPr>
          <w:tab/>
        </w:r>
        <w:r w:rsidR="00C10F17">
          <w:rPr>
            <w:webHidden/>
          </w:rPr>
          <w:fldChar w:fldCharType="begin"/>
        </w:r>
        <w:r w:rsidR="00C10F17">
          <w:rPr>
            <w:webHidden/>
          </w:rPr>
          <w:instrText xml:space="preserve"> PAGEREF _Toc342495225 \h </w:instrText>
        </w:r>
        <w:r w:rsidR="00C10F17">
          <w:rPr>
            <w:webHidden/>
          </w:rPr>
        </w:r>
        <w:r w:rsidR="00C10F17">
          <w:rPr>
            <w:webHidden/>
          </w:rPr>
          <w:fldChar w:fldCharType="separate"/>
        </w:r>
        <w:r w:rsidR="003C7E97">
          <w:rPr>
            <w:webHidden/>
          </w:rPr>
          <w:t>13</w:t>
        </w:r>
        <w:r w:rsidR="00C10F17">
          <w:rPr>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26" w:history="1">
        <w:r w:rsidR="00C10F17" w:rsidRPr="00695634">
          <w:rPr>
            <w:rStyle w:val="Hyperlink"/>
            <w:noProof/>
          </w:rPr>
          <w:t>3</w:t>
        </w:r>
        <w:r w:rsidR="00C10F17">
          <w:rPr>
            <w:rFonts w:asciiTheme="minorHAnsi" w:eastAsiaTheme="minorEastAsia" w:hAnsiTheme="minorHAnsi" w:cstheme="minorBidi"/>
            <w:noProof/>
            <w:lang w:eastAsia="en-AU"/>
          </w:rPr>
          <w:tab/>
        </w:r>
        <w:r w:rsidR="00C10F17" w:rsidRPr="00695634">
          <w:rPr>
            <w:rStyle w:val="Hyperlink"/>
            <w:noProof/>
          </w:rPr>
          <w:t>Program logic and customer pathway maps</w:t>
        </w:r>
        <w:r w:rsidR="00C10F17">
          <w:rPr>
            <w:noProof/>
            <w:webHidden/>
          </w:rPr>
          <w:tab/>
        </w:r>
        <w:r w:rsidR="00C10F17">
          <w:rPr>
            <w:noProof/>
            <w:webHidden/>
          </w:rPr>
          <w:fldChar w:fldCharType="begin"/>
        </w:r>
        <w:r w:rsidR="00C10F17">
          <w:rPr>
            <w:noProof/>
            <w:webHidden/>
          </w:rPr>
          <w:instrText xml:space="preserve"> PAGEREF _Toc342495226 \h </w:instrText>
        </w:r>
        <w:r w:rsidR="00C10F17">
          <w:rPr>
            <w:noProof/>
            <w:webHidden/>
          </w:rPr>
        </w:r>
        <w:r w:rsidR="00C10F17">
          <w:rPr>
            <w:noProof/>
            <w:webHidden/>
          </w:rPr>
          <w:fldChar w:fldCharType="separate"/>
        </w:r>
        <w:r w:rsidR="003C7E97">
          <w:rPr>
            <w:noProof/>
            <w:webHidden/>
          </w:rPr>
          <w:t>14</w:t>
        </w:r>
        <w:r w:rsidR="00C10F17">
          <w:rPr>
            <w:noProof/>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7" w:history="1">
        <w:r w:rsidR="00C10F17" w:rsidRPr="00695634">
          <w:rPr>
            <w:rStyle w:val="Hyperlink"/>
            <w:rFonts w:cs="Arial"/>
          </w:rPr>
          <w:t>3.1</w:t>
        </w:r>
        <w:r w:rsidR="00C10F17">
          <w:rPr>
            <w:rFonts w:asciiTheme="minorHAnsi" w:eastAsiaTheme="minorEastAsia" w:hAnsiTheme="minorHAnsi" w:cstheme="minorBidi"/>
            <w:sz w:val="22"/>
            <w:szCs w:val="22"/>
            <w:lang w:eastAsia="en-AU"/>
          </w:rPr>
          <w:tab/>
        </w:r>
        <w:r w:rsidR="00C10F17" w:rsidRPr="00695634">
          <w:rPr>
            <w:rStyle w:val="Hyperlink"/>
          </w:rPr>
          <w:t>Revisiting the theory</w:t>
        </w:r>
        <w:r w:rsidR="00C10F17">
          <w:rPr>
            <w:webHidden/>
          </w:rPr>
          <w:tab/>
        </w:r>
        <w:r w:rsidR="00C10F17">
          <w:rPr>
            <w:webHidden/>
          </w:rPr>
          <w:fldChar w:fldCharType="begin"/>
        </w:r>
        <w:r w:rsidR="00C10F17">
          <w:rPr>
            <w:webHidden/>
          </w:rPr>
          <w:instrText xml:space="preserve"> PAGEREF _Toc342495227 \h </w:instrText>
        </w:r>
        <w:r w:rsidR="00C10F17">
          <w:rPr>
            <w:webHidden/>
          </w:rPr>
        </w:r>
        <w:r w:rsidR="00C10F17">
          <w:rPr>
            <w:webHidden/>
          </w:rPr>
          <w:fldChar w:fldCharType="separate"/>
        </w:r>
        <w:r w:rsidR="003C7E97">
          <w:rPr>
            <w:webHidden/>
          </w:rPr>
          <w:t>14</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8" w:history="1">
        <w:r w:rsidR="00C10F17" w:rsidRPr="00695634">
          <w:rPr>
            <w:rStyle w:val="Hyperlink"/>
            <w:rFonts w:cs="Arial"/>
          </w:rPr>
          <w:t>3.2</w:t>
        </w:r>
        <w:r w:rsidR="00C10F17">
          <w:rPr>
            <w:rFonts w:asciiTheme="minorHAnsi" w:eastAsiaTheme="minorEastAsia" w:hAnsiTheme="minorHAnsi" w:cstheme="minorBidi"/>
            <w:sz w:val="22"/>
            <w:szCs w:val="22"/>
            <w:lang w:eastAsia="en-AU"/>
          </w:rPr>
          <w:tab/>
        </w:r>
        <w:r w:rsidR="00C10F17" w:rsidRPr="00695634">
          <w:rPr>
            <w:rStyle w:val="Hyperlink"/>
          </w:rPr>
          <w:t>External influences on PBIM</w:t>
        </w:r>
        <w:r w:rsidR="00C10F17">
          <w:rPr>
            <w:webHidden/>
          </w:rPr>
          <w:tab/>
        </w:r>
        <w:r w:rsidR="00C10F17">
          <w:rPr>
            <w:webHidden/>
          </w:rPr>
          <w:fldChar w:fldCharType="begin"/>
        </w:r>
        <w:r w:rsidR="00C10F17">
          <w:rPr>
            <w:webHidden/>
          </w:rPr>
          <w:instrText xml:space="preserve"> PAGEREF _Toc342495228 \h </w:instrText>
        </w:r>
        <w:r w:rsidR="00C10F17">
          <w:rPr>
            <w:webHidden/>
          </w:rPr>
        </w:r>
        <w:r w:rsidR="00C10F17">
          <w:rPr>
            <w:webHidden/>
          </w:rPr>
          <w:fldChar w:fldCharType="separate"/>
        </w:r>
        <w:r w:rsidR="003C7E97">
          <w:rPr>
            <w:webHidden/>
          </w:rPr>
          <w:t>15</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29" w:history="1">
        <w:r w:rsidR="00C10F17" w:rsidRPr="00695634">
          <w:rPr>
            <w:rStyle w:val="Hyperlink"/>
            <w:rFonts w:cs="Arial"/>
          </w:rPr>
          <w:t>3.3</w:t>
        </w:r>
        <w:r w:rsidR="00C10F17">
          <w:rPr>
            <w:rFonts w:asciiTheme="minorHAnsi" w:eastAsiaTheme="minorEastAsia" w:hAnsiTheme="minorHAnsi" w:cstheme="minorBidi"/>
            <w:sz w:val="22"/>
            <w:szCs w:val="22"/>
            <w:lang w:eastAsia="en-AU"/>
          </w:rPr>
          <w:tab/>
        </w:r>
        <w:r w:rsidR="00C10F17" w:rsidRPr="00695634">
          <w:rPr>
            <w:rStyle w:val="Hyperlink"/>
          </w:rPr>
          <w:t>Program logic maps</w:t>
        </w:r>
        <w:r w:rsidR="00C10F17">
          <w:rPr>
            <w:webHidden/>
          </w:rPr>
          <w:tab/>
        </w:r>
        <w:r w:rsidR="00C10F17">
          <w:rPr>
            <w:webHidden/>
          </w:rPr>
          <w:fldChar w:fldCharType="begin"/>
        </w:r>
        <w:r w:rsidR="00C10F17">
          <w:rPr>
            <w:webHidden/>
          </w:rPr>
          <w:instrText xml:space="preserve"> PAGEREF _Toc342495229 \h </w:instrText>
        </w:r>
        <w:r w:rsidR="00C10F17">
          <w:rPr>
            <w:webHidden/>
          </w:rPr>
        </w:r>
        <w:r w:rsidR="00C10F17">
          <w:rPr>
            <w:webHidden/>
          </w:rPr>
          <w:fldChar w:fldCharType="separate"/>
        </w:r>
        <w:r w:rsidR="003C7E97">
          <w:rPr>
            <w:webHidden/>
          </w:rPr>
          <w:t>16</w:t>
        </w:r>
        <w:r w:rsidR="00C10F17">
          <w:rPr>
            <w:webHidden/>
          </w:rPr>
          <w:fldChar w:fldCharType="end"/>
        </w:r>
      </w:hyperlink>
    </w:p>
    <w:p w:rsidR="00C10F17" w:rsidRPr="00C10F17" w:rsidRDefault="00E75B31" w:rsidP="00C10F17">
      <w:pPr>
        <w:pStyle w:val="TOC2"/>
        <w:rPr>
          <w:rFonts w:asciiTheme="minorHAnsi" w:eastAsiaTheme="minorEastAsia" w:hAnsiTheme="minorHAnsi" w:cstheme="minorBidi"/>
          <w:sz w:val="22"/>
          <w:szCs w:val="22"/>
          <w:lang w:eastAsia="en-AU"/>
        </w:rPr>
      </w:pPr>
      <w:hyperlink w:anchor="_Toc342495230" w:history="1">
        <w:r w:rsidR="00C10F17" w:rsidRPr="00695634">
          <w:rPr>
            <w:rStyle w:val="Hyperlink"/>
            <w:rFonts w:cs="Arial"/>
          </w:rPr>
          <w:t>3.4</w:t>
        </w:r>
        <w:r w:rsidR="00C10F17">
          <w:rPr>
            <w:rFonts w:asciiTheme="minorHAnsi" w:eastAsiaTheme="minorEastAsia" w:hAnsiTheme="minorHAnsi" w:cstheme="minorBidi"/>
            <w:sz w:val="22"/>
            <w:szCs w:val="22"/>
            <w:lang w:eastAsia="en-AU"/>
          </w:rPr>
          <w:tab/>
        </w:r>
        <w:r w:rsidR="00C10F17" w:rsidRPr="00695634">
          <w:rPr>
            <w:rStyle w:val="Hyperlink"/>
          </w:rPr>
          <w:t>Customer pathway maps</w:t>
        </w:r>
        <w:r w:rsidR="00C10F17">
          <w:rPr>
            <w:webHidden/>
          </w:rPr>
          <w:tab/>
        </w:r>
        <w:r w:rsidR="00C10F17">
          <w:rPr>
            <w:webHidden/>
          </w:rPr>
          <w:fldChar w:fldCharType="begin"/>
        </w:r>
        <w:r w:rsidR="00C10F17">
          <w:rPr>
            <w:webHidden/>
          </w:rPr>
          <w:instrText xml:space="preserve"> PAGEREF _Toc342495230 \h </w:instrText>
        </w:r>
        <w:r w:rsidR="00C10F17">
          <w:rPr>
            <w:webHidden/>
          </w:rPr>
        </w:r>
        <w:r w:rsidR="00C10F17">
          <w:rPr>
            <w:webHidden/>
          </w:rPr>
          <w:fldChar w:fldCharType="separate"/>
        </w:r>
        <w:r w:rsidR="003C7E97">
          <w:rPr>
            <w:webHidden/>
          </w:rPr>
          <w:t>20</w:t>
        </w:r>
        <w:r w:rsidR="00C10F17">
          <w:rPr>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32" w:history="1">
        <w:r w:rsidR="00C10F17" w:rsidRPr="00695634">
          <w:rPr>
            <w:rStyle w:val="Hyperlink"/>
            <w:noProof/>
          </w:rPr>
          <w:t>4</w:t>
        </w:r>
        <w:r w:rsidR="00C10F17">
          <w:rPr>
            <w:rFonts w:asciiTheme="minorHAnsi" w:eastAsiaTheme="minorEastAsia" w:hAnsiTheme="minorHAnsi" w:cstheme="minorBidi"/>
            <w:noProof/>
            <w:lang w:eastAsia="en-AU"/>
          </w:rPr>
          <w:tab/>
        </w:r>
        <w:r w:rsidR="00C10F17" w:rsidRPr="00695634">
          <w:rPr>
            <w:rStyle w:val="Hyperlink"/>
            <w:noProof/>
          </w:rPr>
          <w:t>Evaluation structure</w:t>
        </w:r>
        <w:r w:rsidR="00C10F17">
          <w:rPr>
            <w:noProof/>
            <w:webHidden/>
          </w:rPr>
          <w:tab/>
        </w:r>
        <w:r w:rsidR="00C10F17">
          <w:rPr>
            <w:noProof/>
            <w:webHidden/>
          </w:rPr>
          <w:fldChar w:fldCharType="begin"/>
        </w:r>
        <w:r w:rsidR="00C10F17">
          <w:rPr>
            <w:noProof/>
            <w:webHidden/>
          </w:rPr>
          <w:instrText xml:space="preserve"> PAGEREF _Toc342495232 \h </w:instrText>
        </w:r>
        <w:r w:rsidR="00C10F17">
          <w:rPr>
            <w:noProof/>
            <w:webHidden/>
          </w:rPr>
        </w:r>
        <w:r w:rsidR="00C10F17">
          <w:rPr>
            <w:noProof/>
            <w:webHidden/>
          </w:rPr>
          <w:fldChar w:fldCharType="separate"/>
        </w:r>
        <w:r w:rsidR="003C7E97">
          <w:rPr>
            <w:noProof/>
            <w:webHidden/>
          </w:rPr>
          <w:t>27</w:t>
        </w:r>
        <w:r w:rsidR="00C10F17">
          <w:rPr>
            <w:noProof/>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33" w:history="1">
        <w:r w:rsidR="00C10F17" w:rsidRPr="00695634">
          <w:rPr>
            <w:rStyle w:val="Hyperlink"/>
            <w:rFonts w:cs="Arial"/>
          </w:rPr>
          <w:t>4.1</w:t>
        </w:r>
        <w:r w:rsidR="00C10F17">
          <w:rPr>
            <w:rFonts w:asciiTheme="minorHAnsi" w:eastAsiaTheme="minorEastAsia" w:hAnsiTheme="minorHAnsi" w:cstheme="minorBidi"/>
            <w:sz w:val="22"/>
            <w:szCs w:val="22"/>
            <w:lang w:eastAsia="en-AU"/>
          </w:rPr>
          <w:tab/>
        </w:r>
        <w:r w:rsidR="00C10F17" w:rsidRPr="00695634">
          <w:rPr>
            <w:rStyle w:val="Hyperlink"/>
          </w:rPr>
          <w:t>Aim and scope</w:t>
        </w:r>
        <w:r w:rsidR="00C10F17">
          <w:rPr>
            <w:webHidden/>
          </w:rPr>
          <w:tab/>
        </w:r>
        <w:r w:rsidR="00C10F17">
          <w:rPr>
            <w:webHidden/>
          </w:rPr>
          <w:fldChar w:fldCharType="begin"/>
        </w:r>
        <w:r w:rsidR="00C10F17">
          <w:rPr>
            <w:webHidden/>
          </w:rPr>
          <w:instrText xml:space="preserve"> PAGEREF _Toc342495233 \h </w:instrText>
        </w:r>
        <w:r w:rsidR="00C10F17">
          <w:rPr>
            <w:webHidden/>
          </w:rPr>
        </w:r>
        <w:r w:rsidR="00C10F17">
          <w:rPr>
            <w:webHidden/>
          </w:rPr>
          <w:fldChar w:fldCharType="separate"/>
        </w:r>
        <w:r w:rsidR="003C7E97">
          <w:rPr>
            <w:webHidden/>
          </w:rPr>
          <w:t>27</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34" w:history="1">
        <w:r w:rsidR="00C10F17" w:rsidRPr="00695634">
          <w:rPr>
            <w:rStyle w:val="Hyperlink"/>
            <w:rFonts w:cs="Arial"/>
          </w:rPr>
          <w:t>4.2</w:t>
        </w:r>
        <w:r w:rsidR="00C10F17">
          <w:rPr>
            <w:rFonts w:asciiTheme="minorHAnsi" w:eastAsiaTheme="minorEastAsia" w:hAnsiTheme="minorHAnsi" w:cstheme="minorBidi"/>
            <w:sz w:val="22"/>
            <w:szCs w:val="22"/>
            <w:lang w:eastAsia="en-AU"/>
          </w:rPr>
          <w:tab/>
        </w:r>
        <w:r w:rsidR="00C10F17" w:rsidRPr="00695634">
          <w:rPr>
            <w:rStyle w:val="Hyperlink"/>
          </w:rPr>
          <w:t>Evaluation overview</w:t>
        </w:r>
        <w:r w:rsidR="00C10F17">
          <w:rPr>
            <w:webHidden/>
          </w:rPr>
          <w:tab/>
        </w:r>
        <w:r w:rsidR="00C10F17">
          <w:rPr>
            <w:webHidden/>
          </w:rPr>
          <w:fldChar w:fldCharType="begin"/>
        </w:r>
        <w:r w:rsidR="00C10F17">
          <w:rPr>
            <w:webHidden/>
          </w:rPr>
          <w:instrText xml:space="preserve"> PAGEREF _Toc342495234 \h </w:instrText>
        </w:r>
        <w:r w:rsidR="00C10F17">
          <w:rPr>
            <w:webHidden/>
          </w:rPr>
        </w:r>
        <w:r w:rsidR="00C10F17">
          <w:rPr>
            <w:webHidden/>
          </w:rPr>
          <w:fldChar w:fldCharType="separate"/>
        </w:r>
        <w:r w:rsidR="003C7E97">
          <w:rPr>
            <w:webHidden/>
          </w:rPr>
          <w:t>27</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35" w:history="1">
        <w:r w:rsidR="00C10F17" w:rsidRPr="00695634">
          <w:rPr>
            <w:rStyle w:val="Hyperlink"/>
            <w:rFonts w:cs="Arial"/>
          </w:rPr>
          <w:t>4.3</w:t>
        </w:r>
        <w:r w:rsidR="00C10F17">
          <w:rPr>
            <w:rFonts w:asciiTheme="minorHAnsi" w:eastAsiaTheme="minorEastAsia" w:hAnsiTheme="minorHAnsi" w:cstheme="minorBidi"/>
            <w:sz w:val="22"/>
            <w:szCs w:val="22"/>
            <w:lang w:eastAsia="en-AU"/>
          </w:rPr>
          <w:tab/>
        </w:r>
        <w:r w:rsidR="00C10F17" w:rsidRPr="00695634">
          <w:rPr>
            <w:rStyle w:val="Hyperlink"/>
          </w:rPr>
          <w:t>Evaluation questions</w:t>
        </w:r>
        <w:r w:rsidR="00C10F17">
          <w:rPr>
            <w:webHidden/>
          </w:rPr>
          <w:tab/>
        </w:r>
        <w:r w:rsidR="00C10F17">
          <w:rPr>
            <w:webHidden/>
          </w:rPr>
          <w:fldChar w:fldCharType="begin"/>
        </w:r>
        <w:r w:rsidR="00C10F17">
          <w:rPr>
            <w:webHidden/>
          </w:rPr>
          <w:instrText xml:space="preserve"> PAGEREF _Toc342495235 \h </w:instrText>
        </w:r>
        <w:r w:rsidR="00C10F17">
          <w:rPr>
            <w:webHidden/>
          </w:rPr>
        </w:r>
        <w:r w:rsidR="00C10F17">
          <w:rPr>
            <w:webHidden/>
          </w:rPr>
          <w:fldChar w:fldCharType="separate"/>
        </w:r>
        <w:r w:rsidR="003C7E97">
          <w:rPr>
            <w:webHidden/>
          </w:rPr>
          <w:t>30</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36" w:history="1">
        <w:r w:rsidR="00C10F17" w:rsidRPr="00695634">
          <w:rPr>
            <w:rStyle w:val="Hyperlink"/>
            <w:rFonts w:cs="Arial"/>
          </w:rPr>
          <w:t>4.4</w:t>
        </w:r>
        <w:r w:rsidR="00C10F17">
          <w:rPr>
            <w:rFonts w:asciiTheme="minorHAnsi" w:eastAsiaTheme="minorEastAsia" w:hAnsiTheme="minorHAnsi" w:cstheme="minorBidi"/>
            <w:sz w:val="22"/>
            <w:szCs w:val="22"/>
            <w:lang w:eastAsia="en-AU"/>
          </w:rPr>
          <w:tab/>
        </w:r>
        <w:r w:rsidR="00C10F17" w:rsidRPr="00695634">
          <w:rPr>
            <w:rStyle w:val="Hyperlink"/>
          </w:rPr>
          <w:t>Trial and comparator sites</w:t>
        </w:r>
        <w:r w:rsidR="00C10F17">
          <w:rPr>
            <w:webHidden/>
          </w:rPr>
          <w:tab/>
        </w:r>
        <w:r w:rsidR="00C10F17">
          <w:rPr>
            <w:webHidden/>
          </w:rPr>
          <w:fldChar w:fldCharType="begin"/>
        </w:r>
        <w:r w:rsidR="00C10F17">
          <w:rPr>
            <w:webHidden/>
          </w:rPr>
          <w:instrText xml:space="preserve"> PAGEREF _Toc342495236 \h </w:instrText>
        </w:r>
        <w:r w:rsidR="00C10F17">
          <w:rPr>
            <w:webHidden/>
          </w:rPr>
        </w:r>
        <w:r w:rsidR="00C10F17">
          <w:rPr>
            <w:webHidden/>
          </w:rPr>
          <w:fldChar w:fldCharType="separate"/>
        </w:r>
        <w:r w:rsidR="003C7E97">
          <w:rPr>
            <w:webHidden/>
          </w:rPr>
          <w:t>31</w:t>
        </w:r>
        <w:r w:rsidR="00C10F17">
          <w:rPr>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37" w:history="1">
        <w:r w:rsidR="00C10F17" w:rsidRPr="00695634">
          <w:rPr>
            <w:rStyle w:val="Hyperlink"/>
            <w:noProof/>
          </w:rPr>
          <w:t>5</w:t>
        </w:r>
        <w:r w:rsidR="00C10F17">
          <w:rPr>
            <w:rFonts w:asciiTheme="minorHAnsi" w:eastAsiaTheme="minorEastAsia" w:hAnsiTheme="minorHAnsi" w:cstheme="minorBidi"/>
            <w:noProof/>
            <w:lang w:eastAsia="en-AU"/>
          </w:rPr>
          <w:tab/>
        </w:r>
        <w:r w:rsidR="00C10F17" w:rsidRPr="00695634">
          <w:rPr>
            <w:rStyle w:val="Hyperlink"/>
            <w:noProof/>
          </w:rPr>
          <w:t>Methodology</w:t>
        </w:r>
        <w:r w:rsidR="00C10F17">
          <w:rPr>
            <w:noProof/>
            <w:webHidden/>
          </w:rPr>
          <w:tab/>
        </w:r>
        <w:r w:rsidR="00C10F17">
          <w:rPr>
            <w:noProof/>
            <w:webHidden/>
          </w:rPr>
          <w:fldChar w:fldCharType="begin"/>
        </w:r>
        <w:r w:rsidR="00C10F17">
          <w:rPr>
            <w:noProof/>
            <w:webHidden/>
          </w:rPr>
          <w:instrText xml:space="preserve"> PAGEREF _Toc342495237 \h </w:instrText>
        </w:r>
        <w:r w:rsidR="00C10F17">
          <w:rPr>
            <w:noProof/>
            <w:webHidden/>
          </w:rPr>
        </w:r>
        <w:r w:rsidR="00C10F17">
          <w:rPr>
            <w:noProof/>
            <w:webHidden/>
          </w:rPr>
          <w:fldChar w:fldCharType="separate"/>
        </w:r>
        <w:r w:rsidR="003C7E97">
          <w:rPr>
            <w:noProof/>
            <w:webHidden/>
          </w:rPr>
          <w:t>33</w:t>
        </w:r>
        <w:r w:rsidR="00C10F17">
          <w:rPr>
            <w:noProof/>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38" w:history="1">
        <w:r w:rsidR="00C10F17" w:rsidRPr="00695634">
          <w:rPr>
            <w:rStyle w:val="Hyperlink"/>
            <w:rFonts w:cs="Arial"/>
          </w:rPr>
          <w:t>5.1</w:t>
        </w:r>
        <w:r w:rsidR="00C10F17">
          <w:rPr>
            <w:rFonts w:asciiTheme="minorHAnsi" w:eastAsiaTheme="minorEastAsia" w:hAnsiTheme="minorHAnsi" w:cstheme="minorBidi"/>
            <w:sz w:val="22"/>
            <w:szCs w:val="22"/>
            <w:lang w:eastAsia="en-AU"/>
          </w:rPr>
          <w:tab/>
        </w:r>
        <w:r w:rsidR="00C10F17" w:rsidRPr="00695634">
          <w:rPr>
            <w:rStyle w:val="Hyperlink"/>
          </w:rPr>
          <w:t>Literature scan</w:t>
        </w:r>
        <w:r w:rsidR="00C10F17">
          <w:rPr>
            <w:webHidden/>
          </w:rPr>
          <w:tab/>
        </w:r>
        <w:r w:rsidR="00C10F17">
          <w:rPr>
            <w:webHidden/>
          </w:rPr>
          <w:fldChar w:fldCharType="begin"/>
        </w:r>
        <w:r w:rsidR="00C10F17">
          <w:rPr>
            <w:webHidden/>
          </w:rPr>
          <w:instrText xml:space="preserve"> PAGEREF _Toc342495238 \h </w:instrText>
        </w:r>
        <w:r w:rsidR="00C10F17">
          <w:rPr>
            <w:webHidden/>
          </w:rPr>
        </w:r>
        <w:r w:rsidR="00C10F17">
          <w:rPr>
            <w:webHidden/>
          </w:rPr>
          <w:fldChar w:fldCharType="separate"/>
        </w:r>
        <w:r w:rsidR="003C7E97">
          <w:rPr>
            <w:webHidden/>
          </w:rPr>
          <w:t>33</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39" w:history="1">
        <w:r w:rsidR="00C10F17" w:rsidRPr="00695634">
          <w:rPr>
            <w:rStyle w:val="Hyperlink"/>
            <w:rFonts w:cs="Arial"/>
          </w:rPr>
          <w:t>5.2</w:t>
        </w:r>
        <w:r w:rsidR="00C10F17">
          <w:rPr>
            <w:rFonts w:asciiTheme="minorHAnsi" w:eastAsiaTheme="minorEastAsia" w:hAnsiTheme="minorHAnsi" w:cstheme="minorBidi"/>
            <w:sz w:val="22"/>
            <w:szCs w:val="22"/>
            <w:lang w:eastAsia="en-AU"/>
          </w:rPr>
          <w:tab/>
        </w:r>
        <w:r w:rsidR="00C10F17" w:rsidRPr="00695634">
          <w:rPr>
            <w:rStyle w:val="Hyperlink"/>
          </w:rPr>
          <w:t>Longitudinal survey of customers</w:t>
        </w:r>
        <w:r w:rsidR="00C10F17">
          <w:rPr>
            <w:webHidden/>
          </w:rPr>
          <w:tab/>
        </w:r>
        <w:r w:rsidR="00C10F17">
          <w:rPr>
            <w:webHidden/>
          </w:rPr>
          <w:fldChar w:fldCharType="begin"/>
        </w:r>
        <w:r w:rsidR="00C10F17">
          <w:rPr>
            <w:webHidden/>
          </w:rPr>
          <w:instrText xml:space="preserve"> PAGEREF _Toc342495239 \h </w:instrText>
        </w:r>
        <w:r w:rsidR="00C10F17">
          <w:rPr>
            <w:webHidden/>
          </w:rPr>
        </w:r>
        <w:r w:rsidR="00C10F17">
          <w:rPr>
            <w:webHidden/>
          </w:rPr>
          <w:fldChar w:fldCharType="separate"/>
        </w:r>
        <w:r w:rsidR="003C7E97">
          <w:rPr>
            <w:webHidden/>
          </w:rPr>
          <w:t>33</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0" w:history="1">
        <w:r w:rsidR="00C10F17" w:rsidRPr="00695634">
          <w:rPr>
            <w:rStyle w:val="Hyperlink"/>
            <w:rFonts w:cs="Arial"/>
          </w:rPr>
          <w:t>5.3</w:t>
        </w:r>
        <w:r w:rsidR="00C10F17">
          <w:rPr>
            <w:rFonts w:asciiTheme="minorHAnsi" w:eastAsiaTheme="minorEastAsia" w:hAnsiTheme="minorHAnsi" w:cstheme="minorBidi"/>
            <w:sz w:val="22"/>
            <w:szCs w:val="22"/>
            <w:lang w:eastAsia="en-AU"/>
          </w:rPr>
          <w:tab/>
        </w:r>
        <w:r w:rsidR="00C10F17" w:rsidRPr="00695634">
          <w:rPr>
            <w:rStyle w:val="Hyperlink"/>
          </w:rPr>
          <w:t>Face to face interviews with customers</w:t>
        </w:r>
        <w:r w:rsidR="00C10F17">
          <w:rPr>
            <w:webHidden/>
          </w:rPr>
          <w:tab/>
        </w:r>
        <w:r w:rsidR="00C10F17">
          <w:rPr>
            <w:webHidden/>
          </w:rPr>
          <w:fldChar w:fldCharType="begin"/>
        </w:r>
        <w:r w:rsidR="00C10F17">
          <w:rPr>
            <w:webHidden/>
          </w:rPr>
          <w:instrText xml:space="preserve"> PAGEREF _Toc342495240 \h </w:instrText>
        </w:r>
        <w:r w:rsidR="00C10F17">
          <w:rPr>
            <w:webHidden/>
          </w:rPr>
        </w:r>
        <w:r w:rsidR="00C10F17">
          <w:rPr>
            <w:webHidden/>
          </w:rPr>
          <w:fldChar w:fldCharType="separate"/>
        </w:r>
        <w:r w:rsidR="003C7E97">
          <w:rPr>
            <w:webHidden/>
          </w:rPr>
          <w:t>36</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1" w:history="1">
        <w:r w:rsidR="00C10F17" w:rsidRPr="00695634">
          <w:rPr>
            <w:rStyle w:val="Hyperlink"/>
            <w:rFonts w:cs="Arial"/>
          </w:rPr>
          <w:t>5.4</w:t>
        </w:r>
        <w:r w:rsidR="00C10F17">
          <w:rPr>
            <w:rFonts w:asciiTheme="minorHAnsi" w:eastAsiaTheme="minorEastAsia" w:hAnsiTheme="minorHAnsi" w:cstheme="minorBidi"/>
            <w:sz w:val="22"/>
            <w:szCs w:val="22"/>
            <w:lang w:eastAsia="en-AU"/>
          </w:rPr>
          <w:tab/>
        </w:r>
        <w:r w:rsidR="00C10F17" w:rsidRPr="00695634">
          <w:rPr>
            <w:rStyle w:val="Hyperlink"/>
          </w:rPr>
          <w:t>Online surveys</w:t>
        </w:r>
        <w:r w:rsidR="00C10F17">
          <w:rPr>
            <w:webHidden/>
          </w:rPr>
          <w:tab/>
        </w:r>
        <w:r w:rsidR="00C10F17">
          <w:rPr>
            <w:webHidden/>
          </w:rPr>
          <w:fldChar w:fldCharType="begin"/>
        </w:r>
        <w:r w:rsidR="00C10F17">
          <w:rPr>
            <w:webHidden/>
          </w:rPr>
          <w:instrText xml:space="preserve"> PAGEREF _Toc342495241 \h </w:instrText>
        </w:r>
        <w:r w:rsidR="00C10F17">
          <w:rPr>
            <w:webHidden/>
          </w:rPr>
        </w:r>
        <w:r w:rsidR="00C10F17">
          <w:rPr>
            <w:webHidden/>
          </w:rPr>
          <w:fldChar w:fldCharType="separate"/>
        </w:r>
        <w:r w:rsidR="003C7E97">
          <w:rPr>
            <w:webHidden/>
          </w:rPr>
          <w:t>38</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2" w:history="1">
        <w:r w:rsidR="00C10F17" w:rsidRPr="00695634">
          <w:rPr>
            <w:rStyle w:val="Hyperlink"/>
            <w:rFonts w:cs="Arial"/>
          </w:rPr>
          <w:t>5.5</w:t>
        </w:r>
        <w:r w:rsidR="00C10F17">
          <w:rPr>
            <w:rFonts w:asciiTheme="minorHAnsi" w:eastAsiaTheme="minorEastAsia" w:hAnsiTheme="minorHAnsi" w:cstheme="minorBidi"/>
            <w:sz w:val="22"/>
            <w:szCs w:val="22"/>
            <w:lang w:eastAsia="en-AU"/>
          </w:rPr>
          <w:tab/>
        </w:r>
        <w:r w:rsidR="00C10F17" w:rsidRPr="00695634">
          <w:rPr>
            <w:rStyle w:val="Hyperlink"/>
          </w:rPr>
          <w:t>Stakeholder interviews and focus groups</w:t>
        </w:r>
        <w:r w:rsidR="00C10F17">
          <w:rPr>
            <w:webHidden/>
          </w:rPr>
          <w:tab/>
        </w:r>
        <w:r w:rsidR="00C10F17">
          <w:rPr>
            <w:webHidden/>
          </w:rPr>
          <w:fldChar w:fldCharType="begin"/>
        </w:r>
        <w:r w:rsidR="00C10F17">
          <w:rPr>
            <w:webHidden/>
          </w:rPr>
          <w:instrText xml:space="preserve"> PAGEREF _Toc342495242 \h </w:instrText>
        </w:r>
        <w:r w:rsidR="00C10F17">
          <w:rPr>
            <w:webHidden/>
          </w:rPr>
        </w:r>
        <w:r w:rsidR="00C10F17">
          <w:rPr>
            <w:webHidden/>
          </w:rPr>
          <w:fldChar w:fldCharType="separate"/>
        </w:r>
        <w:r w:rsidR="003C7E97">
          <w:rPr>
            <w:webHidden/>
          </w:rPr>
          <w:t>40</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3" w:history="1">
        <w:r w:rsidR="00C10F17" w:rsidRPr="00695634">
          <w:rPr>
            <w:rStyle w:val="Hyperlink"/>
            <w:rFonts w:cs="Arial"/>
          </w:rPr>
          <w:t>5.6</w:t>
        </w:r>
        <w:r w:rsidR="00C10F17">
          <w:rPr>
            <w:rFonts w:asciiTheme="minorHAnsi" w:eastAsiaTheme="minorEastAsia" w:hAnsiTheme="minorHAnsi" w:cstheme="minorBidi"/>
            <w:sz w:val="22"/>
            <w:szCs w:val="22"/>
            <w:lang w:eastAsia="en-AU"/>
          </w:rPr>
          <w:tab/>
        </w:r>
        <w:r w:rsidR="00C10F17" w:rsidRPr="00695634">
          <w:rPr>
            <w:rStyle w:val="Hyperlink"/>
          </w:rPr>
          <w:t>Child protection case file analysis</w:t>
        </w:r>
        <w:r w:rsidR="00C10F17">
          <w:rPr>
            <w:webHidden/>
          </w:rPr>
          <w:tab/>
        </w:r>
        <w:r w:rsidR="00C10F17">
          <w:rPr>
            <w:webHidden/>
          </w:rPr>
          <w:fldChar w:fldCharType="begin"/>
        </w:r>
        <w:r w:rsidR="00C10F17">
          <w:rPr>
            <w:webHidden/>
          </w:rPr>
          <w:instrText xml:space="preserve"> PAGEREF _Toc342495243 \h </w:instrText>
        </w:r>
        <w:r w:rsidR="00C10F17">
          <w:rPr>
            <w:webHidden/>
          </w:rPr>
        </w:r>
        <w:r w:rsidR="00C10F17">
          <w:rPr>
            <w:webHidden/>
          </w:rPr>
          <w:fldChar w:fldCharType="separate"/>
        </w:r>
        <w:r w:rsidR="003C7E97">
          <w:rPr>
            <w:webHidden/>
          </w:rPr>
          <w:t>41</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4" w:history="1">
        <w:r w:rsidR="00C10F17" w:rsidRPr="00695634">
          <w:rPr>
            <w:rStyle w:val="Hyperlink"/>
            <w:rFonts w:cs="Arial"/>
          </w:rPr>
          <w:t>5.7</w:t>
        </w:r>
        <w:r w:rsidR="00C10F17">
          <w:rPr>
            <w:rFonts w:asciiTheme="minorHAnsi" w:eastAsiaTheme="minorEastAsia" w:hAnsiTheme="minorHAnsi" w:cstheme="minorBidi"/>
            <w:sz w:val="22"/>
            <w:szCs w:val="22"/>
            <w:lang w:eastAsia="en-AU"/>
          </w:rPr>
          <w:tab/>
        </w:r>
        <w:r w:rsidR="00C10F17" w:rsidRPr="00695634">
          <w:rPr>
            <w:rStyle w:val="Hyperlink"/>
          </w:rPr>
          <w:t>Analysis of secondary data</w:t>
        </w:r>
        <w:r w:rsidR="00C10F17">
          <w:rPr>
            <w:webHidden/>
          </w:rPr>
          <w:tab/>
        </w:r>
        <w:r w:rsidR="00C10F17">
          <w:rPr>
            <w:webHidden/>
          </w:rPr>
          <w:fldChar w:fldCharType="begin"/>
        </w:r>
        <w:r w:rsidR="00C10F17">
          <w:rPr>
            <w:webHidden/>
          </w:rPr>
          <w:instrText xml:space="preserve"> PAGEREF _Toc342495244 \h </w:instrText>
        </w:r>
        <w:r w:rsidR="00C10F17">
          <w:rPr>
            <w:webHidden/>
          </w:rPr>
        </w:r>
        <w:r w:rsidR="00C10F17">
          <w:rPr>
            <w:webHidden/>
          </w:rPr>
          <w:fldChar w:fldCharType="separate"/>
        </w:r>
        <w:r w:rsidR="003C7E97">
          <w:rPr>
            <w:webHidden/>
          </w:rPr>
          <w:t>41</w:t>
        </w:r>
        <w:r w:rsidR="00C10F17">
          <w:rPr>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45" w:history="1">
        <w:r w:rsidR="00C10F17" w:rsidRPr="00695634">
          <w:rPr>
            <w:rStyle w:val="Hyperlink"/>
            <w:noProof/>
          </w:rPr>
          <w:t>6</w:t>
        </w:r>
        <w:r w:rsidR="00C10F17">
          <w:rPr>
            <w:rFonts w:asciiTheme="minorHAnsi" w:eastAsiaTheme="minorEastAsia" w:hAnsiTheme="minorHAnsi" w:cstheme="minorBidi"/>
            <w:noProof/>
            <w:lang w:eastAsia="en-AU"/>
          </w:rPr>
          <w:tab/>
        </w:r>
        <w:r w:rsidR="00C10F17" w:rsidRPr="00695634">
          <w:rPr>
            <w:rStyle w:val="Hyperlink"/>
            <w:noProof/>
          </w:rPr>
          <w:t>Strengths, weaknesses, caveats and considerations</w:t>
        </w:r>
        <w:r w:rsidR="00C10F17">
          <w:rPr>
            <w:noProof/>
            <w:webHidden/>
          </w:rPr>
          <w:tab/>
        </w:r>
        <w:r w:rsidR="00C10F17">
          <w:rPr>
            <w:noProof/>
            <w:webHidden/>
          </w:rPr>
          <w:fldChar w:fldCharType="begin"/>
        </w:r>
        <w:r w:rsidR="00C10F17">
          <w:rPr>
            <w:noProof/>
            <w:webHidden/>
          </w:rPr>
          <w:instrText xml:space="preserve"> PAGEREF _Toc342495245 \h </w:instrText>
        </w:r>
        <w:r w:rsidR="00C10F17">
          <w:rPr>
            <w:noProof/>
            <w:webHidden/>
          </w:rPr>
        </w:r>
        <w:r w:rsidR="00C10F17">
          <w:rPr>
            <w:noProof/>
            <w:webHidden/>
          </w:rPr>
          <w:fldChar w:fldCharType="separate"/>
        </w:r>
        <w:r w:rsidR="003C7E97">
          <w:rPr>
            <w:noProof/>
            <w:webHidden/>
          </w:rPr>
          <w:t>46</w:t>
        </w:r>
        <w:r w:rsidR="00C10F17">
          <w:rPr>
            <w:noProof/>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6" w:history="1">
        <w:r w:rsidR="00C10F17" w:rsidRPr="00695634">
          <w:rPr>
            <w:rStyle w:val="Hyperlink"/>
            <w:rFonts w:cs="Arial"/>
          </w:rPr>
          <w:t>6.1</w:t>
        </w:r>
        <w:r w:rsidR="00C10F17">
          <w:rPr>
            <w:rFonts w:asciiTheme="minorHAnsi" w:eastAsiaTheme="minorEastAsia" w:hAnsiTheme="minorHAnsi" w:cstheme="minorBidi"/>
            <w:sz w:val="22"/>
            <w:szCs w:val="22"/>
            <w:lang w:eastAsia="en-AU"/>
          </w:rPr>
          <w:tab/>
        </w:r>
        <w:r w:rsidR="00C10F17" w:rsidRPr="00695634">
          <w:rPr>
            <w:rStyle w:val="Hyperlink"/>
          </w:rPr>
          <w:t>Attribution</w:t>
        </w:r>
        <w:r w:rsidR="00C10F17">
          <w:rPr>
            <w:webHidden/>
          </w:rPr>
          <w:tab/>
        </w:r>
        <w:r w:rsidR="00C10F17">
          <w:rPr>
            <w:webHidden/>
          </w:rPr>
          <w:fldChar w:fldCharType="begin"/>
        </w:r>
        <w:r w:rsidR="00C10F17">
          <w:rPr>
            <w:webHidden/>
          </w:rPr>
          <w:instrText xml:space="preserve"> PAGEREF _Toc342495246 \h </w:instrText>
        </w:r>
        <w:r w:rsidR="00C10F17">
          <w:rPr>
            <w:webHidden/>
          </w:rPr>
        </w:r>
        <w:r w:rsidR="00C10F17">
          <w:rPr>
            <w:webHidden/>
          </w:rPr>
          <w:fldChar w:fldCharType="separate"/>
        </w:r>
        <w:r w:rsidR="003C7E97">
          <w:rPr>
            <w:webHidden/>
          </w:rPr>
          <w:t>46</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7" w:history="1">
        <w:r w:rsidR="00C10F17" w:rsidRPr="00695634">
          <w:rPr>
            <w:rStyle w:val="Hyperlink"/>
            <w:rFonts w:cs="Arial"/>
          </w:rPr>
          <w:t>6.2</w:t>
        </w:r>
        <w:r w:rsidR="00C10F17">
          <w:rPr>
            <w:rFonts w:asciiTheme="minorHAnsi" w:eastAsiaTheme="minorEastAsia" w:hAnsiTheme="minorHAnsi" w:cstheme="minorBidi"/>
            <w:sz w:val="22"/>
            <w:szCs w:val="22"/>
            <w:lang w:eastAsia="en-AU"/>
          </w:rPr>
          <w:tab/>
        </w:r>
        <w:r w:rsidR="00C10F17" w:rsidRPr="00695634">
          <w:rPr>
            <w:rStyle w:val="Hyperlink"/>
          </w:rPr>
          <w:t>Social Desirability Bias</w:t>
        </w:r>
        <w:r w:rsidR="00C10F17">
          <w:rPr>
            <w:webHidden/>
          </w:rPr>
          <w:tab/>
        </w:r>
        <w:r w:rsidR="00C10F17">
          <w:rPr>
            <w:webHidden/>
          </w:rPr>
          <w:fldChar w:fldCharType="begin"/>
        </w:r>
        <w:r w:rsidR="00C10F17">
          <w:rPr>
            <w:webHidden/>
          </w:rPr>
          <w:instrText xml:space="preserve"> PAGEREF _Toc342495247 \h </w:instrText>
        </w:r>
        <w:r w:rsidR="00C10F17">
          <w:rPr>
            <w:webHidden/>
          </w:rPr>
        </w:r>
        <w:r w:rsidR="00C10F17">
          <w:rPr>
            <w:webHidden/>
          </w:rPr>
          <w:fldChar w:fldCharType="separate"/>
        </w:r>
        <w:r w:rsidR="003C7E97">
          <w:rPr>
            <w:webHidden/>
          </w:rPr>
          <w:t>47</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8" w:history="1">
        <w:r w:rsidR="00C10F17" w:rsidRPr="00695634">
          <w:rPr>
            <w:rStyle w:val="Hyperlink"/>
            <w:rFonts w:cs="Arial"/>
          </w:rPr>
          <w:t>6.3</w:t>
        </w:r>
        <w:r w:rsidR="00C10F17">
          <w:rPr>
            <w:rFonts w:asciiTheme="minorHAnsi" w:eastAsiaTheme="minorEastAsia" w:hAnsiTheme="minorHAnsi" w:cstheme="minorBidi"/>
            <w:sz w:val="22"/>
            <w:szCs w:val="22"/>
            <w:lang w:eastAsia="en-AU"/>
          </w:rPr>
          <w:tab/>
        </w:r>
        <w:r w:rsidR="00C10F17" w:rsidRPr="00695634">
          <w:rPr>
            <w:rStyle w:val="Hyperlink"/>
          </w:rPr>
          <w:t>Sampling bias</w:t>
        </w:r>
        <w:r w:rsidR="00C10F17">
          <w:rPr>
            <w:webHidden/>
          </w:rPr>
          <w:tab/>
        </w:r>
        <w:r w:rsidR="00C10F17">
          <w:rPr>
            <w:webHidden/>
          </w:rPr>
          <w:fldChar w:fldCharType="begin"/>
        </w:r>
        <w:r w:rsidR="00C10F17">
          <w:rPr>
            <w:webHidden/>
          </w:rPr>
          <w:instrText xml:space="preserve"> PAGEREF _Toc342495248 \h </w:instrText>
        </w:r>
        <w:r w:rsidR="00C10F17">
          <w:rPr>
            <w:webHidden/>
          </w:rPr>
        </w:r>
        <w:r w:rsidR="00C10F17">
          <w:rPr>
            <w:webHidden/>
          </w:rPr>
          <w:fldChar w:fldCharType="separate"/>
        </w:r>
        <w:r w:rsidR="003C7E97">
          <w:rPr>
            <w:webHidden/>
          </w:rPr>
          <w:t>47</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49" w:history="1">
        <w:r w:rsidR="00C10F17" w:rsidRPr="00695634">
          <w:rPr>
            <w:rStyle w:val="Hyperlink"/>
            <w:rFonts w:cs="Arial"/>
          </w:rPr>
          <w:t>6.4</w:t>
        </w:r>
        <w:r w:rsidR="00C10F17">
          <w:rPr>
            <w:rFonts w:asciiTheme="minorHAnsi" w:eastAsiaTheme="minorEastAsia" w:hAnsiTheme="minorHAnsi" w:cstheme="minorBidi"/>
            <w:sz w:val="22"/>
            <w:szCs w:val="22"/>
            <w:lang w:eastAsia="en-AU"/>
          </w:rPr>
          <w:tab/>
        </w:r>
        <w:r w:rsidR="00C10F17" w:rsidRPr="00695634">
          <w:rPr>
            <w:rStyle w:val="Hyperlink"/>
          </w:rPr>
          <w:t>Response rates and loss to follow up</w:t>
        </w:r>
        <w:r w:rsidR="00C10F17">
          <w:rPr>
            <w:webHidden/>
          </w:rPr>
          <w:tab/>
        </w:r>
        <w:r w:rsidR="00C10F17">
          <w:rPr>
            <w:webHidden/>
          </w:rPr>
          <w:fldChar w:fldCharType="begin"/>
        </w:r>
        <w:r w:rsidR="00C10F17">
          <w:rPr>
            <w:webHidden/>
          </w:rPr>
          <w:instrText xml:space="preserve"> PAGEREF _Toc342495249 \h </w:instrText>
        </w:r>
        <w:r w:rsidR="00C10F17">
          <w:rPr>
            <w:webHidden/>
          </w:rPr>
        </w:r>
        <w:r w:rsidR="00C10F17">
          <w:rPr>
            <w:webHidden/>
          </w:rPr>
          <w:fldChar w:fldCharType="separate"/>
        </w:r>
        <w:r w:rsidR="003C7E97">
          <w:rPr>
            <w:webHidden/>
          </w:rPr>
          <w:t>48</w:t>
        </w:r>
        <w:r w:rsidR="00C10F17">
          <w:rPr>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50" w:history="1">
        <w:r w:rsidR="00C10F17" w:rsidRPr="00695634">
          <w:rPr>
            <w:rStyle w:val="Hyperlink"/>
            <w:rFonts w:cs="Arial"/>
          </w:rPr>
          <w:t>6.5</w:t>
        </w:r>
        <w:r w:rsidR="00C10F17">
          <w:rPr>
            <w:rFonts w:asciiTheme="minorHAnsi" w:eastAsiaTheme="minorEastAsia" w:hAnsiTheme="minorHAnsi" w:cstheme="minorBidi"/>
            <w:sz w:val="22"/>
            <w:szCs w:val="22"/>
            <w:lang w:eastAsia="en-AU"/>
          </w:rPr>
          <w:tab/>
        </w:r>
        <w:r w:rsidR="00C10F17" w:rsidRPr="00695634">
          <w:rPr>
            <w:rStyle w:val="Hyperlink"/>
          </w:rPr>
          <w:t>Challenges in using secondary data to evaluate PBIM</w:t>
        </w:r>
        <w:r w:rsidR="00C10F17">
          <w:rPr>
            <w:webHidden/>
          </w:rPr>
          <w:tab/>
        </w:r>
        <w:r w:rsidR="00C10F17">
          <w:rPr>
            <w:webHidden/>
          </w:rPr>
          <w:fldChar w:fldCharType="begin"/>
        </w:r>
        <w:r w:rsidR="00C10F17">
          <w:rPr>
            <w:webHidden/>
          </w:rPr>
          <w:instrText xml:space="preserve"> PAGEREF _Toc342495250 \h </w:instrText>
        </w:r>
        <w:r w:rsidR="00C10F17">
          <w:rPr>
            <w:webHidden/>
          </w:rPr>
        </w:r>
        <w:r w:rsidR="00C10F17">
          <w:rPr>
            <w:webHidden/>
          </w:rPr>
          <w:fldChar w:fldCharType="separate"/>
        </w:r>
        <w:r w:rsidR="003C7E97">
          <w:rPr>
            <w:webHidden/>
          </w:rPr>
          <w:t>48</w:t>
        </w:r>
        <w:r w:rsidR="00C10F17">
          <w:rPr>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51" w:history="1">
        <w:r w:rsidR="00C10F17" w:rsidRPr="00695634">
          <w:rPr>
            <w:rStyle w:val="Hyperlink"/>
            <w:noProof/>
          </w:rPr>
          <w:t>References</w:t>
        </w:r>
        <w:r w:rsidR="00C10F17">
          <w:rPr>
            <w:noProof/>
            <w:webHidden/>
          </w:rPr>
          <w:tab/>
        </w:r>
        <w:r w:rsidR="00C10F17">
          <w:rPr>
            <w:noProof/>
            <w:webHidden/>
          </w:rPr>
          <w:fldChar w:fldCharType="begin"/>
        </w:r>
        <w:r w:rsidR="00C10F17">
          <w:rPr>
            <w:noProof/>
            <w:webHidden/>
          </w:rPr>
          <w:instrText xml:space="preserve"> PAGEREF _Toc342495251 \h </w:instrText>
        </w:r>
        <w:r w:rsidR="00C10F17">
          <w:rPr>
            <w:noProof/>
            <w:webHidden/>
          </w:rPr>
        </w:r>
        <w:r w:rsidR="00C10F17">
          <w:rPr>
            <w:noProof/>
            <w:webHidden/>
          </w:rPr>
          <w:fldChar w:fldCharType="separate"/>
        </w:r>
        <w:r w:rsidR="003C7E97">
          <w:rPr>
            <w:noProof/>
            <w:webHidden/>
          </w:rPr>
          <w:t>50</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52" w:history="1">
        <w:r w:rsidR="00C10F17" w:rsidRPr="00695634">
          <w:rPr>
            <w:rStyle w:val="Hyperlink"/>
            <w:noProof/>
          </w:rPr>
          <w:t>Appendix A : Strategy for the literature scan</w:t>
        </w:r>
        <w:r w:rsidR="00C10F17">
          <w:rPr>
            <w:noProof/>
            <w:webHidden/>
          </w:rPr>
          <w:tab/>
        </w:r>
        <w:r w:rsidR="00C10F17">
          <w:rPr>
            <w:noProof/>
            <w:webHidden/>
          </w:rPr>
          <w:fldChar w:fldCharType="begin"/>
        </w:r>
        <w:r w:rsidR="00C10F17">
          <w:rPr>
            <w:noProof/>
            <w:webHidden/>
          </w:rPr>
          <w:instrText xml:space="preserve"> PAGEREF _Toc342495252 \h </w:instrText>
        </w:r>
        <w:r w:rsidR="00C10F17">
          <w:rPr>
            <w:noProof/>
            <w:webHidden/>
          </w:rPr>
        </w:r>
        <w:r w:rsidR="00C10F17">
          <w:rPr>
            <w:noProof/>
            <w:webHidden/>
          </w:rPr>
          <w:fldChar w:fldCharType="separate"/>
        </w:r>
        <w:r w:rsidR="003C7E97">
          <w:rPr>
            <w:noProof/>
            <w:webHidden/>
          </w:rPr>
          <w:t>53</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53" w:history="1">
        <w:r w:rsidR="00C10F17" w:rsidRPr="00695634">
          <w:rPr>
            <w:rStyle w:val="Hyperlink"/>
            <w:noProof/>
          </w:rPr>
          <w:t>Appendix B : Findings from the Literature</w:t>
        </w:r>
        <w:r w:rsidR="00C10F17">
          <w:rPr>
            <w:noProof/>
            <w:webHidden/>
          </w:rPr>
          <w:tab/>
        </w:r>
        <w:r w:rsidR="00C10F17">
          <w:rPr>
            <w:noProof/>
            <w:webHidden/>
          </w:rPr>
          <w:fldChar w:fldCharType="begin"/>
        </w:r>
        <w:r w:rsidR="00C10F17">
          <w:rPr>
            <w:noProof/>
            <w:webHidden/>
          </w:rPr>
          <w:instrText xml:space="preserve"> PAGEREF _Toc342495253 \h </w:instrText>
        </w:r>
        <w:r w:rsidR="00C10F17">
          <w:rPr>
            <w:noProof/>
            <w:webHidden/>
          </w:rPr>
        </w:r>
        <w:r w:rsidR="00C10F17">
          <w:rPr>
            <w:noProof/>
            <w:webHidden/>
          </w:rPr>
          <w:fldChar w:fldCharType="separate"/>
        </w:r>
        <w:r w:rsidR="003C7E97">
          <w:rPr>
            <w:noProof/>
            <w:webHidden/>
          </w:rPr>
          <w:t>57</w:t>
        </w:r>
        <w:r w:rsidR="00C10F17">
          <w:rPr>
            <w:noProof/>
            <w:webHidden/>
          </w:rPr>
          <w:fldChar w:fldCharType="end"/>
        </w:r>
      </w:hyperlink>
    </w:p>
    <w:p w:rsidR="00C10F17" w:rsidRDefault="00E75B31">
      <w:pPr>
        <w:pStyle w:val="TOC2"/>
        <w:rPr>
          <w:rFonts w:asciiTheme="minorHAnsi" w:eastAsiaTheme="minorEastAsia" w:hAnsiTheme="minorHAnsi" w:cstheme="minorBidi"/>
          <w:sz w:val="22"/>
          <w:szCs w:val="22"/>
          <w:lang w:eastAsia="en-AU"/>
        </w:rPr>
      </w:pPr>
      <w:hyperlink w:anchor="_Toc342495254" w:history="1">
        <w:r w:rsidR="00C10F17" w:rsidRPr="00695634">
          <w:rPr>
            <w:rStyle w:val="Hyperlink"/>
          </w:rPr>
          <w:t>Limitation of our work</w:t>
        </w:r>
        <w:r w:rsidR="00C10F17">
          <w:rPr>
            <w:webHidden/>
          </w:rPr>
          <w:tab/>
        </w:r>
        <w:r w:rsidR="00C10F17">
          <w:rPr>
            <w:webHidden/>
          </w:rPr>
          <w:fldChar w:fldCharType="begin"/>
        </w:r>
        <w:r w:rsidR="00C10F17">
          <w:rPr>
            <w:webHidden/>
          </w:rPr>
          <w:instrText xml:space="preserve"> PAGEREF _Toc342495254 \h </w:instrText>
        </w:r>
        <w:r w:rsidR="00C10F17">
          <w:rPr>
            <w:webHidden/>
          </w:rPr>
        </w:r>
        <w:r w:rsidR="00C10F17">
          <w:rPr>
            <w:webHidden/>
          </w:rPr>
          <w:fldChar w:fldCharType="separate"/>
        </w:r>
        <w:r w:rsidR="003C7E97">
          <w:rPr>
            <w:webHidden/>
          </w:rPr>
          <w:t>73</w:t>
        </w:r>
        <w:r w:rsidR="00C10F17">
          <w:rPr>
            <w:webHidden/>
          </w:rPr>
          <w:fldChar w:fldCharType="end"/>
        </w:r>
      </w:hyperlink>
    </w:p>
    <w:p w:rsidR="00AC6CA0" w:rsidRPr="00DE4E85" w:rsidRDefault="00D71A6F" w:rsidP="00F738A1">
      <w:pPr>
        <w:pStyle w:val="Contents-Minor"/>
      </w:pPr>
      <w:r>
        <w:rPr>
          <w:rFonts w:cs="Arial"/>
          <w:b/>
          <w:caps/>
          <w:color w:val="auto"/>
          <w:sz w:val="22"/>
          <w:szCs w:val="22"/>
        </w:rPr>
        <w:fldChar w:fldCharType="end"/>
      </w:r>
      <w:r w:rsidR="00AC6CA0" w:rsidRPr="00E267C5">
        <w:t>Tables</w:t>
      </w:r>
    </w:p>
    <w:p w:rsidR="00C10F17" w:rsidRDefault="00D71A6F">
      <w:pPr>
        <w:pStyle w:val="TOC1"/>
        <w:rPr>
          <w:rFonts w:asciiTheme="minorHAnsi" w:eastAsiaTheme="minorEastAsia" w:hAnsiTheme="minorHAnsi" w:cstheme="minorBidi"/>
          <w:noProof/>
          <w:lang w:eastAsia="en-AU"/>
        </w:rPr>
      </w:pPr>
      <w:r>
        <w:rPr>
          <w:rFonts w:cs="Times New Roman"/>
          <w:sz w:val="24"/>
          <w:szCs w:val="20"/>
        </w:rPr>
        <w:fldChar w:fldCharType="begin"/>
      </w:r>
      <w:r w:rsidR="00AC6CA0">
        <w:rPr>
          <w:sz w:val="24"/>
          <w:szCs w:val="20"/>
        </w:rPr>
        <w:instrText xml:space="preserve"> TOC \h \z \t "Appendix Table Caption,1,Caption_Table,1" </w:instrText>
      </w:r>
      <w:r>
        <w:rPr>
          <w:rFonts w:cs="Times New Roman"/>
          <w:sz w:val="24"/>
          <w:szCs w:val="20"/>
        </w:rPr>
        <w:fldChar w:fldCharType="separate"/>
      </w:r>
      <w:hyperlink w:anchor="_Toc342495255" w:history="1">
        <w:r w:rsidR="00C10F17" w:rsidRPr="00F15447">
          <w:rPr>
            <w:rStyle w:val="Hyperlink"/>
            <w:noProof/>
          </w:rPr>
          <w:t>Table 1.1 : Deliverables and timeframes</w:t>
        </w:r>
        <w:r w:rsidR="00C10F17">
          <w:rPr>
            <w:noProof/>
            <w:webHidden/>
          </w:rPr>
          <w:tab/>
        </w:r>
        <w:r w:rsidR="00C10F17">
          <w:rPr>
            <w:noProof/>
            <w:webHidden/>
          </w:rPr>
          <w:fldChar w:fldCharType="begin"/>
        </w:r>
        <w:r w:rsidR="00C10F17">
          <w:rPr>
            <w:noProof/>
            <w:webHidden/>
          </w:rPr>
          <w:instrText xml:space="preserve"> PAGEREF _Toc342495255 \h </w:instrText>
        </w:r>
        <w:r w:rsidR="00C10F17">
          <w:rPr>
            <w:noProof/>
            <w:webHidden/>
          </w:rPr>
        </w:r>
        <w:r w:rsidR="00C10F17">
          <w:rPr>
            <w:noProof/>
            <w:webHidden/>
          </w:rPr>
          <w:fldChar w:fldCharType="separate"/>
        </w:r>
        <w:r w:rsidR="003C7E97">
          <w:rPr>
            <w:noProof/>
            <w:webHidden/>
          </w:rPr>
          <w:t>8</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56" w:history="1">
        <w:r w:rsidR="00C10F17" w:rsidRPr="00F15447">
          <w:rPr>
            <w:rStyle w:val="Hyperlink"/>
            <w:noProof/>
            <w:lang w:eastAsia="en-AU"/>
          </w:rPr>
          <w:t>Table 4.1 : Overview of timing of fieldwork and component methodologies</w:t>
        </w:r>
        <w:r w:rsidR="00C10F17">
          <w:rPr>
            <w:noProof/>
            <w:webHidden/>
          </w:rPr>
          <w:tab/>
        </w:r>
        <w:r w:rsidR="00C10F17">
          <w:rPr>
            <w:noProof/>
            <w:webHidden/>
          </w:rPr>
          <w:fldChar w:fldCharType="begin"/>
        </w:r>
        <w:r w:rsidR="00C10F17">
          <w:rPr>
            <w:noProof/>
            <w:webHidden/>
          </w:rPr>
          <w:instrText xml:space="preserve"> PAGEREF _Toc342495256 \h </w:instrText>
        </w:r>
        <w:r w:rsidR="00C10F17">
          <w:rPr>
            <w:noProof/>
            <w:webHidden/>
          </w:rPr>
        </w:r>
        <w:r w:rsidR="00C10F17">
          <w:rPr>
            <w:noProof/>
            <w:webHidden/>
          </w:rPr>
          <w:fldChar w:fldCharType="separate"/>
        </w:r>
        <w:r w:rsidR="003C7E97">
          <w:rPr>
            <w:noProof/>
            <w:webHidden/>
          </w:rPr>
          <w:t>29</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57" w:history="1">
        <w:r w:rsidR="00C10F17" w:rsidRPr="00F15447">
          <w:rPr>
            <w:rStyle w:val="Hyperlink"/>
            <w:noProof/>
          </w:rPr>
          <w:t>Table 4.2 : Characteristics of the populations of trial and comparator sites</w:t>
        </w:r>
        <w:r w:rsidR="00C10F17">
          <w:rPr>
            <w:noProof/>
            <w:webHidden/>
          </w:rPr>
          <w:tab/>
        </w:r>
        <w:r w:rsidR="00C10F17">
          <w:rPr>
            <w:noProof/>
            <w:webHidden/>
          </w:rPr>
          <w:fldChar w:fldCharType="begin"/>
        </w:r>
        <w:r w:rsidR="00C10F17">
          <w:rPr>
            <w:noProof/>
            <w:webHidden/>
          </w:rPr>
          <w:instrText xml:space="preserve"> PAGEREF _Toc342495257 \h </w:instrText>
        </w:r>
        <w:r w:rsidR="00C10F17">
          <w:rPr>
            <w:noProof/>
            <w:webHidden/>
          </w:rPr>
        </w:r>
        <w:r w:rsidR="00C10F17">
          <w:rPr>
            <w:noProof/>
            <w:webHidden/>
          </w:rPr>
          <w:fldChar w:fldCharType="separate"/>
        </w:r>
        <w:r w:rsidR="003C7E97">
          <w:rPr>
            <w:noProof/>
            <w:webHidden/>
          </w:rPr>
          <w:t>32</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58" w:history="1">
        <w:r w:rsidR="00C10F17" w:rsidRPr="00F15447">
          <w:rPr>
            <w:rStyle w:val="Hyperlink"/>
            <w:noProof/>
          </w:rPr>
          <w:t>Table A.1 : Search terms</w:t>
        </w:r>
        <w:r w:rsidR="00C10F17">
          <w:rPr>
            <w:noProof/>
            <w:webHidden/>
          </w:rPr>
          <w:tab/>
        </w:r>
        <w:r w:rsidR="00C10F17">
          <w:rPr>
            <w:noProof/>
            <w:webHidden/>
          </w:rPr>
          <w:fldChar w:fldCharType="begin"/>
        </w:r>
        <w:r w:rsidR="00C10F17">
          <w:rPr>
            <w:noProof/>
            <w:webHidden/>
          </w:rPr>
          <w:instrText xml:space="preserve"> PAGEREF _Toc342495258 \h </w:instrText>
        </w:r>
        <w:r w:rsidR="00C10F17">
          <w:rPr>
            <w:noProof/>
            <w:webHidden/>
          </w:rPr>
        </w:r>
        <w:r w:rsidR="00C10F17">
          <w:rPr>
            <w:noProof/>
            <w:webHidden/>
          </w:rPr>
          <w:fldChar w:fldCharType="separate"/>
        </w:r>
        <w:r w:rsidR="003C7E97">
          <w:rPr>
            <w:noProof/>
            <w:webHidden/>
          </w:rPr>
          <w:t>53</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59" w:history="1">
        <w:r w:rsidR="00C10F17" w:rsidRPr="00F15447">
          <w:rPr>
            <w:rStyle w:val="Hyperlink"/>
            <w:noProof/>
          </w:rPr>
          <w:t>Table A.2 : Databases</w:t>
        </w:r>
        <w:r w:rsidR="00C10F17">
          <w:rPr>
            <w:noProof/>
            <w:webHidden/>
          </w:rPr>
          <w:tab/>
        </w:r>
        <w:r w:rsidR="00C10F17">
          <w:rPr>
            <w:noProof/>
            <w:webHidden/>
          </w:rPr>
          <w:fldChar w:fldCharType="begin"/>
        </w:r>
        <w:r w:rsidR="00C10F17">
          <w:rPr>
            <w:noProof/>
            <w:webHidden/>
          </w:rPr>
          <w:instrText xml:space="preserve"> PAGEREF _Toc342495259 \h </w:instrText>
        </w:r>
        <w:r w:rsidR="00C10F17">
          <w:rPr>
            <w:noProof/>
            <w:webHidden/>
          </w:rPr>
        </w:r>
        <w:r w:rsidR="00C10F17">
          <w:rPr>
            <w:noProof/>
            <w:webHidden/>
          </w:rPr>
          <w:fldChar w:fldCharType="separate"/>
        </w:r>
        <w:r w:rsidR="003C7E97">
          <w:rPr>
            <w:noProof/>
            <w:webHidden/>
          </w:rPr>
          <w:t>54</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0" w:history="1">
        <w:r w:rsidR="00C10F17" w:rsidRPr="00F15447">
          <w:rPr>
            <w:rStyle w:val="Hyperlink"/>
            <w:noProof/>
          </w:rPr>
          <w:t>Table A.3 : Government and peak body websites</w:t>
        </w:r>
        <w:r w:rsidR="00C10F17">
          <w:rPr>
            <w:noProof/>
            <w:webHidden/>
          </w:rPr>
          <w:tab/>
        </w:r>
        <w:r w:rsidR="00C10F17">
          <w:rPr>
            <w:noProof/>
            <w:webHidden/>
          </w:rPr>
          <w:fldChar w:fldCharType="begin"/>
        </w:r>
        <w:r w:rsidR="00C10F17">
          <w:rPr>
            <w:noProof/>
            <w:webHidden/>
          </w:rPr>
          <w:instrText xml:space="preserve"> PAGEREF _Toc342495260 \h </w:instrText>
        </w:r>
        <w:r w:rsidR="00C10F17">
          <w:rPr>
            <w:noProof/>
            <w:webHidden/>
          </w:rPr>
        </w:r>
        <w:r w:rsidR="00C10F17">
          <w:rPr>
            <w:noProof/>
            <w:webHidden/>
          </w:rPr>
          <w:fldChar w:fldCharType="separate"/>
        </w:r>
        <w:r w:rsidR="003C7E97">
          <w:rPr>
            <w:noProof/>
            <w:webHidden/>
          </w:rPr>
          <w:t>55</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1" w:history="1">
        <w:r w:rsidR="00C10F17" w:rsidRPr="00F15447">
          <w:rPr>
            <w:rStyle w:val="Hyperlink"/>
            <w:noProof/>
            <w:lang w:eastAsia="zh-CN"/>
          </w:rPr>
          <w:t>Table B.1 : Checklist of possible influences on individuals' behaviours</w:t>
        </w:r>
        <w:r w:rsidR="00C10F17">
          <w:rPr>
            <w:noProof/>
            <w:webHidden/>
          </w:rPr>
          <w:tab/>
        </w:r>
        <w:r w:rsidR="00C10F17">
          <w:rPr>
            <w:noProof/>
            <w:webHidden/>
          </w:rPr>
          <w:fldChar w:fldCharType="begin"/>
        </w:r>
        <w:r w:rsidR="00C10F17">
          <w:rPr>
            <w:noProof/>
            <w:webHidden/>
          </w:rPr>
          <w:instrText xml:space="preserve"> PAGEREF _Toc342495261 \h </w:instrText>
        </w:r>
        <w:r w:rsidR="00C10F17">
          <w:rPr>
            <w:noProof/>
            <w:webHidden/>
          </w:rPr>
        </w:r>
        <w:r w:rsidR="00C10F17">
          <w:rPr>
            <w:noProof/>
            <w:webHidden/>
          </w:rPr>
          <w:fldChar w:fldCharType="separate"/>
        </w:r>
        <w:r w:rsidR="003C7E97">
          <w:rPr>
            <w:noProof/>
            <w:webHidden/>
          </w:rPr>
          <w:t>68</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2" w:history="1">
        <w:r w:rsidR="00C10F17" w:rsidRPr="00F15447">
          <w:rPr>
            <w:rStyle w:val="Hyperlink"/>
            <w:noProof/>
          </w:rPr>
          <w:t>Table B.2 Outcome metrics</w:t>
        </w:r>
        <w:r w:rsidR="00C10F17">
          <w:rPr>
            <w:noProof/>
            <w:webHidden/>
          </w:rPr>
          <w:tab/>
        </w:r>
        <w:r w:rsidR="00C10F17">
          <w:rPr>
            <w:noProof/>
            <w:webHidden/>
          </w:rPr>
          <w:fldChar w:fldCharType="begin"/>
        </w:r>
        <w:r w:rsidR="00C10F17">
          <w:rPr>
            <w:noProof/>
            <w:webHidden/>
          </w:rPr>
          <w:instrText xml:space="preserve"> PAGEREF _Toc342495262 \h </w:instrText>
        </w:r>
        <w:r w:rsidR="00C10F17">
          <w:rPr>
            <w:noProof/>
            <w:webHidden/>
          </w:rPr>
        </w:r>
        <w:r w:rsidR="00C10F17">
          <w:rPr>
            <w:noProof/>
            <w:webHidden/>
          </w:rPr>
          <w:fldChar w:fldCharType="separate"/>
        </w:r>
        <w:r w:rsidR="003C7E97">
          <w:rPr>
            <w:noProof/>
            <w:webHidden/>
          </w:rPr>
          <w:t>70</w:t>
        </w:r>
        <w:r w:rsidR="00C10F17">
          <w:rPr>
            <w:noProof/>
            <w:webHidden/>
          </w:rPr>
          <w:fldChar w:fldCharType="end"/>
        </w:r>
      </w:hyperlink>
    </w:p>
    <w:p w:rsidR="00AC6CA0" w:rsidRPr="00DE4E85" w:rsidRDefault="00D71A6F" w:rsidP="00AC6CA0">
      <w:pPr>
        <w:pStyle w:val="Contents-Minor"/>
      </w:pPr>
      <w:r>
        <w:rPr>
          <w:rFonts w:cs="Arial"/>
          <w:sz w:val="24"/>
          <w:szCs w:val="20"/>
        </w:rPr>
        <w:fldChar w:fldCharType="end"/>
      </w:r>
      <w:r w:rsidR="00AC6CA0" w:rsidRPr="00381087">
        <w:t>Figures</w:t>
      </w:r>
    </w:p>
    <w:p w:rsidR="00C10F17" w:rsidRDefault="00D71A6F">
      <w:pPr>
        <w:pStyle w:val="TOC1"/>
        <w:rPr>
          <w:rFonts w:asciiTheme="minorHAnsi" w:eastAsiaTheme="minorEastAsia" w:hAnsiTheme="minorHAnsi" w:cstheme="minorBidi"/>
          <w:noProof/>
          <w:lang w:eastAsia="en-AU"/>
        </w:rPr>
      </w:pPr>
      <w:r>
        <w:fldChar w:fldCharType="begin"/>
      </w:r>
      <w:r w:rsidR="00AC6CA0">
        <w:instrText xml:space="preserve"> TOC \h \z \t "Appendix Figure Caption,1,Caption_Figure,1" </w:instrText>
      </w:r>
      <w:r>
        <w:fldChar w:fldCharType="separate"/>
      </w:r>
      <w:hyperlink w:anchor="_Toc342495263" w:history="1">
        <w:r w:rsidR="00C10F17" w:rsidRPr="000766A2">
          <w:rPr>
            <w:rStyle w:val="Hyperlink"/>
            <w:noProof/>
          </w:rPr>
          <w:t>Figure 3.1 : The influence of external factors</w:t>
        </w:r>
        <w:r w:rsidR="00C10F17">
          <w:rPr>
            <w:noProof/>
            <w:webHidden/>
          </w:rPr>
          <w:tab/>
        </w:r>
        <w:r w:rsidR="00C10F17">
          <w:rPr>
            <w:noProof/>
            <w:webHidden/>
          </w:rPr>
          <w:fldChar w:fldCharType="begin"/>
        </w:r>
        <w:r w:rsidR="00C10F17">
          <w:rPr>
            <w:noProof/>
            <w:webHidden/>
          </w:rPr>
          <w:instrText xml:space="preserve"> PAGEREF _Toc342495263 \h </w:instrText>
        </w:r>
        <w:r w:rsidR="00C10F17">
          <w:rPr>
            <w:noProof/>
            <w:webHidden/>
          </w:rPr>
        </w:r>
        <w:r w:rsidR="00C10F17">
          <w:rPr>
            <w:noProof/>
            <w:webHidden/>
          </w:rPr>
          <w:fldChar w:fldCharType="separate"/>
        </w:r>
        <w:r w:rsidR="003C7E97">
          <w:rPr>
            <w:noProof/>
            <w:webHidden/>
          </w:rPr>
          <w:t>15</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4" w:history="1">
        <w:r w:rsidR="00C10F17" w:rsidRPr="000766A2">
          <w:rPr>
            <w:rStyle w:val="Hyperlink"/>
            <w:noProof/>
          </w:rPr>
          <w:t>Figure 3.2 : Program logic for Child Protection Income Management</w:t>
        </w:r>
        <w:r w:rsidR="00C10F17">
          <w:rPr>
            <w:noProof/>
            <w:webHidden/>
          </w:rPr>
          <w:tab/>
        </w:r>
        <w:r w:rsidR="00C10F17">
          <w:rPr>
            <w:noProof/>
            <w:webHidden/>
          </w:rPr>
          <w:fldChar w:fldCharType="begin"/>
        </w:r>
        <w:r w:rsidR="00C10F17">
          <w:rPr>
            <w:noProof/>
            <w:webHidden/>
          </w:rPr>
          <w:instrText xml:space="preserve"> PAGEREF _Toc342495264 \h </w:instrText>
        </w:r>
        <w:r w:rsidR="00C10F17">
          <w:rPr>
            <w:noProof/>
            <w:webHidden/>
          </w:rPr>
        </w:r>
        <w:r w:rsidR="00C10F17">
          <w:rPr>
            <w:noProof/>
            <w:webHidden/>
          </w:rPr>
          <w:fldChar w:fldCharType="separate"/>
        </w:r>
        <w:r w:rsidR="003C7E97">
          <w:rPr>
            <w:noProof/>
            <w:webHidden/>
          </w:rPr>
          <w:t>17</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5" w:history="1">
        <w:r w:rsidR="00C10F17" w:rsidRPr="000766A2">
          <w:rPr>
            <w:rStyle w:val="Hyperlink"/>
            <w:noProof/>
          </w:rPr>
          <w:t>Figure 3.3 : Program logic for Vulnerable Income Management</w:t>
        </w:r>
        <w:r w:rsidR="00C10F17">
          <w:rPr>
            <w:noProof/>
            <w:webHidden/>
          </w:rPr>
          <w:tab/>
        </w:r>
        <w:r w:rsidR="00C10F17">
          <w:rPr>
            <w:noProof/>
            <w:webHidden/>
          </w:rPr>
          <w:fldChar w:fldCharType="begin"/>
        </w:r>
        <w:r w:rsidR="00C10F17">
          <w:rPr>
            <w:noProof/>
            <w:webHidden/>
          </w:rPr>
          <w:instrText xml:space="preserve"> PAGEREF _Toc342495265 \h </w:instrText>
        </w:r>
        <w:r w:rsidR="00C10F17">
          <w:rPr>
            <w:noProof/>
            <w:webHidden/>
          </w:rPr>
        </w:r>
        <w:r w:rsidR="00C10F17">
          <w:rPr>
            <w:noProof/>
            <w:webHidden/>
          </w:rPr>
          <w:fldChar w:fldCharType="separate"/>
        </w:r>
        <w:r w:rsidR="003C7E97">
          <w:rPr>
            <w:noProof/>
            <w:webHidden/>
          </w:rPr>
          <w:t>18</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6" w:history="1">
        <w:r w:rsidR="00C10F17" w:rsidRPr="000766A2">
          <w:rPr>
            <w:rStyle w:val="Hyperlink"/>
            <w:noProof/>
          </w:rPr>
          <w:t>Figure 3.4 :Program logic for Voluntary Income Management</w:t>
        </w:r>
        <w:r w:rsidR="00C10F17">
          <w:rPr>
            <w:noProof/>
            <w:webHidden/>
          </w:rPr>
          <w:tab/>
        </w:r>
        <w:r w:rsidR="00C10F17">
          <w:rPr>
            <w:noProof/>
            <w:webHidden/>
          </w:rPr>
          <w:fldChar w:fldCharType="begin"/>
        </w:r>
        <w:r w:rsidR="00C10F17">
          <w:rPr>
            <w:noProof/>
            <w:webHidden/>
          </w:rPr>
          <w:instrText xml:space="preserve"> PAGEREF _Toc342495266 \h </w:instrText>
        </w:r>
        <w:r w:rsidR="00C10F17">
          <w:rPr>
            <w:noProof/>
            <w:webHidden/>
          </w:rPr>
        </w:r>
        <w:r w:rsidR="00C10F17">
          <w:rPr>
            <w:noProof/>
            <w:webHidden/>
          </w:rPr>
          <w:fldChar w:fldCharType="separate"/>
        </w:r>
        <w:r w:rsidR="003C7E97">
          <w:rPr>
            <w:noProof/>
            <w:webHidden/>
          </w:rPr>
          <w:t>19</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7" w:history="1">
        <w:r w:rsidR="00C10F17" w:rsidRPr="000766A2">
          <w:rPr>
            <w:rStyle w:val="Hyperlink"/>
            <w:noProof/>
          </w:rPr>
          <w:t>Figure 3.5</w:t>
        </w:r>
        <w:r w:rsidR="00C10F17" w:rsidRPr="000766A2">
          <w:rPr>
            <w:rStyle w:val="Hyperlink"/>
            <w:noProof/>
            <w:lang w:eastAsia="en-AU"/>
          </w:rPr>
          <w:t xml:space="preserve"> </w:t>
        </w:r>
        <w:r w:rsidR="00C10F17" w:rsidRPr="000766A2">
          <w:rPr>
            <w:rStyle w:val="Hyperlink"/>
            <w:noProof/>
          </w:rPr>
          <w:t>: Customer pathway map for the Voluntary measure (VIM)</w:t>
        </w:r>
        <w:r w:rsidR="00C10F17">
          <w:rPr>
            <w:noProof/>
            <w:webHidden/>
          </w:rPr>
          <w:tab/>
        </w:r>
        <w:r w:rsidR="00C10F17">
          <w:rPr>
            <w:noProof/>
            <w:webHidden/>
          </w:rPr>
          <w:fldChar w:fldCharType="begin"/>
        </w:r>
        <w:r w:rsidR="00C10F17">
          <w:rPr>
            <w:noProof/>
            <w:webHidden/>
          </w:rPr>
          <w:instrText xml:space="preserve"> PAGEREF _Toc342495267 \h </w:instrText>
        </w:r>
        <w:r w:rsidR="00C10F17">
          <w:rPr>
            <w:noProof/>
            <w:webHidden/>
          </w:rPr>
        </w:r>
        <w:r w:rsidR="00C10F17">
          <w:rPr>
            <w:noProof/>
            <w:webHidden/>
          </w:rPr>
          <w:fldChar w:fldCharType="separate"/>
        </w:r>
        <w:r w:rsidR="003C7E97">
          <w:rPr>
            <w:noProof/>
            <w:webHidden/>
          </w:rPr>
          <w:t>21</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68" w:history="1">
        <w:r w:rsidR="00C10F17" w:rsidRPr="000766A2">
          <w:rPr>
            <w:rStyle w:val="Hyperlink"/>
            <w:noProof/>
            <w:kern w:val="28"/>
          </w:rPr>
          <w:t>Figure 3.6</w:t>
        </w:r>
        <w:r w:rsidR="00C10F17" w:rsidRPr="000766A2">
          <w:rPr>
            <w:rStyle w:val="Hyperlink"/>
            <w:noProof/>
          </w:rPr>
          <w:t xml:space="preserve"> : Customer pathway map for Vulnerable measure (VULN IM)*</w:t>
        </w:r>
        <w:r w:rsidR="00C10F17">
          <w:rPr>
            <w:noProof/>
            <w:webHidden/>
          </w:rPr>
          <w:tab/>
        </w:r>
        <w:r w:rsidR="00C10F17">
          <w:rPr>
            <w:noProof/>
            <w:webHidden/>
          </w:rPr>
          <w:fldChar w:fldCharType="begin"/>
        </w:r>
        <w:r w:rsidR="00C10F17">
          <w:rPr>
            <w:noProof/>
            <w:webHidden/>
          </w:rPr>
          <w:instrText xml:space="preserve"> PAGEREF _Toc342495268 \h </w:instrText>
        </w:r>
        <w:r w:rsidR="00C10F17">
          <w:rPr>
            <w:noProof/>
            <w:webHidden/>
          </w:rPr>
        </w:r>
        <w:r w:rsidR="00C10F17">
          <w:rPr>
            <w:noProof/>
            <w:webHidden/>
          </w:rPr>
          <w:fldChar w:fldCharType="separate"/>
        </w:r>
        <w:r w:rsidR="003C7E97">
          <w:rPr>
            <w:noProof/>
            <w:webHidden/>
          </w:rPr>
          <w:t>23</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70" w:history="1">
        <w:r w:rsidR="00C10F17" w:rsidRPr="000766A2">
          <w:rPr>
            <w:rStyle w:val="Hyperlink"/>
            <w:noProof/>
          </w:rPr>
          <w:t>Figure 3.7</w:t>
        </w:r>
        <w:r w:rsidR="00C10F17" w:rsidRPr="000766A2">
          <w:rPr>
            <w:rStyle w:val="Hyperlink"/>
            <w:noProof/>
            <w:lang w:eastAsia="en-AU"/>
          </w:rPr>
          <w:t xml:space="preserve"> </w:t>
        </w:r>
        <w:r w:rsidR="00C10F17" w:rsidRPr="000766A2">
          <w:rPr>
            <w:rStyle w:val="Hyperlink"/>
            <w:noProof/>
          </w:rPr>
          <w:t>: Customer pathway map for Child Protection measure (CPIM)*</w:t>
        </w:r>
        <w:r w:rsidR="00C10F17">
          <w:rPr>
            <w:noProof/>
            <w:webHidden/>
          </w:rPr>
          <w:tab/>
        </w:r>
        <w:r w:rsidR="00C10F17">
          <w:rPr>
            <w:noProof/>
            <w:webHidden/>
          </w:rPr>
          <w:fldChar w:fldCharType="begin"/>
        </w:r>
        <w:r w:rsidR="00C10F17">
          <w:rPr>
            <w:noProof/>
            <w:webHidden/>
          </w:rPr>
          <w:instrText xml:space="preserve"> PAGEREF _Toc342495270 \h </w:instrText>
        </w:r>
        <w:r w:rsidR="00C10F17">
          <w:rPr>
            <w:noProof/>
            <w:webHidden/>
          </w:rPr>
        </w:r>
        <w:r w:rsidR="00C10F17">
          <w:rPr>
            <w:noProof/>
            <w:webHidden/>
          </w:rPr>
          <w:fldChar w:fldCharType="separate"/>
        </w:r>
        <w:r w:rsidR="003C7E97">
          <w:rPr>
            <w:noProof/>
            <w:webHidden/>
          </w:rPr>
          <w:t>25</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71" w:history="1">
        <w:r w:rsidR="00C10F17" w:rsidRPr="000766A2">
          <w:rPr>
            <w:rStyle w:val="Hyperlink"/>
            <w:noProof/>
          </w:rPr>
          <w:t>Figure 4.1 : Overview of methodology</w:t>
        </w:r>
        <w:r w:rsidR="00C10F17">
          <w:rPr>
            <w:noProof/>
            <w:webHidden/>
          </w:rPr>
          <w:tab/>
        </w:r>
        <w:r w:rsidR="00C10F17">
          <w:rPr>
            <w:noProof/>
            <w:webHidden/>
          </w:rPr>
          <w:fldChar w:fldCharType="begin"/>
        </w:r>
        <w:r w:rsidR="00C10F17">
          <w:rPr>
            <w:noProof/>
            <w:webHidden/>
          </w:rPr>
          <w:instrText xml:space="preserve"> PAGEREF _Toc342495271 \h </w:instrText>
        </w:r>
        <w:r w:rsidR="00C10F17">
          <w:rPr>
            <w:noProof/>
            <w:webHidden/>
          </w:rPr>
        </w:r>
        <w:r w:rsidR="00C10F17">
          <w:rPr>
            <w:noProof/>
            <w:webHidden/>
          </w:rPr>
          <w:fldChar w:fldCharType="separate"/>
        </w:r>
        <w:r w:rsidR="003C7E97">
          <w:rPr>
            <w:noProof/>
            <w:webHidden/>
          </w:rPr>
          <w:t>28</w:t>
        </w:r>
        <w:r w:rsidR="00C10F17">
          <w:rPr>
            <w:noProof/>
            <w:webHidden/>
          </w:rPr>
          <w:fldChar w:fldCharType="end"/>
        </w:r>
      </w:hyperlink>
    </w:p>
    <w:p w:rsidR="00C10F17" w:rsidRDefault="00E75B31">
      <w:pPr>
        <w:pStyle w:val="TOC1"/>
        <w:rPr>
          <w:rFonts w:asciiTheme="minorHAnsi" w:eastAsiaTheme="minorEastAsia" w:hAnsiTheme="minorHAnsi" w:cstheme="minorBidi"/>
          <w:noProof/>
          <w:lang w:eastAsia="en-AU"/>
        </w:rPr>
      </w:pPr>
      <w:hyperlink w:anchor="_Toc342495272" w:history="1">
        <w:r w:rsidR="00C10F17" w:rsidRPr="000766A2">
          <w:rPr>
            <w:rStyle w:val="Hyperlink"/>
            <w:noProof/>
          </w:rPr>
          <w:t>Figure 6.1</w:t>
        </w:r>
        <w:r w:rsidR="00C10F17" w:rsidRPr="000766A2">
          <w:rPr>
            <w:rStyle w:val="Hyperlink"/>
            <w:noProof/>
            <w:lang w:eastAsia="en-AU"/>
          </w:rPr>
          <w:t xml:space="preserve"> </w:t>
        </w:r>
        <w:r w:rsidR="00C10F17" w:rsidRPr="000766A2">
          <w:rPr>
            <w:rStyle w:val="Hyperlink"/>
            <w:noProof/>
          </w:rPr>
          <w:t>: Detecting community level changes</w:t>
        </w:r>
        <w:r w:rsidR="00C10F17">
          <w:rPr>
            <w:noProof/>
            <w:webHidden/>
          </w:rPr>
          <w:tab/>
        </w:r>
        <w:r w:rsidR="00C10F17">
          <w:rPr>
            <w:noProof/>
            <w:webHidden/>
          </w:rPr>
          <w:fldChar w:fldCharType="begin"/>
        </w:r>
        <w:r w:rsidR="00C10F17">
          <w:rPr>
            <w:noProof/>
            <w:webHidden/>
          </w:rPr>
          <w:instrText xml:space="preserve"> PAGEREF _Toc342495272 \h </w:instrText>
        </w:r>
        <w:r w:rsidR="00C10F17">
          <w:rPr>
            <w:noProof/>
            <w:webHidden/>
          </w:rPr>
        </w:r>
        <w:r w:rsidR="00C10F17">
          <w:rPr>
            <w:noProof/>
            <w:webHidden/>
          </w:rPr>
          <w:fldChar w:fldCharType="separate"/>
        </w:r>
        <w:r w:rsidR="003C7E97">
          <w:rPr>
            <w:noProof/>
            <w:webHidden/>
          </w:rPr>
          <w:t>47</w:t>
        </w:r>
        <w:r w:rsidR="00C10F17">
          <w:rPr>
            <w:noProof/>
            <w:webHidden/>
          </w:rPr>
          <w:fldChar w:fldCharType="end"/>
        </w:r>
      </w:hyperlink>
    </w:p>
    <w:p w:rsidR="000175EC" w:rsidRDefault="00D71A6F" w:rsidP="000175EC">
      <w:pPr>
        <w:pStyle w:val="Contents-Minor"/>
      </w:pPr>
      <w:r>
        <w:fldChar w:fldCharType="end"/>
      </w:r>
    </w:p>
    <w:p w:rsidR="007257C4" w:rsidRDefault="007257C4" w:rsidP="000175EC">
      <w:pPr>
        <w:pStyle w:val="BodyText"/>
      </w:pPr>
    </w:p>
    <w:p w:rsidR="000175EC" w:rsidRDefault="000175EC" w:rsidP="000175EC">
      <w:pPr>
        <w:pStyle w:val="BodyText"/>
        <w:sectPr w:rsidR="000175EC" w:rsidSect="00153E58">
          <w:footerReference w:type="default" r:id="rId16"/>
          <w:headerReference w:type="first" r:id="rId17"/>
          <w:footerReference w:type="first" r:id="rId18"/>
          <w:pgSz w:w="11906" w:h="16838" w:code="9"/>
          <w:pgMar w:top="1701" w:right="1701" w:bottom="1701" w:left="1701" w:header="720" w:footer="720" w:gutter="0"/>
          <w:pgNumType w:fmt="lowerRoman" w:start="1"/>
          <w:cols w:space="720"/>
          <w:titlePg/>
          <w:docGrid w:linePitch="360"/>
        </w:sectPr>
      </w:pPr>
    </w:p>
    <w:p w:rsidR="002E7FF6" w:rsidRDefault="002E7FF6" w:rsidP="000175EC">
      <w:pPr>
        <w:pStyle w:val="MajorHeading"/>
      </w:pPr>
      <w:bookmarkStart w:id="1" w:name="_Toc228005204"/>
      <w:bookmarkStart w:id="2" w:name="_Toc342495215"/>
      <w:r>
        <w:lastRenderedPageBreak/>
        <w:t>Glossary</w:t>
      </w:r>
      <w:bookmarkEnd w:id="1"/>
      <w:bookmarkEnd w:id="2"/>
    </w:p>
    <w:tbl>
      <w:tblPr>
        <w:tblStyle w:val="TableAEGlossary"/>
        <w:tblW w:w="0" w:type="auto"/>
        <w:tblBorders>
          <w:top w:val="single" w:sz="4" w:space="0" w:color="002776"/>
          <w:bottom w:val="single" w:sz="4" w:space="0" w:color="002776"/>
        </w:tblBorders>
        <w:tblLook w:val="04A0" w:firstRow="1" w:lastRow="0" w:firstColumn="1" w:lastColumn="0" w:noHBand="0" w:noVBand="1"/>
        <w:tblCaption w:val="Glossary table"/>
      </w:tblPr>
      <w:tblGrid>
        <w:gridCol w:w="1376"/>
        <w:gridCol w:w="7060"/>
      </w:tblGrid>
      <w:tr w:rsidR="006120BF" w:rsidTr="008112F0">
        <w:trPr>
          <w:cnfStyle w:val="100000000000" w:firstRow="1" w:lastRow="0" w:firstColumn="0" w:lastColumn="0" w:oddVBand="0" w:evenVBand="0" w:oddHBand="0" w:evenHBand="0" w:firstRowFirstColumn="0" w:firstRowLastColumn="0" w:lastRowFirstColumn="0" w:lastRowLastColumn="0"/>
          <w:tblHeader/>
        </w:trPr>
        <w:tc>
          <w:tcPr>
            <w:tcW w:w="1242" w:type="dxa"/>
          </w:tcPr>
          <w:p w:rsidR="006120BF" w:rsidRPr="00FE2ECD" w:rsidRDefault="006120BF" w:rsidP="00946ECA">
            <w:pPr>
              <w:pStyle w:val="GlossaryAbbreviation"/>
              <w:rPr>
                <w:caps w:val="0"/>
              </w:rPr>
            </w:pPr>
            <w:r w:rsidRPr="00FE2ECD">
              <w:rPr>
                <w:caps w:val="0"/>
              </w:rPr>
              <w:t>AIHW</w:t>
            </w:r>
          </w:p>
        </w:tc>
        <w:tc>
          <w:tcPr>
            <w:tcW w:w="7194" w:type="dxa"/>
          </w:tcPr>
          <w:p w:rsidR="006120BF" w:rsidRDefault="006120BF" w:rsidP="00946ECA">
            <w:pPr>
              <w:pStyle w:val="Glossarytext"/>
            </w:pPr>
            <w:r>
              <w:t>Australian Institute of Health and Welfare</w:t>
            </w:r>
          </w:p>
        </w:tc>
      </w:tr>
      <w:tr w:rsidR="002E7FF6" w:rsidTr="00AE6B69">
        <w:tc>
          <w:tcPr>
            <w:tcW w:w="1242" w:type="dxa"/>
          </w:tcPr>
          <w:p w:rsidR="002E7FF6" w:rsidRPr="00FE2ECD" w:rsidRDefault="00F54E78" w:rsidP="00946ECA">
            <w:pPr>
              <w:pStyle w:val="GlossaryAbbreviation"/>
              <w:rPr>
                <w:caps w:val="0"/>
              </w:rPr>
            </w:pPr>
            <w:r w:rsidRPr="00FE2ECD">
              <w:rPr>
                <w:caps w:val="0"/>
              </w:rPr>
              <w:t>BAFW</w:t>
            </w:r>
          </w:p>
        </w:tc>
        <w:tc>
          <w:tcPr>
            <w:tcW w:w="7194" w:type="dxa"/>
          </w:tcPr>
          <w:p w:rsidR="002E7FF6" w:rsidRDefault="00F54E78" w:rsidP="00946ECA">
            <w:pPr>
              <w:pStyle w:val="Glossarytext"/>
            </w:pPr>
            <w:r>
              <w:t>Building Australia’s Future Workforce package</w:t>
            </w:r>
          </w:p>
        </w:tc>
      </w:tr>
      <w:tr w:rsidR="0081557C" w:rsidTr="00AE6B69">
        <w:tc>
          <w:tcPr>
            <w:tcW w:w="1242" w:type="dxa"/>
          </w:tcPr>
          <w:p w:rsidR="0081557C" w:rsidRPr="00FE2ECD" w:rsidRDefault="0081557C" w:rsidP="00946ECA">
            <w:pPr>
              <w:pStyle w:val="GlossaryAbbreviation"/>
              <w:rPr>
                <w:caps w:val="0"/>
              </w:rPr>
            </w:pPr>
            <w:r w:rsidRPr="00FE2ECD">
              <w:rPr>
                <w:caps w:val="0"/>
              </w:rPr>
              <w:t>CALD</w:t>
            </w:r>
          </w:p>
        </w:tc>
        <w:tc>
          <w:tcPr>
            <w:tcW w:w="7194" w:type="dxa"/>
          </w:tcPr>
          <w:p w:rsidR="0081557C" w:rsidRDefault="0081557C" w:rsidP="00946ECA">
            <w:pPr>
              <w:pStyle w:val="Glossarytext"/>
            </w:pPr>
            <w:r>
              <w:t>Cultural and linguistic diversity</w:t>
            </w:r>
          </w:p>
        </w:tc>
      </w:tr>
      <w:tr w:rsidR="00726AB3" w:rsidTr="00AE6B69">
        <w:tc>
          <w:tcPr>
            <w:tcW w:w="1242" w:type="dxa"/>
          </w:tcPr>
          <w:p w:rsidR="00726AB3" w:rsidRPr="00FE2ECD" w:rsidRDefault="00726AB3" w:rsidP="00946ECA">
            <w:pPr>
              <w:pStyle w:val="GlossaryAbbreviation"/>
              <w:rPr>
                <w:caps w:val="0"/>
              </w:rPr>
            </w:pPr>
            <w:r w:rsidRPr="00FE2ECD">
              <w:rPr>
                <w:caps w:val="0"/>
              </w:rPr>
              <w:t>CBA</w:t>
            </w:r>
          </w:p>
        </w:tc>
        <w:tc>
          <w:tcPr>
            <w:tcW w:w="7194" w:type="dxa"/>
          </w:tcPr>
          <w:p w:rsidR="00726AB3" w:rsidRDefault="00726AB3" w:rsidP="00946ECA">
            <w:pPr>
              <w:pStyle w:val="Glossarytext"/>
            </w:pPr>
            <w:r>
              <w:t>Cost benefit analysis</w:t>
            </w:r>
          </w:p>
        </w:tc>
      </w:tr>
      <w:tr w:rsidR="0037470F" w:rsidTr="00AE6B69">
        <w:tc>
          <w:tcPr>
            <w:tcW w:w="1242" w:type="dxa"/>
          </w:tcPr>
          <w:p w:rsidR="0037470F" w:rsidRPr="00FE2ECD" w:rsidRDefault="0037470F" w:rsidP="00946ECA">
            <w:pPr>
              <w:pStyle w:val="GlossaryAbbreviation"/>
              <w:rPr>
                <w:caps w:val="0"/>
              </w:rPr>
            </w:pPr>
            <w:r w:rsidRPr="00FE2ECD">
              <w:rPr>
                <w:caps w:val="0"/>
              </w:rPr>
              <w:t>CCD</w:t>
            </w:r>
          </w:p>
        </w:tc>
        <w:tc>
          <w:tcPr>
            <w:tcW w:w="7194" w:type="dxa"/>
          </w:tcPr>
          <w:p w:rsidR="0037470F" w:rsidRDefault="0037470F" w:rsidP="00946ECA">
            <w:pPr>
              <w:pStyle w:val="Glossarytext"/>
            </w:pPr>
            <w:r>
              <w:t>Census Collection District</w:t>
            </w:r>
          </w:p>
        </w:tc>
      </w:tr>
      <w:tr w:rsidR="009816AF" w:rsidTr="00AE6B69">
        <w:tc>
          <w:tcPr>
            <w:tcW w:w="1242" w:type="dxa"/>
          </w:tcPr>
          <w:p w:rsidR="009816AF" w:rsidRPr="00FE2ECD" w:rsidRDefault="009816AF" w:rsidP="00946ECA">
            <w:pPr>
              <w:pStyle w:val="GlossaryAbbreviation"/>
              <w:rPr>
                <w:caps w:val="0"/>
              </w:rPr>
            </w:pPr>
            <w:r w:rsidRPr="00FE2ECD">
              <w:rPr>
                <w:caps w:val="0"/>
              </w:rPr>
              <w:t>CCT</w:t>
            </w:r>
          </w:p>
        </w:tc>
        <w:tc>
          <w:tcPr>
            <w:tcW w:w="7194" w:type="dxa"/>
          </w:tcPr>
          <w:p w:rsidR="009816AF" w:rsidRDefault="009816AF" w:rsidP="00946ECA">
            <w:pPr>
              <w:pStyle w:val="Glossarytext"/>
            </w:pPr>
            <w:r>
              <w:t>Conditional Cash Transfer</w:t>
            </w:r>
          </w:p>
        </w:tc>
      </w:tr>
      <w:tr w:rsidR="00726AB3" w:rsidTr="00AE6B69">
        <w:tc>
          <w:tcPr>
            <w:tcW w:w="1242" w:type="dxa"/>
          </w:tcPr>
          <w:p w:rsidR="00726AB3" w:rsidRPr="00FE2ECD" w:rsidRDefault="00726AB3" w:rsidP="00946ECA">
            <w:pPr>
              <w:pStyle w:val="GlossaryAbbreviation"/>
              <w:rPr>
                <w:caps w:val="0"/>
              </w:rPr>
            </w:pPr>
            <w:r w:rsidRPr="00FE2ECD">
              <w:rPr>
                <w:caps w:val="0"/>
              </w:rPr>
              <w:t>CEA</w:t>
            </w:r>
          </w:p>
        </w:tc>
        <w:tc>
          <w:tcPr>
            <w:tcW w:w="7194" w:type="dxa"/>
          </w:tcPr>
          <w:p w:rsidR="00726AB3" w:rsidRDefault="00726AB3" w:rsidP="00946ECA">
            <w:pPr>
              <w:pStyle w:val="Glossarytext"/>
            </w:pPr>
            <w:r>
              <w:t>Cost effectiveness analysis</w:t>
            </w:r>
          </w:p>
        </w:tc>
      </w:tr>
      <w:tr w:rsidR="009209DD" w:rsidTr="00AE6B69">
        <w:tc>
          <w:tcPr>
            <w:tcW w:w="1242" w:type="dxa"/>
          </w:tcPr>
          <w:p w:rsidR="009209DD" w:rsidRPr="00FE2ECD" w:rsidRDefault="009209DD" w:rsidP="00946ECA">
            <w:pPr>
              <w:pStyle w:val="GlossaryAbbreviation"/>
              <w:rPr>
                <w:caps w:val="0"/>
              </w:rPr>
            </w:pPr>
            <w:r w:rsidRPr="00FE2ECD">
              <w:rPr>
                <w:caps w:val="0"/>
              </w:rPr>
              <w:t>Child wellbeing</w:t>
            </w:r>
          </w:p>
        </w:tc>
        <w:tc>
          <w:tcPr>
            <w:tcW w:w="7194" w:type="dxa"/>
          </w:tcPr>
          <w:p w:rsidR="009209DD" w:rsidRDefault="009209DD" w:rsidP="0022448C">
            <w:pPr>
              <w:pStyle w:val="Glossarytext"/>
            </w:pPr>
            <w:r>
              <w:t xml:space="preserve">Child wellbeing refers to </w:t>
            </w:r>
            <w:r w:rsidR="003874AC">
              <w:t xml:space="preserve">the </w:t>
            </w:r>
            <w:r>
              <w:t xml:space="preserve">positive functioning </w:t>
            </w:r>
            <w:r w:rsidR="0022448C">
              <w:t>of</w:t>
            </w:r>
            <w:r>
              <w:t xml:space="preserve"> children across health</w:t>
            </w:r>
            <w:r w:rsidR="00F225FA">
              <w:t xml:space="preserve"> (physical and mental)</w:t>
            </w:r>
            <w:r>
              <w:t xml:space="preserve">, family, social and educational </w:t>
            </w:r>
            <w:r w:rsidR="0022448C">
              <w:t xml:space="preserve">outcome </w:t>
            </w:r>
            <w:r>
              <w:t>domains</w:t>
            </w:r>
          </w:p>
        </w:tc>
      </w:tr>
      <w:tr w:rsidR="00AE6B69" w:rsidTr="00AE6B69">
        <w:tc>
          <w:tcPr>
            <w:tcW w:w="1242" w:type="dxa"/>
          </w:tcPr>
          <w:p w:rsidR="00AE6B69" w:rsidRPr="00FE2ECD" w:rsidRDefault="00AE6B69" w:rsidP="00946ECA">
            <w:pPr>
              <w:pStyle w:val="GlossaryAbbreviation"/>
              <w:rPr>
                <w:caps w:val="0"/>
              </w:rPr>
            </w:pPr>
            <w:r w:rsidRPr="00FE2ECD">
              <w:rPr>
                <w:caps w:val="0"/>
              </w:rPr>
              <w:t>CPIM</w:t>
            </w:r>
          </w:p>
        </w:tc>
        <w:tc>
          <w:tcPr>
            <w:tcW w:w="7194" w:type="dxa"/>
          </w:tcPr>
          <w:p w:rsidR="00AE6B69" w:rsidRDefault="007F77C6" w:rsidP="00946ECA">
            <w:pPr>
              <w:pStyle w:val="Glossarytext"/>
            </w:pPr>
            <w:r>
              <w:t xml:space="preserve">PBIM </w:t>
            </w:r>
            <w:r w:rsidR="00AE6B69">
              <w:t xml:space="preserve">Child Protection measure of Income Management </w:t>
            </w:r>
          </w:p>
        </w:tc>
      </w:tr>
      <w:tr w:rsidR="007F77C6" w:rsidTr="00AE6B69">
        <w:tc>
          <w:tcPr>
            <w:tcW w:w="1242" w:type="dxa"/>
          </w:tcPr>
          <w:p w:rsidR="007F77C6" w:rsidRPr="00FE2ECD" w:rsidRDefault="007F77C6" w:rsidP="00946ECA">
            <w:pPr>
              <w:pStyle w:val="GlossaryAbbreviation"/>
              <w:rPr>
                <w:caps w:val="0"/>
              </w:rPr>
            </w:pPr>
            <w:r w:rsidRPr="00FE2ECD">
              <w:rPr>
                <w:caps w:val="0"/>
              </w:rPr>
              <w:t>CPSIM</w:t>
            </w:r>
          </w:p>
        </w:tc>
        <w:tc>
          <w:tcPr>
            <w:tcW w:w="7194" w:type="dxa"/>
          </w:tcPr>
          <w:p w:rsidR="007F77C6" w:rsidRDefault="007F77C6" w:rsidP="007F77C6">
            <w:pPr>
              <w:pStyle w:val="Glossarytext"/>
            </w:pPr>
            <w:r>
              <w:t xml:space="preserve">WA </w:t>
            </w:r>
            <w:r w:rsidRPr="00D2665D">
              <w:t>Child Protection Scheme of Income Management</w:t>
            </w:r>
          </w:p>
        </w:tc>
      </w:tr>
      <w:tr w:rsidR="00272B32" w:rsidTr="00AE6B69">
        <w:tc>
          <w:tcPr>
            <w:tcW w:w="1242" w:type="dxa"/>
          </w:tcPr>
          <w:p w:rsidR="00272B32" w:rsidRPr="00FE2ECD" w:rsidRDefault="00FE2ECD" w:rsidP="00946ECA">
            <w:pPr>
              <w:pStyle w:val="GlossaryAbbreviation"/>
              <w:rPr>
                <w:caps w:val="0"/>
              </w:rPr>
            </w:pPr>
            <w:r>
              <w:rPr>
                <w:caps w:val="0"/>
              </w:rPr>
              <w:t>C</w:t>
            </w:r>
            <w:r w:rsidR="00272B32" w:rsidRPr="00FE2ECD">
              <w:rPr>
                <w:caps w:val="0"/>
              </w:rPr>
              <w:t>ustomers</w:t>
            </w:r>
          </w:p>
        </w:tc>
        <w:tc>
          <w:tcPr>
            <w:tcW w:w="7194" w:type="dxa"/>
          </w:tcPr>
          <w:p w:rsidR="00272B32" w:rsidRDefault="00272B32" w:rsidP="007F77C6">
            <w:pPr>
              <w:pStyle w:val="Glossarytext"/>
            </w:pPr>
            <w:r>
              <w:t>People who receive income support payments from Centrelink</w:t>
            </w:r>
          </w:p>
        </w:tc>
      </w:tr>
      <w:tr w:rsidR="005E4D54" w:rsidTr="00AE6B69">
        <w:tc>
          <w:tcPr>
            <w:tcW w:w="1242" w:type="dxa"/>
          </w:tcPr>
          <w:p w:rsidR="005E4D54" w:rsidRPr="00FE2ECD" w:rsidRDefault="005E4D54" w:rsidP="00946ECA">
            <w:pPr>
              <w:pStyle w:val="GlossaryAbbreviation"/>
              <w:rPr>
                <w:caps w:val="0"/>
              </w:rPr>
            </w:pPr>
            <w:r w:rsidRPr="00FE2ECD">
              <w:rPr>
                <w:caps w:val="0"/>
              </w:rPr>
              <w:t>DHS</w:t>
            </w:r>
          </w:p>
        </w:tc>
        <w:tc>
          <w:tcPr>
            <w:tcW w:w="7194" w:type="dxa"/>
          </w:tcPr>
          <w:p w:rsidR="005E4D54" w:rsidRDefault="005E4D54" w:rsidP="007F77C6">
            <w:pPr>
              <w:pStyle w:val="Glossarytext"/>
            </w:pPr>
            <w:r>
              <w:t>Australian Government Department of Human Services</w:t>
            </w:r>
          </w:p>
        </w:tc>
      </w:tr>
      <w:tr w:rsidR="00AB5E06" w:rsidTr="00AE6B69">
        <w:tc>
          <w:tcPr>
            <w:tcW w:w="1242" w:type="dxa"/>
          </w:tcPr>
          <w:p w:rsidR="00AB5E06" w:rsidRPr="00FE2ECD" w:rsidRDefault="00AB5E06" w:rsidP="00946ECA">
            <w:pPr>
              <w:pStyle w:val="GlossaryAbbreviation"/>
              <w:rPr>
                <w:caps w:val="0"/>
              </w:rPr>
            </w:pPr>
            <w:r w:rsidRPr="00FE2ECD">
              <w:rPr>
                <w:caps w:val="0"/>
              </w:rPr>
              <w:t>FaHCSIA</w:t>
            </w:r>
          </w:p>
        </w:tc>
        <w:tc>
          <w:tcPr>
            <w:tcW w:w="7194" w:type="dxa"/>
          </w:tcPr>
          <w:p w:rsidR="00AB5E06" w:rsidRDefault="00AB5E06" w:rsidP="00946ECA">
            <w:pPr>
              <w:pStyle w:val="Glossarytext"/>
            </w:pPr>
            <w:r>
              <w:t>Department of Families, Housing, Community Services and Indigenous Affairs</w:t>
            </w:r>
          </w:p>
        </w:tc>
      </w:tr>
      <w:tr w:rsidR="0002066F" w:rsidTr="00AE6B69">
        <w:tc>
          <w:tcPr>
            <w:tcW w:w="1242" w:type="dxa"/>
          </w:tcPr>
          <w:p w:rsidR="0002066F" w:rsidRPr="00FE2ECD" w:rsidRDefault="0002066F" w:rsidP="00946ECA">
            <w:pPr>
              <w:pStyle w:val="GlossaryAbbreviation"/>
              <w:rPr>
                <w:caps w:val="0"/>
              </w:rPr>
            </w:pPr>
            <w:r w:rsidRPr="00FE2ECD">
              <w:rPr>
                <w:caps w:val="0"/>
              </w:rPr>
              <w:t>FM</w:t>
            </w:r>
            <w:r w:rsidR="00ED7A16" w:rsidRPr="00FE2ECD">
              <w:rPr>
                <w:caps w:val="0"/>
              </w:rPr>
              <w:t>P</w:t>
            </w:r>
            <w:r w:rsidRPr="00FE2ECD">
              <w:rPr>
                <w:caps w:val="0"/>
              </w:rPr>
              <w:t>S</w:t>
            </w:r>
          </w:p>
        </w:tc>
        <w:tc>
          <w:tcPr>
            <w:tcW w:w="7194" w:type="dxa"/>
          </w:tcPr>
          <w:p w:rsidR="0002066F" w:rsidRDefault="0002066F" w:rsidP="00946ECA">
            <w:pPr>
              <w:pStyle w:val="Glossarytext"/>
            </w:pPr>
            <w:r>
              <w:t>Financial Management</w:t>
            </w:r>
            <w:r w:rsidR="00ED7A16">
              <w:t xml:space="preserve"> Program</w:t>
            </w:r>
            <w:r>
              <w:t xml:space="preserve"> Services</w:t>
            </w:r>
          </w:p>
        </w:tc>
      </w:tr>
      <w:tr w:rsidR="00FE150F" w:rsidTr="00AE6B69">
        <w:tc>
          <w:tcPr>
            <w:tcW w:w="1242" w:type="dxa"/>
          </w:tcPr>
          <w:p w:rsidR="00FE150F" w:rsidRPr="00FE2ECD" w:rsidRDefault="00FE150F" w:rsidP="00946ECA">
            <w:pPr>
              <w:pStyle w:val="GlossaryAbbreviation"/>
              <w:rPr>
                <w:caps w:val="0"/>
              </w:rPr>
            </w:pPr>
            <w:r w:rsidRPr="00FE2ECD">
              <w:rPr>
                <w:caps w:val="0"/>
              </w:rPr>
              <w:t>HREC</w:t>
            </w:r>
          </w:p>
        </w:tc>
        <w:tc>
          <w:tcPr>
            <w:tcW w:w="7194" w:type="dxa"/>
          </w:tcPr>
          <w:p w:rsidR="00FE150F" w:rsidRDefault="00FE150F" w:rsidP="00946ECA">
            <w:pPr>
              <w:pStyle w:val="Glossarytext"/>
            </w:pPr>
            <w:r>
              <w:t>Human Research Ethics Committee</w:t>
            </w:r>
          </w:p>
        </w:tc>
      </w:tr>
      <w:tr w:rsidR="00AE6B69" w:rsidTr="00AE6B69">
        <w:tc>
          <w:tcPr>
            <w:tcW w:w="1242" w:type="dxa"/>
          </w:tcPr>
          <w:p w:rsidR="00AE6B69" w:rsidRPr="00FE2ECD" w:rsidRDefault="00AE6B69" w:rsidP="00946ECA">
            <w:pPr>
              <w:pStyle w:val="GlossaryAbbreviation"/>
              <w:rPr>
                <w:caps w:val="0"/>
              </w:rPr>
            </w:pPr>
            <w:r w:rsidRPr="00FE2ECD">
              <w:rPr>
                <w:caps w:val="0"/>
              </w:rPr>
              <w:t>IM</w:t>
            </w:r>
          </w:p>
        </w:tc>
        <w:tc>
          <w:tcPr>
            <w:tcW w:w="7194" w:type="dxa"/>
          </w:tcPr>
          <w:p w:rsidR="00AE6B69" w:rsidRDefault="00AE6B69" w:rsidP="00946ECA">
            <w:pPr>
              <w:pStyle w:val="Glossarytext"/>
            </w:pPr>
            <w:r>
              <w:t>Income Management</w:t>
            </w:r>
          </w:p>
        </w:tc>
      </w:tr>
      <w:tr w:rsidR="008746F6" w:rsidTr="00AE6B69">
        <w:tc>
          <w:tcPr>
            <w:tcW w:w="1242" w:type="dxa"/>
          </w:tcPr>
          <w:p w:rsidR="008746F6" w:rsidRPr="00FE2ECD" w:rsidRDefault="008746F6" w:rsidP="00946ECA">
            <w:pPr>
              <w:pStyle w:val="GlossaryAbbreviation"/>
              <w:rPr>
                <w:caps w:val="0"/>
              </w:rPr>
            </w:pPr>
            <w:r w:rsidRPr="00FE2ECD">
              <w:rPr>
                <w:caps w:val="0"/>
              </w:rPr>
              <w:t>NIM</w:t>
            </w:r>
          </w:p>
        </w:tc>
        <w:tc>
          <w:tcPr>
            <w:tcW w:w="7194" w:type="dxa"/>
          </w:tcPr>
          <w:p w:rsidR="008746F6" w:rsidRDefault="008746F6" w:rsidP="00946ECA">
            <w:pPr>
              <w:pStyle w:val="Glossarytext"/>
            </w:pPr>
            <w:r>
              <w:t>New Income Management (in the Northern Territory)</w:t>
            </w:r>
          </w:p>
        </w:tc>
      </w:tr>
      <w:tr w:rsidR="008746F6" w:rsidTr="00AE6B69">
        <w:tc>
          <w:tcPr>
            <w:tcW w:w="1242" w:type="dxa"/>
          </w:tcPr>
          <w:p w:rsidR="008746F6" w:rsidRPr="00FE2ECD" w:rsidRDefault="008746F6" w:rsidP="00946ECA">
            <w:pPr>
              <w:pStyle w:val="GlossaryAbbreviation"/>
              <w:rPr>
                <w:caps w:val="0"/>
              </w:rPr>
            </w:pPr>
            <w:r w:rsidRPr="00FE2ECD">
              <w:rPr>
                <w:caps w:val="0"/>
              </w:rPr>
              <w:t>NT</w:t>
            </w:r>
          </w:p>
        </w:tc>
        <w:tc>
          <w:tcPr>
            <w:tcW w:w="7194" w:type="dxa"/>
          </w:tcPr>
          <w:p w:rsidR="00AE6B69" w:rsidRDefault="008746F6" w:rsidP="00946ECA">
            <w:pPr>
              <w:pStyle w:val="Glossarytext"/>
            </w:pPr>
            <w:r>
              <w:t>Northern Territory</w:t>
            </w:r>
          </w:p>
        </w:tc>
      </w:tr>
      <w:tr w:rsidR="00272B32" w:rsidTr="00AE6B69">
        <w:tc>
          <w:tcPr>
            <w:tcW w:w="1242" w:type="dxa"/>
          </w:tcPr>
          <w:p w:rsidR="00272B32" w:rsidRPr="00FE2ECD" w:rsidRDefault="00272B32" w:rsidP="00946ECA">
            <w:pPr>
              <w:pStyle w:val="GlossaryAbbreviation"/>
              <w:rPr>
                <w:caps w:val="0"/>
              </w:rPr>
            </w:pPr>
            <w:r w:rsidRPr="00FE2ECD">
              <w:rPr>
                <w:caps w:val="0"/>
              </w:rPr>
              <w:t>participants</w:t>
            </w:r>
          </w:p>
        </w:tc>
        <w:tc>
          <w:tcPr>
            <w:tcW w:w="7194" w:type="dxa"/>
          </w:tcPr>
          <w:p w:rsidR="00272B32" w:rsidRDefault="00272B32" w:rsidP="00946ECA">
            <w:pPr>
              <w:pStyle w:val="Glossarytext"/>
            </w:pPr>
            <w:r>
              <w:t>Centrelink customers who consent to participate in the evaluation</w:t>
            </w:r>
          </w:p>
        </w:tc>
      </w:tr>
      <w:tr w:rsidR="00AE6B69" w:rsidTr="00AE6B69">
        <w:tc>
          <w:tcPr>
            <w:tcW w:w="1242" w:type="dxa"/>
          </w:tcPr>
          <w:p w:rsidR="00AE6B69" w:rsidRPr="00FE2ECD" w:rsidRDefault="00AE6B69" w:rsidP="000D570C">
            <w:pPr>
              <w:pStyle w:val="GlossaryAbbreviation"/>
              <w:rPr>
                <w:caps w:val="0"/>
              </w:rPr>
            </w:pPr>
            <w:r w:rsidRPr="00FE2ECD">
              <w:rPr>
                <w:caps w:val="0"/>
              </w:rPr>
              <w:t>PBIM</w:t>
            </w:r>
          </w:p>
        </w:tc>
        <w:tc>
          <w:tcPr>
            <w:tcW w:w="7194" w:type="dxa"/>
          </w:tcPr>
          <w:p w:rsidR="00AE6B69" w:rsidRDefault="00AE6B69" w:rsidP="000D570C">
            <w:pPr>
              <w:pStyle w:val="Glossarytext"/>
            </w:pPr>
            <w:r>
              <w:t>Place based income management</w:t>
            </w:r>
          </w:p>
        </w:tc>
      </w:tr>
      <w:tr w:rsidR="0037470F" w:rsidTr="00AE6B69">
        <w:tc>
          <w:tcPr>
            <w:tcW w:w="1242" w:type="dxa"/>
          </w:tcPr>
          <w:p w:rsidR="0037470F" w:rsidRPr="00FE2ECD" w:rsidRDefault="0037470F" w:rsidP="00946ECA">
            <w:pPr>
              <w:pStyle w:val="GlossaryAbbreviation"/>
              <w:rPr>
                <w:caps w:val="0"/>
              </w:rPr>
            </w:pPr>
            <w:r w:rsidRPr="00FE2ECD">
              <w:rPr>
                <w:caps w:val="0"/>
              </w:rPr>
              <w:t>SA1</w:t>
            </w:r>
          </w:p>
        </w:tc>
        <w:tc>
          <w:tcPr>
            <w:tcW w:w="7194" w:type="dxa"/>
          </w:tcPr>
          <w:p w:rsidR="0037470F" w:rsidRPr="008A2630" w:rsidRDefault="0037470F" w:rsidP="00946ECA">
            <w:pPr>
              <w:pStyle w:val="Glossarytext"/>
            </w:pPr>
            <w:r>
              <w:t>Statistical Area 1</w:t>
            </w:r>
          </w:p>
        </w:tc>
      </w:tr>
      <w:tr w:rsidR="000D607C" w:rsidTr="00AE6B69">
        <w:tc>
          <w:tcPr>
            <w:tcW w:w="1242" w:type="dxa"/>
          </w:tcPr>
          <w:p w:rsidR="000D607C" w:rsidRPr="00FE2ECD" w:rsidRDefault="000D607C" w:rsidP="00946ECA">
            <w:pPr>
              <w:pStyle w:val="GlossaryAbbreviation"/>
              <w:rPr>
                <w:caps w:val="0"/>
              </w:rPr>
            </w:pPr>
            <w:r w:rsidRPr="00FE2ECD">
              <w:rPr>
                <w:caps w:val="0"/>
              </w:rPr>
              <w:t>SEAM</w:t>
            </w:r>
          </w:p>
        </w:tc>
        <w:tc>
          <w:tcPr>
            <w:tcW w:w="7194" w:type="dxa"/>
          </w:tcPr>
          <w:p w:rsidR="000D607C" w:rsidRPr="000D607C" w:rsidRDefault="000D607C" w:rsidP="000D607C">
            <w:pPr>
              <w:pStyle w:val="Glossarytext"/>
            </w:pPr>
            <w:r w:rsidRPr="000D607C">
              <w:t xml:space="preserve">Improving School Enrolment and Attendance through Welfare Reform Measure </w:t>
            </w:r>
          </w:p>
        </w:tc>
      </w:tr>
      <w:tr w:rsidR="00272B32" w:rsidTr="00AE6B69">
        <w:tc>
          <w:tcPr>
            <w:tcW w:w="1242" w:type="dxa"/>
          </w:tcPr>
          <w:p w:rsidR="00272B32" w:rsidRPr="00FE2ECD" w:rsidRDefault="00FE2ECD" w:rsidP="00946ECA">
            <w:pPr>
              <w:pStyle w:val="GlossaryAbbreviation"/>
              <w:rPr>
                <w:caps w:val="0"/>
              </w:rPr>
            </w:pPr>
            <w:r>
              <w:rPr>
                <w:caps w:val="0"/>
              </w:rPr>
              <w:t>S</w:t>
            </w:r>
            <w:r w:rsidR="00272B32" w:rsidRPr="00FE2ECD">
              <w:rPr>
                <w:caps w:val="0"/>
              </w:rPr>
              <w:t>takeholders</w:t>
            </w:r>
          </w:p>
        </w:tc>
        <w:tc>
          <w:tcPr>
            <w:tcW w:w="7194" w:type="dxa"/>
          </w:tcPr>
          <w:p w:rsidR="00272B32" w:rsidRPr="000D607C" w:rsidRDefault="00FE2ECD" w:rsidP="00FE2ECD">
            <w:pPr>
              <w:pStyle w:val="Glossarytext"/>
            </w:pPr>
            <w:r>
              <w:t>Organisations</w:t>
            </w:r>
            <w:r w:rsidR="0022448C">
              <w:t xml:space="preserve"> or persons </w:t>
            </w:r>
            <w:r>
              <w:t>with</w:t>
            </w:r>
            <w:r w:rsidR="00272B32">
              <w:t xml:space="preserve"> an interest in the evaluation of PBIM</w:t>
            </w:r>
          </w:p>
        </w:tc>
      </w:tr>
      <w:tr w:rsidR="00AE6B69" w:rsidTr="00AE6B69">
        <w:tc>
          <w:tcPr>
            <w:tcW w:w="1242" w:type="dxa"/>
          </w:tcPr>
          <w:p w:rsidR="00AE6B69" w:rsidRPr="00FE2ECD" w:rsidRDefault="008A2630" w:rsidP="00946ECA">
            <w:pPr>
              <w:pStyle w:val="GlossaryAbbreviation"/>
              <w:rPr>
                <w:caps w:val="0"/>
              </w:rPr>
            </w:pPr>
            <w:r w:rsidRPr="00FE2ECD">
              <w:rPr>
                <w:caps w:val="0"/>
              </w:rPr>
              <w:t>VEA</w:t>
            </w:r>
          </w:p>
        </w:tc>
        <w:tc>
          <w:tcPr>
            <w:tcW w:w="7194" w:type="dxa"/>
          </w:tcPr>
          <w:p w:rsidR="00AE6B69" w:rsidRPr="008A2630" w:rsidRDefault="008A2630" w:rsidP="00946ECA">
            <w:pPr>
              <w:pStyle w:val="Glossarytext"/>
            </w:pPr>
            <w:r w:rsidRPr="008A2630">
              <w:t>Veterans' Entitlements Act 1986</w:t>
            </w:r>
          </w:p>
        </w:tc>
      </w:tr>
      <w:tr w:rsidR="00727013" w:rsidTr="00AE6B69">
        <w:tc>
          <w:tcPr>
            <w:tcW w:w="1242" w:type="dxa"/>
          </w:tcPr>
          <w:p w:rsidR="00727013" w:rsidRPr="00FE2ECD" w:rsidRDefault="00727013" w:rsidP="00946ECA">
            <w:pPr>
              <w:pStyle w:val="GlossaryAbbreviation"/>
              <w:rPr>
                <w:caps w:val="0"/>
              </w:rPr>
            </w:pPr>
            <w:r w:rsidRPr="00FE2ECD">
              <w:rPr>
                <w:caps w:val="0"/>
              </w:rPr>
              <w:t>VIM</w:t>
            </w:r>
          </w:p>
        </w:tc>
        <w:tc>
          <w:tcPr>
            <w:tcW w:w="7194" w:type="dxa"/>
          </w:tcPr>
          <w:p w:rsidR="00727013" w:rsidRPr="008A2630" w:rsidRDefault="00727013" w:rsidP="007F77C6">
            <w:pPr>
              <w:pStyle w:val="Glossarytext"/>
            </w:pPr>
            <w:r w:rsidRPr="00D2665D">
              <w:t xml:space="preserve">Voluntary Income Management </w:t>
            </w:r>
          </w:p>
        </w:tc>
      </w:tr>
      <w:tr w:rsidR="000E486C" w:rsidTr="00AE6B69">
        <w:tc>
          <w:tcPr>
            <w:tcW w:w="1242" w:type="dxa"/>
          </w:tcPr>
          <w:p w:rsidR="000E486C" w:rsidRPr="00FE2ECD" w:rsidRDefault="00FE2ECD" w:rsidP="00946ECA">
            <w:pPr>
              <w:pStyle w:val="GlossaryAbbreviation"/>
              <w:rPr>
                <w:caps w:val="0"/>
              </w:rPr>
            </w:pPr>
            <w:r>
              <w:rPr>
                <w:caps w:val="0"/>
              </w:rPr>
              <w:t>V</w:t>
            </w:r>
            <w:r w:rsidR="000E486C" w:rsidRPr="00FE2ECD">
              <w:rPr>
                <w:caps w:val="0"/>
              </w:rPr>
              <w:t>iolence</w:t>
            </w:r>
          </w:p>
        </w:tc>
        <w:tc>
          <w:tcPr>
            <w:tcW w:w="7194" w:type="dxa"/>
          </w:tcPr>
          <w:p w:rsidR="000E486C" w:rsidRPr="00D2665D" w:rsidRDefault="000E486C" w:rsidP="007F77C6">
            <w:pPr>
              <w:pStyle w:val="Glossarytext"/>
            </w:pPr>
            <w:r>
              <w:t xml:space="preserve">The intentional use of physical force or power, threatened or actual, against oneself, another person or against a group or community, that either results in injury, death, psychological harm, </w:t>
            </w:r>
            <w:proofErr w:type="spellStart"/>
            <w:r>
              <w:t>maldevelopment</w:t>
            </w:r>
            <w:proofErr w:type="spellEnd"/>
            <w:r>
              <w:t>, or deprivation</w:t>
            </w:r>
          </w:p>
        </w:tc>
      </w:tr>
    </w:tbl>
    <w:p w:rsidR="000175EC" w:rsidRDefault="000175EC" w:rsidP="009B4B43">
      <w:pPr>
        <w:pStyle w:val="SingleLeft"/>
      </w:pPr>
    </w:p>
    <w:p w:rsidR="002E7FF6" w:rsidRDefault="002E7FF6" w:rsidP="009B4B43">
      <w:pPr>
        <w:pStyle w:val="SingleLeft"/>
        <w:sectPr w:rsidR="002E7FF6" w:rsidSect="000175EC">
          <w:pgSz w:w="11906" w:h="16838" w:code="9"/>
          <w:pgMar w:top="2268" w:right="1134" w:bottom="1134" w:left="2552" w:header="720" w:footer="720" w:gutter="0"/>
          <w:pgNumType w:fmt="lowerRoman" w:start="1"/>
          <w:cols w:space="720"/>
          <w:titlePg/>
          <w:docGrid w:linePitch="360"/>
        </w:sectPr>
      </w:pPr>
    </w:p>
    <w:p w:rsidR="00B42CB5" w:rsidRPr="00014351" w:rsidRDefault="00014351" w:rsidP="00C22E9A">
      <w:pPr>
        <w:pStyle w:val="MajorHeading"/>
        <w:numPr>
          <w:ilvl w:val="0"/>
          <w:numId w:val="0"/>
        </w:numPr>
      </w:pPr>
      <w:bookmarkStart w:id="3" w:name="_Toc215906318"/>
      <w:bookmarkStart w:id="4" w:name="_Toc227746675"/>
      <w:bookmarkStart w:id="5" w:name="_Toc227746679"/>
      <w:bookmarkStart w:id="6" w:name="_Toc227746683"/>
      <w:bookmarkStart w:id="7" w:name="_Toc227746687"/>
      <w:bookmarkStart w:id="8" w:name="_Toc227748309"/>
      <w:bookmarkStart w:id="9" w:name="_Toc227748327"/>
      <w:bookmarkStart w:id="10" w:name="_Toc227748331"/>
      <w:bookmarkStart w:id="11" w:name="_Toc227748335"/>
      <w:bookmarkStart w:id="12" w:name="_Toc227748374"/>
      <w:bookmarkStart w:id="13" w:name="_Toc227748378"/>
      <w:bookmarkStart w:id="14" w:name="_Toc227748382"/>
      <w:bookmarkStart w:id="15" w:name="_Toc227748494"/>
      <w:bookmarkStart w:id="16" w:name="_Toc227748498"/>
      <w:bookmarkStart w:id="17" w:name="_Toc228005205"/>
      <w:bookmarkStart w:id="18" w:name="_Toc228092496"/>
      <w:bookmarkStart w:id="19" w:name="_Toc228264951"/>
      <w:bookmarkStart w:id="20" w:name="_Toc228264973"/>
      <w:bookmarkStart w:id="21" w:name="_Toc228264977"/>
      <w:bookmarkStart w:id="22" w:name="_Toc228264981"/>
      <w:bookmarkStart w:id="23" w:name="_Toc228264985"/>
      <w:bookmarkStart w:id="24" w:name="_Toc228265215"/>
      <w:bookmarkStart w:id="25" w:name="_Toc342495216"/>
      <w:r w:rsidRPr="00444F3C">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E63D1" w:rsidRDefault="001E63D1" w:rsidP="001E63D1">
      <w:pPr>
        <w:pStyle w:val="BodyText"/>
      </w:pPr>
      <w:r w:rsidRPr="00202247">
        <w:t>Deloitte Access Economics was appointed by The Department of Families, Housing, Community Services and Indigenous Affairs (FaHCSIA) to conduct an independent evaluation of the place based income management</w:t>
      </w:r>
      <w:r>
        <w:t xml:space="preserve"> (PBIM) trial.  </w:t>
      </w:r>
    </w:p>
    <w:p w:rsidR="001E63D1" w:rsidRPr="004636A3" w:rsidRDefault="001E63D1" w:rsidP="004636A3">
      <w:pPr>
        <w:pStyle w:val="SubHeading"/>
        <w:rPr>
          <w:color w:val="002776"/>
          <w:lang w:eastAsia="en-AU"/>
        </w:rPr>
      </w:pPr>
      <w:r w:rsidRPr="004636A3">
        <w:rPr>
          <w:color w:val="002776"/>
          <w:lang w:eastAsia="en-AU"/>
        </w:rPr>
        <w:t xml:space="preserve">Place based income management </w:t>
      </w:r>
    </w:p>
    <w:p w:rsidR="001E63D1" w:rsidRDefault="001E63D1" w:rsidP="001E63D1">
      <w:pPr>
        <w:pStyle w:val="BodyText"/>
      </w:pPr>
      <w:r w:rsidRPr="00202247">
        <w:t xml:space="preserve">PBIM forms part of the </w:t>
      </w:r>
      <w:r w:rsidRPr="00E510EC">
        <w:rPr>
          <w:i/>
        </w:rPr>
        <w:t>Better Futures, Local Solutions</w:t>
      </w:r>
      <w:r>
        <w:t xml:space="preserve"> place-based initiative within the </w:t>
      </w:r>
      <w:r w:rsidRPr="00202247">
        <w:t xml:space="preserve">Building Australia’s Future Workforce (BAFW) package, a group of initiatives which aim to assist vulnerable families and children, and to enhance opportunities for people to enter or return to the workforce.  </w:t>
      </w:r>
      <w:r>
        <w:t>The Australian Government is providing $117.5 million over five years to introduce income management to five new locations</w:t>
      </w:r>
      <w:r w:rsidR="00444F3C">
        <w:t xml:space="preserve"> in July 2012</w:t>
      </w:r>
      <w:r w:rsidR="00E91A52">
        <w:t>:</w:t>
      </w:r>
    </w:p>
    <w:p w:rsidR="001E63D1" w:rsidRDefault="001E63D1" w:rsidP="001E63D1">
      <w:pPr>
        <w:pStyle w:val="Bullet1"/>
      </w:pPr>
      <w:proofErr w:type="spellStart"/>
      <w:r w:rsidRPr="00A9708E">
        <w:t>Playford</w:t>
      </w:r>
      <w:proofErr w:type="spellEnd"/>
      <w:r w:rsidRPr="00A9708E">
        <w:t xml:space="preserve"> (South Australia);</w:t>
      </w:r>
    </w:p>
    <w:p w:rsidR="001E63D1" w:rsidRDefault="001E63D1" w:rsidP="001E63D1">
      <w:pPr>
        <w:pStyle w:val="Bullet1"/>
      </w:pPr>
      <w:r w:rsidRPr="00A9708E">
        <w:t>Greater Shepparton (Victoria);</w:t>
      </w:r>
    </w:p>
    <w:p w:rsidR="001E63D1" w:rsidRDefault="001E63D1" w:rsidP="001E63D1">
      <w:pPr>
        <w:pStyle w:val="Bullet1"/>
      </w:pPr>
      <w:r w:rsidRPr="00A9708E">
        <w:t>Bankstown (New South Wales);</w:t>
      </w:r>
    </w:p>
    <w:p w:rsidR="001E63D1" w:rsidRDefault="001E63D1" w:rsidP="001E63D1">
      <w:pPr>
        <w:pStyle w:val="Bullet1"/>
      </w:pPr>
      <w:r w:rsidRPr="00A9708E">
        <w:t>Rockhampton (Queensland); and</w:t>
      </w:r>
    </w:p>
    <w:p w:rsidR="001E63D1" w:rsidRDefault="001E63D1" w:rsidP="001E63D1">
      <w:pPr>
        <w:pStyle w:val="Bullet1"/>
      </w:pPr>
      <w:r w:rsidRPr="00A9708E">
        <w:t>Logan (Queensland).</w:t>
      </w:r>
    </w:p>
    <w:p w:rsidR="001E63D1" w:rsidRPr="00B85867" w:rsidRDefault="001E63D1" w:rsidP="00610BDB">
      <w:pPr>
        <w:pStyle w:val="BodyText"/>
      </w:pPr>
      <w:r w:rsidRPr="00707ACC">
        <w:t xml:space="preserve">The purpose of PBIM is </w:t>
      </w:r>
      <w:r w:rsidRPr="00DA7345">
        <w:t>to provide people with the financial stability needed to increase their social and economic participation</w:t>
      </w:r>
      <w:r w:rsidRPr="00707ACC">
        <w:t xml:space="preserve"> </w:t>
      </w:r>
      <w:r>
        <w:t xml:space="preserve">and </w:t>
      </w:r>
      <w:r w:rsidRPr="00707ACC">
        <w:t xml:space="preserve">to </w:t>
      </w:r>
      <w:r>
        <w:t>encourage welfare recipients to spend</w:t>
      </w:r>
      <w:r w:rsidRPr="00707ACC">
        <w:t xml:space="preserve"> </w:t>
      </w:r>
      <w:r>
        <w:t>I</w:t>
      </w:r>
      <w:r w:rsidRPr="00707ACC">
        <w:t xml:space="preserve">ncome </w:t>
      </w:r>
      <w:r>
        <w:t>S</w:t>
      </w:r>
      <w:r w:rsidRPr="00707ACC">
        <w:t xml:space="preserve">upport </w:t>
      </w:r>
      <w:r>
        <w:t>P</w:t>
      </w:r>
      <w:r w:rsidRPr="00707ACC">
        <w:t xml:space="preserve">ayments in the best interests of children and families.  </w:t>
      </w:r>
      <w:r w:rsidRPr="00202247">
        <w:t xml:space="preserve">The scheme </w:t>
      </w:r>
      <w:r>
        <w:t>directs</w:t>
      </w:r>
      <w:r w:rsidRPr="00202247">
        <w:t xml:space="preserve"> a proportion of </w:t>
      </w:r>
      <w:r>
        <w:t>I</w:t>
      </w:r>
      <w:r w:rsidRPr="00202247">
        <w:t xml:space="preserve">ncome </w:t>
      </w:r>
      <w:r>
        <w:t>S</w:t>
      </w:r>
      <w:r w:rsidRPr="00202247">
        <w:t xml:space="preserve">upport </w:t>
      </w:r>
      <w:r>
        <w:t>P</w:t>
      </w:r>
      <w:r w:rsidRPr="00202247">
        <w:t>ayments for expenditure on priority items including food, housing, clothing and utilities.  Income managed funds cannot be spent on alcohol, tobacco, pornographic material or gambling products</w:t>
      </w:r>
      <w:r w:rsidR="00237FA9">
        <w:rPr>
          <w:rStyle w:val="FootnoteReference"/>
        </w:rPr>
        <w:footnoteReference w:id="1"/>
      </w:r>
      <w:r w:rsidRPr="00202247">
        <w:t xml:space="preserve">.  </w:t>
      </w:r>
      <w:r w:rsidRPr="00DA7345">
        <w:t xml:space="preserve">It is designed to be especially useful for people who are vulnerable to financial crisis or have alcohol </w:t>
      </w:r>
      <w:r>
        <w:t xml:space="preserve">abuse </w:t>
      </w:r>
      <w:r w:rsidRPr="00DA7345">
        <w:t xml:space="preserve">or mental health </w:t>
      </w:r>
      <w:r>
        <w:t>issues</w:t>
      </w:r>
      <w:r w:rsidRPr="00DA7345">
        <w:t xml:space="preserve"> which affect their ability to budget.</w:t>
      </w:r>
      <w:r w:rsidR="00610BDB">
        <w:t xml:space="preserve">  </w:t>
      </w:r>
      <w:r>
        <w:rPr>
          <w:rFonts w:cs="Arial"/>
        </w:rPr>
        <w:t xml:space="preserve">Access by IM customers to Financial Management Program Services (FMPS) is an important supporting platform for IM.  </w:t>
      </w:r>
    </w:p>
    <w:p w:rsidR="001E63D1" w:rsidRDefault="001E63D1" w:rsidP="001E63D1">
      <w:pPr>
        <w:pStyle w:val="BodyText"/>
        <w:rPr>
          <w:lang w:eastAsia="en-AU"/>
        </w:rPr>
      </w:pPr>
      <w:r>
        <w:t>There are three IM measures</w:t>
      </w:r>
      <w:r w:rsidRPr="00E14192">
        <w:rPr>
          <w:lang w:eastAsia="en-AU"/>
        </w:rPr>
        <w:t>:</w:t>
      </w:r>
      <w:r>
        <w:rPr>
          <w:lang w:eastAsia="en-AU"/>
        </w:rPr>
        <w:t xml:space="preserve">  </w:t>
      </w:r>
    </w:p>
    <w:p w:rsidR="001B1F12" w:rsidRPr="000D570C" w:rsidRDefault="001E63D1" w:rsidP="001B1F12">
      <w:pPr>
        <w:pStyle w:val="Bullet1"/>
      </w:pPr>
      <w:r w:rsidRPr="000D570C">
        <w:t xml:space="preserve">Child protection </w:t>
      </w:r>
      <w:r>
        <w:t>measure</w:t>
      </w:r>
      <w:r w:rsidRPr="000D570C">
        <w:t xml:space="preserve"> (CPIM)</w:t>
      </w:r>
      <w:r w:rsidR="001B1F12">
        <w:t xml:space="preserve"> f</w:t>
      </w:r>
      <w:r w:rsidR="001B1F12" w:rsidRPr="000D570C">
        <w:t>or parents</w:t>
      </w:r>
      <w:r w:rsidR="001B1F12">
        <w:t>,</w:t>
      </w:r>
      <w:r w:rsidR="001B1F12" w:rsidRPr="000D570C">
        <w:t xml:space="preserve"> carers</w:t>
      </w:r>
      <w:r w:rsidR="001B1F12">
        <w:t xml:space="preserve"> or young people</w:t>
      </w:r>
      <w:r w:rsidR="001B1F12" w:rsidRPr="000D570C">
        <w:t xml:space="preserve"> referred for income management by a child protection worker. </w:t>
      </w:r>
    </w:p>
    <w:p w:rsidR="001B1F12" w:rsidRPr="00DA7345" w:rsidRDefault="001B1F12" w:rsidP="001B1F12">
      <w:pPr>
        <w:pStyle w:val="Bullet1"/>
      </w:pPr>
      <w:r w:rsidRPr="000D570C">
        <w:t xml:space="preserve">Vulnerable </w:t>
      </w:r>
      <w:r>
        <w:t>measure</w:t>
      </w:r>
      <w:r w:rsidRPr="000D570C">
        <w:t xml:space="preserve"> (VULN)</w:t>
      </w:r>
      <w:r>
        <w:t xml:space="preserve"> f</w:t>
      </w:r>
      <w:r w:rsidRPr="000D570C">
        <w:t xml:space="preserve">or vulnerable income support payment recipients </w:t>
      </w:r>
      <w:r>
        <w:t>where a Department of Human Services (DHS)</w:t>
      </w:r>
      <w:r w:rsidRPr="000D570C">
        <w:t xml:space="preserve"> social worker assess</w:t>
      </w:r>
      <w:r>
        <w:t>es they</w:t>
      </w:r>
      <w:r w:rsidRPr="000D570C">
        <w:t xml:space="preserve"> would benefit from income management</w:t>
      </w:r>
      <w:r>
        <w:t>.</w:t>
      </w:r>
    </w:p>
    <w:p w:rsidR="001E63D1" w:rsidRPr="000D570C" w:rsidRDefault="001B1F12" w:rsidP="001B1F12">
      <w:pPr>
        <w:pStyle w:val="Bullet1"/>
      </w:pPr>
      <w:r w:rsidRPr="001B1F12">
        <w:rPr>
          <w:rFonts w:asciiTheme="minorHAnsi" w:hAnsiTheme="minorHAnsi"/>
        </w:rPr>
        <w:t>Voluntary measure (VIM)</w:t>
      </w:r>
      <w:r>
        <w:rPr>
          <w:rFonts w:asciiTheme="minorHAnsi" w:hAnsiTheme="minorHAnsi"/>
        </w:rPr>
        <w:t xml:space="preserve"> f</w:t>
      </w:r>
      <w:r w:rsidRPr="000D570C">
        <w:t>or people on income support who wish to volunteer for income management to assist them to meet their priority needs</w:t>
      </w:r>
      <w:r>
        <w:t>.</w:t>
      </w:r>
    </w:p>
    <w:p w:rsidR="000E2825" w:rsidRDefault="000E2825" w:rsidP="000E2825">
      <w:pPr>
        <w:pStyle w:val="SubHeading"/>
        <w:rPr>
          <w:color w:val="002776"/>
          <w:lang w:eastAsia="en-AU"/>
        </w:rPr>
      </w:pPr>
      <w:r w:rsidRPr="000E2825">
        <w:rPr>
          <w:color w:val="002776"/>
          <w:lang w:eastAsia="en-AU"/>
        </w:rPr>
        <w:t xml:space="preserve">Logic </w:t>
      </w:r>
      <w:r w:rsidR="00E91A52">
        <w:rPr>
          <w:color w:val="002776"/>
          <w:lang w:eastAsia="en-AU"/>
        </w:rPr>
        <w:t>framework for PBIM</w:t>
      </w:r>
    </w:p>
    <w:p w:rsidR="000E2825" w:rsidRDefault="000E2825" w:rsidP="000E2825">
      <w:pPr>
        <w:pStyle w:val="BodyText"/>
      </w:pPr>
      <w:r>
        <w:t xml:space="preserve">Logic maps were developed to guide the evaluation.  The desired short, medium and long terms outcomes of PBIM </w:t>
      </w:r>
      <w:r w:rsidR="00444F3C">
        <w:t xml:space="preserve">from the logic maps </w:t>
      </w:r>
      <w:r>
        <w:t xml:space="preserve">are </w:t>
      </w:r>
      <w:r w:rsidR="00444F3C">
        <w:t>described</w:t>
      </w:r>
      <w:r>
        <w:t xml:space="preserve"> in the table</w:t>
      </w:r>
      <w:r w:rsidR="00610BDB">
        <w:t xml:space="preserve"> below</w:t>
      </w:r>
      <w:r>
        <w:t>.</w:t>
      </w:r>
    </w:p>
    <w:tbl>
      <w:tblPr>
        <w:tblStyle w:val="TableAEGrey"/>
        <w:tblW w:w="0" w:type="auto"/>
        <w:tblLook w:val="04A0" w:firstRow="1" w:lastRow="0" w:firstColumn="1" w:lastColumn="0" w:noHBand="0" w:noVBand="1"/>
        <w:tblCaption w:val="Table of Outcomes"/>
      </w:tblPr>
      <w:tblGrid>
        <w:gridCol w:w="2812"/>
        <w:gridCol w:w="2812"/>
        <w:gridCol w:w="2812"/>
      </w:tblGrid>
      <w:tr w:rsidR="000E2825" w:rsidRPr="00610BDB" w:rsidTr="008112F0">
        <w:trPr>
          <w:cnfStyle w:val="100000000000" w:firstRow="1" w:lastRow="0" w:firstColumn="0" w:lastColumn="0" w:oddVBand="0" w:evenVBand="0" w:oddHBand="0" w:evenHBand="0" w:firstRowFirstColumn="0" w:firstRowLastColumn="0" w:lastRowFirstColumn="0" w:lastRowLastColumn="0"/>
          <w:tblHeader/>
        </w:trPr>
        <w:tc>
          <w:tcPr>
            <w:tcW w:w="2812" w:type="dxa"/>
          </w:tcPr>
          <w:p w:rsidR="000E2825" w:rsidRPr="00610BDB" w:rsidRDefault="000E2825" w:rsidP="00610BDB">
            <w:pPr>
              <w:pStyle w:val="SubHeading"/>
              <w:rPr>
                <w:color w:val="002776"/>
                <w:lang w:eastAsia="en-AU"/>
              </w:rPr>
            </w:pPr>
            <w:r w:rsidRPr="00610BDB">
              <w:rPr>
                <w:color w:val="002776"/>
                <w:lang w:eastAsia="en-AU"/>
              </w:rPr>
              <w:lastRenderedPageBreak/>
              <w:t>Short term outcomes</w:t>
            </w:r>
            <w:r w:rsidR="00610BDB">
              <w:rPr>
                <w:color w:val="002776"/>
                <w:lang w:eastAsia="en-AU"/>
              </w:rPr>
              <w:br/>
              <w:t>(interim evaluation report)</w:t>
            </w:r>
          </w:p>
        </w:tc>
        <w:tc>
          <w:tcPr>
            <w:tcW w:w="2812" w:type="dxa"/>
          </w:tcPr>
          <w:p w:rsidR="000E2825" w:rsidRPr="00610BDB" w:rsidRDefault="00610BDB" w:rsidP="00610BDB">
            <w:pPr>
              <w:pStyle w:val="SubHeading"/>
              <w:rPr>
                <w:color w:val="002776"/>
                <w:lang w:eastAsia="en-AU"/>
              </w:rPr>
            </w:pPr>
            <w:r>
              <w:rPr>
                <w:color w:val="002776"/>
                <w:lang w:eastAsia="en-AU"/>
              </w:rPr>
              <w:t>Medium term outcomes</w:t>
            </w:r>
            <w:r>
              <w:rPr>
                <w:color w:val="002776"/>
                <w:lang w:eastAsia="en-AU"/>
              </w:rPr>
              <w:br/>
              <w:t>(final evaluation report)</w:t>
            </w:r>
          </w:p>
        </w:tc>
        <w:tc>
          <w:tcPr>
            <w:tcW w:w="2812" w:type="dxa"/>
          </w:tcPr>
          <w:p w:rsidR="000E2825" w:rsidRPr="00610BDB" w:rsidRDefault="00610BDB" w:rsidP="00610BDB">
            <w:pPr>
              <w:pStyle w:val="SubHeading"/>
              <w:rPr>
                <w:color w:val="002776"/>
                <w:lang w:eastAsia="en-AU"/>
              </w:rPr>
            </w:pPr>
            <w:r>
              <w:rPr>
                <w:color w:val="002776"/>
                <w:lang w:eastAsia="en-AU"/>
              </w:rPr>
              <w:t>Long term outcomes</w:t>
            </w:r>
            <w:r>
              <w:rPr>
                <w:color w:val="002776"/>
                <w:lang w:eastAsia="en-AU"/>
              </w:rPr>
              <w:br/>
              <w:t>(out of scope for this evaluation)</w:t>
            </w:r>
          </w:p>
        </w:tc>
      </w:tr>
      <w:tr w:rsidR="000E2825" w:rsidRPr="00610BDB" w:rsidTr="000E2825">
        <w:tc>
          <w:tcPr>
            <w:tcW w:w="2812" w:type="dxa"/>
          </w:tcPr>
          <w:p w:rsidR="000E2825" w:rsidRPr="00610BDB" w:rsidRDefault="000E2825" w:rsidP="000E2825">
            <w:pPr>
              <w:pStyle w:val="BodyText"/>
              <w:rPr>
                <w:sz w:val="20"/>
              </w:rPr>
            </w:pPr>
            <w:r w:rsidRPr="00610BDB">
              <w:rPr>
                <w:sz w:val="20"/>
              </w:rPr>
              <w:t>Customer’s children experience reduced neglect of basic needs (CPIM measure)</w:t>
            </w:r>
          </w:p>
        </w:tc>
        <w:tc>
          <w:tcPr>
            <w:tcW w:w="2812" w:type="dxa"/>
          </w:tcPr>
          <w:p w:rsidR="000E2825" w:rsidRPr="00610BDB" w:rsidRDefault="006975AC" w:rsidP="000E2825">
            <w:pPr>
              <w:pStyle w:val="BodyText"/>
              <w:rPr>
                <w:sz w:val="20"/>
              </w:rPr>
            </w:pPr>
            <w:r w:rsidRPr="00610BDB">
              <w:rPr>
                <w:sz w:val="20"/>
              </w:rPr>
              <w:t>Customers</w:t>
            </w:r>
            <w:r w:rsidR="00DC12E2" w:rsidRPr="00610BDB">
              <w:rPr>
                <w:sz w:val="20"/>
              </w:rPr>
              <w:t>’</w:t>
            </w:r>
            <w:r w:rsidRPr="00610BDB">
              <w:rPr>
                <w:sz w:val="20"/>
              </w:rPr>
              <w:t xml:space="preserve"> children continue to experience reduced neglect of basic needs</w:t>
            </w:r>
            <w:r w:rsidR="00DC12E2" w:rsidRPr="00610BDB">
              <w:rPr>
                <w:sz w:val="20"/>
              </w:rPr>
              <w:t xml:space="preserve"> (CPIM measure only)</w:t>
            </w:r>
          </w:p>
        </w:tc>
        <w:tc>
          <w:tcPr>
            <w:tcW w:w="2812" w:type="dxa"/>
          </w:tcPr>
          <w:p w:rsidR="000E2825" w:rsidRPr="00610BDB" w:rsidRDefault="006975AC" w:rsidP="006975AC">
            <w:pPr>
              <w:pStyle w:val="BodyText"/>
              <w:rPr>
                <w:sz w:val="20"/>
              </w:rPr>
            </w:pPr>
            <w:r w:rsidRPr="00610BDB">
              <w:rPr>
                <w:sz w:val="20"/>
              </w:rPr>
              <w:t>Customers children experience improved education, health, and social outcomes (CPIM measure)</w:t>
            </w:r>
          </w:p>
        </w:tc>
      </w:tr>
      <w:tr w:rsidR="00610BDB" w:rsidRPr="00610BDB" w:rsidTr="000E2825">
        <w:tc>
          <w:tcPr>
            <w:tcW w:w="2812" w:type="dxa"/>
          </w:tcPr>
          <w:p w:rsidR="00610BDB" w:rsidRPr="00610BDB" w:rsidRDefault="00610BDB" w:rsidP="00735609">
            <w:pPr>
              <w:pStyle w:val="BodyText"/>
              <w:rPr>
                <w:sz w:val="20"/>
              </w:rPr>
            </w:pPr>
            <w:r w:rsidRPr="00610BDB">
              <w:rPr>
                <w:sz w:val="20"/>
              </w:rPr>
              <w:t>Customers spend an increase proportion of income support on priority needs including rent, bills, clothing and food.</w:t>
            </w:r>
          </w:p>
        </w:tc>
        <w:tc>
          <w:tcPr>
            <w:tcW w:w="2812" w:type="dxa"/>
          </w:tcPr>
          <w:p w:rsidR="00610BDB" w:rsidRPr="00610BDB" w:rsidRDefault="00610BDB" w:rsidP="000E2825">
            <w:pPr>
              <w:pStyle w:val="BodyText"/>
              <w:rPr>
                <w:sz w:val="20"/>
              </w:rPr>
            </w:pPr>
            <w:r w:rsidRPr="00610BDB">
              <w:rPr>
                <w:sz w:val="20"/>
              </w:rPr>
              <w:t>Customers’ children have a greater opportunity to engage in social and educational activities (CPIM measure only)</w:t>
            </w:r>
          </w:p>
        </w:tc>
        <w:tc>
          <w:tcPr>
            <w:tcW w:w="2812" w:type="dxa"/>
          </w:tcPr>
          <w:p w:rsidR="00610BDB" w:rsidRPr="00610BDB" w:rsidRDefault="00610BDB" w:rsidP="00735609">
            <w:pPr>
              <w:pStyle w:val="BodyText"/>
              <w:rPr>
                <w:sz w:val="20"/>
              </w:rPr>
            </w:pPr>
            <w:r w:rsidRPr="00610BDB">
              <w:rPr>
                <w:sz w:val="20"/>
              </w:rPr>
              <w:t>Customers experience improved health and wellbeing and less exposure to harmful behaviours</w:t>
            </w:r>
          </w:p>
        </w:tc>
      </w:tr>
      <w:tr w:rsidR="00610BDB" w:rsidRPr="00610BDB" w:rsidTr="000E2825">
        <w:tc>
          <w:tcPr>
            <w:tcW w:w="2812" w:type="dxa"/>
          </w:tcPr>
          <w:p w:rsidR="00610BDB" w:rsidRPr="00610BDB" w:rsidRDefault="00610BDB" w:rsidP="00735609">
            <w:pPr>
              <w:pStyle w:val="BodyText"/>
              <w:rPr>
                <w:sz w:val="20"/>
              </w:rPr>
            </w:pPr>
            <w:r w:rsidRPr="00610BDB">
              <w:rPr>
                <w:sz w:val="20"/>
              </w:rPr>
              <w:t>Customers reduce the amount spent on gambling, pornography, alcohol and tobacco</w:t>
            </w:r>
          </w:p>
        </w:tc>
        <w:tc>
          <w:tcPr>
            <w:tcW w:w="2812" w:type="dxa"/>
          </w:tcPr>
          <w:p w:rsidR="00610BDB" w:rsidRPr="00610BDB" w:rsidRDefault="00610BDB" w:rsidP="006975AC">
            <w:pPr>
              <w:pStyle w:val="BodyText"/>
              <w:rPr>
                <w:sz w:val="20"/>
              </w:rPr>
            </w:pPr>
            <w:r w:rsidRPr="00610BDB">
              <w:rPr>
                <w:sz w:val="20"/>
              </w:rPr>
              <w:t>Customers establish a pattern of spending an increased proportion of income support and family payment on priority needs including rent, bills, clothing and food.</w:t>
            </w:r>
          </w:p>
        </w:tc>
        <w:tc>
          <w:tcPr>
            <w:tcW w:w="2812" w:type="dxa"/>
          </w:tcPr>
          <w:p w:rsidR="00610BDB" w:rsidRPr="00610BDB" w:rsidRDefault="00610BDB" w:rsidP="00735609">
            <w:pPr>
              <w:pStyle w:val="BodyText"/>
              <w:rPr>
                <w:sz w:val="20"/>
              </w:rPr>
            </w:pPr>
            <w:r w:rsidRPr="00610BDB">
              <w:rPr>
                <w:sz w:val="20"/>
              </w:rPr>
              <w:t>Customers consolidate their ability to manage their finances and experience sustained financial stability</w:t>
            </w:r>
          </w:p>
        </w:tc>
      </w:tr>
      <w:tr w:rsidR="00610BDB" w:rsidRPr="00610BDB" w:rsidTr="000E2825">
        <w:tc>
          <w:tcPr>
            <w:tcW w:w="2812" w:type="dxa"/>
          </w:tcPr>
          <w:p w:rsidR="00610BDB" w:rsidRPr="00610BDB" w:rsidRDefault="00610BDB" w:rsidP="00735609">
            <w:pPr>
              <w:pStyle w:val="BodyText"/>
              <w:rPr>
                <w:sz w:val="20"/>
              </w:rPr>
            </w:pPr>
            <w:r w:rsidRPr="00610BDB">
              <w:rPr>
                <w:sz w:val="20"/>
              </w:rPr>
              <w:t>Customers increased their knowledge skills and confidence in money management</w:t>
            </w:r>
          </w:p>
        </w:tc>
        <w:tc>
          <w:tcPr>
            <w:tcW w:w="2812" w:type="dxa"/>
          </w:tcPr>
          <w:p w:rsidR="00610BDB" w:rsidRPr="00610BDB" w:rsidRDefault="00610BDB" w:rsidP="00452100">
            <w:pPr>
              <w:pStyle w:val="BodyText"/>
              <w:rPr>
                <w:sz w:val="20"/>
              </w:rPr>
            </w:pPr>
            <w:r w:rsidRPr="00610BDB">
              <w:rPr>
                <w:sz w:val="20"/>
              </w:rPr>
              <w:t>Increase in customers</w:t>
            </w:r>
            <w:r w:rsidR="00246D57">
              <w:rPr>
                <w:sz w:val="20"/>
              </w:rPr>
              <w:t>’</w:t>
            </w:r>
            <w:r w:rsidRPr="00610BDB">
              <w:rPr>
                <w:sz w:val="20"/>
              </w:rPr>
              <w:t xml:space="preserve"> </w:t>
            </w:r>
            <w:proofErr w:type="spellStart"/>
            <w:r w:rsidRPr="00610BDB">
              <w:rPr>
                <w:sz w:val="20"/>
              </w:rPr>
              <w:t>self care</w:t>
            </w:r>
            <w:proofErr w:type="spellEnd"/>
            <w:r w:rsidRPr="00610BDB">
              <w:rPr>
                <w:sz w:val="20"/>
              </w:rPr>
              <w:t xml:space="preserve"> and attention to basic needs including food, clothing and medical needs.</w:t>
            </w:r>
          </w:p>
        </w:tc>
        <w:tc>
          <w:tcPr>
            <w:tcW w:w="2812" w:type="dxa"/>
          </w:tcPr>
          <w:p w:rsidR="00610BDB" w:rsidRPr="00610BDB" w:rsidRDefault="00610BDB" w:rsidP="00237FA9">
            <w:pPr>
              <w:pStyle w:val="BodyText"/>
              <w:rPr>
                <w:sz w:val="20"/>
              </w:rPr>
            </w:pPr>
            <w:r w:rsidRPr="00610BDB">
              <w:rPr>
                <w:sz w:val="20"/>
              </w:rPr>
              <w:t>Customers experience increase</w:t>
            </w:r>
            <w:r w:rsidR="00237FA9">
              <w:rPr>
                <w:sz w:val="20"/>
              </w:rPr>
              <w:t>d</w:t>
            </w:r>
            <w:r w:rsidRPr="00610BDB">
              <w:rPr>
                <w:sz w:val="20"/>
              </w:rPr>
              <w:t xml:space="preserve"> economic and social participation </w:t>
            </w:r>
          </w:p>
        </w:tc>
      </w:tr>
      <w:tr w:rsidR="00610BDB" w:rsidRPr="00610BDB" w:rsidTr="000E2825">
        <w:tc>
          <w:tcPr>
            <w:tcW w:w="2812" w:type="dxa"/>
          </w:tcPr>
          <w:p w:rsidR="00610BDB" w:rsidRPr="00610BDB" w:rsidRDefault="00610BDB" w:rsidP="00735609">
            <w:pPr>
              <w:pStyle w:val="BodyText"/>
              <w:rPr>
                <w:sz w:val="20"/>
              </w:rPr>
            </w:pPr>
            <w:r w:rsidRPr="00610BDB">
              <w:rPr>
                <w:sz w:val="20"/>
              </w:rPr>
              <w:t>Customers experience financial crisis less frequently</w:t>
            </w:r>
          </w:p>
        </w:tc>
        <w:tc>
          <w:tcPr>
            <w:tcW w:w="2812" w:type="dxa"/>
          </w:tcPr>
          <w:p w:rsidR="00610BDB" w:rsidRPr="00610BDB" w:rsidRDefault="00610BDB" w:rsidP="00452100">
            <w:pPr>
              <w:pStyle w:val="BodyText"/>
              <w:rPr>
                <w:sz w:val="20"/>
              </w:rPr>
            </w:pPr>
            <w:r w:rsidRPr="00610BDB">
              <w:rPr>
                <w:sz w:val="20"/>
              </w:rPr>
              <w:t>Customers establish a pattern of reduced expenditure on gambling, pornography, alcohol and tobacco</w:t>
            </w:r>
          </w:p>
        </w:tc>
        <w:tc>
          <w:tcPr>
            <w:tcW w:w="2812" w:type="dxa"/>
          </w:tcPr>
          <w:p w:rsidR="00610BDB" w:rsidRPr="00610BDB" w:rsidRDefault="00610BDB" w:rsidP="00735609">
            <w:pPr>
              <w:pStyle w:val="BodyText"/>
              <w:rPr>
                <w:sz w:val="20"/>
              </w:rPr>
            </w:pPr>
            <w:r w:rsidRPr="00610BDB">
              <w:rPr>
                <w:sz w:val="20"/>
              </w:rPr>
              <w:t>Customers experience improved food and housing security</w:t>
            </w:r>
          </w:p>
        </w:tc>
      </w:tr>
      <w:tr w:rsidR="00610BDB" w:rsidRPr="00610BDB" w:rsidTr="000E2825">
        <w:tc>
          <w:tcPr>
            <w:tcW w:w="2812" w:type="dxa"/>
          </w:tcPr>
          <w:p w:rsidR="00610BDB" w:rsidRPr="00610BDB" w:rsidRDefault="00610BDB" w:rsidP="00735609">
            <w:pPr>
              <w:pStyle w:val="BodyText"/>
              <w:rPr>
                <w:sz w:val="20"/>
              </w:rPr>
            </w:pPr>
            <w:r w:rsidRPr="00610BDB">
              <w:rPr>
                <w:sz w:val="20"/>
              </w:rPr>
              <w:t>Customers experience stability in housing</w:t>
            </w:r>
          </w:p>
        </w:tc>
        <w:tc>
          <w:tcPr>
            <w:tcW w:w="2812" w:type="dxa"/>
          </w:tcPr>
          <w:p w:rsidR="00610BDB" w:rsidRPr="00610BDB" w:rsidRDefault="00610BDB" w:rsidP="00610BDB">
            <w:pPr>
              <w:pStyle w:val="BodyText"/>
              <w:rPr>
                <w:sz w:val="20"/>
              </w:rPr>
            </w:pPr>
            <w:r w:rsidRPr="00610BDB">
              <w:rPr>
                <w:sz w:val="20"/>
              </w:rPr>
              <w:t>Reduction in experience of financial exploitation and pressure to give money to others</w:t>
            </w:r>
          </w:p>
        </w:tc>
        <w:tc>
          <w:tcPr>
            <w:tcW w:w="2812" w:type="dxa"/>
          </w:tcPr>
          <w:p w:rsidR="00610BDB" w:rsidRPr="00610BDB" w:rsidRDefault="00610BDB" w:rsidP="00735609">
            <w:pPr>
              <w:pStyle w:val="BodyText"/>
              <w:rPr>
                <w:sz w:val="20"/>
              </w:rPr>
            </w:pPr>
          </w:p>
        </w:tc>
      </w:tr>
      <w:tr w:rsidR="00610BDB" w:rsidRPr="00610BDB" w:rsidTr="000E2825">
        <w:tc>
          <w:tcPr>
            <w:tcW w:w="2812" w:type="dxa"/>
          </w:tcPr>
          <w:p w:rsidR="00610BDB" w:rsidRPr="00610BDB" w:rsidRDefault="00610BDB" w:rsidP="00735609">
            <w:pPr>
              <w:pStyle w:val="BodyText"/>
              <w:rPr>
                <w:sz w:val="20"/>
              </w:rPr>
            </w:pPr>
          </w:p>
        </w:tc>
        <w:tc>
          <w:tcPr>
            <w:tcW w:w="2812" w:type="dxa"/>
          </w:tcPr>
          <w:p w:rsidR="00610BDB" w:rsidRPr="00610BDB" w:rsidRDefault="00610BDB" w:rsidP="000E2825">
            <w:pPr>
              <w:pStyle w:val="BodyText"/>
              <w:rPr>
                <w:sz w:val="20"/>
              </w:rPr>
            </w:pPr>
            <w:r w:rsidRPr="00610BDB">
              <w:rPr>
                <w:sz w:val="20"/>
              </w:rPr>
              <w:t>Increased capacity to manage finances and budgeting and greater financial stability</w:t>
            </w:r>
          </w:p>
        </w:tc>
        <w:tc>
          <w:tcPr>
            <w:tcW w:w="2812" w:type="dxa"/>
          </w:tcPr>
          <w:p w:rsidR="00610BDB" w:rsidRPr="00610BDB" w:rsidRDefault="00610BDB" w:rsidP="000E2825">
            <w:pPr>
              <w:pStyle w:val="BodyText"/>
              <w:rPr>
                <w:sz w:val="20"/>
              </w:rPr>
            </w:pPr>
          </w:p>
        </w:tc>
      </w:tr>
      <w:tr w:rsidR="00610BDB" w:rsidRPr="00610BDB" w:rsidTr="000E2825">
        <w:tc>
          <w:tcPr>
            <w:tcW w:w="2812" w:type="dxa"/>
          </w:tcPr>
          <w:p w:rsidR="00610BDB" w:rsidRPr="00610BDB" w:rsidRDefault="00610BDB" w:rsidP="00735609">
            <w:pPr>
              <w:pStyle w:val="BodyText"/>
              <w:rPr>
                <w:sz w:val="20"/>
              </w:rPr>
            </w:pPr>
          </w:p>
        </w:tc>
        <w:tc>
          <w:tcPr>
            <w:tcW w:w="2812" w:type="dxa"/>
          </w:tcPr>
          <w:p w:rsidR="00610BDB" w:rsidRPr="00610BDB" w:rsidRDefault="00610BDB" w:rsidP="00610BDB">
            <w:pPr>
              <w:pStyle w:val="BodyText"/>
              <w:rPr>
                <w:sz w:val="20"/>
              </w:rPr>
            </w:pPr>
            <w:r w:rsidRPr="00610BDB">
              <w:rPr>
                <w:sz w:val="20"/>
              </w:rPr>
              <w:t>Customers experience greater housing stability</w:t>
            </w:r>
          </w:p>
        </w:tc>
        <w:tc>
          <w:tcPr>
            <w:tcW w:w="2812" w:type="dxa"/>
          </w:tcPr>
          <w:p w:rsidR="00610BDB" w:rsidRPr="00610BDB" w:rsidRDefault="00610BDB" w:rsidP="000E2825">
            <w:pPr>
              <w:pStyle w:val="BodyText"/>
              <w:rPr>
                <w:sz w:val="20"/>
              </w:rPr>
            </w:pPr>
          </w:p>
        </w:tc>
      </w:tr>
    </w:tbl>
    <w:p w:rsidR="004636A3" w:rsidRPr="004636A3" w:rsidRDefault="004636A3" w:rsidP="004636A3">
      <w:pPr>
        <w:pStyle w:val="SubHeading"/>
        <w:rPr>
          <w:color w:val="002776"/>
          <w:lang w:eastAsia="en-AU"/>
        </w:rPr>
      </w:pPr>
      <w:r>
        <w:rPr>
          <w:color w:val="002776"/>
          <w:lang w:eastAsia="en-AU"/>
        </w:rPr>
        <w:t>The evaluation</w:t>
      </w:r>
      <w:r w:rsidR="00462DFE">
        <w:rPr>
          <w:color w:val="002776"/>
          <w:lang w:eastAsia="en-AU"/>
        </w:rPr>
        <w:t xml:space="preserve"> – overarching approach</w:t>
      </w:r>
    </w:p>
    <w:p w:rsidR="004636A3" w:rsidRDefault="004636A3" w:rsidP="004636A3">
      <w:pPr>
        <w:pStyle w:val="BodyText"/>
      </w:pPr>
      <w:r>
        <w:t>A</w:t>
      </w:r>
      <w:r w:rsidRPr="00DA7345">
        <w:t xml:space="preserve"> process evaluation </w:t>
      </w:r>
      <w:r>
        <w:t>and an outcome evaluation will be conducted</w:t>
      </w:r>
      <w:r w:rsidR="00E91A52" w:rsidRPr="00E91A52">
        <w:t xml:space="preserve"> </w:t>
      </w:r>
      <w:r w:rsidR="00E91A52" w:rsidRPr="00202247">
        <w:t>between 2012 and 2015</w:t>
      </w:r>
      <w:r>
        <w:t>.  Key elements of the adopted approach to the evaluation are:</w:t>
      </w:r>
    </w:p>
    <w:p w:rsidR="0041796A" w:rsidRPr="00B90654" w:rsidRDefault="004636A3" w:rsidP="00444F3C">
      <w:pPr>
        <w:pStyle w:val="Bullet1"/>
      </w:pPr>
      <w:proofErr w:type="gramStart"/>
      <w:r>
        <w:t>comparison</w:t>
      </w:r>
      <w:proofErr w:type="gramEnd"/>
      <w:r>
        <w:t xml:space="preserve"> of </w:t>
      </w:r>
      <w:r w:rsidR="00444F3C">
        <w:t xml:space="preserve">the five </w:t>
      </w:r>
      <w:r>
        <w:t xml:space="preserve">PBIM trial sites with </w:t>
      </w:r>
      <w:r w:rsidR="00CC4029">
        <w:t xml:space="preserve">five </w:t>
      </w:r>
      <w:r>
        <w:t>sites</w:t>
      </w:r>
      <w:r w:rsidR="00CC4029">
        <w:t xml:space="preserve"> that have similar characteristics to the trial sites but where </w:t>
      </w:r>
      <w:r>
        <w:t>PBIM</w:t>
      </w:r>
      <w:r w:rsidR="00CC4029">
        <w:t xml:space="preserve"> has not been implemented</w:t>
      </w:r>
      <w:r w:rsidR="00444F3C">
        <w:t xml:space="preserve">.  </w:t>
      </w:r>
      <w:r w:rsidR="0041796A">
        <w:t>The comparison sites are: Wyong in NSW, Shellharbour in NSW,</w:t>
      </w:r>
      <w:r w:rsidR="00AC2DA2">
        <w:t xml:space="preserve"> Canterbury in NSW,</w:t>
      </w:r>
      <w:r w:rsidR="0041796A">
        <w:t xml:space="preserve"> Hume in Victoria and Burnie in Tasmania.</w:t>
      </w:r>
    </w:p>
    <w:p w:rsidR="004636A3" w:rsidRDefault="004636A3" w:rsidP="004636A3">
      <w:pPr>
        <w:pStyle w:val="Bullet1"/>
      </w:pPr>
      <w:r>
        <w:lastRenderedPageBreak/>
        <w:t>collection of baseline data as soon as PBIM has commenced (which constitutes the baseline fieldwork), followed by further waves of data collection in subsequent years; and</w:t>
      </w:r>
    </w:p>
    <w:p w:rsidR="004636A3" w:rsidRDefault="004636A3" w:rsidP="004636A3">
      <w:pPr>
        <w:pStyle w:val="Bullet1"/>
      </w:pPr>
      <w:proofErr w:type="gramStart"/>
      <w:r>
        <w:t>sourcing</w:t>
      </w:r>
      <w:proofErr w:type="gramEnd"/>
      <w:r>
        <w:t xml:space="preserve"> and synthesis of a range of secondary data sources to understand the community level impacts of PBIM.</w:t>
      </w:r>
    </w:p>
    <w:p w:rsidR="004636A3" w:rsidRDefault="004636A3" w:rsidP="004636A3">
      <w:pPr>
        <w:pStyle w:val="BodyText"/>
      </w:pPr>
      <w:r>
        <w:t>A requirement was to align t</w:t>
      </w:r>
      <w:r w:rsidRPr="000F7775">
        <w:t xml:space="preserve">he </w:t>
      </w:r>
      <w:r>
        <w:t xml:space="preserve">evaluation </w:t>
      </w:r>
      <w:r w:rsidRPr="000F7775">
        <w:t>framework, where appropriate, with the design of the other evaluation of income management running concurrently</w:t>
      </w:r>
      <w:r>
        <w:t xml:space="preserve"> — </w:t>
      </w:r>
      <w:r w:rsidRPr="00DA7345">
        <w:t>income management in the Northern Territory (referred to as New Income Management</w:t>
      </w:r>
      <w:r>
        <w:t>; NIM</w:t>
      </w:r>
      <w:r w:rsidRPr="00DA7345">
        <w:t xml:space="preserve">). </w:t>
      </w:r>
    </w:p>
    <w:p w:rsidR="004636A3" w:rsidRDefault="004636A3" w:rsidP="004636A3">
      <w:pPr>
        <w:pStyle w:val="BodyText"/>
      </w:pPr>
      <w:r w:rsidRPr="00DA7345">
        <w:t>The evaluation will not analyse broader BAFW outcomes, nor will it analyse the effectiveness of any of the other place-based initiatives also being implemented in the five locations in addition to income management. It will, however, be looking at how these other initiatives impact on the effectiveness of income management and whether any outcomes (intended and unintended) have resulted due to the interaction of the suite of initiatives.</w:t>
      </w:r>
    </w:p>
    <w:p w:rsidR="00462DFE" w:rsidRPr="004636A3" w:rsidRDefault="00462DFE" w:rsidP="00462DFE">
      <w:pPr>
        <w:pStyle w:val="SubHeading"/>
        <w:rPr>
          <w:color w:val="002776"/>
          <w:lang w:eastAsia="en-AU"/>
        </w:rPr>
      </w:pPr>
      <w:r>
        <w:rPr>
          <w:color w:val="002776"/>
          <w:lang w:eastAsia="en-AU"/>
        </w:rPr>
        <w:t>Evaluation questions</w:t>
      </w:r>
    </w:p>
    <w:p w:rsidR="00462DFE" w:rsidRDefault="00462DFE" w:rsidP="00462DFE">
      <w:pPr>
        <w:pStyle w:val="BodyText"/>
      </w:pPr>
      <w:r>
        <w:t>A set of questions has been developed to guide the evaluation, including process and outcomes evaluation questions, as well as questions relevant to each individual PBIM measure.</w:t>
      </w:r>
    </w:p>
    <w:p w:rsidR="00E91A52" w:rsidRPr="004636A3" w:rsidRDefault="00E91A52" w:rsidP="00E91A52">
      <w:pPr>
        <w:pStyle w:val="SubHeading"/>
        <w:rPr>
          <w:color w:val="002776"/>
          <w:lang w:eastAsia="en-AU"/>
        </w:rPr>
      </w:pPr>
      <w:r>
        <w:rPr>
          <w:color w:val="002776"/>
          <w:lang w:eastAsia="en-AU"/>
        </w:rPr>
        <w:t>Evaluation methods</w:t>
      </w:r>
    </w:p>
    <w:p w:rsidR="00D504CF" w:rsidRDefault="00E91A52" w:rsidP="004636A3">
      <w:pPr>
        <w:pStyle w:val="BodyText"/>
      </w:pPr>
      <w:r>
        <w:t>A mixed methodologies approach has been adopted</w:t>
      </w:r>
      <w:r w:rsidR="00D504CF">
        <w:t xml:space="preserve"> involving collection and analysis of both primary and secondary data.  </w:t>
      </w:r>
    </w:p>
    <w:p w:rsidR="00E91A52" w:rsidRDefault="00D504CF" w:rsidP="004636A3">
      <w:pPr>
        <w:pStyle w:val="BodyText"/>
      </w:pPr>
      <w:r>
        <w:t>Primary data collection will include the following.</w:t>
      </w:r>
    </w:p>
    <w:p w:rsidR="00E91A52" w:rsidRDefault="00E91A52" w:rsidP="00E91A52">
      <w:pPr>
        <w:pStyle w:val="Bullet1"/>
      </w:pPr>
      <w:proofErr w:type="gramStart"/>
      <w:r w:rsidRPr="00126CD3">
        <w:rPr>
          <w:b/>
          <w:color w:val="002060"/>
        </w:rPr>
        <w:t>a</w:t>
      </w:r>
      <w:proofErr w:type="gramEnd"/>
      <w:r w:rsidRPr="00126CD3">
        <w:rPr>
          <w:b/>
          <w:color w:val="002060"/>
        </w:rPr>
        <w:t xml:space="preserve"> longitudinal survey of DHS customers</w:t>
      </w:r>
      <w:r w:rsidRPr="00126CD3">
        <w:rPr>
          <w:color w:val="002060"/>
        </w:rPr>
        <w:t xml:space="preserve"> </w:t>
      </w:r>
      <w:r>
        <w:t>over a 3 year period in both the trial and the comparison sites to capture the immediate and more sustained impacts of income management on customers’ lives.</w:t>
      </w:r>
      <w:r w:rsidRPr="00E91A52">
        <w:t xml:space="preserve"> </w:t>
      </w:r>
      <w:r>
        <w:t xml:space="preserve"> Customers will be recruited in July </w:t>
      </w:r>
      <w:r w:rsidR="00E97C01">
        <w:t xml:space="preserve">2012 </w:t>
      </w:r>
      <w:r>
        <w:t xml:space="preserve">to </w:t>
      </w:r>
      <w:r w:rsidR="00E97C01">
        <w:t>June</w:t>
      </w:r>
      <w:r>
        <w:t xml:space="preserve"> 201</w:t>
      </w:r>
      <w:r w:rsidR="00E97C01">
        <w:t>3</w:t>
      </w:r>
      <w:r>
        <w:t xml:space="preserve"> using an opt-out consent strategy.</w:t>
      </w:r>
      <w:r w:rsidRPr="00E91A52">
        <w:t xml:space="preserve"> </w:t>
      </w:r>
      <w:r>
        <w:t xml:space="preserve">The longitudinal customer survey </w:t>
      </w:r>
      <w:r w:rsidR="00E97C01">
        <w:t>originally aimed to</w:t>
      </w:r>
      <w:r>
        <w:t xml:space="preserve"> achieve a sample of 150 participants in each site by the end the final fieldwork wave, which require</w:t>
      </w:r>
      <w:r w:rsidR="00E97C01">
        <w:t>d</w:t>
      </w:r>
      <w:r>
        <w:t xml:space="preserve"> an initial sample of approximately 485 in each site.</w:t>
      </w:r>
      <w:r w:rsidR="00E97C01">
        <w:t xml:space="preserve"> Noting the lower than expected referral rate</w:t>
      </w:r>
      <w:r w:rsidR="00EA6F5F">
        <w:t>s</w:t>
      </w:r>
      <w:r w:rsidR="00E97C01">
        <w:t xml:space="preserve"> </w:t>
      </w:r>
      <w:r w:rsidR="00EA6F5F">
        <w:t>for</w:t>
      </w:r>
      <w:r w:rsidR="00E97C01">
        <w:t xml:space="preserve"> the PBIM measures over the initial baseline period, it is unlikely that this number will be achieved and the evaluation will have to rely on a more modest longitudinal survey sample.</w:t>
      </w:r>
    </w:p>
    <w:p w:rsidR="00E91A52" w:rsidRPr="00221F26" w:rsidRDefault="00E91A52" w:rsidP="00E91A52">
      <w:pPr>
        <w:pStyle w:val="Bullet1"/>
      </w:pPr>
      <w:r w:rsidRPr="00126CD3">
        <w:rPr>
          <w:b/>
          <w:color w:val="002060"/>
        </w:rPr>
        <w:t>Face to face interviews with DHS customers</w:t>
      </w:r>
      <w:r w:rsidRPr="00126CD3">
        <w:rPr>
          <w:color w:val="002060"/>
        </w:rPr>
        <w:t xml:space="preserve"> </w:t>
      </w:r>
      <w:r w:rsidRPr="00221F26">
        <w:t xml:space="preserve">to gain a more detailed understanding of the impact of </w:t>
      </w:r>
      <w:r>
        <w:t>IM</w:t>
      </w:r>
      <w:r w:rsidRPr="00221F26">
        <w:t xml:space="preserve"> of </w:t>
      </w:r>
      <w:r>
        <w:t>their</w:t>
      </w:r>
      <w:r w:rsidRPr="00221F26">
        <w:t xml:space="preserve"> day to day lives, and the lives of their families or household unit.</w:t>
      </w:r>
      <w:r w:rsidRPr="00E91A52">
        <w:t xml:space="preserve"> </w:t>
      </w:r>
      <w:r w:rsidRPr="00221F26">
        <w:t xml:space="preserve">These interviews </w:t>
      </w:r>
      <w:r>
        <w:t xml:space="preserve">will </w:t>
      </w:r>
      <w:r w:rsidRPr="00221F26">
        <w:t xml:space="preserve">be undertaken with 10 </w:t>
      </w:r>
      <w:r>
        <w:t>customer</w:t>
      </w:r>
      <w:r w:rsidRPr="00221F26">
        <w:t>s, and up to two family or household members, in each of the trial sites in 2013 and 2014 (leading to a sample of</w:t>
      </w:r>
      <w:r>
        <w:t xml:space="preserve"> at least</w:t>
      </w:r>
      <w:r w:rsidRPr="00221F26">
        <w:t xml:space="preserve"> 50 </w:t>
      </w:r>
      <w:r>
        <w:t>interviews</w:t>
      </w:r>
      <w:r w:rsidRPr="00221F26">
        <w:t xml:space="preserve"> at each wave)</w:t>
      </w:r>
      <w:r>
        <w:t>.  T</w:t>
      </w:r>
      <w:r w:rsidRPr="00221F26">
        <w:t xml:space="preserve">he </w:t>
      </w:r>
      <w:r>
        <w:t xml:space="preserve">customer </w:t>
      </w:r>
      <w:r w:rsidRPr="00221F26">
        <w:t xml:space="preserve">sample </w:t>
      </w:r>
      <w:r>
        <w:t>will</w:t>
      </w:r>
      <w:r w:rsidRPr="00221F26">
        <w:t xml:space="preserve"> be cross-sectional at each wave, rather than interviewing the same cohort of </w:t>
      </w:r>
      <w:r>
        <w:t>customer</w:t>
      </w:r>
      <w:r w:rsidRPr="00221F26">
        <w:t>s over the two fieldwork waves.</w:t>
      </w:r>
    </w:p>
    <w:p w:rsidR="00E91A52" w:rsidRDefault="00E91A52" w:rsidP="00E91A52">
      <w:pPr>
        <w:pStyle w:val="Bullet1"/>
      </w:pPr>
      <w:r w:rsidRPr="00126CD3">
        <w:rPr>
          <w:b/>
          <w:color w:val="002060"/>
        </w:rPr>
        <w:t>Online surveys</w:t>
      </w:r>
      <w:r w:rsidRPr="00126CD3">
        <w:rPr>
          <w:color w:val="002060"/>
        </w:rPr>
        <w:t xml:space="preserve"> </w:t>
      </w:r>
      <w:r>
        <w:t>will be undertaken with</w:t>
      </w:r>
      <w:r w:rsidR="00D504CF">
        <w:t>:</w:t>
      </w:r>
      <w:r>
        <w:t xml:space="preserve"> </w:t>
      </w:r>
    </w:p>
    <w:p w:rsidR="00E91A52" w:rsidRPr="00796924" w:rsidRDefault="00E91A52" w:rsidP="00D504CF">
      <w:pPr>
        <w:pStyle w:val="Bullet2"/>
        <w:ind w:left="1134" w:hanging="567"/>
      </w:pPr>
      <w:r w:rsidRPr="006D6AD4">
        <w:rPr>
          <w:b/>
          <w:color w:val="002060"/>
        </w:rPr>
        <w:t>DHS staff involved in service delivery of IM</w:t>
      </w:r>
      <w:r w:rsidR="00B069E8">
        <w:t>.  The survey will be conducted</w:t>
      </w:r>
      <w:r w:rsidR="00B069E8" w:rsidRPr="00B069E8">
        <w:t xml:space="preserve"> </w:t>
      </w:r>
      <w:r w:rsidR="00B069E8">
        <w:t>in 201</w:t>
      </w:r>
      <w:r w:rsidR="00EB3899">
        <w:t>3</w:t>
      </w:r>
      <w:r w:rsidR="00B069E8">
        <w:t xml:space="preserve"> and again in 2014. </w:t>
      </w:r>
      <w:r w:rsidR="00B069E8" w:rsidRPr="00B069E8">
        <w:t xml:space="preserve"> </w:t>
      </w:r>
      <w:r w:rsidR="00B069E8">
        <w:t xml:space="preserve">This first wave of the survey will be more focussed on </w:t>
      </w:r>
      <w:r w:rsidR="00B069E8">
        <w:lastRenderedPageBreak/>
        <w:t>issues related to the process of implementation, while the survey in 2014 will be focussed on the assessment of the impact of income management on customer outcomes.</w:t>
      </w:r>
    </w:p>
    <w:p w:rsidR="00E91A52" w:rsidRDefault="00E91A52" w:rsidP="00D504CF">
      <w:pPr>
        <w:pStyle w:val="Bullet2"/>
        <w:ind w:left="1134" w:hanging="567"/>
      </w:pPr>
      <w:r w:rsidRPr="006D6AD4">
        <w:rPr>
          <w:b/>
          <w:color w:val="002060"/>
        </w:rPr>
        <w:t>Money Management and Financial Counselling staff</w:t>
      </w:r>
      <w:r w:rsidR="00D504CF">
        <w:t>.</w:t>
      </w:r>
      <w:r>
        <w:t xml:space="preserve"> </w:t>
      </w:r>
      <w:r w:rsidR="00D504CF" w:rsidRPr="00B06F9C">
        <w:t>The initial survey in 201</w:t>
      </w:r>
      <w:r w:rsidR="00EB3899">
        <w:t>3</w:t>
      </w:r>
      <w:r w:rsidR="00D504CF" w:rsidRPr="00B06F9C">
        <w:t xml:space="preserve"> will be focussed on the assessment of any issues related to implementation, while the survey in 2014 will be focussed on understanding what outcomes may have been achieved for </w:t>
      </w:r>
      <w:r w:rsidR="00D504CF">
        <w:t>customer</w:t>
      </w:r>
      <w:r w:rsidR="00D504CF" w:rsidRPr="00B06F9C">
        <w:t>s.</w:t>
      </w:r>
    </w:p>
    <w:p w:rsidR="00E91A52" w:rsidRDefault="006D6AD4" w:rsidP="00D504CF">
      <w:pPr>
        <w:pStyle w:val="Bullet2"/>
        <w:ind w:left="1134" w:hanging="567"/>
      </w:pPr>
      <w:r w:rsidRPr="006D6AD4">
        <w:rPr>
          <w:b/>
          <w:color w:val="002060"/>
        </w:rPr>
        <w:t>M</w:t>
      </w:r>
      <w:r w:rsidR="00E91A52" w:rsidRPr="006D6AD4">
        <w:rPr>
          <w:b/>
          <w:color w:val="002060"/>
        </w:rPr>
        <w:t>erchants accepting BasicsCards</w:t>
      </w:r>
      <w:r w:rsidR="00E91A52" w:rsidRPr="00931293">
        <w:t xml:space="preserve"> in 201</w:t>
      </w:r>
      <w:r w:rsidR="00EB3899">
        <w:t>3</w:t>
      </w:r>
      <w:r w:rsidR="00E91A52" w:rsidRPr="00931293">
        <w:t xml:space="preserve"> and 201</w:t>
      </w:r>
      <w:r w:rsidR="00EB3899">
        <w:t>4</w:t>
      </w:r>
      <w:r w:rsidR="00E91A52" w:rsidRPr="00931293">
        <w:t>, to examine the issues related to the process of implementation of the BasicsCards.</w:t>
      </w:r>
      <w:r w:rsidR="00E91A52">
        <w:t xml:space="preserve">  </w:t>
      </w:r>
    </w:p>
    <w:p w:rsidR="00E91A52" w:rsidRPr="00147F6D" w:rsidRDefault="00E91A52" w:rsidP="00D504CF">
      <w:pPr>
        <w:pStyle w:val="Bullet1"/>
      </w:pPr>
      <w:r w:rsidRPr="00126CD3">
        <w:rPr>
          <w:b/>
          <w:color w:val="002060"/>
        </w:rPr>
        <w:t>Stakeholder interviews and focus groups</w:t>
      </w:r>
      <w:r w:rsidR="00D504CF">
        <w:t xml:space="preserve">.  </w:t>
      </w:r>
      <w:r w:rsidR="00290605">
        <w:t>Focus groups</w:t>
      </w:r>
      <w:r>
        <w:t xml:space="preserve"> will be undertaken with </w:t>
      </w:r>
      <w:r w:rsidR="00290605">
        <w:t xml:space="preserve">DHS staff and </w:t>
      </w:r>
      <w:r>
        <w:t xml:space="preserve">Child Protection staff in each PBIM </w:t>
      </w:r>
      <w:proofErr w:type="gramStart"/>
      <w:r>
        <w:t>site  in</w:t>
      </w:r>
      <w:proofErr w:type="gramEnd"/>
      <w:r>
        <w:t xml:space="preserve"> 201</w:t>
      </w:r>
      <w:r w:rsidR="00290605">
        <w:t>2</w:t>
      </w:r>
      <w:r>
        <w:t xml:space="preserve"> and 2014.  </w:t>
      </w:r>
      <w:r w:rsidR="00290605">
        <w:t>In 2013, w</w:t>
      </w:r>
      <w:r>
        <w:t>e would seek to include key community and departmental stakeholders in these groups, including:</w:t>
      </w:r>
      <w:r w:rsidR="00D504CF">
        <w:t xml:space="preserve"> </w:t>
      </w:r>
      <w:r>
        <w:t>child protection workers;</w:t>
      </w:r>
      <w:r w:rsidR="00D504CF">
        <w:t xml:space="preserve"> </w:t>
      </w:r>
      <w:r w:rsidRPr="00147F6D">
        <w:t>public housing authorities;</w:t>
      </w:r>
      <w:r w:rsidR="00D504CF">
        <w:t xml:space="preserve"> </w:t>
      </w:r>
      <w:r>
        <w:t xml:space="preserve">DHS </w:t>
      </w:r>
      <w:r w:rsidRPr="00147F6D">
        <w:t xml:space="preserve">Zone Income Management Coordinators; </w:t>
      </w:r>
      <w:r>
        <w:t xml:space="preserve">DHS </w:t>
      </w:r>
      <w:r w:rsidRPr="00147F6D">
        <w:t xml:space="preserve">Government Action Leaders (GALs) and </w:t>
      </w:r>
      <w:r>
        <w:t xml:space="preserve">BAFW </w:t>
      </w:r>
      <w:r w:rsidRPr="00147F6D">
        <w:t xml:space="preserve">Community Action Leaders (CALs) involved in the implementation of the Better Futures, Local Solutions; and Community and non-government organisations who may have contact with income management </w:t>
      </w:r>
      <w:r>
        <w:t>customer</w:t>
      </w:r>
      <w:r w:rsidRPr="00147F6D">
        <w:t>s, for example through the Communities for Children program.</w:t>
      </w:r>
    </w:p>
    <w:p w:rsidR="00513E4D" w:rsidRDefault="00D504CF" w:rsidP="00513E4D">
      <w:pPr>
        <w:pStyle w:val="BodyText"/>
      </w:pPr>
      <w:r w:rsidRPr="006D6AD4">
        <w:rPr>
          <w:b/>
          <w:color w:val="002060"/>
        </w:rPr>
        <w:t>Secondary data</w:t>
      </w:r>
      <w:r w:rsidR="00E91A52">
        <w:t>, principally administrative data, is a key component of the mixed-methods approach.</w:t>
      </w:r>
      <w:r w:rsidR="00462DFE">
        <w:t xml:space="preserve">  </w:t>
      </w:r>
      <w:r w:rsidR="00513E4D" w:rsidRPr="006D6AD4">
        <w:rPr>
          <w:rStyle w:val="Boldword"/>
          <w:b w:val="0"/>
          <w:color w:val="auto"/>
        </w:rPr>
        <w:t xml:space="preserve">The secondary data sources and data items ultimately used in the evaluation </w:t>
      </w:r>
      <w:r w:rsidR="006D6AD4" w:rsidRPr="006D6AD4">
        <w:rPr>
          <w:rStyle w:val="Boldword"/>
          <w:b w:val="0"/>
          <w:color w:val="auto"/>
        </w:rPr>
        <w:t>will be</w:t>
      </w:r>
      <w:r w:rsidR="00DE784E" w:rsidRPr="006D6AD4">
        <w:rPr>
          <w:rStyle w:val="Boldword"/>
          <w:b w:val="0"/>
          <w:color w:val="auto"/>
        </w:rPr>
        <w:t xml:space="preserve"> </w:t>
      </w:r>
      <w:r w:rsidR="00513E4D" w:rsidRPr="006D6AD4">
        <w:rPr>
          <w:rStyle w:val="Boldword"/>
          <w:b w:val="0"/>
          <w:color w:val="auto"/>
        </w:rPr>
        <w:t>finalised</w:t>
      </w:r>
      <w:r w:rsidR="00DE784E" w:rsidRPr="006D6AD4">
        <w:rPr>
          <w:rStyle w:val="Boldword"/>
          <w:b w:val="0"/>
          <w:color w:val="auto"/>
        </w:rPr>
        <w:t xml:space="preserve"> in discussion with jurisdictions</w:t>
      </w:r>
      <w:r w:rsidR="00513E4D" w:rsidRPr="006D6AD4">
        <w:rPr>
          <w:rStyle w:val="Boldword"/>
          <w:b w:val="0"/>
          <w:color w:val="auto"/>
        </w:rPr>
        <w:t>.</w:t>
      </w:r>
    </w:p>
    <w:p w:rsidR="00E91A52" w:rsidRDefault="00E91A52" w:rsidP="00E91A52">
      <w:pPr>
        <w:pStyle w:val="BodyText"/>
      </w:pPr>
      <w:r>
        <w:t xml:space="preserve">Secondary data measurements used in the </w:t>
      </w:r>
      <w:r w:rsidRPr="003B4488">
        <w:rPr>
          <w:i/>
        </w:rPr>
        <w:t>Process Evaluation</w:t>
      </w:r>
      <w:r>
        <w:t xml:space="preserve"> </w:t>
      </w:r>
      <w:r w:rsidR="00462DFE">
        <w:t xml:space="preserve">will </w:t>
      </w:r>
      <w:r>
        <w:t>focus on:</w:t>
      </w:r>
    </w:p>
    <w:p w:rsidR="00E91A52" w:rsidRDefault="00E91A52" w:rsidP="00E91A52">
      <w:pPr>
        <w:pStyle w:val="Bullet1"/>
      </w:pPr>
      <w:r>
        <w:t>Participation in PBIM and various components of the program.</w:t>
      </w:r>
    </w:p>
    <w:p w:rsidR="00E91A52" w:rsidRDefault="00E91A52" w:rsidP="00E91A52">
      <w:pPr>
        <w:pStyle w:val="Bullet1"/>
      </w:pPr>
      <w:r>
        <w:t>Time to respond to customer needs.</w:t>
      </w:r>
    </w:p>
    <w:p w:rsidR="00E91A52" w:rsidRDefault="00E91A52" w:rsidP="00E91A52">
      <w:pPr>
        <w:pStyle w:val="Bullet1"/>
      </w:pPr>
      <w:r>
        <w:t>The number and type of services and resources available  (e.g. merchants, money management workers, case workers)</w:t>
      </w:r>
    </w:p>
    <w:p w:rsidR="00E91A52" w:rsidRDefault="00E91A52" w:rsidP="00E91A52">
      <w:pPr>
        <w:pStyle w:val="BodyText"/>
      </w:pPr>
      <w:r>
        <w:t xml:space="preserve">The measurements from the secondary data for the </w:t>
      </w:r>
      <w:r w:rsidRPr="00A514C5">
        <w:rPr>
          <w:i/>
        </w:rPr>
        <w:t>Outcome Evaluation</w:t>
      </w:r>
      <w:r>
        <w:t xml:space="preserve"> are mainly in terms of trends</w:t>
      </w:r>
      <w:r w:rsidR="00513E4D">
        <w:t>.  Some of the data likely to be used</w:t>
      </w:r>
      <w:r w:rsidR="00DE784E">
        <w:t xml:space="preserve"> —</w:t>
      </w:r>
      <w:r w:rsidR="00513E4D">
        <w:t xml:space="preserve"> subject to discussion with jurisdictions</w:t>
      </w:r>
      <w:r w:rsidR="00DE784E">
        <w:t xml:space="preserve"> —</w:t>
      </w:r>
      <w:r w:rsidR="00513E4D">
        <w:t xml:space="preserve"> include</w:t>
      </w:r>
      <w:r>
        <w:t>:</w:t>
      </w:r>
    </w:p>
    <w:p w:rsidR="00A76F4C" w:rsidRDefault="00A76F4C" w:rsidP="00A76F4C">
      <w:pPr>
        <w:pStyle w:val="Bullet1"/>
      </w:pPr>
      <w:r>
        <w:t>Customer’s engagement with PBIM (e.g. how long they stay on PBIM).</w:t>
      </w:r>
    </w:p>
    <w:p w:rsidR="00A76F4C" w:rsidRDefault="00A76F4C" w:rsidP="00A76F4C">
      <w:pPr>
        <w:pStyle w:val="Bullet1"/>
      </w:pPr>
      <w:r>
        <w:t>Engagement with the financial components of PBIM (e.g. PBIM account balance).</w:t>
      </w:r>
    </w:p>
    <w:p w:rsidR="00A76F4C" w:rsidRDefault="00A76F4C" w:rsidP="00A76F4C">
      <w:pPr>
        <w:pStyle w:val="Bullet1"/>
      </w:pPr>
      <w:r>
        <w:t>Expenditure patterns of PBIM customers.</w:t>
      </w:r>
    </w:p>
    <w:p w:rsidR="00A76F4C" w:rsidRDefault="00A76F4C" w:rsidP="00A76F4C">
      <w:pPr>
        <w:pStyle w:val="Bullet1"/>
      </w:pPr>
      <w:r>
        <w:t>Life status statistics as can be provided by Commonwealth and State agencies.</w:t>
      </w:r>
    </w:p>
    <w:p w:rsidR="00E91A52" w:rsidRDefault="00E91A52" w:rsidP="00E91A52">
      <w:pPr>
        <w:pStyle w:val="BodyText"/>
      </w:pPr>
      <w:r>
        <w:t>A number of data sources are required to derive the diverse range of measurements outlined for evaluation from secondary data.  In summary they are:</w:t>
      </w:r>
    </w:p>
    <w:p w:rsidR="00E91A52" w:rsidRDefault="00E91A52" w:rsidP="00E91A52">
      <w:pPr>
        <w:pStyle w:val="Bullet1"/>
      </w:pPr>
      <w:r>
        <w:t>DHS administrative data which is a source of a number of key data sets namely,</w:t>
      </w:r>
    </w:p>
    <w:p w:rsidR="00E91A52" w:rsidRDefault="00E91A52" w:rsidP="00E91A52">
      <w:pPr>
        <w:pStyle w:val="Bullet2"/>
      </w:pPr>
      <w:r>
        <w:t>Centrelink customer records of customers in the trial and comparison sites.</w:t>
      </w:r>
    </w:p>
    <w:p w:rsidR="00E91A52" w:rsidRDefault="00E91A52" w:rsidP="00E91A52">
      <w:pPr>
        <w:pStyle w:val="Bullet2"/>
      </w:pPr>
      <w:r>
        <w:t>PBIM administrative data of persons on PBIM in the trial sites.</w:t>
      </w:r>
    </w:p>
    <w:p w:rsidR="00E91A52" w:rsidRDefault="00E91A52" w:rsidP="00E91A52">
      <w:pPr>
        <w:pStyle w:val="Bullet2"/>
      </w:pPr>
      <w:r>
        <w:t>Income Management Account data of PBIM customers in the trial sites.</w:t>
      </w:r>
    </w:p>
    <w:p w:rsidR="00E91A52" w:rsidRDefault="00E91A52" w:rsidP="00E91A52">
      <w:pPr>
        <w:pStyle w:val="Bullet2"/>
      </w:pPr>
      <w:r>
        <w:t>Expenditure transaction data of PBIM customers in the trial sites.</w:t>
      </w:r>
    </w:p>
    <w:p w:rsidR="00E91A52" w:rsidRDefault="00E91A52" w:rsidP="00E91A52">
      <w:pPr>
        <w:pStyle w:val="Bullet2"/>
      </w:pPr>
      <w:r>
        <w:t>BasicsCard transaction data of PBIM customers in the trial sites.</w:t>
      </w:r>
    </w:p>
    <w:p w:rsidR="00E91A52" w:rsidRDefault="00E91A52" w:rsidP="00E91A52">
      <w:pPr>
        <w:pStyle w:val="Bullet2"/>
      </w:pPr>
      <w:r>
        <w:t>Merchant participation records.</w:t>
      </w:r>
    </w:p>
    <w:p w:rsidR="00E91A52" w:rsidRDefault="00E91A52" w:rsidP="00E91A52">
      <w:pPr>
        <w:pStyle w:val="Bullet2"/>
      </w:pPr>
      <w:r>
        <w:lastRenderedPageBreak/>
        <w:t>PBIM service usage data for customers in the trial sites.</w:t>
      </w:r>
    </w:p>
    <w:p w:rsidR="00E91A52" w:rsidRDefault="00E91A52" w:rsidP="00E91A52">
      <w:pPr>
        <w:pStyle w:val="Bullet1"/>
      </w:pPr>
      <w:r>
        <w:t>Merchant provided BasicsCard data.</w:t>
      </w:r>
    </w:p>
    <w:p w:rsidR="00E91A52" w:rsidRDefault="00E91A52" w:rsidP="00E91A52">
      <w:pPr>
        <w:pStyle w:val="Bullet1"/>
      </w:pPr>
      <w:r w:rsidRPr="000D2710">
        <w:t xml:space="preserve">FaHCSIA </w:t>
      </w:r>
      <w:r>
        <w:t>f</w:t>
      </w:r>
      <w:r w:rsidRPr="00AB4E98">
        <w:t xml:space="preserve">inancial management program </w:t>
      </w:r>
      <w:r>
        <w:t>(FMP) data for the trial and comparison sites.</w:t>
      </w:r>
    </w:p>
    <w:p w:rsidR="00E91A52" w:rsidRDefault="00E91A52" w:rsidP="00E91A52">
      <w:pPr>
        <w:pStyle w:val="Bullet1"/>
      </w:pPr>
      <w:r w:rsidRPr="000D2710">
        <w:t xml:space="preserve">FaHCSIA </w:t>
      </w:r>
      <w:r w:rsidRPr="004A2527">
        <w:rPr>
          <w:i/>
        </w:rPr>
        <w:t>Communities for Children</w:t>
      </w:r>
      <w:r>
        <w:t xml:space="preserve"> performance reports.</w:t>
      </w:r>
    </w:p>
    <w:p w:rsidR="00E91A52" w:rsidRDefault="00E91A52" w:rsidP="00E91A52">
      <w:pPr>
        <w:pStyle w:val="Bullet1"/>
      </w:pPr>
      <w:r>
        <w:t>Child protection data from State child protection authorities for the trial and comparison sites</w:t>
      </w:r>
    </w:p>
    <w:p w:rsidR="00E91A52" w:rsidRDefault="00E91A52" w:rsidP="00E91A52">
      <w:pPr>
        <w:pStyle w:val="Bullet1"/>
      </w:pPr>
      <w:r>
        <w:t>Housing data from State housing authorities for the trial and comparison sites.</w:t>
      </w:r>
    </w:p>
    <w:p w:rsidR="00E91A52" w:rsidRDefault="00E91A52" w:rsidP="00E91A52">
      <w:pPr>
        <w:pStyle w:val="Bullet1"/>
      </w:pPr>
      <w:r>
        <w:t>Homelessness data from the AIHW-SHS data collection</w:t>
      </w:r>
      <w:r w:rsidR="000C74F8">
        <w:t>.</w:t>
      </w:r>
      <w:r>
        <w:t xml:space="preserve"> </w:t>
      </w:r>
    </w:p>
    <w:p w:rsidR="00E91A52" w:rsidRDefault="00E91A52" w:rsidP="00E91A52">
      <w:pPr>
        <w:pStyle w:val="Bullet1"/>
      </w:pPr>
      <w:r>
        <w:t>ABS population data for the trial and comparison LGAs.</w:t>
      </w:r>
    </w:p>
    <w:p w:rsidR="00E91A52" w:rsidRDefault="00E91A52" w:rsidP="00E91A52">
      <w:pPr>
        <w:pStyle w:val="Bullet1"/>
      </w:pPr>
      <w:r>
        <w:t>Resourcing related data sources.</w:t>
      </w:r>
    </w:p>
    <w:p w:rsidR="006644E8" w:rsidRDefault="006644E8" w:rsidP="00E91A52">
      <w:pPr>
        <w:pStyle w:val="BodyText"/>
      </w:pPr>
      <w:r w:rsidRPr="006D6AD4">
        <w:rPr>
          <w:b/>
          <w:color w:val="002060"/>
        </w:rPr>
        <w:t>Child protection case file analysis</w:t>
      </w:r>
      <w:r w:rsidR="00ED376F" w:rsidRPr="006D6AD4">
        <w:rPr>
          <w:color w:val="002060"/>
        </w:rPr>
        <w:t xml:space="preserve"> </w:t>
      </w:r>
      <w:r w:rsidR="00ED376F" w:rsidRPr="007359FB">
        <w:t>will also be considered as an additional methodology</w:t>
      </w:r>
      <w:r w:rsidR="00255A72">
        <w:t xml:space="preserve"> in the evaluation of PBIM</w:t>
      </w:r>
      <w:r w:rsidR="00ED376F" w:rsidRPr="007359FB">
        <w:t>, noting that the initial numbers of cust</w:t>
      </w:r>
      <w:r w:rsidR="00255A72">
        <w:t>omers being referred for CPIM has been</w:t>
      </w:r>
      <w:r w:rsidR="00ED376F" w:rsidRPr="007359FB">
        <w:t xml:space="preserve"> c</w:t>
      </w:r>
      <w:r w:rsidR="00ED376F" w:rsidRPr="00255A72">
        <w:t>onsiderably lower than expected. A methodology</w:t>
      </w:r>
      <w:r w:rsidR="00ED376F">
        <w:t xml:space="preserve"> for the child protection case file analysis will need to be agreed with jurisdictions, and submitted as an amendment to the original ethics application, as it was not considered as part of the original evaluation approach.</w:t>
      </w:r>
      <w:r w:rsidR="007359FB">
        <w:t xml:space="preserve"> The child protection case file analysis would consider outcomes for CPIM customers such as reunifications, documented child neglect, and length of engagement with child protection services, and is anticipated to be undertaken towards the end of 2014.</w:t>
      </w:r>
    </w:p>
    <w:p w:rsidR="00E91A52" w:rsidRDefault="00E91A52" w:rsidP="00E91A52">
      <w:pPr>
        <w:pStyle w:val="BodyText"/>
      </w:pPr>
      <w:r>
        <w:t xml:space="preserve">Privacy issues and the sensitivity of the data required for evaluation preclude linking data from the different data sources. Thus the evaluation measurements from the secondary data sources need to be suitably granular and aligned to the targeted population if effects from PBIM are to be measureable.  A way of sampling data from these sources which would protect customer privacy while allowing alignment with the Income Management population is to use the addresses of people receiving possible trigger Income Support Payments in each LGA to provide a sampling frame for the secondary data sources.  </w:t>
      </w:r>
      <w:proofErr w:type="gramStart"/>
      <w:r>
        <w:t>This  approach</w:t>
      </w:r>
      <w:proofErr w:type="gramEnd"/>
      <w:r>
        <w:t xml:space="preserve"> would involve drawing a list of addresses by LGA from the DHS database.  No other data items other than address would be drawn.  These lists would then be provided to the other agencies for selecting the relevant records from their datasets.  The data returned from the agencies would be totally unidentified (if a unit record file) or aggregated if required.</w:t>
      </w:r>
    </w:p>
    <w:p w:rsidR="00E91A52" w:rsidRPr="00462DFE" w:rsidRDefault="00E91A52" w:rsidP="00462DFE">
      <w:pPr>
        <w:pStyle w:val="SubHeading"/>
        <w:rPr>
          <w:color w:val="002776"/>
          <w:lang w:eastAsia="en-AU"/>
        </w:rPr>
      </w:pPr>
      <w:r w:rsidRPr="00462DFE">
        <w:rPr>
          <w:color w:val="002776"/>
          <w:lang w:eastAsia="en-AU"/>
        </w:rPr>
        <w:t>Strengths, weaknesses, caveats and considerations</w:t>
      </w:r>
    </w:p>
    <w:p w:rsidR="00E91A52" w:rsidRPr="004C1FB6" w:rsidRDefault="00E91A52" w:rsidP="00E91A52">
      <w:pPr>
        <w:pStyle w:val="BodyText"/>
      </w:pPr>
      <w:r w:rsidRPr="004C1FB6">
        <w:t xml:space="preserve">The methodological approach and the data collected have been tailored to assess the outcomes of place-based income management for individuals, families and communities subject to the three different </w:t>
      </w:r>
      <w:r w:rsidR="00037695">
        <w:t>measure</w:t>
      </w:r>
      <w:r w:rsidRPr="004C1FB6">
        <w:t>s, with respect to:</w:t>
      </w:r>
    </w:p>
    <w:p w:rsidR="00E91A52" w:rsidRPr="004C1FB6" w:rsidRDefault="00E91A52" w:rsidP="00E91A52">
      <w:pPr>
        <w:pStyle w:val="Bullet1"/>
      </w:pPr>
      <w:r w:rsidRPr="004C1FB6">
        <w:t xml:space="preserve">the different characteristics of the target populations </w:t>
      </w:r>
    </w:p>
    <w:p w:rsidR="00E91A52" w:rsidRPr="004C1FB6" w:rsidRDefault="00E91A52" w:rsidP="00E91A52">
      <w:pPr>
        <w:pStyle w:val="Bullet1"/>
      </w:pPr>
      <w:r w:rsidRPr="004C1FB6">
        <w:t xml:space="preserve">the (highly variable) number of participants on each of the </w:t>
      </w:r>
      <w:r w:rsidR="00037695">
        <w:t>measure</w:t>
      </w:r>
      <w:r w:rsidRPr="004C1FB6">
        <w:t xml:space="preserve">s </w:t>
      </w:r>
    </w:p>
    <w:p w:rsidR="00E91A52" w:rsidRPr="004C1FB6" w:rsidRDefault="00E91A52" w:rsidP="00E91A52">
      <w:pPr>
        <w:pStyle w:val="Bullet1"/>
      </w:pPr>
      <w:r w:rsidRPr="004C1FB6">
        <w:t xml:space="preserve">the challenges in engaging and recruiting participants from the different </w:t>
      </w:r>
      <w:r w:rsidR="00037695">
        <w:t>measure</w:t>
      </w:r>
      <w:r w:rsidRPr="004C1FB6">
        <w:t>s</w:t>
      </w:r>
    </w:p>
    <w:p w:rsidR="00E91A52" w:rsidRPr="004C1FB6" w:rsidRDefault="00E91A52" w:rsidP="00E91A52">
      <w:pPr>
        <w:pStyle w:val="Bullet1"/>
      </w:pPr>
      <w:r w:rsidRPr="004C1FB6">
        <w:t xml:space="preserve">the extent to which participants in the different </w:t>
      </w:r>
      <w:r w:rsidR="00037695">
        <w:t>measure</w:t>
      </w:r>
      <w:r w:rsidRPr="004C1FB6">
        <w:t xml:space="preserve">s move on, off, or between the </w:t>
      </w:r>
      <w:r w:rsidR="00037695">
        <w:t>measure</w:t>
      </w:r>
      <w:r w:rsidRPr="004C1FB6">
        <w:t>s</w:t>
      </w:r>
      <w:r>
        <w:t>; and</w:t>
      </w:r>
      <w:r w:rsidRPr="004C1FB6">
        <w:t xml:space="preserve"> </w:t>
      </w:r>
    </w:p>
    <w:p w:rsidR="00E91A52" w:rsidRDefault="00E91A52" w:rsidP="00E91A52">
      <w:pPr>
        <w:pStyle w:val="Bullet1"/>
      </w:pPr>
      <w:proofErr w:type="gramStart"/>
      <w:r w:rsidRPr="004C1FB6">
        <w:t>the</w:t>
      </w:r>
      <w:proofErr w:type="gramEnd"/>
      <w:r w:rsidRPr="004C1FB6">
        <w:t xml:space="preserve"> extent to which the impacts/outcomes within the three </w:t>
      </w:r>
      <w:r w:rsidR="00037695">
        <w:t>measure</w:t>
      </w:r>
      <w:r w:rsidRPr="004C1FB6">
        <w:t>s can be measured within the time available for the evaluation.</w:t>
      </w:r>
    </w:p>
    <w:p w:rsidR="00462DFE" w:rsidRPr="004C1FB6" w:rsidRDefault="00444F3C" w:rsidP="00462DFE">
      <w:pPr>
        <w:pStyle w:val="BodyText"/>
      </w:pPr>
      <w:r>
        <w:lastRenderedPageBreak/>
        <w:t>A</w:t>
      </w:r>
      <w:r w:rsidR="00462DFE">
        <w:t xml:space="preserve"> number of challenges in designing and conducting such an evaluation are discussed in the </w:t>
      </w:r>
      <w:r>
        <w:t xml:space="preserve">framework </w:t>
      </w:r>
      <w:proofErr w:type="gramStart"/>
      <w:r>
        <w:t>report</w:t>
      </w:r>
      <w:r w:rsidR="00462DFE">
        <w:t>, which in brief include</w:t>
      </w:r>
      <w:proofErr w:type="gramEnd"/>
      <w:r w:rsidR="00462DFE" w:rsidRPr="004C1FB6">
        <w:t>:</w:t>
      </w:r>
    </w:p>
    <w:p w:rsidR="00E91A52" w:rsidRPr="004C1FB6" w:rsidRDefault="00444F3C" w:rsidP="00462DFE">
      <w:pPr>
        <w:pStyle w:val="Bullet1"/>
      </w:pPr>
      <w:r>
        <w:t>a</w:t>
      </w:r>
      <w:r w:rsidR="00E91A52" w:rsidRPr="004C1FB6">
        <w:t>ttribution</w:t>
      </w:r>
      <w:r w:rsidR="00462DFE">
        <w:t>;</w:t>
      </w:r>
    </w:p>
    <w:p w:rsidR="00E91A52" w:rsidRDefault="00444F3C" w:rsidP="00462DFE">
      <w:pPr>
        <w:pStyle w:val="Bullet1"/>
      </w:pPr>
      <w:r>
        <w:t>s</w:t>
      </w:r>
      <w:r w:rsidR="00E91A52">
        <w:t xml:space="preserve">ocial </w:t>
      </w:r>
      <w:r>
        <w:t>d</w:t>
      </w:r>
      <w:r w:rsidR="00E91A52">
        <w:t xml:space="preserve">esirability </w:t>
      </w:r>
      <w:r>
        <w:t>b</w:t>
      </w:r>
      <w:r w:rsidR="00E91A52">
        <w:t>ias</w:t>
      </w:r>
      <w:r>
        <w:t>;</w:t>
      </w:r>
    </w:p>
    <w:p w:rsidR="00E91A52" w:rsidRDefault="00444F3C" w:rsidP="00462DFE">
      <w:pPr>
        <w:pStyle w:val="Bullet1"/>
      </w:pPr>
      <w:r>
        <w:t>s</w:t>
      </w:r>
      <w:r w:rsidR="00E91A52">
        <w:t>ampling bias</w:t>
      </w:r>
      <w:r>
        <w:t>;</w:t>
      </w:r>
      <w:r w:rsidR="00E91A52">
        <w:t xml:space="preserve"> </w:t>
      </w:r>
    </w:p>
    <w:p w:rsidR="00E91A52" w:rsidRDefault="00444F3C" w:rsidP="00462DFE">
      <w:pPr>
        <w:pStyle w:val="Bullet1"/>
      </w:pPr>
      <w:r>
        <w:t>r</w:t>
      </w:r>
      <w:r w:rsidR="00E91A52">
        <w:t>esponse rates and loss to follow up</w:t>
      </w:r>
      <w:r>
        <w:t>; and</w:t>
      </w:r>
    </w:p>
    <w:p w:rsidR="00462DFE" w:rsidRDefault="00444F3C" w:rsidP="00462DFE">
      <w:pPr>
        <w:pStyle w:val="Bullet1"/>
      </w:pPr>
      <w:proofErr w:type="gramStart"/>
      <w:r>
        <w:t>t</w:t>
      </w:r>
      <w:r w:rsidR="00462DFE">
        <w:t>he</w:t>
      </w:r>
      <w:proofErr w:type="gramEnd"/>
      <w:r w:rsidR="00462DFE">
        <w:t xml:space="preserve"> quality and granularity of secondary data available</w:t>
      </w:r>
      <w:r>
        <w:t xml:space="preserve"> to inform the evaluation, and limitations on comparability of data across States.</w:t>
      </w:r>
    </w:p>
    <w:p w:rsidR="0041796A" w:rsidRPr="004636A3" w:rsidRDefault="0041796A" w:rsidP="0041796A">
      <w:pPr>
        <w:pStyle w:val="SubHeading"/>
        <w:rPr>
          <w:color w:val="002776"/>
          <w:lang w:eastAsia="en-AU"/>
        </w:rPr>
      </w:pPr>
      <w:r>
        <w:rPr>
          <w:color w:val="002776"/>
          <w:lang w:eastAsia="en-AU"/>
        </w:rPr>
        <w:t>Governance and ethics approval</w:t>
      </w:r>
    </w:p>
    <w:p w:rsidR="0041796A" w:rsidRPr="007047FE" w:rsidRDefault="0041796A" w:rsidP="0041796A">
      <w:pPr>
        <w:pStyle w:val="BodyText"/>
      </w:pPr>
      <w:r w:rsidRPr="007047FE">
        <w:t xml:space="preserve">A Steering Committee </w:t>
      </w:r>
      <w:r>
        <w:t xml:space="preserve">comprising senior representatives from FaHCSIA, </w:t>
      </w:r>
      <w:r w:rsidRPr="007047FE">
        <w:t xml:space="preserve">and </w:t>
      </w:r>
      <w:r>
        <w:t xml:space="preserve">an </w:t>
      </w:r>
      <w:r w:rsidRPr="007047FE">
        <w:t xml:space="preserve">Advisory Group </w:t>
      </w:r>
      <w:r>
        <w:t xml:space="preserve">comprising </w:t>
      </w:r>
      <w:r w:rsidRPr="007047FE">
        <w:t xml:space="preserve">representatives from FaHCSIA, the Australian Government Department of Human Services </w:t>
      </w:r>
      <w:r>
        <w:t xml:space="preserve">(DHS) </w:t>
      </w:r>
      <w:r w:rsidRPr="007047FE">
        <w:t xml:space="preserve">and each of the </w:t>
      </w:r>
      <w:r>
        <w:t xml:space="preserve">affected </w:t>
      </w:r>
      <w:r w:rsidRPr="007047FE">
        <w:t>States</w:t>
      </w:r>
      <w:r>
        <w:t xml:space="preserve"> </w:t>
      </w:r>
      <w:r w:rsidRPr="007047FE">
        <w:t>have been established as part of the governance framework for the evaluation.</w:t>
      </w:r>
      <w:r>
        <w:t xml:space="preserve">  Ethics approval will be sought from the </w:t>
      </w:r>
      <w:proofErr w:type="spellStart"/>
      <w:r>
        <w:t>Bellberry</w:t>
      </w:r>
      <w:proofErr w:type="spellEnd"/>
      <w:r>
        <w:t xml:space="preserve"> Committee, a Human Research Ethics Committee registered with the National Health and Medical Research Council.</w:t>
      </w:r>
    </w:p>
    <w:p w:rsidR="004636A3" w:rsidRDefault="004636A3" w:rsidP="00C0435B">
      <w:pPr>
        <w:pStyle w:val="SubHeading"/>
        <w:rPr>
          <w:color w:val="002776"/>
          <w:lang w:eastAsia="en-AU"/>
        </w:rPr>
      </w:pPr>
    </w:p>
    <w:p w:rsidR="008047E1" w:rsidRPr="000175EC" w:rsidRDefault="000175EC" w:rsidP="00C0435B">
      <w:pPr>
        <w:pStyle w:val="SubHeading"/>
        <w:rPr>
          <w:color w:val="002776"/>
        </w:rPr>
      </w:pPr>
      <w:r w:rsidRPr="000175EC">
        <w:rPr>
          <w:color w:val="002776"/>
          <w:lang w:eastAsia="en-AU"/>
        </w:rPr>
        <w:t xml:space="preserve">Deloitte </w:t>
      </w:r>
      <w:r w:rsidR="00FD2084" w:rsidRPr="000175EC">
        <w:rPr>
          <w:color w:val="002776"/>
          <w:lang w:eastAsia="en-AU"/>
        </w:rPr>
        <w:t>Access Economics</w:t>
      </w:r>
      <w:r w:rsidR="00C0435B" w:rsidRPr="000175EC">
        <w:rPr>
          <w:color w:val="002776"/>
          <w:lang w:eastAsia="en-AU"/>
        </w:rPr>
        <w:br/>
      </w:r>
    </w:p>
    <w:p w:rsidR="006A09C3" w:rsidRPr="000175EC" w:rsidRDefault="006A09C3" w:rsidP="009B4B43">
      <w:pPr>
        <w:pStyle w:val="SingleLeft"/>
        <w:rPr>
          <w:color w:val="002776"/>
        </w:rPr>
        <w:sectPr w:rsidR="006A09C3" w:rsidRPr="000175EC" w:rsidSect="000175EC">
          <w:footerReference w:type="default" r:id="rId19"/>
          <w:pgSz w:w="11906" w:h="16838" w:code="9"/>
          <w:pgMar w:top="2268" w:right="1134" w:bottom="1134" w:left="2552" w:header="720" w:footer="720" w:gutter="0"/>
          <w:pgNumType w:fmt="lowerRoman" w:start="1"/>
          <w:cols w:space="720"/>
          <w:docGrid w:linePitch="360"/>
        </w:sectPr>
      </w:pPr>
    </w:p>
    <w:p w:rsidR="00671804" w:rsidRDefault="006F3A82" w:rsidP="001E2361">
      <w:pPr>
        <w:pStyle w:val="Heading1"/>
      </w:pPr>
      <w:bookmarkStart w:id="26" w:name="_Toc215906319"/>
      <w:bookmarkStart w:id="27" w:name="_Toc227746676"/>
      <w:bookmarkStart w:id="28" w:name="_Toc227746680"/>
      <w:bookmarkStart w:id="29" w:name="_Toc227746684"/>
      <w:bookmarkStart w:id="30" w:name="_Toc227746688"/>
      <w:bookmarkStart w:id="31" w:name="_Toc227748310"/>
      <w:bookmarkStart w:id="32" w:name="_Toc227748328"/>
      <w:bookmarkStart w:id="33" w:name="_Toc227748332"/>
      <w:bookmarkStart w:id="34" w:name="_Toc227748336"/>
      <w:bookmarkStart w:id="35" w:name="_Toc227748375"/>
      <w:bookmarkStart w:id="36" w:name="_Toc227748379"/>
      <w:bookmarkStart w:id="37" w:name="_Toc227748383"/>
      <w:bookmarkStart w:id="38" w:name="_Toc227748495"/>
      <w:bookmarkStart w:id="39" w:name="_Toc227748499"/>
      <w:bookmarkStart w:id="40" w:name="_Toc228005206"/>
      <w:bookmarkStart w:id="41" w:name="_Toc228092497"/>
      <w:bookmarkStart w:id="42" w:name="_Toc228264952"/>
      <w:bookmarkStart w:id="43" w:name="_Toc228264974"/>
      <w:bookmarkStart w:id="44" w:name="_Toc228264978"/>
      <w:bookmarkStart w:id="45" w:name="_Toc228264982"/>
      <w:bookmarkStart w:id="46" w:name="_Toc228264986"/>
      <w:bookmarkStart w:id="47" w:name="_Toc228265216"/>
      <w:bookmarkStart w:id="48" w:name="_Toc342495217"/>
      <w:r w:rsidRPr="001E2361">
        <w:lastRenderedPageBreak/>
        <w:t>Background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02247" w:rsidRDefault="00202247" w:rsidP="00202247">
      <w:pPr>
        <w:pStyle w:val="BodyText"/>
      </w:pPr>
      <w:r w:rsidRPr="00202247">
        <w:t>Deloitte Access Economics was appointed by The Department of Families, Housing, Community Services and Indigenous Affairs (FaHCSIA) to conduct an independent evaluation of the place based income management</w:t>
      </w:r>
      <w:r w:rsidR="0081557C">
        <w:t xml:space="preserve"> (PBIM) trial.  The trial </w:t>
      </w:r>
      <w:r w:rsidRPr="00202247">
        <w:t xml:space="preserve">and evaluation are to be conducted between 2012 and 2015. </w:t>
      </w:r>
    </w:p>
    <w:p w:rsidR="00277C1A" w:rsidRPr="00202247" w:rsidRDefault="00277C1A" w:rsidP="00202247">
      <w:pPr>
        <w:pStyle w:val="BodyText"/>
      </w:pPr>
      <w:r>
        <w:t>This report outlines the framework which will be used to guide the evaluation.</w:t>
      </w:r>
    </w:p>
    <w:p w:rsidR="00C22E9A" w:rsidRDefault="00277C1A" w:rsidP="00202247">
      <w:pPr>
        <w:pStyle w:val="Heading2"/>
      </w:pPr>
      <w:bookmarkStart w:id="49" w:name="_Ref322453075"/>
      <w:bookmarkStart w:id="50" w:name="_Toc342495218"/>
      <w:r>
        <w:t>Evaluation g</w:t>
      </w:r>
      <w:r w:rsidR="00202247">
        <w:t>overnance</w:t>
      </w:r>
      <w:bookmarkEnd w:id="49"/>
      <w:bookmarkEnd w:id="50"/>
    </w:p>
    <w:p w:rsidR="00202247" w:rsidRPr="007047FE" w:rsidRDefault="00202247" w:rsidP="00202247">
      <w:pPr>
        <w:pStyle w:val="BodyText"/>
      </w:pPr>
      <w:r w:rsidRPr="007047FE">
        <w:t>A Steering Committee and Advisory Group have been established as part of the governance framework for the evaluation.</w:t>
      </w:r>
    </w:p>
    <w:p w:rsidR="00202247" w:rsidRPr="007047FE" w:rsidRDefault="00202247" w:rsidP="00202247">
      <w:pPr>
        <w:pStyle w:val="BodyText"/>
      </w:pPr>
      <w:r w:rsidRPr="007047FE">
        <w:t xml:space="preserve">The </w:t>
      </w:r>
      <w:r w:rsidRPr="007047FE">
        <w:rPr>
          <w:b/>
        </w:rPr>
        <w:t>Steering Committee</w:t>
      </w:r>
      <w:r w:rsidRPr="007047FE">
        <w:t xml:space="preserve"> comprises </w:t>
      </w:r>
      <w:r>
        <w:t>senior representatives from the Families Group and Social Policy Group</w:t>
      </w:r>
      <w:r w:rsidRPr="007047FE">
        <w:t xml:space="preserve"> of FaHCSIA.  The Steering Committee’s role is to oversee the evaluation and sign off on deliverables</w:t>
      </w:r>
      <w:r w:rsidR="001A7242">
        <w:t>.</w:t>
      </w:r>
    </w:p>
    <w:p w:rsidR="00202247" w:rsidRPr="007047FE" w:rsidRDefault="00202247" w:rsidP="00202247">
      <w:pPr>
        <w:pStyle w:val="BodyText"/>
      </w:pPr>
      <w:r w:rsidRPr="007047FE">
        <w:t xml:space="preserve">The </w:t>
      </w:r>
      <w:r w:rsidRPr="007047FE">
        <w:rPr>
          <w:b/>
        </w:rPr>
        <w:t>Advisory Group</w:t>
      </w:r>
      <w:r w:rsidRPr="007047FE">
        <w:t xml:space="preserve"> comprises representatives from FaHCSIA, the Australian Government Department of Human Services </w:t>
      </w:r>
      <w:r w:rsidR="005E4D54">
        <w:t xml:space="preserve">(DHS) </w:t>
      </w:r>
      <w:r w:rsidRPr="007047FE">
        <w:t xml:space="preserve">and each of the </w:t>
      </w:r>
      <w:r w:rsidR="005C602E">
        <w:t xml:space="preserve">affected </w:t>
      </w:r>
      <w:r w:rsidRPr="007047FE">
        <w:t>States</w:t>
      </w:r>
      <w:r w:rsidR="005C602E">
        <w:t xml:space="preserve"> (Queensland, New South Wales, Victoria, South Australia, and Tasmania; note that Tasmania does not have an income management site but has a comparison site)</w:t>
      </w:r>
      <w:r w:rsidRPr="007047FE">
        <w:t>. The role of the Advisory Group will be to provide advice to the evaluation team in relation to:</w:t>
      </w:r>
    </w:p>
    <w:p w:rsidR="00202247" w:rsidRDefault="00202247" w:rsidP="00202247">
      <w:pPr>
        <w:pStyle w:val="Bullet1"/>
        <w:rPr>
          <w:rFonts w:cs="Times New Roman"/>
          <w:sz w:val="20"/>
        </w:rPr>
      </w:pPr>
      <w:r>
        <w:t>Commonwealth or State government policies, programs and services operating at the trial and comparison sites which may affect the design or delivery of the evaluation, or which may affect its findings;</w:t>
      </w:r>
    </w:p>
    <w:p w:rsidR="00202247" w:rsidRDefault="00202247" w:rsidP="00202247">
      <w:pPr>
        <w:pStyle w:val="Bullet1"/>
      </w:pPr>
      <w:r>
        <w:t>Commonwealth or State government data or information relevant to the evaluation and arrangements for accessing these;</w:t>
      </w:r>
    </w:p>
    <w:p w:rsidR="00202247" w:rsidRDefault="00202247" w:rsidP="00202247">
      <w:pPr>
        <w:pStyle w:val="Bullet1"/>
      </w:pPr>
      <w:r>
        <w:t xml:space="preserve">interpretation and analysis of Commonwealth or State government data; </w:t>
      </w:r>
    </w:p>
    <w:p w:rsidR="00422C90" w:rsidRDefault="00202247" w:rsidP="00202247">
      <w:pPr>
        <w:pStyle w:val="Bullet1"/>
      </w:pPr>
      <w:r>
        <w:t xml:space="preserve">contact names and details for relevant Commonwealth or State government staff or other (non-government) stakeholders relevant to the evaluation; </w:t>
      </w:r>
    </w:p>
    <w:p w:rsidR="00202247" w:rsidRDefault="00422C90" w:rsidP="00202247">
      <w:pPr>
        <w:pStyle w:val="Bullet1"/>
      </w:pPr>
      <w:r>
        <w:t xml:space="preserve">feedback on evaluation design issues through review of the Evaluation Framework; </w:t>
      </w:r>
      <w:r w:rsidR="00202247">
        <w:t>and</w:t>
      </w:r>
    </w:p>
    <w:p w:rsidR="00202247" w:rsidRDefault="00202247" w:rsidP="00202247">
      <w:pPr>
        <w:pStyle w:val="Bullet1"/>
      </w:pPr>
      <w:proofErr w:type="gramStart"/>
      <w:r>
        <w:t>nuanced</w:t>
      </w:r>
      <w:proofErr w:type="gramEnd"/>
      <w:r>
        <w:t xml:space="preserve"> understanding of findings from the qualitative and quantitative analyses conducted as part of the evaluation.</w:t>
      </w:r>
    </w:p>
    <w:p w:rsidR="00FE150F" w:rsidRDefault="00FE150F" w:rsidP="00202247">
      <w:pPr>
        <w:pStyle w:val="Heading2"/>
      </w:pPr>
      <w:bookmarkStart w:id="51" w:name="_Toc342495219"/>
      <w:r>
        <w:t>Ethics review and guiding principles</w:t>
      </w:r>
      <w:bookmarkEnd w:id="51"/>
    </w:p>
    <w:p w:rsidR="00FE150F" w:rsidRDefault="00FE150F" w:rsidP="00FE150F">
      <w:pPr>
        <w:pStyle w:val="BodyText"/>
      </w:pPr>
      <w:proofErr w:type="spellStart"/>
      <w:r>
        <w:t>Bellberry</w:t>
      </w:r>
      <w:proofErr w:type="spellEnd"/>
      <w:r>
        <w:t xml:space="preserve"> Human Research Ethics Committee (HREC)</w:t>
      </w:r>
      <w:r w:rsidR="004906DB">
        <w:t xml:space="preserve"> has scientifically and ethically reviewed the evaluation framework, and has provided ethical approval for the framework</w:t>
      </w:r>
      <w:r>
        <w:t xml:space="preserve">.  </w:t>
      </w:r>
      <w:proofErr w:type="spellStart"/>
      <w:r>
        <w:t>Bellberry</w:t>
      </w:r>
      <w:proofErr w:type="spellEnd"/>
      <w:r>
        <w:t xml:space="preserve"> </w:t>
      </w:r>
      <w:r w:rsidR="00FC2E86">
        <w:t>HREC</w:t>
      </w:r>
      <w:r>
        <w:t xml:space="preserve"> </w:t>
      </w:r>
      <w:r w:rsidR="004906DB">
        <w:t xml:space="preserve">is constituted and operates in accordance with the </w:t>
      </w:r>
      <w:r>
        <w:t>National Health and Medical Research Council</w:t>
      </w:r>
      <w:r w:rsidR="004906DB">
        <w:t>’s National Statement on Ethical Conduct in Human Research (2007)</w:t>
      </w:r>
      <w:r>
        <w:t>.</w:t>
      </w:r>
    </w:p>
    <w:p w:rsidR="00FE150F" w:rsidRPr="00FE150F" w:rsidRDefault="00FE150F" w:rsidP="00FE150F">
      <w:pPr>
        <w:pStyle w:val="BodyText"/>
      </w:pPr>
      <w:r>
        <w:lastRenderedPageBreak/>
        <w:t xml:space="preserve">The conduct and reporting of this evaluation will be guided by the Australasian Evaluation Society </w:t>
      </w:r>
      <w:r w:rsidRPr="00FE150F">
        <w:rPr>
          <w:i/>
        </w:rPr>
        <w:t>Guidelines for the ethical conduct of evaluations</w:t>
      </w:r>
      <w:r>
        <w:t xml:space="preserve"> (AES 2010).</w:t>
      </w:r>
    </w:p>
    <w:p w:rsidR="00202247" w:rsidRDefault="00202247" w:rsidP="00202247">
      <w:pPr>
        <w:pStyle w:val="Heading2"/>
      </w:pPr>
      <w:bookmarkStart w:id="52" w:name="_Toc342495220"/>
      <w:r>
        <w:t>Deliverables and timeframes</w:t>
      </w:r>
      <w:bookmarkEnd w:id="52"/>
    </w:p>
    <w:p w:rsidR="00543A8B" w:rsidRDefault="00543A8B" w:rsidP="00543A8B">
      <w:pPr>
        <w:pStyle w:val="BodyText"/>
      </w:pPr>
      <w:r>
        <w:t xml:space="preserve">The contractual deliverables for the evaluation are summarised in </w:t>
      </w:r>
      <w:r w:rsidR="00D71A6F">
        <w:fldChar w:fldCharType="begin"/>
      </w:r>
      <w:r>
        <w:instrText xml:space="preserve"> REF _Ref321837475 \r \h </w:instrText>
      </w:r>
      <w:r w:rsidR="00D71A6F">
        <w:fldChar w:fldCharType="separate"/>
      </w:r>
      <w:r w:rsidR="003C7E97">
        <w:t>Table 1.1</w:t>
      </w:r>
      <w:r w:rsidR="00D71A6F">
        <w:fldChar w:fldCharType="end"/>
      </w:r>
      <w:r>
        <w:t>.</w:t>
      </w:r>
    </w:p>
    <w:p w:rsidR="00125EFA" w:rsidRDefault="00125EFA" w:rsidP="00543A8B">
      <w:pPr>
        <w:pStyle w:val="BodyText"/>
      </w:pPr>
    </w:p>
    <w:p w:rsidR="00543A8B" w:rsidRPr="00543A8B" w:rsidRDefault="00543A8B" w:rsidP="00543A8B">
      <w:pPr>
        <w:pStyle w:val="CaptionTable"/>
      </w:pPr>
      <w:bookmarkStart w:id="53" w:name="_Ref321837475"/>
      <w:bookmarkStart w:id="54" w:name="_Toc342495255"/>
      <w:r>
        <w:t>: Deliverables and timeframes</w:t>
      </w:r>
      <w:bookmarkEnd w:id="53"/>
      <w:bookmarkEnd w:id="54"/>
    </w:p>
    <w:tbl>
      <w:tblPr>
        <w:tblStyle w:val="TableAEGrey"/>
        <w:tblW w:w="5000" w:type="pct"/>
        <w:tblLook w:val="01E0" w:firstRow="1" w:lastRow="1" w:firstColumn="1" w:lastColumn="1" w:noHBand="0" w:noVBand="0"/>
        <w:tblCaption w:val="Table 1.1: Deliverables and timeframes"/>
      </w:tblPr>
      <w:tblGrid>
        <w:gridCol w:w="5740"/>
        <w:gridCol w:w="2696"/>
      </w:tblGrid>
      <w:tr w:rsidR="00543A8B" w:rsidRPr="001A2A8E" w:rsidTr="008112F0">
        <w:trPr>
          <w:cnfStyle w:val="100000000000" w:firstRow="1" w:lastRow="0" w:firstColumn="0" w:lastColumn="0" w:oddVBand="0" w:evenVBand="0" w:oddHBand="0" w:evenHBand="0" w:firstRowFirstColumn="0" w:firstRowLastColumn="0" w:lastRowFirstColumn="0" w:lastRowLastColumn="0"/>
          <w:tblHeader/>
        </w:trPr>
        <w:tc>
          <w:tcPr>
            <w:tcW w:w="3402" w:type="pct"/>
            <w:hideMark/>
          </w:tcPr>
          <w:p w:rsidR="00543A8B" w:rsidRPr="00B5776E" w:rsidRDefault="00543A8B" w:rsidP="00543A8B">
            <w:pPr>
              <w:pStyle w:val="TableHeadingLeft"/>
            </w:pPr>
            <w:r w:rsidRPr="001A2A8E">
              <w:t>Activity</w:t>
            </w:r>
          </w:p>
        </w:tc>
        <w:tc>
          <w:tcPr>
            <w:tcW w:w="1598" w:type="pct"/>
            <w:hideMark/>
          </w:tcPr>
          <w:p w:rsidR="00543A8B" w:rsidRPr="001A2A8E" w:rsidRDefault="00543A8B" w:rsidP="00543A8B">
            <w:pPr>
              <w:pStyle w:val="TableHeadingLeft"/>
            </w:pPr>
            <w:r w:rsidRPr="001A2A8E">
              <w:t>Expected deliverable date</w:t>
            </w:r>
            <w:r w:rsidR="003C7E97">
              <w:t xml:space="preserve"> (quarter, year)</w:t>
            </w:r>
          </w:p>
        </w:tc>
      </w:tr>
      <w:tr w:rsidR="00185A6C" w:rsidRPr="001A2A8E" w:rsidTr="00185A6C">
        <w:trPr>
          <w:trHeight w:val="429"/>
        </w:trPr>
        <w:tc>
          <w:tcPr>
            <w:tcW w:w="3402" w:type="pct"/>
            <w:hideMark/>
          </w:tcPr>
          <w:p w:rsidR="00185A6C" w:rsidRPr="001A2A8E" w:rsidRDefault="00185A6C" w:rsidP="00185A6C">
            <w:pPr>
              <w:autoSpaceDE w:val="0"/>
              <w:autoSpaceDN w:val="0"/>
              <w:adjustRightInd w:val="0"/>
              <w:spacing w:after="60"/>
              <w:jc w:val="center"/>
              <w:rPr>
                <w:b/>
              </w:rPr>
            </w:pPr>
            <w:r w:rsidRPr="001A2A8E">
              <w:rPr>
                <w:b/>
                <w:szCs w:val="22"/>
              </w:rPr>
              <w:t>2011-12</w:t>
            </w:r>
          </w:p>
        </w:tc>
        <w:tc>
          <w:tcPr>
            <w:tcW w:w="1598" w:type="pct"/>
          </w:tcPr>
          <w:p w:rsidR="00185A6C" w:rsidRPr="001A2A8E" w:rsidRDefault="00185A6C" w:rsidP="00185A6C">
            <w:pPr>
              <w:autoSpaceDE w:val="0"/>
              <w:autoSpaceDN w:val="0"/>
              <w:adjustRightInd w:val="0"/>
              <w:spacing w:after="60"/>
              <w:rPr>
                <w:b/>
              </w:rPr>
            </w:pPr>
          </w:p>
        </w:tc>
      </w:tr>
      <w:tr w:rsidR="00543A8B" w:rsidRPr="001A2A8E" w:rsidTr="00543A8B">
        <w:tc>
          <w:tcPr>
            <w:tcW w:w="3402" w:type="pct"/>
            <w:hideMark/>
          </w:tcPr>
          <w:p w:rsidR="00543A8B" w:rsidRPr="00B5776E" w:rsidRDefault="00543A8B" w:rsidP="00277C1A">
            <w:pPr>
              <w:autoSpaceDE w:val="0"/>
              <w:autoSpaceDN w:val="0"/>
              <w:adjustRightInd w:val="0"/>
              <w:spacing w:after="60"/>
            </w:pPr>
            <w:r w:rsidRPr="001A2A8E">
              <w:rPr>
                <w:szCs w:val="22"/>
              </w:rPr>
              <w:t>Submission of evaluation framework to the Department</w:t>
            </w:r>
          </w:p>
        </w:tc>
        <w:tc>
          <w:tcPr>
            <w:tcW w:w="1598" w:type="pct"/>
            <w:hideMark/>
          </w:tcPr>
          <w:p w:rsidR="00543A8B" w:rsidRPr="001A2A8E" w:rsidRDefault="003C7E97" w:rsidP="00543A8B">
            <w:pPr>
              <w:autoSpaceDE w:val="0"/>
              <w:autoSpaceDN w:val="0"/>
              <w:adjustRightInd w:val="0"/>
              <w:spacing w:after="60"/>
              <w:jc w:val="center"/>
            </w:pPr>
            <w:r>
              <w:rPr>
                <w:szCs w:val="22"/>
              </w:rPr>
              <w:t>Q2</w:t>
            </w:r>
            <w:r w:rsidR="00543A8B">
              <w:rPr>
                <w:szCs w:val="22"/>
              </w:rPr>
              <w:t xml:space="preserve"> </w:t>
            </w:r>
            <w:r w:rsidR="00543A8B" w:rsidRPr="001A2A8E">
              <w:rPr>
                <w:szCs w:val="22"/>
              </w:rPr>
              <w:t>2012</w:t>
            </w:r>
          </w:p>
        </w:tc>
      </w:tr>
      <w:tr w:rsidR="00277C1A" w:rsidRPr="001A2A8E" w:rsidTr="00125EFA">
        <w:trPr>
          <w:trHeight w:val="350"/>
        </w:trPr>
        <w:tc>
          <w:tcPr>
            <w:tcW w:w="3402" w:type="pct"/>
            <w:hideMark/>
          </w:tcPr>
          <w:p w:rsidR="00277C1A" w:rsidRPr="001A2A8E" w:rsidRDefault="00277C1A" w:rsidP="00543A8B">
            <w:pPr>
              <w:autoSpaceDE w:val="0"/>
              <w:autoSpaceDN w:val="0"/>
              <w:adjustRightInd w:val="0"/>
              <w:spacing w:after="60"/>
              <w:rPr>
                <w:szCs w:val="22"/>
              </w:rPr>
            </w:pPr>
            <w:r>
              <w:rPr>
                <w:szCs w:val="22"/>
              </w:rPr>
              <w:t>Ethics application submitted to ethics committee</w:t>
            </w:r>
          </w:p>
        </w:tc>
        <w:tc>
          <w:tcPr>
            <w:tcW w:w="1598" w:type="pct"/>
            <w:hideMark/>
          </w:tcPr>
          <w:p w:rsidR="00277C1A" w:rsidRPr="001A2A8E" w:rsidRDefault="003C7E97" w:rsidP="00277C1A">
            <w:pPr>
              <w:autoSpaceDE w:val="0"/>
              <w:autoSpaceDN w:val="0"/>
              <w:adjustRightInd w:val="0"/>
              <w:spacing w:after="60"/>
              <w:jc w:val="center"/>
              <w:rPr>
                <w:szCs w:val="22"/>
              </w:rPr>
            </w:pPr>
            <w:r>
              <w:rPr>
                <w:szCs w:val="22"/>
              </w:rPr>
              <w:t>Q2</w:t>
            </w:r>
            <w:r w:rsidR="00277C1A">
              <w:rPr>
                <w:szCs w:val="22"/>
              </w:rPr>
              <w:t xml:space="preserve"> 2012</w:t>
            </w:r>
          </w:p>
        </w:tc>
      </w:tr>
      <w:tr w:rsidR="00125EFA" w:rsidRPr="001A2A8E" w:rsidTr="00543A8B">
        <w:tc>
          <w:tcPr>
            <w:tcW w:w="3402" w:type="pct"/>
            <w:hideMark/>
          </w:tcPr>
          <w:p w:rsidR="00125EFA" w:rsidRDefault="00125EFA" w:rsidP="00543A8B">
            <w:pPr>
              <w:autoSpaceDE w:val="0"/>
              <w:autoSpaceDN w:val="0"/>
              <w:adjustRightInd w:val="0"/>
              <w:spacing w:after="60"/>
              <w:rPr>
                <w:szCs w:val="22"/>
              </w:rPr>
            </w:pPr>
            <w:r>
              <w:rPr>
                <w:szCs w:val="22"/>
              </w:rPr>
              <w:t>Evaluation Implementation plan submitted to FaHCSIA</w:t>
            </w:r>
          </w:p>
        </w:tc>
        <w:tc>
          <w:tcPr>
            <w:tcW w:w="1598" w:type="pct"/>
            <w:hideMark/>
          </w:tcPr>
          <w:p w:rsidR="00125EFA" w:rsidRDefault="003C7E97" w:rsidP="00277C1A">
            <w:pPr>
              <w:autoSpaceDE w:val="0"/>
              <w:autoSpaceDN w:val="0"/>
              <w:adjustRightInd w:val="0"/>
              <w:spacing w:after="60"/>
              <w:jc w:val="center"/>
              <w:rPr>
                <w:szCs w:val="22"/>
              </w:rPr>
            </w:pPr>
            <w:r>
              <w:rPr>
                <w:szCs w:val="22"/>
              </w:rPr>
              <w:t>Q2</w:t>
            </w:r>
            <w:r w:rsidR="00125EFA">
              <w:rPr>
                <w:szCs w:val="22"/>
              </w:rPr>
              <w:t xml:space="preserve"> 2012</w:t>
            </w:r>
          </w:p>
        </w:tc>
      </w:tr>
      <w:tr w:rsidR="00185A6C" w:rsidRPr="001A2A8E" w:rsidTr="00185A6C">
        <w:tc>
          <w:tcPr>
            <w:tcW w:w="3402" w:type="pct"/>
            <w:hideMark/>
          </w:tcPr>
          <w:p w:rsidR="00185A6C" w:rsidRPr="001A2A8E" w:rsidRDefault="00185A6C" w:rsidP="00543A8B">
            <w:pPr>
              <w:autoSpaceDE w:val="0"/>
              <w:autoSpaceDN w:val="0"/>
              <w:adjustRightInd w:val="0"/>
              <w:spacing w:after="60"/>
              <w:jc w:val="center"/>
              <w:rPr>
                <w:b/>
              </w:rPr>
            </w:pPr>
            <w:r w:rsidRPr="001A2A8E">
              <w:rPr>
                <w:b/>
                <w:szCs w:val="22"/>
              </w:rPr>
              <w:t>2012-13</w:t>
            </w:r>
          </w:p>
        </w:tc>
        <w:tc>
          <w:tcPr>
            <w:tcW w:w="1598" w:type="pct"/>
          </w:tcPr>
          <w:p w:rsidR="00185A6C" w:rsidRPr="001A2A8E" w:rsidRDefault="00185A6C" w:rsidP="00543A8B">
            <w:pPr>
              <w:autoSpaceDE w:val="0"/>
              <w:autoSpaceDN w:val="0"/>
              <w:adjustRightInd w:val="0"/>
              <w:spacing w:after="60"/>
              <w:jc w:val="center"/>
              <w:rPr>
                <w:b/>
              </w:rPr>
            </w:pPr>
          </w:p>
        </w:tc>
      </w:tr>
      <w:tr w:rsidR="003C7E97" w:rsidRPr="001A2A8E" w:rsidTr="00D21B2F">
        <w:trPr>
          <w:trHeight w:val="340"/>
        </w:trPr>
        <w:tc>
          <w:tcPr>
            <w:tcW w:w="3402" w:type="pct"/>
          </w:tcPr>
          <w:p w:rsidR="003C7E97" w:rsidRPr="001A2A8E" w:rsidRDefault="003C7E97" w:rsidP="003C7E97">
            <w:pPr>
              <w:autoSpaceDE w:val="0"/>
              <w:autoSpaceDN w:val="0"/>
              <w:adjustRightInd w:val="0"/>
              <w:spacing w:after="60"/>
            </w:pPr>
            <w:r w:rsidRPr="001A2A8E">
              <w:rPr>
                <w:szCs w:val="22"/>
              </w:rPr>
              <w:t>Completion of baseline fieldwork</w:t>
            </w:r>
          </w:p>
        </w:tc>
        <w:tc>
          <w:tcPr>
            <w:tcW w:w="1598" w:type="pct"/>
          </w:tcPr>
          <w:p w:rsidR="003C7E97" w:rsidRPr="001A2A8E" w:rsidRDefault="003C7E97" w:rsidP="003C7E97">
            <w:pPr>
              <w:autoSpaceDE w:val="0"/>
              <w:autoSpaceDN w:val="0"/>
              <w:adjustRightInd w:val="0"/>
              <w:spacing w:after="60"/>
              <w:jc w:val="center"/>
            </w:pPr>
            <w:r>
              <w:rPr>
                <w:szCs w:val="22"/>
              </w:rPr>
              <w:t>Q2 2013</w:t>
            </w:r>
          </w:p>
        </w:tc>
      </w:tr>
      <w:tr w:rsidR="00543A8B" w:rsidRPr="001A2A8E" w:rsidTr="00D21B2F">
        <w:trPr>
          <w:trHeight w:val="340"/>
        </w:trPr>
        <w:tc>
          <w:tcPr>
            <w:tcW w:w="3402" w:type="pct"/>
          </w:tcPr>
          <w:p w:rsidR="00543A8B" w:rsidRPr="001A2A8E" w:rsidRDefault="00543A8B" w:rsidP="00543A8B">
            <w:pPr>
              <w:autoSpaceDE w:val="0"/>
              <w:autoSpaceDN w:val="0"/>
              <w:adjustRightInd w:val="0"/>
              <w:spacing w:after="60"/>
            </w:pPr>
            <w:r w:rsidRPr="001A2A8E">
              <w:rPr>
                <w:szCs w:val="22"/>
              </w:rPr>
              <w:t>Submission of Baseline Report</w:t>
            </w:r>
          </w:p>
        </w:tc>
        <w:tc>
          <w:tcPr>
            <w:tcW w:w="1598" w:type="pct"/>
          </w:tcPr>
          <w:p w:rsidR="00543A8B" w:rsidRPr="001A2A8E" w:rsidRDefault="003C7E97" w:rsidP="00543A8B">
            <w:pPr>
              <w:autoSpaceDE w:val="0"/>
              <w:autoSpaceDN w:val="0"/>
              <w:adjustRightInd w:val="0"/>
              <w:spacing w:after="60"/>
              <w:jc w:val="center"/>
            </w:pPr>
            <w:r>
              <w:rPr>
                <w:szCs w:val="22"/>
              </w:rPr>
              <w:t>Q3</w:t>
            </w:r>
            <w:r w:rsidR="00543A8B" w:rsidRPr="001A2A8E">
              <w:rPr>
                <w:szCs w:val="22"/>
              </w:rPr>
              <w:t xml:space="preserve"> 2013</w:t>
            </w:r>
          </w:p>
        </w:tc>
      </w:tr>
      <w:tr w:rsidR="00543A8B" w:rsidRPr="001A2A8E" w:rsidTr="00D21B2F">
        <w:trPr>
          <w:trHeight w:val="340"/>
        </w:trPr>
        <w:tc>
          <w:tcPr>
            <w:tcW w:w="3402" w:type="pct"/>
            <w:hideMark/>
          </w:tcPr>
          <w:p w:rsidR="00543A8B" w:rsidRPr="001A2A8E" w:rsidRDefault="00543A8B" w:rsidP="00543A8B">
            <w:pPr>
              <w:autoSpaceDE w:val="0"/>
              <w:autoSpaceDN w:val="0"/>
              <w:adjustRightInd w:val="0"/>
              <w:spacing w:after="60"/>
            </w:pPr>
            <w:r w:rsidRPr="001A2A8E">
              <w:rPr>
                <w:szCs w:val="22"/>
              </w:rPr>
              <w:t xml:space="preserve">Acceptance of </w:t>
            </w:r>
            <w:r w:rsidRPr="00167F37">
              <w:rPr>
                <w:szCs w:val="22"/>
              </w:rPr>
              <w:t>Baseline Report</w:t>
            </w:r>
          </w:p>
        </w:tc>
        <w:tc>
          <w:tcPr>
            <w:tcW w:w="1598" w:type="pct"/>
            <w:hideMark/>
          </w:tcPr>
          <w:p w:rsidR="00543A8B" w:rsidRPr="001A2A8E" w:rsidRDefault="003C7E97" w:rsidP="00D21B2F">
            <w:pPr>
              <w:autoSpaceDE w:val="0"/>
              <w:autoSpaceDN w:val="0"/>
              <w:adjustRightInd w:val="0"/>
              <w:spacing w:after="60"/>
              <w:jc w:val="center"/>
            </w:pPr>
            <w:r>
              <w:rPr>
                <w:szCs w:val="22"/>
              </w:rPr>
              <w:t>Q3</w:t>
            </w:r>
            <w:r w:rsidR="00543A8B" w:rsidRPr="001A2A8E">
              <w:rPr>
                <w:szCs w:val="22"/>
              </w:rPr>
              <w:t xml:space="preserve"> 2013</w:t>
            </w:r>
          </w:p>
        </w:tc>
      </w:tr>
      <w:tr w:rsidR="00185A6C" w:rsidRPr="001A2A8E" w:rsidTr="00185A6C">
        <w:trPr>
          <w:trHeight w:val="467"/>
        </w:trPr>
        <w:tc>
          <w:tcPr>
            <w:tcW w:w="3402" w:type="pct"/>
            <w:hideMark/>
          </w:tcPr>
          <w:p w:rsidR="00185A6C" w:rsidRPr="001A2A8E" w:rsidRDefault="00185A6C" w:rsidP="00543A8B">
            <w:pPr>
              <w:autoSpaceDE w:val="0"/>
              <w:autoSpaceDN w:val="0"/>
              <w:adjustRightInd w:val="0"/>
              <w:spacing w:after="60"/>
              <w:jc w:val="center"/>
              <w:rPr>
                <w:b/>
              </w:rPr>
            </w:pPr>
            <w:r w:rsidRPr="001A2A8E">
              <w:rPr>
                <w:b/>
                <w:szCs w:val="22"/>
              </w:rPr>
              <w:t>2013-14</w:t>
            </w:r>
          </w:p>
        </w:tc>
        <w:tc>
          <w:tcPr>
            <w:tcW w:w="1598" w:type="pct"/>
          </w:tcPr>
          <w:p w:rsidR="00185A6C" w:rsidRPr="001A2A8E" w:rsidRDefault="00185A6C" w:rsidP="00543A8B">
            <w:pPr>
              <w:autoSpaceDE w:val="0"/>
              <w:autoSpaceDN w:val="0"/>
              <w:adjustRightInd w:val="0"/>
              <w:spacing w:after="60"/>
              <w:jc w:val="center"/>
              <w:rPr>
                <w:b/>
              </w:rPr>
            </w:pPr>
          </w:p>
        </w:tc>
      </w:tr>
      <w:tr w:rsidR="003C7E97" w:rsidRPr="001A2A8E" w:rsidTr="00D21B2F">
        <w:trPr>
          <w:trHeight w:val="340"/>
        </w:trPr>
        <w:tc>
          <w:tcPr>
            <w:tcW w:w="3402" w:type="pct"/>
          </w:tcPr>
          <w:p w:rsidR="003C7E97" w:rsidRPr="001A2A8E" w:rsidRDefault="003C7E97" w:rsidP="003C7E97">
            <w:pPr>
              <w:autoSpaceDE w:val="0"/>
              <w:autoSpaceDN w:val="0"/>
              <w:adjustRightInd w:val="0"/>
              <w:spacing w:after="60"/>
            </w:pPr>
            <w:r w:rsidRPr="001A2A8E">
              <w:rPr>
                <w:szCs w:val="22"/>
              </w:rPr>
              <w:t>Completion of Wave 1 fieldwork</w:t>
            </w:r>
          </w:p>
        </w:tc>
        <w:tc>
          <w:tcPr>
            <w:tcW w:w="1598" w:type="pct"/>
          </w:tcPr>
          <w:p w:rsidR="003C7E97" w:rsidRPr="001A2A8E" w:rsidRDefault="003C7E97" w:rsidP="003C7E97">
            <w:pPr>
              <w:autoSpaceDE w:val="0"/>
              <w:autoSpaceDN w:val="0"/>
              <w:adjustRightInd w:val="0"/>
              <w:spacing w:after="60"/>
              <w:jc w:val="center"/>
            </w:pPr>
            <w:r>
              <w:rPr>
                <w:szCs w:val="22"/>
              </w:rPr>
              <w:t>Q4</w:t>
            </w:r>
            <w:r w:rsidRPr="001A2A8E">
              <w:rPr>
                <w:szCs w:val="22"/>
              </w:rPr>
              <w:t xml:space="preserve"> 2013</w:t>
            </w:r>
          </w:p>
        </w:tc>
      </w:tr>
      <w:tr w:rsidR="00543A8B" w:rsidRPr="001A2A8E" w:rsidTr="00D21B2F">
        <w:trPr>
          <w:trHeight w:val="340"/>
        </w:trPr>
        <w:tc>
          <w:tcPr>
            <w:tcW w:w="3402" w:type="pct"/>
          </w:tcPr>
          <w:p w:rsidR="00543A8B" w:rsidRPr="001A2A8E" w:rsidRDefault="00543A8B" w:rsidP="00543A8B">
            <w:pPr>
              <w:autoSpaceDE w:val="0"/>
              <w:autoSpaceDN w:val="0"/>
              <w:adjustRightInd w:val="0"/>
              <w:spacing w:after="60"/>
            </w:pPr>
            <w:r w:rsidRPr="001A2A8E">
              <w:rPr>
                <w:szCs w:val="22"/>
              </w:rPr>
              <w:t>Submission of Process and Short Term Evaluation Report</w:t>
            </w:r>
          </w:p>
        </w:tc>
        <w:tc>
          <w:tcPr>
            <w:tcW w:w="1598" w:type="pct"/>
          </w:tcPr>
          <w:p w:rsidR="00543A8B" w:rsidRPr="001A2A8E" w:rsidRDefault="003C7E97" w:rsidP="00543A8B">
            <w:pPr>
              <w:autoSpaceDE w:val="0"/>
              <w:autoSpaceDN w:val="0"/>
              <w:adjustRightInd w:val="0"/>
              <w:spacing w:after="60"/>
              <w:jc w:val="center"/>
            </w:pPr>
            <w:r>
              <w:rPr>
                <w:szCs w:val="22"/>
              </w:rPr>
              <w:t>Q1</w:t>
            </w:r>
            <w:r w:rsidR="00543A8B" w:rsidRPr="001A2A8E">
              <w:rPr>
                <w:szCs w:val="22"/>
              </w:rPr>
              <w:t xml:space="preserve"> 2014</w:t>
            </w:r>
          </w:p>
        </w:tc>
      </w:tr>
      <w:tr w:rsidR="00543A8B" w:rsidRPr="001A2A8E" w:rsidTr="00D21B2F">
        <w:trPr>
          <w:trHeight w:val="340"/>
        </w:trPr>
        <w:tc>
          <w:tcPr>
            <w:tcW w:w="3402" w:type="pct"/>
            <w:hideMark/>
          </w:tcPr>
          <w:p w:rsidR="00543A8B" w:rsidRPr="001A2A8E" w:rsidRDefault="00543A8B" w:rsidP="00543A8B">
            <w:pPr>
              <w:autoSpaceDE w:val="0"/>
              <w:autoSpaceDN w:val="0"/>
              <w:adjustRightInd w:val="0"/>
              <w:spacing w:after="60"/>
              <w:rPr>
                <w:u w:val="single"/>
              </w:rPr>
            </w:pPr>
            <w:r w:rsidRPr="001A2A8E">
              <w:rPr>
                <w:szCs w:val="22"/>
              </w:rPr>
              <w:t xml:space="preserve">Acceptance of </w:t>
            </w:r>
            <w:r w:rsidRPr="00167F37">
              <w:rPr>
                <w:szCs w:val="22"/>
              </w:rPr>
              <w:t>Process and Short Term Evaluation Report</w:t>
            </w:r>
          </w:p>
        </w:tc>
        <w:tc>
          <w:tcPr>
            <w:tcW w:w="1598" w:type="pct"/>
            <w:hideMark/>
          </w:tcPr>
          <w:p w:rsidR="00543A8B" w:rsidRPr="001A2A8E" w:rsidRDefault="003C7E97" w:rsidP="00543A8B">
            <w:pPr>
              <w:autoSpaceDE w:val="0"/>
              <w:autoSpaceDN w:val="0"/>
              <w:adjustRightInd w:val="0"/>
              <w:spacing w:after="60"/>
              <w:jc w:val="center"/>
            </w:pPr>
            <w:r>
              <w:rPr>
                <w:szCs w:val="22"/>
              </w:rPr>
              <w:t>Q1</w:t>
            </w:r>
            <w:r w:rsidR="00543A8B" w:rsidRPr="001A2A8E">
              <w:rPr>
                <w:szCs w:val="22"/>
              </w:rPr>
              <w:t xml:space="preserve"> 2014</w:t>
            </w:r>
          </w:p>
        </w:tc>
      </w:tr>
      <w:tr w:rsidR="00185A6C" w:rsidRPr="001A2A8E" w:rsidTr="00185A6C">
        <w:trPr>
          <w:trHeight w:val="467"/>
        </w:trPr>
        <w:tc>
          <w:tcPr>
            <w:tcW w:w="3402" w:type="pct"/>
            <w:hideMark/>
          </w:tcPr>
          <w:p w:rsidR="00185A6C" w:rsidRPr="001A2A8E" w:rsidRDefault="00185A6C" w:rsidP="00543A8B">
            <w:pPr>
              <w:autoSpaceDE w:val="0"/>
              <w:autoSpaceDN w:val="0"/>
              <w:adjustRightInd w:val="0"/>
              <w:spacing w:after="60"/>
              <w:jc w:val="center"/>
              <w:rPr>
                <w:b/>
              </w:rPr>
            </w:pPr>
            <w:r w:rsidRPr="001A2A8E">
              <w:rPr>
                <w:b/>
                <w:szCs w:val="22"/>
              </w:rPr>
              <w:t>2014-15</w:t>
            </w:r>
          </w:p>
        </w:tc>
        <w:tc>
          <w:tcPr>
            <w:tcW w:w="1598" w:type="pct"/>
          </w:tcPr>
          <w:p w:rsidR="00185A6C" w:rsidRPr="001A2A8E" w:rsidRDefault="00185A6C" w:rsidP="00543A8B">
            <w:pPr>
              <w:autoSpaceDE w:val="0"/>
              <w:autoSpaceDN w:val="0"/>
              <w:adjustRightInd w:val="0"/>
              <w:spacing w:after="60"/>
              <w:jc w:val="center"/>
              <w:rPr>
                <w:b/>
              </w:rPr>
            </w:pPr>
          </w:p>
        </w:tc>
      </w:tr>
      <w:tr w:rsidR="00437CB3" w:rsidRPr="001A2A8E" w:rsidTr="00D21B2F">
        <w:trPr>
          <w:trHeight w:val="340"/>
        </w:trPr>
        <w:tc>
          <w:tcPr>
            <w:tcW w:w="3402" w:type="pct"/>
          </w:tcPr>
          <w:p w:rsidR="00437CB3" w:rsidRPr="001A2A8E" w:rsidRDefault="00437CB3" w:rsidP="00E71A27">
            <w:pPr>
              <w:autoSpaceDE w:val="0"/>
              <w:autoSpaceDN w:val="0"/>
              <w:adjustRightInd w:val="0"/>
              <w:spacing w:after="60"/>
            </w:pPr>
            <w:r w:rsidRPr="001A2A8E">
              <w:rPr>
                <w:szCs w:val="22"/>
              </w:rPr>
              <w:t>Completion of Wave 2 fieldwork</w:t>
            </w:r>
          </w:p>
        </w:tc>
        <w:tc>
          <w:tcPr>
            <w:tcW w:w="1598" w:type="pct"/>
          </w:tcPr>
          <w:p w:rsidR="00437CB3" w:rsidRPr="001A2A8E" w:rsidRDefault="00437CB3" w:rsidP="00E71A27">
            <w:pPr>
              <w:autoSpaceDE w:val="0"/>
              <w:autoSpaceDN w:val="0"/>
              <w:adjustRightInd w:val="0"/>
              <w:spacing w:after="60"/>
              <w:jc w:val="center"/>
            </w:pPr>
            <w:r>
              <w:rPr>
                <w:szCs w:val="22"/>
              </w:rPr>
              <w:t>Q4</w:t>
            </w:r>
            <w:r w:rsidRPr="001A2A8E">
              <w:rPr>
                <w:szCs w:val="22"/>
              </w:rPr>
              <w:t xml:space="preserve"> 2014</w:t>
            </w:r>
          </w:p>
        </w:tc>
      </w:tr>
      <w:tr w:rsidR="00543A8B" w:rsidRPr="001A2A8E" w:rsidTr="00D21B2F">
        <w:trPr>
          <w:trHeight w:val="340"/>
        </w:trPr>
        <w:tc>
          <w:tcPr>
            <w:tcW w:w="3402" w:type="pct"/>
          </w:tcPr>
          <w:p w:rsidR="00543A8B" w:rsidRPr="001A2A8E" w:rsidRDefault="00543A8B" w:rsidP="00543A8B">
            <w:pPr>
              <w:autoSpaceDE w:val="0"/>
              <w:autoSpaceDN w:val="0"/>
              <w:adjustRightInd w:val="0"/>
              <w:spacing w:after="60"/>
            </w:pPr>
            <w:r w:rsidRPr="001A2A8E">
              <w:rPr>
                <w:szCs w:val="22"/>
              </w:rPr>
              <w:t>Submission of Medium Term Outcome Evaluation Report</w:t>
            </w:r>
          </w:p>
        </w:tc>
        <w:tc>
          <w:tcPr>
            <w:tcW w:w="1598" w:type="pct"/>
          </w:tcPr>
          <w:p w:rsidR="00543A8B" w:rsidRPr="001A2A8E" w:rsidRDefault="00437CB3" w:rsidP="00543A8B">
            <w:pPr>
              <w:autoSpaceDE w:val="0"/>
              <w:autoSpaceDN w:val="0"/>
              <w:adjustRightInd w:val="0"/>
              <w:spacing w:after="60"/>
              <w:jc w:val="center"/>
            </w:pPr>
            <w:r>
              <w:rPr>
                <w:szCs w:val="22"/>
              </w:rPr>
              <w:t>Q4</w:t>
            </w:r>
            <w:r w:rsidR="00543A8B" w:rsidRPr="001A2A8E">
              <w:rPr>
                <w:szCs w:val="22"/>
              </w:rPr>
              <w:t xml:space="preserve"> 2014</w:t>
            </w:r>
          </w:p>
        </w:tc>
      </w:tr>
      <w:tr w:rsidR="00543A8B" w:rsidRPr="001A2A8E" w:rsidTr="00D21B2F">
        <w:trPr>
          <w:trHeight w:val="340"/>
        </w:trPr>
        <w:tc>
          <w:tcPr>
            <w:tcW w:w="3402" w:type="pct"/>
            <w:hideMark/>
          </w:tcPr>
          <w:p w:rsidR="00543A8B" w:rsidRPr="001A2A8E" w:rsidRDefault="00543A8B" w:rsidP="00543A8B">
            <w:pPr>
              <w:autoSpaceDE w:val="0"/>
              <w:autoSpaceDN w:val="0"/>
              <w:adjustRightInd w:val="0"/>
              <w:spacing w:after="60"/>
            </w:pPr>
            <w:r w:rsidRPr="001A2A8E">
              <w:rPr>
                <w:szCs w:val="22"/>
              </w:rPr>
              <w:t xml:space="preserve">Acceptance of </w:t>
            </w:r>
            <w:r w:rsidRPr="00167F37">
              <w:rPr>
                <w:szCs w:val="22"/>
              </w:rPr>
              <w:t>Medium Term Outcome Evaluation Report</w:t>
            </w:r>
          </w:p>
        </w:tc>
        <w:tc>
          <w:tcPr>
            <w:tcW w:w="1598" w:type="pct"/>
            <w:hideMark/>
          </w:tcPr>
          <w:p w:rsidR="00543A8B" w:rsidRPr="001A2A8E" w:rsidRDefault="00437CB3" w:rsidP="00543A8B">
            <w:pPr>
              <w:autoSpaceDE w:val="0"/>
              <w:autoSpaceDN w:val="0"/>
              <w:adjustRightInd w:val="0"/>
              <w:spacing w:after="60"/>
              <w:jc w:val="center"/>
            </w:pPr>
            <w:r>
              <w:rPr>
                <w:szCs w:val="22"/>
              </w:rPr>
              <w:t>Q1</w:t>
            </w:r>
            <w:r w:rsidR="00543A8B" w:rsidRPr="001A2A8E">
              <w:rPr>
                <w:szCs w:val="22"/>
              </w:rPr>
              <w:t xml:space="preserve"> 2015</w:t>
            </w:r>
          </w:p>
        </w:tc>
      </w:tr>
      <w:tr w:rsidR="00543A8B" w:rsidRPr="001A2A8E" w:rsidTr="00D21B2F">
        <w:trPr>
          <w:trHeight w:val="340"/>
        </w:trPr>
        <w:tc>
          <w:tcPr>
            <w:tcW w:w="3402" w:type="pct"/>
          </w:tcPr>
          <w:p w:rsidR="00543A8B" w:rsidRPr="001A2A8E" w:rsidRDefault="00543A8B" w:rsidP="00543A8B">
            <w:pPr>
              <w:autoSpaceDE w:val="0"/>
              <w:autoSpaceDN w:val="0"/>
              <w:adjustRightInd w:val="0"/>
              <w:spacing w:after="60"/>
            </w:pPr>
            <w:r w:rsidRPr="001A2A8E">
              <w:rPr>
                <w:szCs w:val="22"/>
              </w:rPr>
              <w:t>Submission of Consolidated Evaluation Report 2012-2015</w:t>
            </w:r>
          </w:p>
        </w:tc>
        <w:tc>
          <w:tcPr>
            <w:tcW w:w="1598" w:type="pct"/>
          </w:tcPr>
          <w:p w:rsidR="00543A8B" w:rsidRPr="001A2A8E" w:rsidRDefault="00437CB3" w:rsidP="00543A8B">
            <w:pPr>
              <w:autoSpaceDE w:val="0"/>
              <w:autoSpaceDN w:val="0"/>
              <w:adjustRightInd w:val="0"/>
              <w:spacing w:after="60"/>
              <w:jc w:val="center"/>
            </w:pPr>
            <w:r>
              <w:rPr>
                <w:szCs w:val="22"/>
              </w:rPr>
              <w:t>Q2</w:t>
            </w:r>
            <w:r w:rsidR="00543A8B" w:rsidRPr="001A2A8E">
              <w:rPr>
                <w:szCs w:val="22"/>
              </w:rPr>
              <w:t xml:space="preserve"> 2015</w:t>
            </w:r>
          </w:p>
        </w:tc>
      </w:tr>
      <w:tr w:rsidR="00543A8B" w:rsidRPr="001A2A8E" w:rsidTr="00D21B2F">
        <w:trPr>
          <w:cnfStyle w:val="010000000000" w:firstRow="0" w:lastRow="1" w:firstColumn="0" w:lastColumn="0" w:oddVBand="0" w:evenVBand="0" w:oddHBand="0" w:evenHBand="0" w:firstRowFirstColumn="0" w:firstRowLastColumn="0" w:lastRowFirstColumn="0" w:lastRowLastColumn="0"/>
          <w:trHeight w:val="340"/>
        </w:trPr>
        <w:tc>
          <w:tcPr>
            <w:tcW w:w="3402" w:type="pct"/>
            <w:hideMark/>
          </w:tcPr>
          <w:p w:rsidR="00543A8B" w:rsidRPr="001A2A8E" w:rsidRDefault="00543A8B" w:rsidP="00543A8B">
            <w:pPr>
              <w:autoSpaceDE w:val="0"/>
              <w:autoSpaceDN w:val="0"/>
              <w:adjustRightInd w:val="0"/>
              <w:spacing w:after="60"/>
            </w:pPr>
            <w:r w:rsidRPr="001A2A8E">
              <w:rPr>
                <w:szCs w:val="22"/>
              </w:rPr>
              <w:t xml:space="preserve">Acceptance of </w:t>
            </w:r>
            <w:r w:rsidRPr="00167F37">
              <w:rPr>
                <w:szCs w:val="22"/>
              </w:rPr>
              <w:t>Consolidated Evaluation Report 2012</w:t>
            </w:r>
            <w:r w:rsidRPr="00167F37">
              <w:rPr>
                <w:szCs w:val="22"/>
              </w:rPr>
              <w:noBreakHyphen/>
              <w:t>2015</w:t>
            </w:r>
          </w:p>
        </w:tc>
        <w:tc>
          <w:tcPr>
            <w:tcW w:w="1598" w:type="pct"/>
            <w:hideMark/>
          </w:tcPr>
          <w:p w:rsidR="00543A8B" w:rsidRPr="001A2A8E" w:rsidRDefault="00437CB3" w:rsidP="00543A8B">
            <w:pPr>
              <w:autoSpaceDE w:val="0"/>
              <w:autoSpaceDN w:val="0"/>
              <w:adjustRightInd w:val="0"/>
              <w:spacing w:after="60"/>
              <w:jc w:val="center"/>
            </w:pPr>
            <w:r>
              <w:rPr>
                <w:szCs w:val="22"/>
              </w:rPr>
              <w:t>Q2</w:t>
            </w:r>
            <w:r w:rsidR="00543A8B" w:rsidRPr="001A2A8E">
              <w:rPr>
                <w:szCs w:val="22"/>
              </w:rPr>
              <w:t xml:space="preserve"> 2015</w:t>
            </w:r>
          </w:p>
        </w:tc>
      </w:tr>
    </w:tbl>
    <w:p w:rsidR="00543A8B" w:rsidRPr="00543A8B" w:rsidRDefault="00543A8B" w:rsidP="00543A8B">
      <w:pPr>
        <w:pStyle w:val="BodyText"/>
      </w:pPr>
    </w:p>
    <w:p w:rsidR="00854AD5" w:rsidRDefault="00854AD5" w:rsidP="00854AD5">
      <w:pPr>
        <w:pStyle w:val="Heading1"/>
        <w:ind w:left="0" w:hanging="567"/>
      </w:pPr>
      <w:bookmarkStart w:id="55" w:name="_Toc342495221"/>
      <w:bookmarkStart w:id="56" w:name="_Toc215906320"/>
      <w:bookmarkStart w:id="57" w:name="_Toc227746677"/>
      <w:bookmarkStart w:id="58" w:name="_Toc227746681"/>
      <w:bookmarkStart w:id="59" w:name="_Toc227746685"/>
      <w:bookmarkStart w:id="60" w:name="_Toc227746689"/>
      <w:bookmarkStart w:id="61" w:name="_Toc227748311"/>
      <w:bookmarkStart w:id="62" w:name="_Toc227748329"/>
      <w:bookmarkStart w:id="63" w:name="_Toc227748333"/>
      <w:bookmarkStart w:id="64" w:name="_Toc227748337"/>
      <w:bookmarkStart w:id="65" w:name="_Toc227748376"/>
      <w:bookmarkStart w:id="66" w:name="_Toc227748380"/>
      <w:bookmarkStart w:id="67" w:name="_Toc227748384"/>
      <w:bookmarkStart w:id="68" w:name="_Toc227748496"/>
      <w:bookmarkStart w:id="69" w:name="_Toc227748500"/>
      <w:bookmarkStart w:id="70" w:name="_Toc228005207"/>
      <w:bookmarkStart w:id="71" w:name="_Toc228092498"/>
      <w:bookmarkStart w:id="72" w:name="_Toc228264953"/>
      <w:bookmarkStart w:id="73" w:name="_Toc228264975"/>
      <w:bookmarkStart w:id="74" w:name="_Toc228264979"/>
      <w:bookmarkStart w:id="75" w:name="_Toc228264983"/>
      <w:bookmarkStart w:id="76" w:name="_Toc228264987"/>
      <w:bookmarkStart w:id="77" w:name="_Toc228265217"/>
      <w:r>
        <w:lastRenderedPageBreak/>
        <w:t>Place based income management</w:t>
      </w:r>
      <w:bookmarkEnd w:id="55"/>
    </w:p>
    <w:p w:rsidR="00526720" w:rsidRDefault="00526720" w:rsidP="00526720">
      <w:pPr>
        <w:pStyle w:val="BodyText"/>
      </w:pPr>
      <w:r w:rsidRPr="00202247">
        <w:t xml:space="preserve">Place based income management (PBIM) forms part of the </w:t>
      </w:r>
      <w:r w:rsidRPr="00E510EC">
        <w:rPr>
          <w:i/>
        </w:rPr>
        <w:t>Better Futures, Local Solutions</w:t>
      </w:r>
      <w:r>
        <w:t xml:space="preserve"> place-based initiative within the </w:t>
      </w:r>
      <w:r w:rsidRPr="00202247">
        <w:t xml:space="preserve">Building Australia’s Future Workforce (BAFW) package, a group of initiatives which aim to assist vulnerable families and children, and to enhance opportunities for people to enter or return to the workforce.  </w:t>
      </w:r>
    </w:p>
    <w:p w:rsidR="00964D4A" w:rsidRDefault="00E10EBB" w:rsidP="00E10EBB">
      <w:pPr>
        <w:pStyle w:val="BodyText"/>
      </w:pPr>
      <w:r w:rsidRPr="00A9708E">
        <w:t>Income management currently applies in the NT; in</w:t>
      </w:r>
      <w:r w:rsidR="003079DE">
        <w:t xml:space="preserve"> four communities in</w:t>
      </w:r>
      <w:r w:rsidRPr="00A9708E">
        <w:t xml:space="preserve"> Cape York, Queensland under the Cape York Welfare Reform and in parts of Western Australia for child protection cases and for people who volunteer. </w:t>
      </w:r>
      <w:r w:rsidR="00AD6C8F">
        <w:t xml:space="preserve"> The Australian Government is providing $117.5 million over five years to introduce income management to five new locations f</w:t>
      </w:r>
      <w:r w:rsidRPr="00A9708E">
        <w:t>rom July 2012</w:t>
      </w:r>
      <w:r w:rsidR="00AD6C8F">
        <w:t>.</w:t>
      </w:r>
    </w:p>
    <w:p w:rsidR="00964D4A" w:rsidRDefault="00E10EBB" w:rsidP="00964D4A">
      <w:pPr>
        <w:pStyle w:val="Bullet1"/>
      </w:pPr>
      <w:proofErr w:type="spellStart"/>
      <w:r w:rsidRPr="00A9708E">
        <w:t>Playford</w:t>
      </w:r>
      <w:proofErr w:type="spellEnd"/>
      <w:r w:rsidRPr="00A9708E">
        <w:t xml:space="preserve"> (South Australia);</w:t>
      </w:r>
    </w:p>
    <w:p w:rsidR="00964D4A" w:rsidRDefault="00E10EBB" w:rsidP="00964D4A">
      <w:pPr>
        <w:pStyle w:val="Bullet1"/>
      </w:pPr>
      <w:r w:rsidRPr="00A9708E">
        <w:t>Greater Shepparton (Victoria);</w:t>
      </w:r>
    </w:p>
    <w:p w:rsidR="00964D4A" w:rsidRDefault="00E10EBB" w:rsidP="00964D4A">
      <w:pPr>
        <w:pStyle w:val="Bullet1"/>
      </w:pPr>
      <w:r w:rsidRPr="00A9708E">
        <w:t>Bankstown (New South Wales);</w:t>
      </w:r>
    </w:p>
    <w:p w:rsidR="00964D4A" w:rsidRDefault="00E10EBB" w:rsidP="00964D4A">
      <w:pPr>
        <w:pStyle w:val="Bullet1"/>
      </w:pPr>
      <w:r w:rsidRPr="00A9708E">
        <w:t>Rockhampton (Queensland); and</w:t>
      </w:r>
    </w:p>
    <w:p w:rsidR="00E10EBB" w:rsidRDefault="00E10EBB" w:rsidP="00964D4A">
      <w:pPr>
        <w:pStyle w:val="Bullet1"/>
      </w:pPr>
      <w:r w:rsidRPr="00A9708E">
        <w:t>Logan (Queensland).</w:t>
      </w:r>
    </w:p>
    <w:p w:rsidR="0049641F" w:rsidRDefault="0049641F" w:rsidP="00AE6B69">
      <w:pPr>
        <w:pStyle w:val="BodyText"/>
        <w:rPr>
          <w:highlight w:val="yellow"/>
        </w:rPr>
      </w:pPr>
      <w:r w:rsidRPr="00DA7345">
        <w:t>The</w:t>
      </w:r>
      <w:r>
        <w:t xml:space="preserve"> trial</w:t>
      </w:r>
      <w:r w:rsidRPr="00DA7345">
        <w:t xml:space="preserve"> sites were chosen based on an assessment of the prevalence of factors indicating social disadvantage, such as unemployment, youth unemployment, skills gaps, the numbers of people relying on </w:t>
      </w:r>
      <w:r w:rsidR="00081556">
        <w:t>Income Support Payments</w:t>
      </w:r>
      <w:r w:rsidRPr="00DA7345">
        <w:t xml:space="preserve"> as their primary source of income and the length of time recipients have been receiving </w:t>
      </w:r>
      <w:r w:rsidR="00081556">
        <w:t>I</w:t>
      </w:r>
      <w:r w:rsidRPr="00DA7345">
        <w:t xml:space="preserve">ncome </w:t>
      </w:r>
      <w:r w:rsidR="00081556">
        <w:t>S</w:t>
      </w:r>
      <w:r w:rsidRPr="00DA7345">
        <w:t xml:space="preserve">upport </w:t>
      </w:r>
      <w:r w:rsidR="00081556">
        <w:t>P</w:t>
      </w:r>
      <w:r w:rsidRPr="00DA7345">
        <w:t>ayments.</w:t>
      </w:r>
    </w:p>
    <w:p w:rsidR="00526720" w:rsidRPr="0049641F" w:rsidRDefault="00526720" w:rsidP="00526720">
      <w:pPr>
        <w:pStyle w:val="BodyText"/>
      </w:pPr>
      <w:r w:rsidRPr="0049641F">
        <w:t>Under the trial, IM will apply to the following people in the designated locations:</w:t>
      </w:r>
    </w:p>
    <w:p w:rsidR="00526720" w:rsidRPr="00AE6B69" w:rsidRDefault="00526720" w:rsidP="00526720">
      <w:pPr>
        <w:pStyle w:val="Bullet1"/>
      </w:pPr>
      <w:r w:rsidRPr="00E510EC">
        <w:t>people referred for income management by state child protection authorities, this will be done in cases where it will benefit the child, family or young person by reducing the likelihood of behaviours that contribute to risk and neglect</w:t>
      </w:r>
      <w:r w:rsidR="00F1735A">
        <w:t>,</w:t>
      </w:r>
      <w:r>
        <w:t xml:space="preserve"> </w:t>
      </w:r>
      <w:r w:rsidRPr="00AE6B69">
        <w:t xml:space="preserve">people assessed by </w:t>
      </w:r>
      <w:r w:rsidR="00F1735A">
        <w:t>DHS</w:t>
      </w:r>
      <w:r w:rsidRPr="00AE6B69">
        <w:t xml:space="preserve"> social workers as being vulnerable due to circumstances including financial crisis, financial exploitation, homelessness or risk of homelessness</w:t>
      </w:r>
      <w:r>
        <w:t xml:space="preserve"> (VULN)</w:t>
      </w:r>
      <w:r w:rsidRPr="00AE6B69">
        <w:t xml:space="preserve">, and </w:t>
      </w:r>
    </w:p>
    <w:p w:rsidR="00526720" w:rsidRPr="00AE6B69" w:rsidRDefault="00526720" w:rsidP="00526720">
      <w:pPr>
        <w:pStyle w:val="Bullet1"/>
      </w:pPr>
      <w:proofErr w:type="gramStart"/>
      <w:r w:rsidRPr="00AE6B69">
        <w:t>people</w:t>
      </w:r>
      <w:proofErr w:type="gramEnd"/>
      <w:r w:rsidRPr="00AE6B69">
        <w:t xml:space="preserve"> who volunteer for income management (VIM). </w:t>
      </w:r>
    </w:p>
    <w:p w:rsidR="00526720" w:rsidRPr="0043213B" w:rsidRDefault="00526720" w:rsidP="00526720">
      <w:pPr>
        <w:pStyle w:val="BodyText"/>
      </w:pPr>
      <w:r w:rsidRPr="00AE6B69">
        <w:t>The income management model has been funded for up to 1,000 customers per location, per year, covering all three modes of referral</w:t>
      </w:r>
      <w:r>
        <w:t>. This is not a cap or a target.</w:t>
      </w:r>
    </w:p>
    <w:p w:rsidR="00707ACC" w:rsidRDefault="00707ACC" w:rsidP="0043213B">
      <w:pPr>
        <w:pStyle w:val="Heading2"/>
      </w:pPr>
      <w:bookmarkStart w:id="78" w:name="_Toc342495222"/>
      <w:r>
        <w:t xml:space="preserve">Purpose </w:t>
      </w:r>
      <w:r w:rsidR="00B85867">
        <w:t xml:space="preserve">and objectives </w:t>
      </w:r>
      <w:r>
        <w:t>of PBIM</w:t>
      </w:r>
      <w:bookmarkEnd w:id="78"/>
    </w:p>
    <w:p w:rsidR="002E70FD" w:rsidRPr="002E70FD" w:rsidRDefault="00202247" w:rsidP="0085347A">
      <w:pPr>
        <w:pStyle w:val="BodyText"/>
        <w:rPr>
          <w:highlight w:val="yellow"/>
        </w:rPr>
      </w:pPr>
      <w:r w:rsidRPr="00707ACC">
        <w:t xml:space="preserve">The purpose of PBIM is </w:t>
      </w:r>
      <w:r w:rsidR="00AE6B69" w:rsidRPr="00DA7345">
        <w:rPr>
          <w:rFonts w:cs="Arial"/>
        </w:rPr>
        <w:t>to provide people with the financial stability needed to increase their social and economic participation</w:t>
      </w:r>
      <w:r w:rsidR="00AE6B69" w:rsidRPr="00707ACC">
        <w:t xml:space="preserve"> </w:t>
      </w:r>
      <w:r w:rsidR="00AE6B69">
        <w:t xml:space="preserve">and </w:t>
      </w:r>
      <w:r w:rsidRPr="00707ACC">
        <w:t xml:space="preserve">to </w:t>
      </w:r>
      <w:r w:rsidR="00707ACC">
        <w:t>encourage welfare recipients to spend</w:t>
      </w:r>
      <w:r w:rsidRPr="00707ACC">
        <w:t xml:space="preserve"> </w:t>
      </w:r>
      <w:r w:rsidR="00081556">
        <w:t>I</w:t>
      </w:r>
      <w:r w:rsidRPr="00707ACC">
        <w:t xml:space="preserve">ncome </w:t>
      </w:r>
      <w:r w:rsidR="00081556">
        <w:t>S</w:t>
      </w:r>
      <w:r w:rsidRPr="00707ACC">
        <w:t xml:space="preserve">upport </w:t>
      </w:r>
      <w:r w:rsidR="00081556">
        <w:t>P</w:t>
      </w:r>
      <w:r w:rsidRPr="00707ACC">
        <w:t xml:space="preserve">ayments in the best interests of children and families.  </w:t>
      </w:r>
      <w:r w:rsidRPr="00202247">
        <w:t xml:space="preserve">The scheme </w:t>
      </w:r>
      <w:r w:rsidR="007D7CF1">
        <w:t>directs</w:t>
      </w:r>
      <w:r w:rsidRPr="00202247">
        <w:t xml:space="preserve"> a proportion of </w:t>
      </w:r>
      <w:r w:rsidR="00081556">
        <w:t>I</w:t>
      </w:r>
      <w:r w:rsidRPr="00202247">
        <w:t xml:space="preserve">ncome </w:t>
      </w:r>
      <w:r w:rsidR="00081556">
        <w:t>S</w:t>
      </w:r>
      <w:r w:rsidRPr="00202247">
        <w:t xml:space="preserve">upport </w:t>
      </w:r>
      <w:r w:rsidR="00081556">
        <w:t>P</w:t>
      </w:r>
      <w:r w:rsidRPr="00202247">
        <w:t>ayments for expenditure on priority items including food, housing, clothing and utilities.  Income managed funds cannot be spent on alcohol, tobacco, pornographic material or gambling products</w:t>
      </w:r>
      <w:r w:rsidR="002E70FD">
        <w:rPr>
          <w:rStyle w:val="FootnoteReference"/>
        </w:rPr>
        <w:footnoteReference w:id="2"/>
      </w:r>
      <w:r w:rsidR="00504360">
        <w:t>.</w:t>
      </w:r>
    </w:p>
    <w:p w:rsidR="002E70FD" w:rsidRPr="00EF5A5D" w:rsidRDefault="002E70FD" w:rsidP="0085347A">
      <w:pPr>
        <w:pStyle w:val="BodyText"/>
      </w:pPr>
      <w:r w:rsidRPr="00EF5A5D">
        <w:lastRenderedPageBreak/>
        <w:t>The key objectives of income management are to:</w:t>
      </w:r>
    </w:p>
    <w:p w:rsidR="002E70FD" w:rsidRPr="00EF5A5D" w:rsidRDefault="002E70FD" w:rsidP="0085347A">
      <w:pPr>
        <w:pStyle w:val="Bullet1"/>
      </w:pPr>
      <w:r w:rsidRPr="00EF5A5D">
        <w:t>reduce immediate hardship and deprivation by directing welfare payments to the priority needs of recipients, their partner, children and any other dependents;</w:t>
      </w:r>
    </w:p>
    <w:p w:rsidR="002E70FD" w:rsidRPr="00EF5A5D" w:rsidRDefault="002E70FD" w:rsidP="0085347A">
      <w:pPr>
        <w:pStyle w:val="Bullet1"/>
      </w:pPr>
      <w:r w:rsidRPr="00EF5A5D">
        <w:t>help affected welfare payment recipients to budget so that they can meet their priority needs;</w:t>
      </w:r>
    </w:p>
    <w:p w:rsidR="002E70FD" w:rsidRPr="00EF5A5D" w:rsidRDefault="002E70FD" w:rsidP="0085347A">
      <w:pPr>
        <w:pStyle w:val="Bullet1"/>
      </w:pPr>
      <w:r w:rsidRPr="00EF5A5D">
        <w:t>reduce the amount of discretionary income available for alcohol, gambling, tobacco and pornography;</w:t>
      </w:r>
    </w:p>
    <w:p w:rsidR="002E70FD" w:rsidRPr="00EF5A5D" w:rsidRDefault="002E70FD" w:rsidP="0085347A">
      <w:pPr>
        <w:pStyle w:val="Bullet1"/>
      </w:pPr>
      <w:r w:rsidRPr="00EF5A5D">
        <w:t xml:space="preserve">reduce the likelihood that welfare payment recipients will be subject to harassment and abuse in relation to their welfare payments; and </w:t>
      </w:r>
    </w:p>
    <w:p w:rsidR="002E70FD" w:rsidRPr="00EF5A5D" w:rsidRDefault="002E70FD" w:rsidP="0085347A">
      <w:pPr>
        <w:pStyle w:val="Bullet1"/>
        <w:rPr>
          <w:rStyle w:val="BookTitle"/>
          <w:i w:val="0"/>
          <w:iCs w:val="0"/>
          <w:smallCaps w:val="0"/>
        </w:rPr>
      </w:pPr>
      <w:proofErr w:type="gramStart"/>
      <w:r w:rsidRPr="00EF5A5D">
        <w:t>encourage</w:t>
      </w:r>
      <w:proofErr w:type="gramEnd"/>
      <w:r w:rsidRPr="00EF5A5D">
        <w:t xml:space="preserve"> socially responsible behaviour, particularly in the care and education of children.</w:t>
      </w:r>
    </w:p>
    <w:p w:rsidR="00E10EBB" w:rsidRDefault="00E10EBB" w:rsidP="00E10EBB">
      <w:pPr>
        <w:pStyle w:val="Heading2"/>
        <w:rPr>
          <w:lang w:eastAsia="en-AU"/>
        </w:rPr>
      </w:pPr>
      <w:bookmarkStart w:id="79" w:name="_Toc342495223"/>
      <w:r>
        <w:rPr>
          <w:lang w:eastAsia="en-AU"/>
        </w:rPr>
        <w:t>Eligibility</w:t>
      </w:r>
      <w:bookmarkEnd w:id="79"/>
    </w:p>
    <w:p w:rsidR="001E3459" w:rsidRDefault="000D570C" w:rsidP="001E3459">
      <w:pPr>
        <w:pStyle w:val="BodyText"/>
        <w:rPr>
          <w:lang w:eastAsia="en-AU"/>
        </w:rPr>
      </w:pPr>
      <w:r w:rsidRPr="00E14192">
        <w:t xml:space="preserve">Income management measures are </w:t>
      </w:r>
      <w:r w:rsidR="004C1A9B">
        <w:t>intended for</w:t>
      </w:r>
      <w:r w:rsidRPr="00E14192">
        <w:t xml:space="preserve"> specified groups of income support payment recipients, based on their higher risk of social isolation and disengagement, poor financial literacy, and participation in risky behaviours. </w:t>
      </w:r>
      <w:r w:rsidR="00DC5F5C">
        <w:t>Those eligible</w:t>
      </w:r>
      <w:r w:rsidR="00E14192" w:rsidRPr="00E14192">
        <w:rPr>
          <w:lang w:eastAsia="en-AU"/>
        </w:rPr>
        <w:t xml:space="preserve"> for the</w:t>
      </w:r>
      <w:r w:rsidR="001E3459" w:rsidRPr="00E14192">
        <w:rPr>
          <w:lang w:eastAsia="en-AU"/>
        </w:rPr>
        <w:t xml:space="preserve"> income management</w:t>
      </w:r>
      <w:r w:rsidR="00E14192" w:rsidRPr="00E14192">
        <w:rPr>
          <w:lang w:eastAsia="en-AU"/>
        </w:rPr>
        <w:t xml:space="preserve"> measures are</w:t>
      </w:r>
      <w:r w:rsidR="001E3459" w:rsidRPr="00E14192">
        <w:rPr>
          <w:lang w:eastAsia="en-AU"/>
        </w:rPr>
        <w:t xml:space="preserve"> </w:t>
      </w:r>
      <w:r w:rsidR="00DC5F5C">
        <w:rPr>
          <w:lang w:eastAsia="en-AU"/>
        </w:rPr>
        <w:t>described</w:t>
      </w:r>
      <w:r w:rsidR="00DC5F5C" w:rsidRPr="00E14192">
        <w:rPr>
          <w:lang w:eastAsia="en-AU"/>
        </w:rPr>
        <w:t xml:space="preserve"> </w:t>
      </w:r>
      <w:r w:rsidR="001E3459" w:rsidRPr="00E14192">
        <w:rPr>
          <w:lang w:eastAsia="en-AU"/>
        </w:rPr>
        <w:t>below:</w:t>
      </w:r>
      <w:r w:rsidR="001E3459">
        <w:rPr>
          <w:lang w:eastAsia="en-AU"/>
        </w:rPr>
        <w:t xml:space="preserve">  </w:t>
      </w:r>
    </w:p>
    <w:p w:rsidR="00C759A6" w:rsidRPr="000D570C" w:rsidRDefault="00C759A6" w:rsidP="00C759A6">
      <w:pPr>
        <w:pStyle w:val="Bullet1"/>
      </w:pPr>
      <w:bookmarkStart w:id="80" w:name="_Toc274829813"/>
      <w:bookmarkStart w:id="81" w:name="_Toc274829815"/>
      <w:r w:rsidRPr="000D570C">
        <w:t xml:space="preserve">Child protection </w:t>
      </w:r>
      <w:bookmarkEnd w:id="80"/>
      <w:r>
        <w:t>measure</w:t>
      </w:r>
      <w:r w:rsidRPr="000D570C">
        <w:t xml:space="preserve"> (CPIM)</w:t>
      </w:r>
    </w:p>
    <w:p w:rsidR="00C759A6" w:rsidRPr="000D570C" w:rsidRDefault="00C759A6" w:rsidP="00C759A6">
      <w:pPr>
        <w:pStyle w:val="Bullet2"/>
      </w:pPr>
      <w:r w:rsidRPr="000D570C">
        <w:t>For parents</w:t>
      </w:r>
      <w:r>
        <w:t>,</w:t>
      </w:r>
      <w:r w:rsidRPr="000D570C">
        <w:t xml:space="preserve"> carers</w:t>
      </w:r>
      <w:r>
        <w:t xml:space="preserve"> or young people</w:t>
      </w:r>
      <w:r w:rsidRPr="000D570C">
        <w:t xml:space="preserve"> referred for income management by a child protection worker. Child protection authorities will refer people for compulsory income management if the child protection worker deems that income management might contribute to improved outcomes for children </w:t>
      </w:r>
      <w:r>
        <w:t xml:space="preserve">or young people, particularly those </w:t>
      </w:r>
      <w:r w:rsidRPr="000D570C">
        <w:t>at risk of neglect. This measure will apply at the discretion of a State or Territory child protection worker.</w:t>
      </w:r>
    </w:p>
    <w:p w:rsidR="00C759A6" w:rsidRPr="000D570C" w:rsidRDefault="00C759A6" w:rsidP="00C759A6">
      <w:pPr>
        <w:pStyle w:val="Bullet1"/>
      </w:pPr>
      <w:bookmarkStart w:id="82" w:name="_Toc274829814"/>
      <w:r w:rsidRPr="000D570C">
        <w:t xml:space="preserve">Vulnerable </w:t>
      </w:r>
      <w:bookmarkEnd w:id="82"/>
      <w:r>
        <w:t>measure</w:t>
      </w:r>
      <w:r w:rsidRPr="000D570C">
        <w:t xml:space="preserve"> (VULN)</w:t>
      </w:r>
    </w:p>
    <w:p w:rsidR="00C759A6" w:rsidRPr="00DA7345" w:rsidRDefault="00C759A6" w:rsidP="00C759A6">
      <w:pPr>
        <w:pStyle w:val="Bullet2"/>
      </w:pPr>
      <w:r w:rsidRPr="000D570C">
        <w:t xml:space="preserve">For vulnerable income support payment recipients </w:t>
      </w:r>
      <w:r>
        <w:t>where a Department of Human Services (DHS)</w:t>
      </w:r>
      <w:r w:rsidRPr="000D570C">
        <w:t xml:space="preserve"> social worker assess</w:t>
      </w:r>
      <w:r>
        <w:t>es they</w:t>
      </w:r>
      <w:r w:rsidRPr="000D570C">
        <w:t xml:space="preserve"> would benefit from income management in order to meet their social and</w:t>
      </w:r>
      <w:r>
        <w:t>/or</w:t>
      </w:r>
      <w:r w:rsidRPr="000D570C">
        <w:t xml:space="preserve"> parental responsibilities, to manage their money responsibly, and to build and maintain reasonable self-care. This </w:t>
      </w:r>
      <w:r w:rsidR="00037695">
        <w:t>measure</w:t>
      </w:r>
      <w:r w:rsidRPr="000D570C">
        <w:t xml:space="preserve"> provides </w:t>
      </w:r>
      <w:r>
        <w:t xml:space="preserve">DHS </w:t>
      </w:r>
      <w:r w:rsidRPr="000D570C">
        <w:t xml:space="preserve">social workers with an additional tool to help individuals who are vulnerable and/or at risk (e.g. individuals </w:t>
      </w:r>
      <w:r>
        <w:t xml:space="preserve">who are at risk of homelessness </w:t>
      </w:r>
      <w:r w:rsidRPr="000D570C">
        <w:t>and those subject to financial harassment). It can only be applied following an assessmen</w:t>
      </w:r>
      <w:r>
        <w:t>t by a DHS social worker.</w:t>
      </w:r>
    </w:p>
    <w:p w:rsidR="001E3459" w:rsidRPr="00271071" w:rsidRDefault="001E3459" w:rsidP="001E3459">
      <w:pPr>
        <w:pStyle w:val="Bullet1"/>
        <w:rPr>
          <w:rFonts w:asciiTheme="minorHAnsi" w:hAnsiTheme="minorHAnsi"/>
        </w:rPr>
      </w:pPr>
      <w:r w:rsidRPr="00271071">
        <w:rPr>
          <w:rFonts w:asciiTheme="minorHAnsi" w:hAnsiTheme="minorHAnsi"/>
        </w:rPr>
        <w:t xml:space="preserve">Voluntary </w:t>
      </w:r>
      <w:bookmarkEnd w:id="81"/>
      <w:r w:rsidRPr="00271071">
        <w:rPr>
          <w:rFonts w:asciiTheme="minorHAnsi" w:hAnsiTheme="minorHAnsi"/>
        </w:rPr>
        <w:t>measure (VIM)</w:t>
      </w:r>
    </w:p>
    <w:p w:rsidR="00174AE1" w:rsidRDefault="001E3459" w:rsidP="00E14192">
      <w:pPr>
        <w:pStyle w:val="Bullet2"/>
      </w:pPr>
      <w:r w:rsidRPr="000D570C">
        <w:t xml:space="preserve">For people on income support who wish to volunteer for income management to assist them to meet their priority needs and to learn how to manage their finances for themselves and/or their family in the long term.  </w:t>
      </w:r>
    </w:p>
    <w:p w:rsidR="00174AE1" w:rsidRPr="00174AE1" w:rsidRDefault="00174AE1" w:rsidP="00174AE1">
      <w:pPr>
        <w:pStyle w:val="Heading3"/>
      </w:pPr>
      <w:bookmarkStart w:id="83" w:name="_Ref322452493"/>
      <w:r>
        <w:t>Trigger payments</w:t>
      </w:r>
      <w:bookmarkEnd w:id="83"/>
    </w:p>
    <w:p w:rsidR="00174AE1" w:rsidRDefault="00174AE1" w:rsidP="00174AE1">
      <w:pPr>
        <w:pStyle w:val="BodyText"/>
      </w:pPr>
      <w:r>
        <w:t>Under the Vulnerable and Voluntary Income Management measures, a person must be receiving a category H payment, while under the Child Protection Income Management measures the person or their partner mu</w:t>
      </w:r>
      <w:r w:rsidR="00122E97">
        <w:t>st</w:t>
      </w:r>
      <w:r>
        <w:t xml:space="preserve"> be receiving a category H payment. </w:t>
      </w:r>
    </w:p>
    <w:p w:rsidR="00271071" w:rsidRPr="00271071" w:rsidRDefault="00271071" w:rsidP="00174AE1">
      <w:pPr>
        <w:pStyle w:val="BodyText"/>
        <w:rPr>
          <w:lang w:eastAsia="en-AU"/>
        </w:rPr>
      </w:pPr>
      <w:r w:rsidRPr="00271071">
        <w:rPr>
          <w:lang w:eastAsia="en-AU"/>
        </w:rPr>
        <w:lastRenderedPageBreak/>
        <w:t xml:space="preserve">Below is a list of category H </w:t>
      </w:r>
      <w:r w:rsidR="005E4D54">
        <w:rPr>
          <w:lang w:eastAsia="en-AU"/>
        </w:rPr>
        <w:t>Income Support Payments</w:t>
      </w:r>
      <w:r w:rsidRPr="00271071">
        <w:rPr>
          <w:lang w:eastAsia="en-AU"/>
        </w:rPr>
        <w:t xml:space="preserve"> under the </w:t>
      </w:r>
      <w:proofErr w:type="spellStart"/>
      <w:r w:rsidRPr="00271071">
        <w:rPr>
          <w:lang w:eastAsia="en-AU"/>
        </w:rPr>
        <w:t>SSAct</w:t>
      </w:r>
      <w:proofErr w:type="spellEnd"/>
      <w:r w:rsidR="00174AE1">
        <w:rPr>
          <w:rStyle w:val="FootnoteReference"/>
          <w:lang w:eastAsia="en-AU"/>
        </w:rPr>
        <w:footnoteReference w:id="3"/>
      </w:r>
      <w:r w:rsidRPr="00271071">
        <w:rPr>
          <w:lang w:eastAsia="en-AU"/>
        </w:rPr>
        <w:t>:</w:t>
      </w:r>
    </w:p>
    <w:p w:rsidR="00271071" w:rsidRPr="00271071" w:rsidRDefault="00271071" w:rsidP="00271071">
      <w:pPr>
        <w:pStyle w:val="Bullet1"/>
      </w:pPr>
      <w:r w:rsidRPr="00271071">
        <w:t xml:space="preserve">social security benefit: </w:t>
      </w:r>
    </w:p>
    <w:p w:rsidR="00271071" w:rsidRPr="00271071" w:rsidRDefault="00271071" w:rsidP="00271071">
      <w:pPr>
        <w:pStyle w:val="Bullet2"/>
        <w:rPr>
          <w:lang w:eastAsia="en-AU"/>
        </w:rPr>
      </w:pPr>
      <w:r w:rsidRPr="00271071">
        <w:rPr>
          <w:lang w:eastAsia="en-AU"/>
        </w:rPr>
        <w:t xml:space="preserve">widow allowance, </w:t>
      </w:r>
    </w:p>
    <w:p w:rsidR="00271071" w:rsidRPr="00271071" w:rsidRDefault="00271071" w:rsidP="00271071">
      <w:pPr>
        <w:pStyle w:val="Bullet2"/>
        <w:rPr>
          <w:lang w:eastAsia="en-AU"/>
        </w:rPr>
      </w:pPr>
      <w:r w:rsidRPr="00271071">
        <w:rPr>
          <w:lang w:eastAsia="en-AU"/>
        </w:rPr>
        <w:t xml:space="preserve">youth allowance, </w:t>
      </w:r>
    </w:p>
    <w:p w:rsidR="00271071" w:rsidRPr="00271071" w:rsidRDefault="00271071" w:rsidP="00271071">
      <w:pPr>
        <w:pStyle w:val="Bullet2"/>
        <w:rPr>
          <w:lang w:eastAsia="en-AU"/>
        </w:rPr>
      </w:pPr>
      <w:proofErr w:type="spellStart"/>
      <w:r w:rsidRPr="00271071">
        <w:rPr>
          <w:lang w:eastAsia="en-AU"/>
        </w:rPr>
        <w:t>austudy</w:t>
      </w:r>
      <w:proofErr w:type="spellEnd"/>
      <w:r w:rsidRPr="00271071">
        <w:rPr>
          <w:lang w:eastAsia="en-AU"/>
        </w:rPr>
        <w:t xml:space="preserve"> payment, </w:t>
      </w:r>
    </w:p>
    <w:p w:rsidR="00271071" w:rsidRPr="00271071" w:rsidRDefault="00271071" w:rsidP="00271071">
      <w:pPr>
        <w:pStyle w:val="Bullet2"/>
        <w:rPr>
          <w:lang w:eastAsia="en-AU"/>
        </w:rPr>
      </w:pPr>
      <w:proofErr w:type="spellStart"/>
      <w:r w:rsidRPr="00271071">
        <w:rPr>
          <w:lang w:eastAsia="en-AU"/>
        </w:rPr>
        <w:t>newstart</w:t>
      </w:r>
      <w:proofErr w:type="spellEnd"/>
      <w:r w:rsidRPr="00271071">
        <w:rPr>
          <w:lang w:eastAsia="en-AU"/>
        </w:rPr>
        <w:t xml:space="preserve"> allowance, </w:t>
      </w:r>
    </w:p>
    <w:p w:rsidR="00271071" w:rsidRPr="00271071" w:rsidRDefault="00271071" w:rsidP="00271071">
      <w:pPr>
        <w:pStyle w:val="Bullet2"/>
        <w:rPr>
          <w:lang w:eastAsia="en-AU"/>
        </w:rPr>
      </w:pPr>
      <w:r w:rsidRPr="00271071">
        <w:rPr>
          <w:lang w:eastAsia="en-AU"/>
        </w:rPr>
        <w:t xml:space="preserve">sickness allowance, </w:t>
      </w:r>
    </w:p>
    <w:p w:rsidR="00271071" w:rsidRPr="00271071" w:rsidRDefault="00271071" w:rsidP="00271071">
      <w:pPr>
        <w:pStyle w:val="Bullet2"/>
        <w:rPr>
          <w:lang w:eastAsia="en-AU"/>
        </w:rPr>
      </w:pPr>
      <w:r w:rsidRPr="00271071">
        <w:rPr>
          <w:lang w:eastAsia="en-AU"/>
        </w:rPr>
        <w:t xml:space="preserve">special benefit, </w:t>
      </w:r>
    </w:p>
    <w:p w:rsidR="00271071" w:rsidRPr="00271071" w:rsidRDefault="00271071" w:rsidP="00271071">
      <w:pPr>
        <w:pStyle w:val="Bullet2"/>
        <w:rPr>
          <w:lang w:eastAsia="en-AU"/>
        </w:rPr>
      </w:pPr>
      <w:r w:rsidRPr="00271071">
        <w:rPr>
          <w:lang w:eastAsia="en-AU"/>
        </w:rPr>
        <w:t xml:space="preserve">partner allowance, </w:t>
      </w:r>
    </w:p>
    <w:p w:rsidR="00271071" w:rsidRPr="00271071" w:rsidRDefault="00271071" w:rsidP="00271071">
      <w:pPr>
        <w:pStyle w:val="Bullet2"/>
        <w:rPr>
          <w:lang w:eastAsia="en-AU"/>
        </w:rPr>
      </w:pPr>
      <w:r w:rsidRPr="00271071">
        <w:rPr>
          <w:lang w:eastAsia="en-AU"/>
        </w:rPr>
        <w:t xml:space="preserve">a mature age allowance under Part 2.12B, </w:t>
      </w:r>
    </w:p>
    <w:p w:rsidR="00271071" w:rsidRPr="00271071" w:rsidRDefault="00271071" w:rsidP="00271071">
      <w:pPr>
        <w:pStyle w:val="Bullet2"/>
        <w:rPr>
          <w:lang w:eastAsia="en-AU"/>
        </w:rPr>
      </w:pPr>
      <w:r w:rsidRPr="00271071">
        <w:rPr>
          <w:lang w:eastAsia="en-AU"/>
        </w:rPr>
        <w:t xml:space="preserve">parenting payment (partnered), </w:t>
      </w:r>
    </w:p>
    <w:p w:rsidR="00271071" w:rsidRPr="00271071" w:rsidRDefault="00E75B31" w:rsidP="00271071">
      <w:pPr>
        <w:pStyle w:val="Bullet2"/>
        <w:rPr>
          <w:lang w:eastAsia="en-AU"/>
        </w:rPr>
      </w:pPr>
      <w:hyperlink r:id="rId20" w:anchor="SS-PgA" w:tooltip="Parenting allowance" w:history="1">
        <w:proofErr w:type="gramStart"/>
        <w:r w:rsidR="00122E97" w:rsidRPr="00122E97">
          <w:rPr>
            <w:lang w:eastAsia="en-AU"/>
          </w:rPr>
          <w:t>parenting</w:t>
        </w:r>
        <w:proofErr w:type="gramEnd"/>
      </w:hyperlink>
      <w:r w:rsidR="00122E97" w:rsidRPr="00122E97">
        <w:t xml:space="preserve"> allowance</w:t>
      </w:r>
      <w:r w:rsidR="00271071" w:rsidRPr="00271071">
        <w:rPr>
          <w:lang w:eastAsia="en-AU"/>
        </w:rPr>
        <w:t xml:space="preserve"> (other than non-benefit allowance).</w:t>
      </w:r>
    </w:p>
    <w:p w:rsidR="00271071" w:rsidRPr="00271071" w:rsidRDefault="00271071" w:rsidP="00271071">
      <w:pPr>
        <w:pStyle w:val="Bullet1"/>
      </w:pPr>
      <w:r w:rsidRPr="00271071">
        <w:t xml:space="preserve">social security pension: </w:t>
      </w:r>
    </w:p>
    <w:p w:rsidR="00271071" w:rsidRPr="00271071" w:rsidRDefault="00271071" w:rsidP="00271071">
      <w:pPr>
        <w:pStyle w:val="Bullet2"/>
        <w:rPr>
          <w:lang w:eastAsia="en-AU"/>
        </w:rPr>
      </w:pPr>
      <w:r w:rsidRPr="00271071">
        <w:rPr>
          <w:lang w:eastAsia="en-AU"/>
        </w:rPr>
        <w:t xml:space="preserve">age pension, </w:t>
      </w:r>
    </w:p>
    <w:p w:rsidR="00271071" w:rsidRPr="00271071" w:rsidRDefault="00271071" w:rsidP="00271071">
      <w:pPr>
        <w:pStyle w:val="Bullet2"/>
        <w:rPr>
          <w:lang w:eastAsia="en-AU"/>
        </w:rPr>
      </w:pPr>
      <w:r w:rsidRPr="00271071">
        <w:rPr>
          <w:lang w:eastAsia="en-AU"/>
        </w:rPr>
        <w:t xml:space="preserve">disability support pension, </w:t>
      </w:r>
    </w:p>
    <w:p w:rsidR="00271071" w:rsidRPr="00271071" w:rsidRDefault="00271071" w:rsidP="00271071">
      <w:pPr>
        <w:pStyle w:val="Bullet2"/>
        <w:rPr>
          <w:lang w:eastAsia="en-AU"/>
        </w:rPr>
      </w:pPr>
      <w:r w:rsidRPr="00271071">
        <w:rPr>
          <w:lang w:eastAsia="en-AU"/>
        </w:rPr>
        <w:t xml:space="preserve">wife pension, </w:t>
      </w:r>
    </w:p>
    <w:p w:rsidR="00271071" w:rsidRPr="00271071" w:rsidRDefault="00271071" w:rsidP="00271071">
      <w:pPr>
        <w:pStyle w:val="Bullet2"/>
        <w:rPr>
          <w:lang w:eastAsia="en-AU"/>
        </w:rPr>
      </w:pPr>
      <w:r w:rsidRPr="00271071">
        <w:rPr>
          <w:lang w:eastAsia="en-AU"/>
        </w:rPr>
        <w:t xml:space="preserve">carer payment, </w:t>
      </w:r>
    </w:p>
    <w:p w:rsidR="00271071" w:rsidRPr="00271071" w:rsidRDefault="00271071" w:rsidP="00271071">
      <w:pPr>
        <w:pStyle w:val="Bullet2"/>
        <w:rPr>
          <w:lang w:eastAsia="en-AU"/>
        </w:rPr>
      </w:pPr>
      <w:r w:rsidRPr="00271071">
        <w:rPr>
          <w:lang w:eastAsia="en-AU"/>
        </w:rPr>
        <w:t xml:space="preserve">parenting payment (single), </w:t>
      </w:r>
    </w:p>
    <w:p w:rsidR="00271071" w:rsidRPr="00271071" w:rsidRDefault="00271071" w:rsidP="00271071">
      <w:pPr>
        <w:pStyle w:val="Bullet2"/>
        <w:rPr>
          <w:lang w:eastAsia="en-AU"/>
        </w:rPr>
      </w:pPr>
      <w:r w:rsidRPr="00271071">
        <w:rPr>
          <w:lang w:eastAsia="en-AU"/>
        </w:rPr>
        <w:t xml:space="preserve">bereavement allowance, </w:t>
      </w:r>
    </w:p>
    <w:p w:rsidR="00271071" w:rsidRPr="00271071" w:rsidRDefault="00271071" w:rsidP="00271071">
      <w:pPr>
        <w:pStyle w:val="Bullet2"/>
        <w:rPr>
          <w:lang w:eastAsia="en-AU"/>
        </w:rPr>
      </w:pPr>
      <w:r w:rsidRPr="00271071">
        <w:rPr>
          <w:lang w:eastAsia="en-AU"/>
        </w:rPr>
        <w:t>widow b pension</w:t>
      </w:r>
      <w:r w:rsidR="00122E97">
        <w:rPr>
          <w:rStyle w:val="FootnoteReference"/>
          <w:lang w:eastAsia="en-AU"/>
        </w:rPr>
        <w:footnoteReference w:id="4"/>
      </w:r>
      <w:r w:rsidRPr="00271071">
        <w:rPr>
          <w:lang w:eastAsia="en-AU"/>
        </w:rPr>
        <w:t xml:space="preserve">, </w:t>
      </w:r>
    </w:p>
    <w:p w:rsidR="00271071" w:rsidRPr="00271071" w:rsidRDefault="00271071" w:rsidP="00271071">
      <w:pPr>
        <w:pStyle w:val="Bullet2"/>
        <w:rPr>
          <w:lang w:eastAsia="en-AU"/>
        </w:rPr>
      </w:pPr>
      <w:r w:rsidRPr="00271071">
        <w:rPr>
          <w:lang w:eastAsia="en-AU"/>
        </w:rPr>
        <w:t xml:space="preserve">disability wage supplement, </w:t>
      </w:r>
    </w:p>
    <w:p w:rsidR="00271071" w:rsidRPr="00271071" w:rsidRDefault="00271071" w:rsidP="00271071">
      <w:pPr>
        <w:pStyle w:val="Bullet2"/>
        <w:rPr>
          <w:lang w:eastAsia="en-AU"/>
        </w:rPr>
      </w:pPr>
      <w:r w:rsidRPr="00271071">
        <w:rPr>
          <w:lang w:eastAsia="en-AU"/>
        </w:rPr>
        <w:t xml:space="preserve">mature age partner allowance, </w:t>
      </w:r>
    </w:p>
    <w:p w:rsidR="00271071" w:rsidRPr="00271071" w:rsidRDefault="00271071" w:rsidP="00271071">
      <w:pPr>
        <w:pStyle w:val="Bullet2"/>
        <w:rPr>
          <w:lang w:eastAsia="en-AU"/>
        </w:rPr>
      </w:pPr>
      <w:r w:rsidRPr="00271071">
        <w:rPr>
          <w:lang w:eastAsia="en-AU"/>
        </w:rPr>
        <w:t>special needs pension,</w:t>
      </w:r>
    </w:p>
    <w:p w:rsidR="00271071" w:rsidRPr="00271071" w:rsidRDefault="00271071" w:rsidP="00271071">
      <w:pPr>
        <w:pStyle w:val="Bullet1"/>
      </w:pPr>
      <w:r w:rsidRPr="00271071">
        <w:t xml:space="preserve">a payment under the </w:t>
      </w:r>
      <w:hyperlink r:id="rId21" w:anchor="SS-ABSTUDY" w:tooltip="Aboriginal Study Grants Scheme" w:history="1">
        <w:r w:rsidRPr="00271071">
          <w:t>ABSTUDY</w:t>
        </w:r>
      </w:hyperlink>
      <w:r w:rsidRPr="00271071">
        <w:t xml:space="preserve"> scheme that includes an amount as identified as living allowance, </w:t>
      </w:r>
    </w:p>
    <w:p w:rsidR="00271071" w:rsidRPr="00271071" w:rsidRDefault="002C6280" w:rsidP="00271071">
      <w:pPr>
        <w:pStyle w:val="Bullet1"/>
      </w:pPr>
      <w:r>
        <w:t xml:space="preserve">a Department of Veterans Affairs (DVA) </w:t>
      </w:r>
      <w:r w:rsidR="00271071" w:rsidRPr="00271071">
        <w:t xml:space="preserve">service pension:, </w:t>
      </w:r>
    </w:p>
    <w:p w:rsidR="00271071" w:rsidRPr="00EC413D" w:rsidRDefault="00271071" w:rsidP="00271071">
      <w:pPr>
        <w:pStyle w:val="Bullet2"/>
      </w:pPr>
      <w:r w:rsidRPr="00EC413D">
        <w:t xml:space="preserve">age service pension under Part III of the </w:t>
      </w:r>
      <w:r w:rsidR="00EC413D" w:rsidRPr="00EC413D">
        <w:t>Veterans' Entitlements Act 1986 (</w:t>
      </w:r>
      <w:hyperlink r:id="rId22" w:anchor="SS-VEA" w:tooltip="Veterans' Entitlements Act 1986" w:history="1">
        <w:r w:rsidRPr="00EC413D">
          <w:t>VEA</w:t>
        </w:r>
      </w:hyperlink>
      <w:r w:rsidR="00EC413D" w:rsidRPr="00EC413D">
        <w:t>)</w:t>
      </w:r>
      <w:r w:rsidRPr="00EC413D">
        <w:t xml:space="preserve">, </w:t>
      </w:r>
    </w:p>
    <w:p w:rsidR="00271071" w:rsidRPr="00271071" w:rsidRDefault="00271071" w:rsidP="00271071">
      <w:pPr>
        <w:pStyle w:val="Bullet2"/>
        <w:rPr>
          <w:lang w:eastAsia="en-AU"/>
        </w:rPr>
      </w:pPr>
      <w:r w:rsidRPr="00271071">
        <w:rPr>
          <w:lang w:eastAsia="en-AU"/>
        </w:rPr>
        <w:t xml:space="preserve">invalidity service pension under Part III of the VEA, </w:t>
      </w:r>
    </w:p>
    <w:p w:rsidR="00271071" w:rsidRPr="00271071" w:rsidRDefault="00271071" w:rsidP="00271071">
      <w:pPr>
        <w:pStyle w:val="Bullet2"/>
        <w:rPr>
          <w:lang w:eastAsia="en-AU"/>
        </w:rPr>
      </w:pPr>
      <w:r w:rsidRPr="00271071">
        <w:rPr>
          <w:lang w:eastAsia="en-AU"/>
        </w:rPr>
        <w:t xml:space="preserve">partner service pension under Part III of the VEA, </w:t>
      </w:r>
    </w:p>
    <w:p w:rsidR="00271071" w:rsidRPr="00271071" w:rsidRDefault="00271071" w:rsidP="00271071">
      <w:pPr>
        <w:pStyle w:val="Bullet2"/>
        <w:rPr>
          <w:lang w:eastAsia="en-AU"/>
        </w:rPr>
      </w:pPr>
      <w:r w:rsidRPr="00271071">
        <w:rPr>
          <w:lang w:eastAsia="en-AU"/>
        </w:rPr>
        <w:t>carer service pension under Part III of the VEA,</w:t>
      </w:r>
    </w:p>
    <w:p w:rsidR="00271071" w:rsidRPr="00271071" w:rsidRDefault="002C6280" w:rsidP="00271071">
      <w:pPr>
        <w:pStyle w:val="Bullet1"/>
      </w:pPr>
      <w:r>
        <w:t xml:space="preserve">a DVA </w:t>
      </w:r>
      <w:r w:rsidR="00271071" w:rsidRPr="00271071">
        <w:t xml:space="preserve">income support supplement, </w:t>
      </w:r>
    </w:p>
    <w:p w:rsidR="00271071" w:rsidRPr="00271071" w:rsidRDefault="002C6280" w:rsidP="00271071">
      <w:pPr>
        <w:pStyle w:val="Bullet1"/>
      </w:pPr>
      <w:proofErr w:type="gramStart"/>
      <w:r>
        <w:t>a</w:t>
      </w:r>
      <w:proofErr w:type="gramEnd"/>
      <w:r>
        <w:t xml:space="preserve"> DVA </w:t>
      </w:r>
      <w:r w:rsidR="00271071" w:rsidRPr="00271071">
        <w:t>defence force income support allowance.</w:t>
      </w:r>
    </w:p>
    <w:p w:rsidR="000D4B9B" w:rsidRDefault="00EE0BB1" w:rsidP="000D4B9B">
      <w:pPr>
        <w:pStyle w:val="Heading2"/>
      </w:pPr>
      <w:bookmarkStart w:id="84" w:name="_Toc342495224"/>
      <w:r>
        <w:lastRenderedPageBreak/>
        <w:t>Income Management measures</w:t>
      </w:r>
      <w:bookmarkEnd w:id="84"/>
    </w:p>
    <w:p w:rsidR="00A9708E" w:rsidRPr="00202247" w:rsidRDefault="00A9708E" w:rsidP="00A9708E">
      <w:pPr>
        <w:pStyle w:val="Heading3"/>
      </w:pPr>
      <w:r>
        <w:t>Child protection measure</w:t>
      </w:r>
    </w:p>
    <w:p w:rsidR="00A32892" w:rsidRPr="00474E71" w:rsidRDefault="00A32892" w:rsidP="00A32892">
      <w:pPr>
        <w:pStyle w:val="BodyText"/>
      </w:pPr>
      <w:r w:rsidRPr="00474E71">
        <w:t>Income management is an additional tool offered to the child protection authorities to assist in the management of child abuse</w:t>
      </w:r>
      <w:r>
        <w:t>,</w:t>
      </w:r>
      <w:r w:rsidRPr="00474E71">
        <w:t xml:space="preserve"> neglect</w:t>
      </w:r>
      <w:r>
        <w:t xml:space="preserve"> and financial mismanagement</w:t>
      </w:r>
      <w:r w:rsidRPr="00474E71">
        <w:t>.  Child protection workers can:</w:t>
      </w:r>
    </w:p>
    <w:p w:rsidR="00A32892" w:rsidRPr="00474E71" w:rsidRDefault="00A32892" w:rsidP="00A32892">
      <w:pPr>
        <w:pStyle w:val="Bullet1"/>
      </w:pPr>
      <w:r w:rsidRPr="00474E71">
        <w:t>determine whether or not income management would be helpful to a particular person/family</w:t>
      </w:r>
      <w:r>
        <w:t>;</w:t>
      </w:r>
      <w:r w:rsidRPr="00474E71">
        <w:t xml:space="preserve"> </w:t>
      </w:r>
    </w:p>
    <w:p w:rsidR="00A32892" w:rsidRPr="00474E71" w:rsidRDefault="00A32892" w:rsidP="00A32892">
      <w:pPr>
        <w:pStyle w:val="Bullet1"/>
      </w:pPr>
      <w:r w:rsidRPr="00474E71">
        <w:t xml:space="preserve">make a referral </w:t>
      </w:r>
      <w:r>
        <w:t>to  DHS</w:t>
      </w:r>
      <w:r w:rsidRPr="00474E71">
        <w:t xml:space="preserve"> to income manage a person/family</w:t>
      </w:r>
      <w:r>
        <w:t>;</w:t>
      </w:r>
      <w:r w:rsidRPr="00474E71">
        <w:t xml:space="preserve"> and </w:t>
      </w:r>
    </w:p>
    <w:p w:rsidR="00A32892" w:rsidRPr="00474E71" w:rsidRDefault="00A32892" w:rsidP="00A32892">
      <w:pPr>
        <w:pStyle w:val="Bullet1"/>
      </w:pPr>
      <w:proofErr w:type="gramStart"/>
      <w:r w:rsidRPr="00474E71">
        <w:t>determine</w:t>
      </w:r>
      <w:proofErr w:type="gramEnd"/>
      <w:r w:rsidRPr="00474E71">
        <w:t xml:space="preserve"> how long the Child Protection Measure is to be applied ranging from three to 12 months.</w:t>
      </w:r>
    </w:p>
    <w:p w:rsidR="00A32892" w:rsidRDefault="00A32892" w:rsidP="00A32892">
      <w:pPr>
        <w:pStyle w:val="BodyText"/>
        <w:rPr>
          <w:lang w:eastAsia="en-AU"/>
        </w:rPr>
      </w:pPr>
      <w:r>
        <w:rPr>
          <w:lang w:eastAsia="en-AU"/>
        </w:rPr>
        <w:t xml:space="preserve">Child protection workers can place a person on income management for periods of three, six, </w:t>
      </w:r>
      <w:proofErr w:type="gramStart"/>
      <w:r>
        <w:rPr>
          <w:lang w:eastAsia="en-AU"/>
        </w:rPr>
        <w:t>nine</w:t>
      </w:r>
      <w:proofErr w:type="gramEnd"/>
      <w:r>
        <w:rPr>
          <w:lang w:eastAsia="en-AU"/>
        </w:rPr>
        <w:t xml:space="preserve"> or twelve months, at which time the worker will review the person’s circumstances and whether or not income management will be continued.</w:t>
      </w:r>
    </w:p>
    <w:p w:rsidR="00EE0BB1" w:rsidRPr="00EE0BB1" w:rsidRDefault="00474E71" w:rsidP="00474E71">
      <w:pPr>
        <w:pStyle w:val="BodyText"/>
        <w:rPr>
          <w:lang w:eastAsia="en-AU"/>
        </w:rPr>
      </w:pPr>
      <w:r w:rsidRPr="00EE0BB1">
        <w:rPr>
          <w:lang w:eastAsia="en-AU"/>
        </w:rPr>
        <w:t>People who are on income management under the Child Protection Measure cannot apply for an exemption</w:t>
      </w:r>
      <w:r w:rsidR="00EE0BB1" w:rsidRPr="00EE0BB1">
        <w:rPr>
          <w:lang w:eastAsia="en-AU"/>
        </w:rPr>
        <w:t>, however the income management notice can be revoked by the child protection worker where they assess it is no longer needed by the family</w:t>
      </w:r>
      <w:r w:rsidRPr="00EE0BB1">
        <w:rPr>
          <w:lang w:eastAsia="en-AU"/>
        </w:rPr>
        <w:t xml:space="preserve">.  </w:t>
      </w:r>
    </w:p>
    <w:p w:rsidR="00EE0BB1" w:rsidRPr="00474E71" w:rsidRDefault="000D4B9B" w:rsidP="00474E71">
      <w:pPr>
        <w:pStyle w:val="BodyText"/>
      </w:pPr>
      <w:r w:rsidRPr="00EE0BB1">
        <w:t xml:space="preserve">Under the Child Protection Measure, 70% of </w:t>
      </w:r>
      <w:r w:rsidR="00EE0BB1" w:rsidRPr="00EE0BB1">
        <w:t xml:space="preserve">the </w:t>
      </w:r>
      <w:r w:rsidR="00487890">
        <w:t>customer</w:t>
      </w:r>
      <w:r w:rsidR="00EE0BB1" w:rsidRPr="00EE0BB1">
        <w:t xml:space="preserve">’s </w:t>
      </w:r>
      <w:r w:rsidR="005E4D54">
        <w:t>I</w:t>
      </w:r>
      <w:r w:rsidR="00EE0BB1" w:rsidRPr="00EE0BB1">
        <w:t xml:space="preserve">ncome </w:t>
      </w:r>
      <w:r w:rsidR="005E4D54">
        <w:t>S</w:t>
      </w:r>
      <w:r w:rsidR="00EE0BB1" w:rsidRPr="00EE0BB1">
        <w:t xml:space="preserve">upport </w:t>
      </w:r>
      <w:r w:rsidR="005E4D54">
        <w:t>P</w:t>
      </w:r>
      <w:r w:rsidRPr="00EE0BB1">
        <w:t>ayments are subject to income management</w:t>
      </w:r>
      <w:r w:rsidR="006923BE" w:rsidRPr="00EE0BB1">
        <w:t xml:space="preserve"> and must be used to address priority needs</w:t>
      </w:r>
      <w:r w:rsidRPr="00EE0BB1">
        <w:t>.</w:t>
      </w:r>
    </w:p>
    <w:p w:rsidR="00A9708E" w:rsidRDefault="00A9708E" w:rsidP="00EE0BB1">
      <w:pPr>
        <w:pStyle w:val="Heading3"/>
      </w:pPr>
      <w:r>
        <w:t>Vulnerable measure</w:t>
      </w:r>
    </w:p>
    <w:p w:rsidR="00FF02C1" w:rsidRDefault="00FF02C1" w:rsidP="00FF02C1">
      <w:pPr>
        <w:pStyle w:val="BodyText"/>
      </w:pPr>
      <w:r>
        <w:t xml:space="preserve">The Vulnerable Income Management measure provides DHS Social Workers with an additional tool for working with people who are vulnerable and/or at risk. </w:t>
      </w:r>
    </w:p>
    <w:p w:rsidR="00FF02C1" w:rsidRDefault="00FF02C1" w:rsidP="00FF02C1">
      <w:pPr>
        <w:pStyle w:val="BodyText"/>
      </w:pPr>
      <w:r>
        <w:t xml:space="preserve">Clients can be placed on the Vulnerable measure following assessment by a DHS Social Worker, who determine based on decision making principles set out in a legislative instrument, whether the individual is experiencing an indicator of vulnerability (see below); whether this indicator of vulnerability is impacting on their ability to meet their priority needs, or the priority needs of their dependents; and whether income management will address the indicator of vulnerability (and will therefore benefit the person).  </w:t>
      </w:r>
    </w:p>
    <w:p w:rsidR="00FF02C1" w:rsidRDefault="00FF02C1" w:rsidP="00FF02C1">
      <w:pPr>
        <w:pStyle w:val="BodyText"/>
      </w:pPr>
      <w:r>
        <w:t>The indicators of vulnerability include:</w:t>
      </w:r>
    </w:p>
    <w:p w:rsidR="00FF02C1" w:rsidRDefault="00FF02C1" w:rsidP="00FF02C1">
      <w:pPr>
        <w:pStyle w:val="Bullet1"/>
      </w:pPr>
      <w:r>
        <w:t>Financial hardship</w:t>
      </w:r>
    </w:p>
    <w:p w:rsidR="00FF02C1" w:rsidRDefault="00FF02C1" w:rsidP="00FF02C1">
      <w:pPr>
        <w:pStyle w:val="Bullet1"/>
      </w:pPr>
      <w:r>
        <w:t>Financial exploitation</w:t>
      </w:r>
    </w:p>
    <w:p w:rsidR="00FF02C1" w:rsidRDefault="00FF02C1" w:rsidP="00FF02C1">
      <w:pPr>
        <w:pStyle w:val="Bullet1"/>
      </w:pPr>
      <w:r>
        <w:t>Failure to undertake reasonable self-care, and</w:t>
      </w:r>
    </w:p>
    <w:p w:rsidR="00FF02C1" w:rsidRDefault="00FF02C1" w:rsidP="00FF02C1">
      <w:pPr>
        <w:pStyle w:val="Bullet1"/>
      </w:pPr>
      <w:r>
        <w:t>Homelessness or risk of homelessness.</w:t>
      </w:r>
    </w:p>
    <w:p w:rsidR="00FF02C1" w:rsidRDefault="00FF02C1" w:rsidP="00FF02C1">
      <w:pPr>
        <w:pStyle w:val="BodyText"/>
      </w:pPr>
      <w:r>
        <w:t xml:space="preserve">Under the Vulnerable measure, 50% of a person’s support payment will be allocated to address priority needs, and people can be placed on the </w:t>
      </w:r>
      <w:proofErr w:type="gramStart"/>
      <w:r>
        <w:t>Vulnerable</w:t>
      </w:r>
      <w:proofErr w:type="gramEnd"/>
      <w:r>
        <w:t xml:space="preserve"> measure for up to 12 months. </w:t>
      </w:r>
    </w:p>
    <w:p w:rsidR="00FF02C1" w:rsidRDefault="00FF02C1" w:rsidP="00FF02C1">
      <w:pPr>
        <w:pStyle w:val="BodyText"/>
      </w:pPr>
      <w:r>
        <w:lastRenderedPageBreak/>
        <w:t xml:space="preserve">A person placed on the </w:t>
      </w:r>
      <w:proofErr w:type="gramStart"/>
      <w:r w:rsidR="00237FA9">
        <w:t>V</w:t>
      </w:r>
      <w:r>
        <w:t>ulnerable</w:t>
      </w:r>
      <w:proofErr w:type="gramEnd"/>
      <w:r>
        <w:t xml:space="preserve"> measure has access to full DHS review and appeal rights. They can also ask the social worker to reconsider their circumstances at any stage. A social worker may revoke the determination to place a person on the </w:t>
      </w:r>
      <w:proofErr w:type="gramStart"/>
      <w:r w:rsidR="00237FA9">
        <w:t>V</w:t>
      </w:r>
      <w:r>
        <w:t>ulnerable</w:t>
      </w:r>
      <w:proofErr w:type="gramEnd"/>
      <w:r>
        <w:t xml:space="preserve"> measure at any time.</w:t>
      </w:r>
    </w:p>
    <w:p w:rsidR="00FF02C1" w:rsidRDefault="00FF02C1" w:rsidP="00FF02C1">
      <w:pPr>
        <w:pStyle w:val="BodyText"/>
      </w:pPr>
      <w:r>
        <w:t xml:space="preserve">Community agencies can also contact DHS directly to discuss whether income management may be an option for clients they have concerns about. People who have income management applied by a DHS Social Worker will not able to apply for an exemption. </w:t>
      </w:r>
    </w:p>
    <w:p w:rsidR="00A9708E" w:rsidRDefault="00A9708E" w:rsidP="00A9708E">
      <w:pPr>
        <w:pStyle w:val="Heading3"/>
      </w:pPr>
      <w:r>
        <w:t>Voluntary measure</w:t>
      </w:r>
    </w:p>
    <w:p w:rsidR="00ED5D9C" w:rsidRDefault="00ED5D9C" w:rsidP="00ED5D9C">
      <w:pPr>
        <w:pStyle w:val="BodyText"/>
      </w:pPr>
      <w:r>
        <w:t>The Voluntary measure is intended to help people better manage their money and ensure that money is available for essential needs. DHS customers can choose to participate in income management if they are currently receiving a relevant trigger payment.</w:t>
      </w:r>
    </w:p>
    <w:p w:rsidR="00ED5D9C" w:rsidRDefault="00ED5D9C" w:rsidP="00ED5D9C">
      <w:pPr>
        <w:pStyle w:val="BodyText"/>
      </w:pPr>
      <w:r>
        <w:t xml:space="preserve">When a person signs up to Voluntary Income Management they will have to stay on it for at least 13 weeks. After this period they can cease Voluntary Income Management at </w:t>
      </w:r>
      <w:r w:rsidR="0027588F">
        <w:t>any time</w:t>
      </w:r>
      <w:r>
        <w:t>.</w:t>
      </w:r>
    </w:p>
    <w:p w:rsidR="00ED5D9C" w:rsidRDefault="00ED5D9C" w:rsidP="00ED5D9C">
      <w:pPr>
        <w:pStyle w:val="BodyText"/>
      </w:pPr>
      <w:r>
        <w:t xml:space="preserve">Under the Voluntary measure, 50% of the relevant income support payment is subject to income management. </w:t>
      </w:r>
    </w:p>
    <w:p w:rsidR="0088587E" w:rsidRPr="00DA7345" w:rsidRDefault="0088587E" w:rsidP="003B7522">
      <w:pPr>
        <w:pStyle w:val="Heading2"/>
      </w:pPr>
      <w:bookmarkStart w:id="85" w:name="_Toc342495225"/>
      <w:r w:rsidRPr="00DA7345">
        <w:t>Matched Savings Payment and Voluntary Income Management Incentive Payment</w:t>
      </w:r>
      <w:bookmarkEnd w:id="85"/>
    </w:p>
    <w:p w:rsidR="0088587E" w:rsidRPr="00DA7345" w:rsidRDefault="0088587E" w:rsidP="003B7522">
      <w:pPr>
        <w:pStyle w:val="BodyText"/>
      </w:pPr>
      <w:r w:rsidRPr="00DA7345">
        <w:t>The Matched Savings Payment and the Voluntary Income Management Incentive Payment are available to eligible income managed people.</w:t>
      </w:r>
    </w:p>
    <w:p w:rsidR="00D25CEE" w:rsidRPr="000D4B9B" w:rsidRDefault="00463342" w:rsidP="00D25CEE">
      <w:pPr>
        <w:pStyle w:val="BodyText"/>
      </w:pPr>
      <w:r w:rsidRPr="00DA7345">
        <w:t xml:space="preserve">A person who is income managed </w:t>
      </w:r>
      <w:r>
        <w:t xml:space="preserve">under the </w:t>
      </w:r>
      <w:r w:rsidR="00237FA9">
        <w:t>V</w:t>
      </w:r>
      <w:r>
        <w:t xml:space="preserve">ulnerable or </w:t>
      </w:r>
      <w:r w:rsidR="00237FA9">
        <w:t>C</w:t>
      </w:r>
      <w:r>
        <w:t xml:space="preserve">hild </w:t>
      </w:r>
      <w:r w:rsidR="00237FA9">
        <w:t>P</w:t>
      </w:r>
      <w:r>
        <w:t xml:space="preserve">rotection measure </w:t>
      </w:r>
      <w:r w:rsidR="0088587E" w:rsidRPr="00DA7345">
        <w:t xml:space="preserve">will be eligible to receive a Matched Savings Payment from </w:t>
      </w:r>
      <w:r w:rsidR="005E4D54">
        <w:t>DHS</w:t>
      </w:r>
      <w:r w:rsidR="0088587E" w:rsidRPr="00DA7345">
        <w:t xml:space="preserve">, provided they have completed an </w:t>
      </w:r>
      <w:hyperlink r:id="rId23" w:history="1">
        <w:r w:rsidR="0088587E" w:rsidRPr="00DA7345">
          <w:t>Approved Money Management Course</w:t>
        </w:r>
      </w:hyperlink>
      <w:r w:rsidR="0088587E" w:rsidRPr="00DA7345">
        <w:t xml:space="preserve"> and have demonstrated a pattern of savings of their non-income managed funds over a minimum of 13 weeks. The Matched Savings Payment is a one-off payment of up to $500 and is paid directly into a perso</w:t>
      </w:r>
      <w:r w:rsidR="00D25CEE">
        <w:t>n's income management account. This payment is</w:t>
      </w:r>
      <w:r w:rsidR="00D25CEE" w:rsidRPr="00DA7345">
        <w:t xml:space="preserve"> income managed at a rate of 100</w:t>
      </w:r>
      <w:r w:rsidR="00D25CEE">
        <w:t>%</w:t>
      </w:r>
      <w:r w:rsidR="00D25CEE" w:rsidRPr="00DA7345">
        <w:t xml:space="preserve"> and paid directly into the person’s income management account. </w:t>
      </w:r>
    </w:p>
    <w:p w:rsidR="000D4B9B" w:rsidRPr="000D4B9B" w:rsidRDefault="0088587E" w:rsidP="000D4B9B">
      <w:pPr>
        <w:pStyle w:val="BodyText"/>
      </w:pPr>
      <w:r w:rsidRPr="00DA7345">
        <w:t xml:space="preserve">The Voluntary Income Management Incentive Payment is a payment to encourage people to volunteer for income management and to continue to participate in it long enough to recognise its benefits. </w:t>
      </w:r>
      <w:r w:rsidR="003079DE">
        <w:t xml:space="preserve">Only Voluntary Income Management </w:t>
      </w:r>
      <w:r w:rsidR="00487890">
        <w:t>customer</w:t>
      </w:r>
      <w:r w:rsidR="003079DE">
        <w:t xml:space="preserve">s are eligible for the Voluntary Income Management Incentive Payment. </w:t>
      </w:r>
      <w:r w:rsidRPr="00DA7345">
        <w:t>A person will be eligible for a payment of $250 for every continuous 26 week period they remain income managed under Voluntary Income Management. This payment will be income managed at a rate of 100</w:t>
      </w:r>
      <w:r w:rsidR="008D334E">
        <w:t>%</w:t>
      </w:r>
      <w:r w:rsidRPr="00DA7345">
        <w:t xml:space="preserve"> and paid directly into the person’s income management account. </w:t>
      </w:r>
    </w:p>
    <w:p w:rsidR="00854AD5" w:rsidRDefault="00854AD5" w:rsidP="00854AD5">
      <w:pPr>
        <w:pStyle w:val="Heading1"/>
        <w:ind w:left="0" w:hanging="567"/>
      </w:pPr>
      <w:bookmarkStart w:id="86" w:name="_Toc342495226"/>
      <w:r>
        <w:lastRenderedPageBreak/>
        <w:t xml:space="preserve">Program logic and </w:t>
      </w:r>
      <w:r w:rsidR="00487890">
        <w:t>customer</w:t>
      </w:r>
      <w:r>
        <w:t xml:space="preserve"> </w:t>
      </w:r>
      <w:r w:rsidR="00F85218">
        <w:t xml:space="preserve">pathway </w:t>
      </w:r>
      <w:r>
        <w:t>maps</w:t>
      </w:r>
      <w:bookmarkEnd w:id="86"/>
    </w:p>
    <w:p w:rsidR="004C1A9B" w:rsidRDefault="00DC5F5C">
      <w:pPr>
        <w:pStyle w:val="Heading2"/>
      </w:pPr>
      <w:bookmarkStart w:id="87" w:name="_Toc342495227"/>
      <w:r>
        <w:t>Revisiting the theory</w:t>
      </w:r>
      <w:bookmarkEnd w:id="87"/>
    </w:p>
    <w:p w:rsidR="004C1A9B" w:rsidRPr="00755309" w:rsidRDefault="00DC5F5C">
      <w:pPr>
        <w:pStyle w:val="BodyText"/>
      </w:pPr>
      <w:r w:rsidRPr="00755309">
        <w:t>Program logic maps attempt to depict the key program delivery components of PBIM and link the activities and outputs logically with the short, medium and long term outcomes.</w:t>
      </w:r>
    </w:p>
    <w:p w:rsidR="00DC5F5C" w:rsidRPr="00755309" w:rsidRDefault="00DC5F5C" w:rsidP="00DC5F5C">
      <w:pPr>
        <w:pStyle w:val="BodyText"/>
        <w:rPr>
          <w:rStyle w:val="BookTitle"/>
          <w:rFonts w:asciiTheme="minorHAnsi" w:hAnsiTheme="minorHAnsi"/>
          <w:i w:val="0"/>
          <w:smallCaps w:val="0"/>
        </w:rPr>
      </w:pPr>
      <w:r w:rsidRPr="00755309">
        <w:rPr>
          <w:rStyle w:val="BookTitle"/>
          <w:rFonts w:asciiTheme="minorHAnsi" w:hAnsiTheme="minorHAnsi"/>
          <w:i w:val="0"/>
          <w:smallCaps w:val="0"/>
        </w:rPr>
        <w:t xml:space="preserve">Through PBIM, the Government aims, in the long term, to promote stronger community norms of parental and social responsibility, by </w:t>
      </w:r>
    </w:p>
    <w:p w:rsidR="00DC5F5C" w:rsidRPr="00755309" w:rsidRDefault="00DC5F5C" w:rsidP="00DC5F5C">
      <w:pPr>
        <w:pStyle w:val="Bullet1"/>
      </w:pPr>
      <w:r w:rsidRPr="00755309">
        <w:t xml:space="preserve">creating greater structure in vulnerable people’s lives, </w:t>
      </w:r>
    </w:p>
    <w:p w:rsidR="00DC5F5C" w:rsidRPr="00755309" w:rsidRDefault="00DC5F5C" w:rsidP="00DC5F5C">
      <w:pPr>
        <w:pStyle w:val="Bullet1"/>
      </w:pPr>
      <w:r w:rsidRPr="00755309">
        <w:t xml:space="preserve">providing a practical method for people to set up direct payments to meet the costs of rent and other essentials, and </w:t>
      </w:r>
    </w:p>
    <w:p w:rsidR="00DC5F5C" w:rsidRPr="00755309" w:rsidRDefault="00DC5F5C" w:rsidP="00DC5F5C">
      <w:pPr>
        <w:pStyle w:val="Bullet1"/>
      </w:pPr>
      <w:proofErr w:type="gramStart"/>
      <w:r w:rsidRPr="00755309">
        <w:t>identifying</w:t>
      </w:r>
      <w:proofErr w:type="gramEnd"/>
      <w:r w:rsidRPr="00755309">
        <w:t xml:space="preserve"> people who need assistance and training in dealing with their finances and provide that assistance.</w:t>
      </w:r>
    </w:p>
    <w:p w:rsidR="00DC5F5C" w:rsidRPr="00EF5A5D" w:rsidRDefault="00DC5F5C" w:rsidP="00DC5F5C">
      <w:pPr>
        <w:pStyle w:val="BodyText"/>
        <w:rPr>
          <w:rFonts w:asciiTheme="minorHAnsi" w:hAnsiTheme="minorHAnsi"/>
        </w:rPr>
      </w:pPr>
      <w:r w:rsidRPr="00EF5A5D">
        <w:rPr>
          <w:rStyle w:val="BookTitle"/>
          <w:rFonts w:asciiTheme="minorHAnsi" w:hAnsiTheme="minorHAnsi"/>
          <w:i w:val="0"/>
          <w:smallCaps w:val="0"/>
        </w:rPr>
        <w:t>Within the BAFW package, people have access to additional support services such as Financial Management Program Services (FMPS) and Communities for Children (</w:t>
      </w:r>
      <w:proofErr w:type="spellStart"/>
      <w:proofErr w:type="gramStart"/>
      <w:r w:rsidRPr="00EF5A5D">
        <w:rPr>
          <w:rStyle w:val="BookTitle"/>
          <w:rFonts w:asciiTheme="minorHAnsi" w:hAnsiTheme="minorHAnsi"/>
          <w:i w:val="0"/>
          <w:smallCaps w:val="0"/>
        </w:rPr>
        <w:t>CfC</w:t>
      </w:r>
      <w:proofErr w:type="spellEnd"/>
      <w:proofErr w:type="gramEnd"/>
      <w:r w:rsidRPr="00EF5A5D">
        <w:rPr>
          <w:rStyle w:val="BookTitle"/>
          <w:rFonts w:asciiTheme="minorHAnsi" w:hAnsiTheme="minorHAnsi"/>
          <w:i w:val="0"/>
          <w:smallCaps w:val="0"/>
        </w:rPr>
        <w:t>) services.</w:t>
      </w:r>
      <w:r w:rsidRPr="00EF5A5D">
        <w:rPr>
          <w:rStyle w:val="BookTitle"/>
          <w:rFonts w:asciiTheme="minorHAnsi" w:hAnsiTheme="minorHAnsi"/>
        </w:rPr>
        <w:t xml:space="preserve"> </w:t>
      </w:r>
      <w:r w:rsidRPr="00EF5A5D">
        <w:rPr>
          <w:rFonts w:asciiTheme="minorHAnsi" w:hAnsiTheme="minorHAnsi"/>
        </w:rPr>
        <w:t xml:space="preserve">People who are income managed will be provided with, and encouraged to access, free FMPS services, which encompass financial counselling and money management services. These services aim to increase the financial capability of families and individuals on income management, and to promote independence. </w:t>
      </w:r>
      <w:proofErr w:type="spellStart"/>
      <w:r w:rsidRPr="00EF5A5D">
        <w:rPr>
          <w:rFonts w:asciiTheme="minorHAnsi" w:hAnsiTheme="minorHAnsi"/>
        </w:rPr>
        <w:t>CfC</w:t>
      </w:r>
      <w:proofErr w:type="spellEnd"/>
      <w:r w:rsidRPr="00EF5A5D">
        <w:rPr>
          <w:rFonts w:asciiTheme="minorHAnsi" w:hAnsiTheme="minorHAnsi"/>
        </w:rPr>
        <w:t xml:space="preserve"> services provide ‘wrap around’ services for children and families, assisting parents to build skills that better support their children, attempting to break the cycle of entrenched disadvantage. Through the </w:t>
      </w:r>
      <w:proofErr w:type="spellStart"/>
      <w:proofErr w:type="gramStart"/>
      <w:r w:rsidRPr="00EF5A5D">
        <w:rPr>
          <w:rFonts w:asciiTheme="minorHAnsi" w:hAnsiTheme="minorHAnsi"/>
        </w:rPr>
        <w:t>CfC</w:t>
      </w:r>
      <w:proofErr w:type="spellEnd"/>
      <w:proofErr w:type="gramEnd"/>
      <w:r w:rsidRPr="00EF5A5D">
        <w:rPr>
          <w:rFonts w:asciiTheme="minorHAnsi" w:hAnsiTheme="minorHAnsi"/>
        </w:rPr>
        <w:t xml:space="preserve"> services, families will receive early intervention and assistance to help get positive health, wellbeing and development outcomes for their children.  </w:t>
      </w:r>
    </w:p>
    <w:p w:rsidR="00DC5F5C" w:rsidRPr="00EF5A5D" w:rsidRDefault="00DC5F5C" w:rsidP="00DC5F5C">
      <w:pPr>
        <w:pStyle w:val="BodyText"/>
        <w:rPr>
          <w:rStyle w:val="BookTitle"/>
          <w:rFonts w:asciiTheme="minorHAnsi" w:hAnsiTheme="minorHAnsi"/>
          <w:i w:val="0"/>
          <w:iCs w:val="0"/>
          <w:smallCaps w:val="0"/>
        </w:rPr>
      </w:pPr>
      <w:r w:rsidRPr="00EF5A5D">
        <w:rPr>
          <w:rFonts w:asciiTheme="minorHAnsi" w:hAnsiTheme="minorHAnsi"/>
        </w:rPr>
        <w:t>The provision of these complementary services further supports the overarching objectives of income management.  By encouraging appropriate budgeting, developing financial literacy, and learning the skills to tackle life’s obstacles, income management aims to stabilise people’s circumstances in the long term.  Ultimately, income management strives to encourage responsible spending of welfare payments, especially in meeting the needs of children.  Within the broader BAFW package, i</w:t>
      </w:r>
      <w:r w:rsidRPr="00EF5A5D">
        <w:rPr>
          <w:rStyle w:val="BookTitle"/>
          <w:rFonts w:asciiTheme="minorHAnsi" w:hAnsiTheme="minorHAnsi"/>
          <w:i w:val="0"/>
          <w:smallCaps w:val="0"/>
        </w:rPr>
        <w:t>ncome management is aimed at stabilising people’s financial circumstances so that they can then focus on other areas of their lives, such as re-skilling, re-entering education, and joining or returning to the workforce.</w:t>
      </w:r>
    </w:p>
    <w:p w:rsidR="004C1A9B" w:rsidRDefault="00006B27">
      <w:pPr>
        <w:pStyle w:val="BodyText"/>
      </w:pPr>
      <w:r>
        <w:t>Notably, these Commonwealth Government initiatives operate within a broader setting of State and local government programs and services, which, while not formally part of the BAFW, nevertheless contribute to outcomes.</w:t>
      </w:r>
    </w:p>
    <w:p w:rsidR="00EF5A5D" w:rsidRDefault="00EF5A5D">
      <w:pPr>
        <w:pStyle w:val="BodyText"/>
      </w:pPr>
    </w:p>
    <w:p w:rsidR="00EF5A5D" w:rsidRDefault="00EF5A5D" w:rsidP="00EF5A5D">
      <w:pPr>
        <w:pStyle w:val="Heading2"/>
      </w:pPr>
      <w:bookmarkStart w:id="88" w:name="_Toc342495228"/>
      <w:r>
        <w:lastRenderedPageBreak/>
        <w:t>External influences on PBIM</w:t>
      </w:r>
      <w:bookmarkEnd w:id="88"/>
    </w:p>
    <w:p w:rsidR="00EF5A5D" w:rsidRDefault="00EF5A5D" w:rsidP="00EF5A5D">
      <w:pPr>
        <w:pStyle w:val="BodyText"/>
      </w:pPr>
      <w:r>
        <w:t xml:space="preserve">PBIM </w:t>
      </w:r>
      <w:r w:rsidRPr="00DD2905">
        <w:t xml:space="preserve">operates as a part of a broader system, and a range of factors external to the </w:t>
      </w:r>
      <w:r>
        <w:t>P</w:t>
      </w:r>
      <w:r w:rsidRPr="00DD2905">
        <w:t>rogram will also influence the outcomes achieved.</w:t>
      </w:r>
      <w:r>
        <w:t xml:space="preserve"> </w:t>
      </w:r>
      <w:r w:rsidRPr="00DD2905">
        <w:t xml:space="preserve"> For example</w:t>
      </w:r>
      <w:r>
        <w:t>:</w:t>
      </w:r>
    </w:p>
    <w:p w:rsidR="00EF5A5D" w:rsidRDefault="00EF5A5D" w:rsidP="00EF5A5D">
      <w:pPr>
        <w:pStyle w:val="Bullet1"/>
      </w:pPr>
      <w:r>
        <w:t xml:space="preserve">Other BAFW initiatives delivered across all of the </w:t>
      </w:r>
      <w:r w:rsidR="008D51F1">
        <w:t xml:space="preserve">PBIM </w:t>
      </w:r>
      <w:r>
        <w:t>trial sites wh</w:t>
      </w:r>
      <w:r w:rsidR="009855B9">
        <w:t xml:space="preserve">ich will address the needs of </w:t>
      </w:r>
      <w:r>
        <w:t>similar socio-demographic group</w:t>
      </w:r>
      <w:r w:rsidR="009855B9">
        <w:t>s</w:t>
      </w:r>
      <w:r>
        <w:t xml:space="preserve"> and which overlap</w:t>
      </w:r>
      <w:r w:rsidR="009855B9">
        <w:t xml:space="preserve"> to some extent</w:t>
      </w:r>
      <w:r>
        <w:t xml:space="preserve"> in</w:t>
      </w:r>
      <w:r w:rsidR="009855B9">
        <w:t xml:space="preserve"> their</w:t>
      </w:r>
      <w:r>
        <w:t xml:space="preserve"> intended outcomes;</w:t>
      </w:r>
    </w:p>
    <w:p w:rsidR="00EF5A5D" w:rsidRPr="009855B9" w:rsidRDefault="008D51F1" w:rsidP="0020635A">
      <w:pPr>
        <w:pStyle w:val="Bullet1"/>
      </w:pPr>
      <w:r>
        <w:t xml:space="preserve">A number of state government initiatives </w:t>
      </w:r>
      <w:r w:rsidR="009855B9">
        <w:t xml:space="preserve">which </w:t>
      </w:r>
      <w:r>
        <w:t xml:space="preserve">are being </w:t>
      </w:r>
      <w:r w:rsidR="009855B9">
        <w:t xml:space="preserve">implemented over a similar </w:t>
      </w:r>
      <w:r>
        <w:t xml:space="preserve">period, and again are looking to provide support to disadvantaged and/or welfare dependent </w:t>
      </w:r>
      <w:r w:rsidR="0020635A">
        <w:t>populations. For example</w:t>
      </w:r>
      <w:r w:rsidR="009855B9">
        <w:t>,</w:t>
      </w:r>
      <w:r w:rsidR="0020635A">
        <w:t xml:space="preserve"> one of</w:t>
      </w:r>
      <w:r w:rsidR="009855B9">
        <w:t xml:space="preserve"> the trial sites in Queensland (Logan)</w:t>
      </w:r>
      <w:r w:rsidR="0020635A">
        <w:t xml:space="preserve"> </w:t>
      </w:r>
      <w:r w:rsidR="009855B9">
        <w:t>has introduced a number of new initiatives</w:t>
      </w:r>
      <w:r w:rsidR="0020635A">
        <w:t xml:space="preserve"> such as the</w:t>
      </w:r>
      <w:r w:rsidR="0020635A" w:rsidRPr="0020635A">
        <w:rPr>
          <w:rFonts w:asciiTheme="minorHAnsi" w:hAnsiTheme="minorHAnsi"/>
        </w:rPr>
        <w:t xml:space="preserve"> </w:t>
      </w:r>
      <w:r w:rsidR="0020635A" w:rsidRPr="0020635A">
        <w:rPr>
          <w:rFonts w:asciiTheme="minorHAnsi" w:hAnsiTheme="minorHAnsi"/>
          <w:i/>
          <w:szCs w:val="22"/>
        </w:rPr>
        <w:t xml:space="preserve">Logan Beenleigh Young Persons Project </w:t>
      </w:r>
      <w:r w:rsidR="0020635A" w:rsidRPr="009855B9">
        <w:rPr>
          <w:rFonts w:asciiTheme="minorHAnsi" w:hAnsiTheme="minorHAnsi"/>
          <w:szCs w:val="22"/>
        </w:rPr>
        <w:t>and</w:t>
      </w:r>
      <w:r w:rsidR="0020635A" w:rsidRPr="0020635A">
        <w:rPr>
          <w:rFonts w:asciiTheme="minorHAnsi" w:hAnsiTheme="minorHAnsi"/>
          <w:i/>
          <w:szCs w:val="22"/>
        </w:rPr>
        <w:t xml:space="preserve"> Helping Out Families</w:t>
      </w:r>
      <w:r w:rsidR="0020635A">
        <w:rPr>
          <w:rFonts w:asciiTheme="minorHAnsi" w:hAnsiTheme="minorHAnsi"/>
          <w:i/>
          <w:szCs w:val="22"/>
        </w:rPr>
        <w:t xml:space="preserve"> </w:t>
      </w:r>
      <w:r w:rsidR="0020635A" w:rsidRPr="0020635A">
        <w:rPr>
          <w:rFonts w:asciiTheme="minorHAnsi" w:hAnsiTheme="minorHAnsi"/>
          <w:szCs w:val="22"/>
        </w:rPr>
        <w:t xml:space="preserve">which focus on service integration and case coordination for </w:t>
      </w:r>
      <w:r w:rsidR="0020635A">
        <w:rPr>
          <w:rFonts w:asciiTheme="minorHAnsi" w:hAnsiTheme="minorHAnsi"/>
          <w:szCs w:val="22"/>
        </w:rPr>
        <w:t>young people and families experiencing social and economic disadvantage</w:t>
      </w:r>
      <w:r w:rsidR="009855B9">
        <w:rPr>
          <w:rFonts w:asciiTheme="minorHAnsi" w:hAnsiTheme="minorHAnsi"/>
          <w:szCs w:val="22"/>
        </w:rPr>
        <w:t>;</w:t>
      </w:r>
    </w:p>
    <w:p w:rsidR="009855B9" w:rsidRDefault="009855B9" w:rsidP="0020635A">
      <w:pPr>
        <w:pStyle w:val="Bullet1"/>
      </w:pPr>
      <w:r>
        <w:t>Services provided by state governments, in particular child protection and housing authorities, will have a significant bearing on outcomes for this customer group; and</w:t>
      </w:r>
    </w:p>
    <w:p w:rsidR="009855B9" w:rsidRDefault="009855B9" w:rsidP="0020635A">
      <w:pPr>
        <w:pStyle w:val="Bullet1"/>
      </w:pPr>
      <w:r>
        <w:t>Variations in socio-demographic and cultural factors across the trial sites may also influence the ability of PBIM to achieve its intended objectives.</w:t>
      </w:r>
    </w:p>
    <w:p w:rsidR="0020635A" w:rsidRDefault="0020635A" w:rsidP="0020635A">
      <w:pPr>
        <w:pStyle w:val="BodyText"/>
        <w:rPr>
          <w:lang w:eastAsia="en-AU"/>
        </w:rPr>
      </w:pPr>
      <w:r w:rsidRPr="009855B9">
        <w:t>The existence of these external factors means that conclusions about the attributio</w:t>
      </w:r>
      <w:r w:rsidR="009855B9" w:rsidRPr="009855B9">
        <w:t>n of outcomes to PBIM</w:t>
      </w:r>
      <w:r w:rsidRPr="009855B9">
        <w:t xml:space="preserve"> alone </w:t>
      </w:r>
      <w:r w:rsidR="009855B9" w:rsidRPr="009855B9">
        <w:t xml:space="preserve">will need to be made with care, and the </w:t>
      </w:r>
      <w:r w:rsidRPr="009855B9">
        <w:t xml:space="preserve">evaluation of </w:t>
      </w:r>
      <w:r w:rsidR="009855B9" w:rsidRPr="009855B9">
        <w:t>PBIM</w:t>
      </w:r>
      <w:r w:rsidRPr="009855B9">
        <w:t xml:space="preserve"> </w:t>
      </w:r>
      <w:r w:rsidR="009855B9" w:rsidRPr="009855B9">
        <w:t>will need to bear in</w:t>
      </w:r>
      <w:r w:rsidRPr="009855B9">
        <w:t xml:space="preserve"> mind the impact of these other influences on outcomes.  Proximal (short terms) outcomes can be attributed to the program with a greater degree of confidence than more distal (long term) outcomes, as they tend to reflect the unique contrib</w:t>
      </w:r>
      <w:r w:rsidR="009855B9" w:rsidRPr="009855B9">
        <w:t>ution of the individual programs</w:t>
      </w:r>
      <w:r w:rsidRPr="009855B9">
        <w:t xml:space="preserve">, while the longer term outcomes tend to reflect multiple causal factors and input streams.  In this way measurement of short and medium term outcomes can assist in determining the unique contribution of the program to long term outcomes. Similarly, factors external to </w:t>
      </w:r>
      <w:r w:rsidR="009855B9" w:rsidRPr="009855B9">
        <w:t xml:space="preserve">PBIM </w:t>
      </w:r>
      <w:r w:rsidRPr="009855B9">
        <w:t xml:space="preserve">have a greater influence over outcomes than over </w:t>
      </w:r>
      <w:proofErr w:type="gramStart"/>
      <w:r w:rsidRPr="009855B9">
        <w:t>outputs,</w:t>
      </w:r>
      <w:proofErr w:type="gramEnd"/>
      <w:r w:rsidRPr="009855B9">
        <w:t xml:space="preserve"> and over long term outcomes than over short term outcomes (</w:t>
      </w:r>
      <w:r w:rsidR="000E486C">
        <w:fldChar w:fldCharType="begin"/>
      </w:r>
      <w:r w:rsidR="000E486C">
        <w:instrText xml:space="preserve"> REF _Ref324325906 \r \h  \* MERGEFORMAT </w:instrText>
      </w:r>
      <w:r w:rsidR="000E486C">
        <w:fldChar w:fldCharType="separate"/>
      </w:r>
      <w:r w:rsidR="003C7E97">
        <w:t>Figure 3.1</w:t>
      </w:r>
      <w:r w:rsidR="000E486C">
        <w:fldChar w:fldCharType="end"/>
      </w:r>
      <w:r w:rsidRPr="009855B9">
        <w:t>).</w:t>
      </w:r>
      <w:r w:rsidRPr="00DD2905">
        <w:t xml:space="preserve">  </w:t>
      </w:r>
    </w:p>
    <w:p w:rsidR="004D317F" w:rsidRDefault="009855B9" w:rsidP="004D317F">
      <w:pPr>
        <w:pStyle w:val="CaptionFigure"/>
      </w:pPr>
      <w:bookmarkStart w:id="89" w:name="_Ref324325906"/>
      <w:bookmarkStart w:id="90" w:name="_Toc342495263"/>
      <w:r>
        <w:t xml:space="preserve">: </w:t>
      </w:r>
      <w:r w:rsidRPr="009855B9">
        <w:t>The influence of external factors</w:t>
      </w:r>
      <w:bookmarkEnd w:id="89"/>
      <w:bookmarkEnd w:id="90"/>
    </w:p>
    <w:p w:rsidR="004D317F" w:rsidRPr="004D317F" w:rsidRDefault="004D317F" w:rsidP="004D317F">
      <w:pPr>
        <w:pStyle w:val="BodyText"/>
      </w:pPr>
    </w:p>
    <w:p w:rsidR="003263D4" w:rsidRPr="003263D4" w:rsidRDefault="003263D4" w:rsidP="003263D4">
      <w:pPr>
        <w:pStyle w:val="BodyText"/>
      </w:pPr>
    </w:p>
    <w:p w:rsidR="00EF5A5D" w:rsidRDefault="004D317F">
      <w:pPr>
        <w:pStyle w:val="BodyText"/>
        <w:rPr>
          <w:highlight w:val="green"/>
        </w:rPr>
      </w:pPr>
      <w:r>
        <w:rPr>
          <w:noProof/>
          <w:lang w:eastAsia="en-AU"/>
        </w:rPr>
        <mc:AlternateContent>
          <mc:Choice Requires="wpg">
            <w:drawing>
              <wp:inline distT="0" distB="0" distL="0" distR="0">
                <wp:extent cx="5467350" cy="1333500"/>
                <wp:effectExtent l="114300" t="19050" r="38100" b="57150"/>
                <wp:docPr id="195" name="Group 1" title="Figure 3.1: The influence of external fac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1333500"/>
                          <a:chOff x="0" y="0"/>
                          <a:chExt cx="5467350" cy="1333500"/>
                        </a:xfrm>
                      </wpg:grpSpPr>
                      <wps:wsp>
                        <wps:cNvPr id="196" name="AutoShape 42"/>
                        <wps:cNvSpPr>
                          <a:spLocks noChangeArrowheads="1"/>
                        </wps:cNvSpPr>
                        <wps:spPr bwMode="auto">
                          <a:xfrm rot="10800000">
                            <a:off x="1533525" y="0"/>
                            <a:ext cx="3933825" cy="954405"/>
                          </a:xfrm>
                          <a:prstGeom prst="rtTriangle">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97" name="AutoShape 44"/>
                        <wps:cNvSpPr>
                          <a:spLocks noChangeArrowheads="1"/>
                        </wps:cNvSpPr>
                        <wps:spPr bwMode="auto">
                          <a:xfrm rot="10800000">
                            <a:off x="38100" y="1028700"/>
                            <a:ext cx="5425440" cy="304800"/>
                          </a:xfrm>
                          <a:prstGeom prst="homePlate">
                            <a:avLst>
                              <a:gd name="adj" fmla="val 44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77C33" w:rsidRPr="00FC49E6" w:rsidRDefault="00377C33" w:rsidP="00EF5A5D">
                              <w:pPr>
                                <w:jc w:val="center"/>
                                <w:rPr>
                                  <w:color w:val="EEECE1" w:themeColor="background2"/>
                                  <w:szCs w:val="22"/>
                                </w:rPr>
                              </w:pPr>
                              <w:r w:rsidRPr="00CE3595">
                                <w:rPr>
                                  <w:color w:val="EEECE1" w:themeColor="background2"/>
                                  <w:szCs w:val="22"/>
                                </w:rPr>
                                <w:t>Increase in ability of program to influence results</w:t>
                              </w:r>
                            </w:p>
                            <w:p w:rsidR="00377C33" w:rsidRDefault="00377C33" w:rsidP="00EF5A5D"/>
                          </w:txbxContent>
                        </wps:txbx>
                        <wps:bodyPr rot="0" vert="horz" wrap="square" lIns="91440" tIns="45720" rIns="91440" bIns="45720" anchor="t" anchorCtr="0" upright="1">
                          <a:noAutofit/>
                        </wps:bodyPr>
                      </wps:wsp>
                      <wps:wsp>
                        <wps:cNvPr id="198" name="AutoShape 45"/>
                        <wps:cNvSpPr>
                          <a:spLocks noChangeArrowheads="1"/>
                        </wps:cNvSpPr>
                        <wps:spPr bwMode="auto">
                          <a:xfrm>
                            <a:off x="895350" y="352425"/>
                            <a:ext cx="895350" cy="601980"/>
                          </a:xfrm>
                          <a:prstGeom prst="homePlate">
                            <a:avLst>
                              <a:gd name="adj" fmla="val 3718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77C33" w:rsidRDefault="00377C33" w:rsidP="00EF5A5D">
                              <w:pPr>
                                <w:jc w:val="center"/>
                                <w:rPr>
                                  <w:sz w:val="20"/>
                                </w:rPr>
                              </w:pPr>
                              <w:r w:rsidRPr="00CE3595">
                                <w:rPr>
                                  <w:sz w:val="20"/>
                                </w:rPr>
                                <w:t>Activity</w:t>
                              </w:r>
                            </w:p>
                          </w:txbxContent>
                        </wps:txbx>
                        <wps:bodyPr rot="0" vert="horz" wrap="square" lIns="91440" tIns="45720" rIns="91440" bIns="45720" anchor="ctr" anchorCtr="0" upright="1">
                          <a:noAutofit/>
                        </wps:bodyPr>
                      </wps:wsp>
                      <wps:wsp>
                        <wps:cNvPr id="199" name="AutoShape 46"/>
                        <wps:cNvSpPr>
                          <a:spLocks noChangeArrowheads="1"/>
                        </wps:cNvSpPr>
                        <wps:spPr bwMode="auto">
                          <a:xfrm>
                            <a:off x="1809750" y="352425"/>
                            <a:ext cx="895350" cy="601980"/>
                          </a:xfrm>
                          <a:prstGeom prst="homePlate">
                            <a:avLst>
                              <a:gd name="adj" fmla="val 3718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77C33" w:rsidRDefault="00377C33" w:rsidP="00EF5A5D">
                              <w:pPr>
                                <w:jc w:val="center"/>
                                <w:rPr>
                                  <w:sz w:val="20"/>
                                </w:rPr>
                              </w:pPr>
                              <w:r w:rsidRPr="00CE3595">
                                <w:rPr>
                                  <w:sz w:val="20"/>
                                </w:rPr>
                                <w:t>Output</w:t>
                              </w:r>
                            </w:p>
                          </w:txbxContent>
                        </wps:txbx>
                        <wps:bodyPr rot="0" vert="horz" wrap="square" lIns="91440" tIns="45720" rIns="91440" bIns="45720" anchor="ctr" anchorCtr="0" upright="1">
                          <a:noAutofit/>
                        </wps:bodyPr>
                      </wps:wsp>
                      <wps:wsp>
                        <wps:cNvPr id="200" name="AutoShape 47"/>
                        <wps:cNvSpPr>
                          <a:spLocks noChangeArrowheads="1"/>
                        </wps:cNvSpPr>
                        <wps:spPr bwMode="auto">
                          <a:xfrm>
                            <a:off x="2733675" y="352425"/>
                            <a:ext cx="895350" cy="601980"/>
                          </a:xfrm>
                          <a:prstGeom prst="homePlate">
                            <a:avLst>
                              <a:gd name="adj" fmla="val 3718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77C33" w:rsidRDefault="00377C33" w:rsidP="00EF5A5D">
                              <w:pPr>
                                <w:jc w:val="center"/>
                                <w:rPr>
                                  <w:sz w:val="20"/>
                                </w:rPr>
                              </w:pPr>
                              <w:r w:rsidRPr="00CE3595">
                                <w:rPr>
                                  <w:sz w:val="20"/>
                                </w:rPr>
                                <w:t>Short term outcome</w:t>
                              </w:r>
                            </w:p>
                          </w:txbxContent>
                        </wps:txbx>
                        <wps:bodyPr rot="0" vert="horz" wrap="square" lIns="91440" tIns="45720" rIns="91440" bIns="45720" anchor="ctr" anchorCtr="0" upright="1">
                          <a:noAutofit/>
                        </wps:bodyPr>
                      </wps:wsp>
                      <wps:wsp>
                        <wps:cNvPr id="201" name="AutoShape 48"/>
                        <wps:cNvSpPr>
                          <a:spLocks noChangeArrowheads="1"/>
                        </wps:cNvSpPr>
                        <wps:spPr bwMode="auto">
                          <a:xfrm>
                            <a:off x="3657600" y="352425"/>
                            <a:ext cx="895350" cy="601980"/>
                          </a:xfrm>
                          <a:prstGeom prst="homePlate">
                            <a:avLst>
                              <a:gd name="adj" fmla="val 3718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77C33" w:rsidRDefault="00377C33" w:rsidP="00EF5A5D">
                              <w:pPr>
                                <w:jc w:val="center"/>
                                <w:rPr>
                                  <w:sz w:val="20"/>
                                </w:rPr>
                              </w:pPr>
                              <w:r w:rsidRPr="00CE3595">
                                <w:rPr>
                                  <w:sz w:val="20"/>
                                </w:rPr>
                                <w:t>Medium term outcome</w:t>
                              </w:r>
                            </w:p>
                          </w:txbxContent>
                        </wps:txbx>
                        <wps:bodyPr rot="0" vert="horz" wrap="square" lIns="91440" tIns="45720" rIns="91440" bIns="45720" anchor="ctr" anchorCtr="0" upright="1">
                          <a:noAutofit/>
                        </wps:bodyPr>
                      </wps:wsp>
                      <wps:wsp>
                        <wps:cNvPr id="202" name="AutoShape 49"/>
                        <wps:cNvSpPr>
                          <a:spLocks noChangeArrowheads="1"/>
                        </wps:cNvSpPr>
                        <wps:spPr bwMode="auto">
                          <a:xfrm>
                            <a:off x="4572000" y="352425"/>
                            <a:ext cx="895350" cy="601980"/>
                          </a:xfrm>
                          <a:prstGeom prst="homePlate">
                            <a:avLst>
                              <a:gd name="adj" fmla="val 3718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77C33" w:rsidRDefault="00377C33" w:rsidP="00EF5A5D">
                              <w:pPr>
                                <w:jc w:val="center"/>
                                <w:rPr>
                                  <w:sz w:val="20"/>
                                </w:rPr>
                              </w:pPr>
                              <w:r w:rsidRPr="00CE3595">
                                <w:rPr>
                                  <w:sz w:val="20"/>
                                </w:rPr>
                                <w:t>Long term outcome</w:t>
                              </w:r>
                            </w:p>
                          </w:txbxContent>
                        </wps:txbx>
                        <wps:bodyPr rot="0" vert="horz" wrap="square" lIns="91440" tIns="45720" rIns="91440" bIns="45720" anchor="ctr" anchorCtr="0" upright="1">
                          <a:noAutofit/>
                        </wps:bodyPr>
                      </wps:wsp>
                      <wps:wsp>
                        <wps:cNvPr id="203" name="AutoShape 50"/>
                        <wps:cNvSpPr>
                          <a:spLocks noChangeArrowheads="1"/>
                        </wps:cNvSpPr>
                        <wps:spPr bwMode="auto">
                          <a:xfrm>
                            <a:off x="0" y="352425"/>
                            <a:ext cx="895350" cy="601980"/>
                          </a:xfrm>
                          <a:prstGeom prst="homePlate">
                            <a:avLst>
                              <a:gd name="adj" fmla="val 3718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77C33" w:rsidRDefault="00377C33" w:rsidP="00EF5A5D">
                              <w:pPr>
                                <w:jc w:val="center"/>
                                <w:rPr>
                                  <w:sz w:val="20"/>
                                </w:rPr>
                              </w:pPr>
                              <w:r>
                                <w:rPr>
                                  <w:sz w:val="20"/>
                                </w:rPr>
                                <w:t>Input</w:t>
                              </w:r>
                            </w:p>
                          </w:txbxContent>
                        </wps:txbx>
                        <wps:bodyPr rot="0" vert="horz" wrap="square" lIns="91440" tIns="45720" rIns="91440" bIns="45720" anchor="ctr" anchorCtr="0" upright="1">
                          <a:noAutofit/>
                        </wps:bodyPr>
                      </wps:wsp>
                    </wpg:wgp>
                  </a:graphicData>
                </a:graphic>
              </wp:inline>
            </w:drawing>
          </mc:Choice>
          <mc:Fallback>
            <w:pict>
              <v:group id="Group 1" o:spid="_x0000_s1026" alt="Title: Figure 3.1: The influence of external factors" style="width:430.5pt;height:105pt;mso-position-horizontal-relative:char;mso-position-vertical-relative:line" coordsize="5467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">
                <v:shapetype id="_x0000_t6" coordsize="21600,21600" o:spt="6" path="m,l,21600r21600,xe">
                  <v:stroke joinstyle="miter"/>
                  <v:path gradientshapeok="t" o:connecttype="custom" o:connectlocs="0,0;0,10800;0,21600;10800,21600;21600,21600;10800,10800" textboxrect="1800,12600,12600,19800"/>
                </v:shapetype>
                <v:shape id="AutoShape 42" o:spid="_x0000_s1027" type="#_x0000_t6" style="position:absolute;left:15335;width:39338;height:95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eBcMA&#10;AADcAAAADwAAAGRycy9kb3ducmV2LnhtbERPS2vCQBC+F/wPywje6sZKg0ZXsUqpp4rxgcchOybB&#10;7GzMrpr++26h4G0+vudM562pxJ0aV1pWMOhHIIgzq0vOFex3n68jEM4ja6wsk4IfcjCfdV6mmGj7&#10;4C3dU5+LEMIuQQWF93UipcsKMuj6tiYO3Nk2Bn2ATS51g48Qbir5FkWxNFhyaCiwpmVB2SW9GQXx&#10;ejyq04/v9+PXcDM8nG64Qn9VqtdtFxMQnlr/FP+71zrMH8fw90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ReBcMAAADcAAAADwAAAAAAAAAAAAAAAACYAgAAZHJzL2Rv&#10;d25yZXYueG1sUEsFBgAAAAAEAAQA9QAAAIgDAAAAAA==&#10;" fillcolor="#4f81bd [3204]" strokecolor="#f2f2f2 [3041]" strokeweight="3pt">
                  <v:shadow on="t" color="#243f60 [1604]" opacity=".5" offset="1p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4" o:spid="_x0000_s1028" type="#_x0000_t15" style="position:absolute;left:381;top:10287;width:54254;height:304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gpsMA&#10;AADcAAAADwAAAGRycy9kb3ducmV2LnhtbERPS0sDMRC+C/6HMEJvNqtQtdumRUuV2oPQx6W3YTPd&#10;LN1Mlkzarv/eCIK3+fieM533vlUXitIENvAwLEARV8E2XBvY797vX0BJQrbYBiYD3yQwn93eTLG0&#10;4cobumxTrXIIS4kGXEpdqbVUjjzKMHTEmTuG6DFlGGttI15zuG/1Y1E8aY8N5waHHS0cVaft2Rt4&#10;27nwIeuD/2xGEvfyVcjqvDRmcNe/TkAl6tO/+M+9snn++Bl+n8kX6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gpsMAAADcAAAADwAAAAAAAAAAAAAAAACYAgAAZHJzL2Rv&#10;d25yZXYueG1sUEsFBgAAAAAEAAQA9QAAAIgDAAAAAA==&#10;" fillcolor="#4f81bd [3204]" strokecolor="#f2f2f2 [3041]" strokeweight="3pt">
                  <v:shadow on="t" color="#243f60 [1604]" opacity=".5" offset="1pt"/>
                  <v:textbox>
                    <w:txbxContent>
                      <w:p w:rsidR="00377C33" w:rsidRPr="00FC49E6" w:rsidRDefault="00377C33" w:rsidP="00EF5A5D">
                        <w:pPr>
                          <w:jc w:val="center"/>
                          <w:rPr>
                            <w:color w:val="EEECE1" w:themeColor="background2"/>
                            <w:szCs w:val="22"/>
                          </w:rPr>
                        </w:pPr>
                        <w:r w:rsidRPr="00CE3595">
                          <w:rPr>
                            <w:color w:val="EEECE1" w:themeColor="background2"/>
                            <w:szCs w:val="22"/>
                          </w:rPr>
                          <w:t>Increase in ability of program to influence results</w:t>
                        </w:r>
                      </w:p>
                      <w:p w:rsidR="00377C33" w:rsidRDefault="00377C33" w:rsidP="00EF5A5D"/>
                    </w:txbxContent>
                  </v:textbox>
                </v:shape>
                <v:shape id="AutoShape 45" o:spid="_x0000_s1029" type="#_x0000_t15" style="position:absolute;left:8953;top:3524;width:8954;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n98cA&#10;AADcAAAADwAAAGRycy9kb3ducmV2LnhtbESPT0vDQBDF74LfYRnBm91Yiti021IEsR6kf2wL3sbs&#10;NBvNzobstkm/vXMoeJvhvXnvN9N572t1pjZWgQ08DjJQxEWwFZcGdp+vD8+gYkK2WAcmAxeKMJ/d&#10;3kwxt6HjDZ23qVQSwjFHAy6lJtc6Fo48xkFoiEU7htZjkrUttW2xk3Bf62GWPWmPFUuDw4ZeHBW/&#10;25M3sAmjD/5e/wy7t9N679xq/H74ssbc3/WLCahEffo3X6+XVvDHQivPyAR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DJ/fHAAAA3AAAAA8AAAAAAAAAAAAAAAAAmAIAAGRy&#10;cy9kb3ducmV2LnhtbFBLBQYAAAAABAAEAPUAAACMAwAAAAA=&#10;" fillcolor="#9bbb59 [3206]" strokecolor="#f2f2f2 [3041]" strokeweight="3pt">
                  <v:shadow on="t" color="#4e6128 [1606]" opacity=".5" offset="1pt"/>
                  <v:textbox>
                    <w:txbxContent>
                      <w:p w:rsidR="00377C33" w:rsidRDefault="00377C33" w:rsidP="00EF5A5D">
                        <w:pPr>
                          <w:jc w:val="center"/>
                          <w:rPr>
                            <w:sz w:val="20"/>
                          </w:rPr>
                        </w:pPr>
                        <w:r w:rsidRPr="00CE3595">
                          <w:rPr>
                            <w:sz w:val="20"/>
                          </w:rPr>
                          <w:t>Activity</w:t>
                        </w:r>
                      </w:p>
                    </w:txbxContent>
                  </v:textbox>
                </v:shape>
                <v:shape id="AutoShape 46" o:spid="_x0000_s1030" type="#_x0000_t15" style="position:absolute;left:18097;top:3524;width:8954;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bMQA&#10;AADcAAAADwAAAGRycy9kb3ducmV2LnhtbERPS2vCQBC+C/6HZQredFORYlJXKUKpHoqPPqC3aXaa&#10;jWZnQ3Y18d+7gtDbfHzPmS06W4kzNb50rOBxlIAgzp0uuVDw+fE6nILwAVlj5ZgUXMjDYt7vzTDT&#10;ruUdnfehEDGEfYYKTAh1JqXPDVn0I1cTR+7PNRZDhE0hdYNtDLeVHCfJk7RYcmwwWNPSUH7cn6yC&#10;nZu88+/2MG7fTtsvYzbp+vtHKzV46F6eQQTqwr/47l7pOD9N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gmzEAAAA3AAAAA8AAAAAAAAAAAAAAAAAmAIAAGRycy9k&#10;b3ducmV2LnhtbFBLBQYAAAAABAAEAPUAAACJAwAAAAA=&#10;" fillcolor="#9bbb59 [3206]" strokecolor="#f2f2f2 [3041]" strokeweight="3pt">
                  <v:shadow on="t" color="#4e6128 [1606]" opacity=".5" offset="1pt"/>
                  <v:textbox>
                    <w:txbxContent>
                      <w:p w:rsidR="00377C33" w:rsidRDefault="00377C33" w:rsidP="00EF5A5D">
                        <w:pPr>
                          <w:jc w:val="center"/>
                          <w:rPr>
                            <w:sz w:val="20"/>
                          </w:rPr>
                        </w:pPr>
                        <w:r w:rsidRPr="00CE3595">
                          <w:rPr>
                            <w:sz w:val="20"/>
                          </w:rPr>
                          <w:t>Output</w:t>
                        </w:r>
                      </w:p>
                    </w:txbxContent>
                  </v:textbox>
                </v:shape>
                <v:shape id="AutoShape 47" o:spid="_x0000_s1031" type="#_x0000_t15" style="position:absolute;left:27336;top:3524;width:8954;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fCsYA&#10;AADcAAAADwAAAGRycy9kb3ducmV2LnhtbESPT2vCQBTE70K/w/IK3symImJTVymCtB7EP61Cb6/Z&#10;12za7NuQXU389q4g9DjMzG+Y6byzlThT40vHCp6SFARx7nTJhYLPj+VgAsIHZI2VY1JwIQ/z2UNv&#10;ipl2Le/ovA+FiBD2GSowIdSZlD43ZNEnriaO3o9rLIYom0LqBtsIt5UcpulYWiw5LhisaWEo/9uf&#10;rIKdG635e/s7bN9O24Mxm+fV8Usr1X/sXl9ABOrCf/jeftcKIhF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rfCsYAAADcAAAADwAAAAAAAAAAAAAAAACYAgAAZHJz&#10;L2Rvd25yZXYueG1sUEsFBgAAAAAEAAQA9QAAAIsDAAAAAA==&#10;" fillcolor="#9bbb59 [3206]" strokecolor="#f2f2f2 [3041]" strokeweight="3pt">
                  <v:shadow on="t" color="#4e6128 [1606]" opacity=".5" offset="1pt"/>
                  <v:textbox>
                    <w:txbxContent>
                      <w:p w:rsidR="00377C33" w:rsidRDefault="00377C33" w:rsidP="00EF5A5D">
                        <w:pPr>
                          <w:jc w:val="center"/>
                          <w:rPr>
                            <w:sz w:val="20"/>
                          </w:rPr>
                        </w:pPr>
                        <w:r w:rsidRPr="00CE3595">
                          <w:rPr>
                            <w:sz w:val="20"/>
                          </w:rPr>
                          <w:t>Short term outcome</w:t>
                        </w:r>
                      </w:p>
                    </w:txbxContent>
                  </v:textbox>
                </v:shape>
                <v:shape id="AutoShape 48" o:spid="_x0000_s1032" type="#_x0000_t15" style="position:absolute;left:36576;top:3524;width:8953;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6kcYA&#10;AADcAAAADwAAAGRycy9kb3ducmV2LnhtbESPT2vCQBTE74LfYXlCb7oxFKmpq0ihqAfxX1vw9sw+&#10;s2mzb0N2Nem37xYKPQ4z8xtmtuhsJe7U+NKxgvEoAUGcO11yoeDt9Dp8AuEDssbKMSn4Jg+Leb83&#10;w0y7lg90P4ZCRAj7DBWYEOpMSp8bsuhHriaO3tU1FkOUTSF1g22E20qmSTKRFkuOCwZrejGUfx1v&#10;VsHBPW75sv9M29Vt/27Mbrr5OGulHgbd8hlEoC78h//aa60gTcb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Z6kcYAAADcAAAADwAAAAAAAAAAAAAAAACYAgAAZHJz&#10;L2Rvd25yZXYueG1sUEsFBgAAAAAEAAQA9QAAAIsDAAAAAA==&#10;" fillcolor="#9bbb59 [3206]" strokecolor="#f2f2f2 [3041]" strokeweight="3pt">
                  <v:shadow on="t" color="#4e6128 [1606]" opacity=".5" offset="1pt"/>
                  <v:textbox>
                    <w:txbxContent>
                      <w:p w:rsidR="00377C33" w:rsidRDefault="00377C33" w:rsidP="00EF5A5D">
                        <w:pPr>
                          <w:jc w:val="center"/>
                          <w:rPr>
                            <w:sz w:val="20"/>
                          </w:rPr>
                        </w:pPr>
                        <w:r w:rsidRPr="00CE3595">
                          <w:rPr>
                            <w:sz w:val="20"/>
                          </w:rPr>
                          <w:t>Medium term outcome</w:t>
                        </w:r>
                      </w:p>
                    </w:txbxContent>
                  </v:textbox>
                </v:shape>
                <v:shape id="AutoShape 49" o:spid="_x0000_s1033" type="#_x0000_t15" style="position:absolute;left:45720;top:3524;width:8953;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k5sYA&#10;AADcAAAADwAAAGRycy9kb3ducmV2LnhtbESPT2vCQBTE7wW/w/KE3urGUEobXUUEaXso9T94e2af&#10;2bTZtyG7mvjtXaHQ4zAzv2HG085W4kKNLx0rGA4SEMS50yUXCrabxdMrCB+QNVaOScGVPEwnvYcx&#10;Ztq1vKLLOhQiQthnqMCEUGdS+tyQRT9wNXH0Tq6xGKJsCqkbbCPcVjJNkhdpseS4YLCmuaH8d322&#10;Clbu+YuPy5+0fT8vd8Z8v33uD1qpx343G4EI1IX/8F/7QytIkxT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k5sYAAADcAAAADwAAAAAAAAAAAAAAAACYAgAAZHJz&#10;L2Rvd25yZXYueG1sUEsFBgAAAAAEAAQA9QAAAIsDAAAAAA==&#10;" fillcolor="#9bbb59 [3206]" strokecolor="#f2f2f2 [3041]" strokeweight="3pt">
                  <v:shadow on="t" color="#4e6128 [1606]" opacity=".5" offset="1pt"/>
                  <v:textbox>
                    <w:txbxContent>
                      <w:p w:rsidR="00377C33" w:rsidRDefault="00377C33" w:rsidP="00EF5A5D">
                        <w:pPr>
                          <w:jc w:val="center"/>
                          <w:rPr>
                            <w:sz w:val="20"/>
                          </w:rPr>
                        </w:pPr>
                        <w:r w:rsidRPr="00CE3595">
                          <w:rPr>
                            <w:sz w:val="20"/>
                          </w:rPr>
                          <w:t>Long term outcome</w:t>
                        </w:r>
                      </w:p>
                    </w:txbxContent>
                  </v:textbox>
                </v:shape>
                <v:shape id="AutoShape 50" o:spid="_x0000_s1034" type="#_x0000_t15" style="position:absolute;top:3524;width:8953;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fccA&#10;AADcAAAADwAAAGRycy9kb3ducmV2LnhtbESPT2vCQBTE74V+h+UVvNVNYxGbukoRRD0U/7QVvL1m&#10;X7Op2bchu5r47btCweMwM79hxtPOVuJMjS8dK3jqJyCIc6dLLhR8fswfRyB8QNZYOSYFF/Iwndzf&#10;jTHTruUtnXehEBHCPkMFJoQ6k9Lnhiz6vquJo/fjGoshyqaQusE2wm0l0yQZSoslxwWDNc0M5cfd&#10;ySrYuud3/t78pu3itPkyZv2y2h+0Ur2H7u0VRKAu3ML/7aVWkCYDuJ6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QX3HAAAA3AAAAA8AAAAAAAAAAAAAAAAAmAIAAGRy&#10;cy9kb3ducmV2LnhtbFBLBQYAAAAABAAEAPUAAACMAwAAAAA=&#10;" fillcolor="#9bbb59 [3206]" strokecolor="#f2f2f2 [3041]" strokeweight="3pt">
                  <v:shadow on="t" color="#4e6128 [1606]" opacity=".5" offset="1pt"/>
                  <v:textbox>
                    <w:txbxContent>
                      <w:p w:rsidR="00377C33" w:rsidRDefault="00377C33" w:rsidP="00EF5A5D">
                        <w:pPr>
                          <w:jc w:val="center"/>
                          <w:rPr>
                            <w:sz w:val="20"/>
                          </w:rPr>
                        </w:pPr>
                        <w:r>
                          <w:rPr>
                            <w:sz w:val="20"/>
                          </w:rPr>
                          <w:t>Input</w:t>
                        </w:r>
                      </w:p>
                    </w:txbxContent>
                  </v:textbox>
                </v:shape>
                <w10:anchorlock/>
              </v:group>
            </w:pict>
          </mc:Fallback>
        </mc:AlternateContent>
      </w:r>
    </w:p>
    <w:p w:rsidR="004D317F" w:rsidRDefault="004D317F">
      <w:pPr>
        <w:rPr>
          <w:b/>
          <w:color w:val="00A1DE"/>
          <w:sz w:val="40"/>
          <w:szCs w:val="28"/>
        </w:rPr>
      </w:pPr>
      <w:bookmarkStart w:id="91" w:name="_Toc342495229"/>
      <w:r>
        <w:br w:type="page"/>
      </w:r>
    </w:p>
    <w:p w:rsidR="0069353B" w:rsidRDefault="0069353B" w:rsidP="00504360">
      <w:pPr>
        <w:pStyle w:val="Heading2"/>
      </w:pPr>
      <w:r>
        <w:lastRenderedPageBreak/>
        <w:t>Program logic maps</w:t>
      </w:r>
      <w:bookmarkEnd w:id="91"/>
    </w:p>
    <w:p w:rsidR="0069353B" w:rsidRDefault="0069353B" w:rsidP="0069353B">
      <w:pPr>
        <w:pStyle w:val="BodyText"/>
      </w:pPr>
      <w:r>
        <w:t xml:space="preserve">As part of the </w:t>
      </w:r>
      <w:r w:rsidRPr="006C51FB">
        <w:t xml:space="preserve">evaluation of the </w:t>
      </w:r>
      <w:r>
        <w:t>PBIM</w:t>
      </w:r>
      <w:r w:rsidRPr="006C51FB">
        <w:t xml:space="preserve"> we </w:t>
      </w:r>
      <w:r>
        <w:t>have</w:t>
      </w:r>
      <w:r w:rsidRPr="006C51FB">
        <w:t xml:space="preserve"> refine</w:t>
      </w:r>
      <w:r>
        <w:t>d</w:t>
      </w:r>
      <w:r w:rsidRPr="006C51FB">
        <w:t xml:space="preserve"> the existing program logic map</w:t>
      </w:r>
      <w:r>
        <w:t xml:space="preserve"> developed by FaHCSIA</w:t>
      </w:r>
      <w:r w:rsidRPr="006C51FB">
        <w:t xml:space="preserve">, </w:t>
      </w:r>
      <w:r>
        <w:t>to provide a more detailed examination of the logic of each of three PBIM measures (</w:t>
      </w:r>
      <w:r w:rsidR="00C04F6E">
        <w:t xml:space="preserve">Child Protection, Vulnerable and </w:t>
      </w:r>
      <w:r>
        <w:t xml:space="preserve">Voluntary), and to capture some of the variation in activities, outputs and outcomes across the three PBIM measures. The program logic maps can be seen in </w:t>
      </w:r>
      <w:r w:rsidR="00D71A6F">
        <w:fldChar w:fldCharType="begin"/>
      </w:r>
      <w:r w:rsidR="000A539A">
        <w:instrText xml:space="preserve"> REF _Ref322449538 \r \h </w:instrText>
      </w:r>
      <w:r w:rsidR="00D71A6F">
        <w:fldChar w:fldCharType="separate"/>
      </w:r>
      <w:r w:rsidR="003C7E97">
        <w:t>Figure 3.2</w:t>
      </w:r>
      <w:r w:rsidR="00D71A6F">
        <w:fldChar w:fldCharType="end"/>
      </w:r>
      <w:r w:rsidR="000A539A">
        <w:t xml:space="preserve"> to </w:t>
      </w:r>
      <w:r w:rsidR="00D71A6F">
        <w:fldChar w:fldCharType="begin"/>
      </w:r>
      <w:r w:rsidR="000A539A">
        <w:instrText xml:space="preserve"> REF _Ref322449549 \r \h </w:instrText>
      </w:r>
      <w:r w:rsidR="00D71A6F">
        <w:fldChar w:fldCharType="separate"/>
      </w:r>
      <w:r w:rsidR="003C7E97">
        <w:t>Figure 3.4</w:t>
      </w:r>
      <w:r w:rsidR="00D71A6F">
        <w:fldChar w:fldCharType="end"/>
      </w:r>
      <w:r w:rsidR="000A539A">
        <w:t>.</w:t>
      </w:r>
    </w:p>
    <w:p w:rsidR="0069353B" w:rsidRDefault="0069353B" w:rsidP="0069353B">
      <w:pPr>
        <w:pStyle w:val="BodyText"/>
      </w:pPr>
      <w:r>
        <w:t>The refined program logic maps include consolidation of some of the short, medium and long term outcomes of PBIM so that clusters of these outcomes are grouped together where they are interrelated or likely to co-occur. Outcomes have been retained in the program logic wh</w:t>
      </w:r>
      <w:r w:rsidR="00237FA9">
        <w:t>ere they</w:t>
      </w:r>
      <w:r>
        <w:t xml:space="preserve"> demonstrate a clear logical link to either an output or an earlier outcome. The outcomes articulated in these maps have been used to inform the design of the primary data collection tools and </w:t>
      </w:r>
      <w:r w:rsidR="00237FA9">
        <w:t xml:space="preserve">the </w:t>
      </w:r>
      <w:r>
        <w:t>secondary data analysis strategy.</w:t>
      </w:r>
    </w:p>
    <w:p w:rsidR="00550B0F" w:rsidRPr="001408F6" w:rsidRDefault="00507ADF" w:rsidP="00755309">
      <w:pPr>
        <w:pStyle w:val="BodyText"/>
      </w:pPr>
      <w:r w:rsidRPr="001408F6">
        <w:t>It should be noted that the program logic attempts to depict the key program delivery components of PBIM and link the activities and outputs logically with the short, medium and long term outcomes.</w:t>
      </w:r>
      <w:r w:rsidR="00C511A5" w:rsidRPr="001408F6">
        <w:t xml:space="preserve"> Not all aspects of PBIM are depicted in the program logic maps to ensure that</w:t>
      </w:r>
      <w:r w:rsidR="00DF7C4C" w:rsidRPr="001408F6">
        <w:t xml:space="preserve"> the maps provide</w:t>
      </w:r>
      <w:r w:rsidR="00C511A5" w:rsidRPr="001408F6">
        <w:t xml:space="preserve"> an accessible overview of the program. </w:t>
      </w:r>
      <w:r w:rsidR="008934DA" w:rsidRPr="001408F6">
        <w:t>The following are definitions of the key components of the program logic maps</w:t>
      </w:r>
      <w:r w:rsidR="006E6156" w:rsidRPr="001408F6">
        <w:t>:</w:t>
      </w:r>
    </w:p>
    <w:p w:rsidR="00550B0F" w:rsidRPr="001408F6" w:rsidRDefault="00550B0F" w:rsidP="00550B0F">
      <w:pPr>
        <w:pStyle w:val="Bullet1"/>
      </w:pPr>
      <w:r w:rsidRPr="001408F6">
        <w:rPr>
          <w:b/>
          <w:color w:val="002776"/>
        </w:rPr>
        <w:t>Inputs</w:t>
      </w:r>
      <w:r w:rsidRPr="001408F6">
        <w:t xml:space="preserve"> – describe</w:t>
      </w:r>
      <w:r w:rsidR="00237FA9" w:rsidRPr="001408F6">
        <w:t>s</w:t>
      </w:r>
      <w:r w:rsidRPr="001408F6">
        <w:t xml:space="preserve"> the funding and other </w:t>
      </w:r>
      <w:proofErr w:type="spellStart"/>
      <w:r w:rsidRPr="001408F6">
        <w:t>uncosted</w:t>
      </w:r>
      <w:proofErr w:type="spellEnd"/>
      <w:r w:rsidRPr="001408F6">
        <w:t xml:space="preserve"> resources which have been allocated to the program;</w:t>
      </w:r>
    </w:p>
    <w:p w:rsidR="00550B0F" w:rsidRPr="001408F6" w:rsidRDefault="00550B0F" w:rsidP="00550B0F">
      <w:pPr>
        <w:pStyle w:val="Bullet1"/>
      </w:pPr>
      <w:r w:rsidRPr="001408F6">
        <w:rPr>
          <w:b/>
          <w:color w:val="002776"/>
        </w:rPr>
        <w:t>Activities</w:t>
      </w:r>
      <w:r w:rsidRPr="001408F6">
        <w:t xml:space="preserve"> – describes what the program is funded to deliver;</w:t>
      </w:r>
    </w:p>
    <w:p w:rsidR="00550B0F" w:rsidRPr="001408F6" w:rsidRDefault="00550B0F" w:rsidP="00550B0F">
      <w:pPr>
        <w:pStyle w:val="Bullet1"/>
      </w:pPr>
      <w:r w:rsidRPr="001408F6">
        <w:rPr>
          <w:b/>
          <w:color w:val="002776"/>
        </w:rPr>
        <w:t>Outputs</w:t>
      </w:r>
      <w:r w:rsidRPr="001408F6">
        <w:t xml:space="preserve"> – describes  the deliverables or units of delivery generated by the program, these can be quantified if there are pre-established funding targets or unquantified if the quantum of service delivery cannot be accurately estimated;</w:t>
      </w:r>
    </w:p>
    <w:p w:rsidR="00550B0F" w:rsidRPr="001408F6" w:rsidRDefault="00550B0F" w:rsidP="00550B0F">
      <w:pPr>
        <w:pStyle w:val="Bullet1"/>
      </w:pPr>
      <w:r w:rsidRPr="001408F6">
        <w:rPr>
          <w:b/>
          <w:color w:val="002776"/>
        </w:rPr>
        <w:t>Short term outcomes</w:t>
      </w:r>
      <w:r w:rsidRPr="001408F6">
        <w:t xml:space="preserve"> – the impacts or consequences of the outputs defined in accordance with the program objectives, which are likely to occur within the first year of program implementation;</w:t>
      </w:r>
    </w:p>
    <w:p w:rsidR="00550B0F" w:rsidRPr="001408F6" w:rsidRDefault="00550B0F" w:rsidP="00550B0F">
      <w:pPr>
        <w:pStyle w:val="Bullet1"/>
      </w:pPr>
      <w:r w:rsidRPr="001408F6">
        <w:rPr>
          <w:b/>
          <w:color w:val="002776"/>
        </w:rPr>
        <w:t>Medium term outcomes</w:t>
      </w:r>
      <w:r w:rsidRPr="001408F6">
        <w:t xml:space="preserve"> – the impacts or consequences of the outputs, or of the short term outcomes, defined in accordance with program objectives, which are likely to occur within the first three years of program implementation; and</w:t>
      </w:r>
    </w:p>
    <w:p w:rsidR="00550B0F" w:rsidRPr="001408F6" w:rsidRDefault="00550B0F" w:rsidP="00550B0F">
      <w:pPr>
        <w:pStyle w:val="Bullet1"/>
      </w:pPr>
      <w:r w:rsidRPr="001408F6">
        <w:rPr>
          <w:b/>
          <w:color w:val="002776"/>
        </w:rPr>
        <w:t>Long term outcomes</w:t>
      </w:r>
      <w:r w:rsidRPr="001408F6">
        <w:t xml:space="preserve"> – the impact or consequences of the outputs, or of the short and medium term outcomes, defined in accor</w:t>
      </w:r>
      <w:r w:rsidR="00583B53" w:rsidRPr="001408F6">
        <w:t>dance with the program objectives, which are likely to occur in the next four to ten years of program delivery. These are out of scope for the evaluation framework due to the timeframe for their realisation.</w:t>
      </w:r>
    </w:p>
    <w:p w:rsidR="008934DA" w:rsidRDefault="008934DA" w:rsidP="008934DA">
      <w:pPr>
        <w:pStyle w:val="BodyText"/>
      </w:pPr>
      <w:r w:rsidRPr="001408F6">
        <w:t xml:space="preserve">Finally it should be noted that program logic maps </w:t>
      </w:r>
      <w:r w:rsidR="00F712BB" w:rsidRPr="001408F6">
        <w:t>embody</w:t>
      </w:r>
      <w:r w:rsidRPr="001408F6">
        <w:t xml:space="preserve"> the </w:t>
      </w:r>
      <w:r w:rsidR="00315311" w:rsidRPr="001408F6">
        <w:t>intended outcomes of t</w:t>
      </w:r>
      <w:r w:rsidRPr="001408F6">
        <w:t>he proposed policy or program</w:t>
      </w:r>
      <w:r w:rsidR="00315311" w:rsidRPr="001408F6">
        <w:t xml:space="preserve"> - </w:t>
      </w:r>
      <w:r w:rsidRPr="001408F6">
        <w:t xml:space="preserve">they provide in essence a theory of how the program will work. The evaluation then provides an opportunity to test this theory, and </w:t>
      </w:r>
      <w:r w:rsidR="00F712BB" w:rsidRPr="001408F6">
        <w:t xml:space="preserve">ultimately </w:t>
      </w:r>
      <w:r w:rsidRPr="001408F6">
        <w:t>provide</w:t>
      </w:r>
      <w:r w:rsidR="00F712BB" w:rsidRPr="001408F6">
        <w:t>s</w:t>
      </w:r>
      <w:r w:rsidRPr="001408F6">
        <w:t xml:space="preserve"> feedback on the strength of the underlying logic of the program or policy, where intended outcomes are realised</w:t>
      </w:r>
      <w:r w:rsidR="00F712BB" w:rsidRPr="001408F6">
        <w:t>,</w:t>
      </w:r>
      <w:r w:rsidRPr="001408F6">
        <w:t xml:space="preserve"> or </w:t>
      </w:r>
      <w:r w:rsidR="00F712BB" w:rsidRPr="001408F6">
        <w:t xml:space="preserve">alternatively </w:t>
      </w:r>
      <w:r w:rsidRPr="001408F6">
        <w:t>fail to materialise.</w:t>
      </w:r>
    </w:p>
    <w:p w:rsidR="008934DA" w:rsidRDefault="008934DA" w:rsidP="00550B0F">
      <w:pPr>
        <w:pStyle w:val="Bullet1"/>
        <w:numPr>
          <w:ilvl w:val="0"/>
          <w:numId w:val="0"/>
        </w:numPr>
        <w:ind w:left="360" w:hanging="360"/>
        <w:sectPr w:rsidR="008934DA" w:rsidSect="007257C4">
          <w:headerReference w:type="even" r:id="rId24"/>
          <w:footerReference w:type="even" r:id="rId25"/>
          <w:footerReference w:type="default" r:id="rId26"/>
          <w:headerReference w:type="first" r:id="rId27"/>
          <w:footerReference w:type="first" r:id="rId28"/>
          <w:pgSz w:w="11906" w:h="16838" w:code="9"/>
          <w:pgMar w:top="2268" w:right="1134" w:bottom="1134" w:left="2552" w:header="720" w:footer="720" w:gutter="0"/>
          <w:cols w:space="720"/>
          <w:docGrid w:linePitch="360"/>
        </w:sectPr>
      </w:pPr>
    </w:p>
    <w:p w:rsidR="00452E4A" w:rsidRDefault="003764D2" w:rsidP="00E90C0A">
      <w:pPr>
        <w:pStyle w:val="CaptionFigure"/>
        <w:spacing w:before="120" w:after="0"/>
      </w:pPr>
      <w:bookmarkStart w:id="92" w:name="_Toc342495264"/>
      <w:bookmarkStart w:id="93" w:name="_Ref322449538"/>
      <w:r>
        <w:lastRenderedPageBreak/>
        <w:t>:</w:t>
      </w:r>
      <w:r w:rsidR="003B4977" w:rsidRPr="003B4977">
        <w:t xml:space="preserve"> </w:t>
      </w:r>
      <w:r w:rsidR="003B4977">
        <w:t>Program logic for Child Protection Income Management</w:t>
      </w:r>
      <w:bookmarkEnd w:id="92"/>
    </w:p>
    <w:p w:rsidR="00E90C0A" w:rsidRPr="00E90C0A" w:rsidRDefault="00E90C0A" w:rsidP="00E90C0A">
      <w:pPr>
        <w:pStyle w:val="BodyText"/>
        <w:jc w:val="center"/>
      </w:pPr>
    </w:p>
    <w:bookmarkEnd w:id="93"/>
    <w:p w:rsidR="00B96DBB" w:rsidRDefault="00132164" w:rsidP="000E4ECB">
      <w:pPr>
        <w:pStyle w:val="BodyText"/>
        <w:spacing w:before="0"/>
        <w:sectPr w:rsidR="00B96DBB" w:rsidSect="00773AEB">
          <w:pgSz w:w="16838" w:h="11906" w:orient="landscape" w:code="9"/>
          <w:pgMar w:top="232" w:right="232" w:bottom="238" w:left="232" w:header="113" w:footer="113" w:gutter="0"/>
          <w:cols w:space="720"/>
          <w:docGrid w:linePitch="360"/>
        </w:sectPr>
      </w:pPr>
      <w:r>
        <w:object w:dxaOrig="10088" w:dyaOrig="7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3.2: Program logic for Child Protection Income Management" style="width:819.75pt;height:498.75pt" o:ole="">
            <v:imagedata r:id="rId29" o:title=""/>
          </v:shape>
          <o:OLEObject Type="Embed" ProgID="PowerPoint.Show.8" ShapeID="_x0000_i1025" DrawAspect="Content" ObjectID="_1428501676" r:id="rId30"/>
        </w:object>
      </w:r>
    </w:p>
    <w:p w:rsidR="0069353B" w:rsidRDefault="003764D2" w:rsidP="00E90C0A">
      <w:pPr>
        <w:pStyle w:val="CaptionFigure"/>
        <w:spacing w:before="120" w:after="0"/>
      </w:pPr>
      <w:bookmarkStart w:id="94" w:name="_Toc342495265"/>
      <w:r>
        <w:lastRenderedPageBreak/>
        <w:t>: Program logic for Vulnerable Income Management</w:t>
      </w:r>
      <w:bookmarkEnd w:id="94"/>
    </w:p>
    <w:p w:rsidR="00E90C0A" w:rsidRPr="00E90C0A" w:rsidRDefault="00132164" w:rsidP="00E90C0A">
      <w:pPr>
        <w:pStyle w:val="BodyText"/>
        <w:jc w:val="center"/>
      </w:pPr>
      <w:r>
        <w:object w:dxaOrig="10088" w:dyaOrig="7091">
          <v:shape id="_x0000_i1026" type="#_x0000_t75" alt="Figure 3.3: Program logic for Vulnerable Income Management" style="width:802.5pt;height:497.25pt" o:ole="">
            <v:imagedata r:id="rId31" o:title=""/>
          </v:shape>
          <o:OLEObject Type="Embed" ProgID="PowerPoint.Show.8" ShapeID="_x0000_i1026" DrawAspect="Content" ObjectID="_1428501677" r:id="rId32"/>
        </w:object>
      </w:r>
    </w:p>
    <w:p w:rsidR="003764D2" w:rsidRDefault="003764D2" w:rsidP="00452E4A">
      <w:pPr>
        <w:pStyle w:val="BodyText"/>
        <w:sectPr w:rsidR="003764D2" w:rsidSect="003764D2">
          <w:pgSz w:w="16838" w:h="11906" w:orient="landscape" w:code="9"/>
          <w:pgMar w:top="232" w:right="232" w:bottom="238" w:left="232" w:header="227" w:footer="227" w:gutter="0"/>
          <w:cols w:space="720"/>
          <w:docGrid w:linePitch="360"/>
        </w:sectPr>
      </w:pPr>
    </w:p>
    <w:p w:rsidR="0069353B" w:rsidRDefault="000E44A6" w:rsidP="004E466F">
      <w:pPr>
        <w:pStyle w:val="CaptionFigure"/>
        <w:spacing w:before="120" w:after="0"/>
      </w:pPr>
      <w:bookmarkStart w:id="95" w:name="_Ref322449549"/>
      <w:bookmarkStart w:id="96" w:name="_Toc342495266"/>
      <w:r>
        <w:lastRenderedPageBreak/>
        <w:t xml:space="preserve">:Program logic for </w:t>
      </w:r>
      <w:r w:rsidR="003B4977">
        <w:t>Voluntary Income</w:t>
      </w:r>
      <w:r>
        <w:t xml:space="preserve"> Management</w:t>
      </w:r>
      <w:bookmarkEnd w:id="95"/>
      <w:bookmarkEnd w:id="96"/>
    </w:p>
    <w:p w:rsidR="004E466F" w:rsidRPr="004E466F" w:rsidRDefault="00132164" w:rsidP="004E466F">
      <w:pPr>
        <w:pStyle w:val="BodyText"/>
        <w:jc w:val="center"/>
      </w:pPr>
      <w:r>
        <w:object w:dxaOrig="10088" w:dyaOrig="7091">
          <v:shape id="_x0000_i1027" type="#_x0000_t75" alt="Figure 3.4: Program logic for Voluntary Income Management" style="width:798pt;height:503.25pt" o:ole="">
            <v:imagedata r:id="rId33" o:title=""/>
          </v:shape>
          <o:OLEObject Type="Embed" ProgID="PowerPoint.Show.8" ShapeID="_x0000_i1027" DrawAspect="Content" ObjectID="_1428501678" r:id="rId34"/>
        </w:object>
      </w:r>
    </w:p>
    <w:p w:rsidR="000E44A6" w:rsidRDefault="000E44A6" w:rsidP="00452E4A">
      <w:pPr>
        <w:pStyle w:val="BodyText"/>
        <w:sectPr w:rsidR="000E44A6" w:rsidSect="00773AEB">
          <w:pgSz w:w="16838" w:h="11906" w:orient="landscape" w:code="9"/>
          <w:pgMar w:top="232" w:right="232" w:bottom="238" w:left="232" w:header="227" w:footer="227" w:gutter="0"/>
          <w:cols w:space="720"/>
          <w:docGrid w:linePitch="360"/>
        </w:sectPr>
      </w:pPr>
    </w:p>
    <w:p w:rsidR="0069353B" w:rsidRDefault="00487890" w:rsidP="0069353B">
      <w:pPr>
        <w:pStyle w:val="Heading2"/>
      </w:pPr>
      <w:bookmarkStart w:id="97" w:name="_Ref322549117"/>
      <w:bookmarkStart w:id="98" w:name="_Toc342495230"/>
      <w:r>
        <w:lastRenderedPageBreak/>
        <w:t>Customer</w:t>
      </w:r>
      <w:r w:rsidR="00F85218">
        <w:t xml:space="preserve"> pathway</w:t>
      </w:r>
      <w:r w:rsidR="0069353B">
        <w:t xml:space="preserve"> maps</w:t>
      </w:r>
      <w:bookmarkEnd w:id="97"/>
      <w:bookmarkEnd w:id="98"/>
    </w:p>
    <w:p w:rsidR="0069353B" w:rsidRDefault="00487890" w:rsidP="0069353B">
      <w:pPr>
        <w:pStyle w:val="BodyText"/>
      </w:pPr>
      <w:r>
        <w:t>Customer</w:t>
      </w:r>
      <w:r w:rsidR="00F85218">
        <w:t xml:space="preserve"> pathway maps</w:t>
      </w:r>
      <w:r w:rsidR="0069353B">
        <w:t xml:space="preserve"> were developed</w:t>
      </w:r>
      <w:r w:rsidR="00755309">
        <w:t xml:space="preserve"> to provide a conceptual overview</w:t>
      </w:r>
      <w:r w:rsidR="0069353B">
        <w:t xml:space="preserve"> of the service delivery pathway for </w:t>
      </w:r>
      <w:r>
        <w:t>customer</w:t>
      </w:r>
      <w:r w:rsidR="0069353B">
        <w:t xml:space="preserve">s who are placed onto the three income management measures (Voluntary, Vulnerable and Child Protection), from the initial referral through to the completion of the income management notice period and exit from the measure. These visual maps have been based on written process maps developed by the Department of Human Services (DHS) and through consultation with FaHCSIA and DHS. </w:t>
      </w:r>
    </w:p>
    <w:p w:rsidR="0069353B" w:rsidRPr="00CE7A01" w:rsidRDefault="0069353B" w:rsidP="0069353B">
      <w:pPr>
        <w:pStyle w:val="BodyText"/>
        <w:sectPr w:rsidR="0069353B" w:rsidRPr="00CE7A01" w:rsidSect="007257C4">
          <w:pgSz w:w="11906" w:h="16838" w:code="9"/>
          <w:pgMar w:top="2268" w:right="1134" w:bottom="1134" w:left="2552" w:header="720" w:footer="720" w:gutter="0"/>
          <w:cols w:space="720"/>
          <w:docGrid w:linePitch="360"/>
        </w:sectPr>
      </w:pPr>
      <w:r>
        <w:t xml:space="preserve">The process maps for each of the PBIM measures can be seen in </w:t>
      </w:r>
      <w:r w:rsidR="00D71A6F">
        <w:fldChar w:fldCharType="begin"/>
      </w:r>
      <w:r>
        <w:instrText xml:space="preserve"> REF _Ref322089460 \r \h </w:instrText>
      </w:r>
      <w:r w:rsidR="00D71A6F">
        <w:fldChar w:fldCharType="separate"/>
      </w:r>
      <w:r w:rsidR="003C7E97">
        <w:t>Figure 3.5</w:t>
      </w:r>
      <w:r w:rsidR="00D71A6F">
        <w:fldChar w:fldCharType="end"/>
      </w:r>
      <w:r>
        <w:t xml:space="preserve"> to </w:t>
      </w:r>
      <w:r w:rsidR="00D71A6F">
        <w:fldChar w:fldCharType="begin"/>
      </w:r>
      <w:r>
        <w:instrText xml:space="preserve"> REF _Ref322089475 \r \h </w:instrText>
      </w:r>
      <w:r w:rsidR="00D71A6F">
        <w:fldChar w:fldCharType="separate"/>
      </w:r>
      <w:r w:rsidR="003C7E97">
        <w:t>Figure 3.7</w:t>
      </w:r>
      <w:r w:rsidR="00D71A6F">
        <w:fldChar w:fldCharType="end"/>
      </w:r>
      <w:r>
        <w:t xml:space="preserve">. </w:t>
      </w:r>
    </w:p>
    <w:bookmarkStart w:id="99" w:name="_Ref322089460"/>
    <w:bookmarkStart w:id="100" w:name="_Toc342495267"/>
    <w:p w:rsidR="0069353B" w:rsidRDefault="00FB0D24" w:rsidP="0069353B">
      <w:pPr>
        <w:pStyle w:val="CaptionFigure"/>
      </w:pPr>
      <w:r>
        <w:rPr>
          <w:noProof/>
          <w:lang w:eastAsia="en-AU"/>
        </w:rPr>
        <w:lastRenderedPageBreak/>
        <mc:AlternateContent>
          <mc:Choice Requires="wpg">
            <w:drawing>
              <wp:anchor distT="0" distB="0" distL="114300" distR="114300" simplePos="0" relativeHeight="251671552" behindDoc="0" locked="0" layoutInCell="1" allowOverlap="1" wp14:anchorId="15E93120" wp14:editId="2E0E588A">
                <wp:simplePos x="0" y="0"/>
                <wp:positionH relativeFrom="column">
                  <wp:posOffset>-571500</wp:posOffset>
                </wp:positionH>
                <wp:positionV relativeFrom="paragraph">
                  <wp:posOffset>447675</wp:posOffset>
                </wp:positionV>
                <wp:extent cx="7162800" cy="9067800"/>
                <wp:effectExtent l="0" t="0" r="19050" b="19050"/>
                <wp:wrapNone/>
                <wp:docPr id="160" name="Group 181" title="Figure 3.5: Customer pathway map for the Voluntary measure (VI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067800"/>
                          <a:chOff x="540" y="1890"/>
                          <a:chExt cx="11280" cy="14280"/>
                        </a:xfrm>
                      </wpg:grpSpPr>
                      <wps:wsp>
                        <wps:cNvPr id="161" name="AutoShape 182"/>
                        <wps:cNvCnPr>
                          <a:cxnSpLocks noChangeShapeType="1"/>
                        </wps:cNvCnPr>
                        <wps:spPr bwMode="auto">
                          <a:xfrm>
                            <a:off x="5700" y="4380"/>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183"/>
                        <wps:cNvCnPr>
                          <a:cxnSpLocks noChangeShapeType="1"/>
                        </wps:cNvCnPr>
                        <wps:spPr bwMode="auto">
                          <a:xfrm>
                            <a:off x="5700" y="844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84"/>
                        <wps:cNvSpPr>
                          <a:spLocks noChangeArrowheads="1"/>
                        </wps:cNvSpPr>
                        <wps:spPr bwMode="auto">
                          <a:xfrm>
                            <a:off x="7050" y="14835"/>
                            <a:ext cx="3720" cy="13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242B55" w:rsidRDefault="00377C33" w:rsidP="0067247E">
                              <w:pPr>
                                <w:rPr>
                                  <w:sz w:val="20"/>
                                </w:rPr>
                              </w:pPr>
                              <w:r>
                                <w:rPr>
                                  <w:sz w:val="20"/>
                                </w:rPr>
                                <w:t>Client does not attend the 2-4 week progress meeting, and DHS makes at least one attempt to contact them via phone,</w:t>
                              </w:r>
                            </w:p>
                          </w:txbxContent>
                        </wps:txbx>
                        <wps:bodyPr rot="0" vert="horz" wrap="square" lIns="91440" tIns="45720" rIns="91440" bIns="45720" anchor="t" anchorCtr="0" upright="1">
                          <a:noAutofit/>
                        </wps:bodyPr>
                      </wps:wsp>
                      <wps:wsp>
                        <wps:cNvPr id="164" name="AutoShape 185"/>
                        <wps:cNvCnPr>
                          <a:cxnSpLocks noChangeShapeType="1"/>
                        </wps:cNvCnPr>
                        <wps:spPr bwMode="auto">
                          <a:xfrm>
                            <a:off x="5700" y="30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186"/>
                        <wps:cNvCnPr>
                          <a:cxnSpLocks noChangeShapeType="1"/>
                        </wps:cNvCnPr>
                        <wps:spPr bwMode="auto">
                          <a:xfrm>
                            <a:off x="5850" y="12375"/>
                            <a:ext cx="0" cy="2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187"/>
                        <wps:cNvCnPr>
                          <a:cxnSpLocks noChangeShapeType="1"/>
                        </wps:cNvCnPr>
                        <wps:spPr bwMode="auto">
                          <a:xfrm>
                            <a:off x="5850" y="13710"/>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188"/>
                        <wps:cNvCnPr>
                          <a:cxnSpLocks noChangeShapeType="1"/>
                        </wps:cNvCnPr>
                        <wps:spPr bwMode="auto">
                          <a:xfrm>
                            <a:off x="5850" y="14205"/>
                            <a:ext cx="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189"/>
                        <wps:cNvCnPr>
                          <a:cxnSpLocks noChangeShapeType="1"/>
                        </wps:cNvCnPr>
                        <wps:spPr bwMode="auto">
                          <a:xfrm>
                            <a:off x="3495" y="1459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90"/>
                        <wps:cNvSpPr>
                          <a:spLocks noChangeArrowheads="1"/>
                        </wps:cNvSpPr>
                        <wps:spPr bwMode="auto">
                          <a:xfrm>
                            <a:off x="1605" y="14835"/>
                            <a:ext cx="3450" cy="85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242B55" w:rsidRDefault="00377C33" w:rsidP="0067247E">
                              <w:pPr>
                                <w:rPr>
                                  <w:sz w:val="20"/>
                                </w:rPr>
                              </w:pPr>
                              <w:r>
                                <w:rPr>
                                  <w:sz w:val="20"/>
                                </w:rPr>
                                <w:t>Client attends the 2-4 week progress review</w:t>
                              </w:r>
                            </w:p>
                          </w:txbxContent>
                        </wps:txbx>
                        <wps:bodyPr rot="0" vert="horz" wrap="square" lIns="91440" tIns="45720" rIns="91440" bIns="45720" anchor="t" anchorCtr="0" upright="1">
                          <a:noAutofit/>
                        </wps:bodyPr>
                      </wps:wsp>
                      <wps:wsp>
                        <wps:cNvPr id="170" name="AutoShape 191"/>
                        <wps:cNvSpPr>
                          <a:spLocks noChangeArrowheads="1"/>
                        </wps:cNvSpPr>
                        <wps:spPr bwMode="auto">
                          <a:xfrm>
                            <a:off x="1605" y="13830"/>
                            <a:ext cx="3450" cy="76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912949" w:rsidRDefault="00377C33" w:rsidP="0067247E">
                              <w:pPr>
                                <w:rPr>
                                  <w:sz w:val="20"/>
                                </w:rPr>
                              </w:pPr>
                              <w:r w:rsidRPr="00912949">
                                <w:rPr>
                                  <w:sz w:val="20"/>
                                </w:rPr>
                                <w:t>Client requests a 2-4 week progress review</w:t>
                              </w:r>
                            </w:p>
                          </w:txbxContent>
                        </wps:txbx>
                        <wps:bodyPr rot="0" vert="horz" wrap="square" lIns="91440" tIns="45720" rIns="91440" bIns="45720" anchor="t" anchorCtr="0" upright="1">
                          <a:noAutofit/>
                        </wps:bodyPr>
                      </wps:wsp>
                      <wps:wsp>
                        <wps:cNvPr id="171" name="AutoShape 192"/>
                        <wps:cNvSpPr>
                          <a:spLocks noChangeArrowheads="1"/>
                        </wps:cNvSpPr>
                        <wps:spPr bwMode="auto">
                          <a:xfrm>
                            <a:off x="6930" y="13920"/>
                            <a:ext cx="3450" cy="76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912949" w:rsidRDefault="00377C33" w:rsidP="0067247E">
                              <w:pPr>
                                <w:rPr>
                                  <w:sz w:val="20"/>
                                </w:rPr>
                              </w:pPr>
                              <w:r w:rsidRPr="00912949">
                                <w:rPr>
                                  <w:sz w:val="20"/>
                                </w:rPr>
                                <w:t xml:space="preserve">Client </w:t>
                              </w:r>
                              <w:r>
                                <w:rPr>
                                  <w:sz w:val="20"/>
                                </w:rPr>
                                <w:t xml:space="preserve">does not </w:t>
                              </w:r>
                              <w:r w:rsidRPr="00912949">
                                <w:rPr>
                                  <w:sz w:val="20"/>
                                </w:rPr>
                                <w:t>request a 2-4 week progress review</w:t>
                              </w:r>
                            </w:p>
                          </w:txbxContent>
                        </wps:txbx>
                        <wps:bodyPr rot="0" vert="horz" wrap="square" lIns="91440" tIns="45720" rIns="91440" bIns="45720" anchor="t" anchorCtr="0" upright="1">
                          <a:noAutofit/>
                        </wps:bodyPr>
                      </wps:wsp>
                      <wps:wsp>
                        <wps:cNvPr id="172" name="AutoShape 193"/>
                        <wps:cNvSpPr>
                          <a:spLocks noChangeArrowheads="1"/>
                        </wps:cNvSpPr>
                        <wps:spPr bwMode="auto">
                          <a:xfrm>
                            <a:off x="585" y="13290"/>
                            <a:ext cx="825" cy="26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2278F6" w:rsidRDefault="00377C33" w:rsidP="003C23B2">
                              <w:pPr>
                                <w:jc w:val="center"/>
                                <w:rPr>
                                  <w:b/>
                                </w:rPr>
                              </w:pPr>
                              <w:r w:rsidRPr="002278F6">
                                <w:rPr>
                                  <w:b/>
                                </w:rPr>
                                <w:t>2-4 week review</w:t>
                              </w:r>
                            </w:p>
                          </w:txbxContent>
                        </wps:txbx>
                        <wps:bodyPr rot="0" vert="vert270" wrap="square" lIns="91440" tIns="45720" rIns="91440" bIns="45720" anchor="t" anchorCtr="0" upright="1">
                          <a:noAutofit/>
                        </wps:bodyPr>
                      </wps:wsp>
                      <wps:wsp>
                        <wps:cNvPr id="173" name="AutoShape 194"/>
                        <wps:cNvSpPr>
                          <a:spLocks noChangeArrowheads="1"/>
                        </wps:cNvSpPr>
                        <wps:spPr bwMode="auto">
                          <a:xfrm>
                            <a:off x="3015" y="12646"/>
                            <a:ext cx="6015" cy="1079"/>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Default="00377C33" w:rsidP="0067247E">
                              <w:r>
                                <w:rPr>
                                  <w:sz w:val="20"/>
                                </w:rPr>
                                <w:t>Client is offered a</w:t>
                              </w:r>
                              <w:r w:rsidRPr="007468DF">
                                <w:rPr>
                                  <w:sz w:val="20"/>
                                </w:rPr>
                                <w:t xml:space="preserve"> BasicsCard</w:t>
                              </w:r>
                              <w:r>
                                <w:rPr>
                                  <w:sz w:val="20"/>
                                </w:rPr>
                                <w:t xml:space="preserve"> and issued with one</w:t>
                              </w:r>
                              <w:r w:rsidRPr="007468DF">
                                <w:rPr>
                                  <w:sz w:val="20"/>
                                </w:rPr>
                                <w:t xml:space="preserve"> if they wish to have one</w:t>
                              </w:r>
                              <w:r>
                                <w:rPr>
                                  <w:sz w:val="20"/>
                                </w:rPr>
                                <w:t>, and other financial arrangements are made for allocations, including direct credits, cheques and one-off payments.</w:t>
                              </w:r>
                            </w:p>
                          </w:txbxContent>
                        </wps:txbx>
                        <wps:bodyPr rot="0" vert="horz" wrap="square" lIns="91440" tIns="45720" rIns="91440" bIns="45720" anchor="t" anchorCtr="0" upright="1">
                          <a:noAutofit/>
                        </wps:bodyPr>
                      </wps:wsp>
                      <wps:wsp>
                        <wps:cNvPr id="174" name="AutoShape 195"/>
                        <wps:cNvCnPr>
                          <a:cxnSpLocks noChangeShapeType="1"/>
                        </wps:cNvCnPr>
                        <wps:spPr bwMode="auto">
                          <a:xfrm flipH="1">
                            <a:off x="5055" y="14205"/>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96"/>
                        <wps:cNvCnPr>
                          <a:cxnSpLocks noChangeShapeType="1"/>
                        </wps:cNvCnPr>
                        <wps:spPr bwMode="auto">
                          <a:xfrm>
                            <a:off x="5055" y="14445"/>
                            <a:ext cx="1995"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97"/>
                        <wps:cNvCnPr>
                          <a:cxnSpLocks noChangeShapeType="1"/>
                        </wps:cNvCnPr>
                        <wps:spPr bwMode="auto">
                          <a:xfrm>
                            <a:off x="6075" y="13680"/>
                            <a:ext cx="0" cy="2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98"/>
                        <wps:cNvSpPr>
                          <a:spLocks noChangeArrowheads="1"/>
                        </wps:cNvSpPr>
                        <wps:spPr bwMode="auto">
                          <a:xfrm>
                            <a:off x="2640" y="3345"/>
                            <a:ext cx="5970" cy="1035"/>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9C2BAE" w:rsidRDefault="00377C33" w:rsidP="0067247E">
                              <w:pPr>
                                <w:rPr>
                                  <w:sz w:val="20"/>
                                </w:rPr>
                              </w:pPr>
                              <w:r w:rsidRPr="009C2BAE">
                                <w:rPr>
                                  <w:sz w:val="20"/>
                                </w:rPr>
                                <w:t>Customer contacts DHS either in perso</w:t>
                              </w:r>
                              <w:r>
                                <w:rPr>
                                  <w:sz w:val="20"/>
                                </w:rPr>
                                <w:t xml:space="preserve">n or via phone. They are provided </w:t>
                              </w:r>
                              <w:r w:rsidRPr="009C2BAE">
                                <w:rPr>
                                  <w:sz w:val="20"/>
                                </w:rPr>
                                <w:t>with information on VIM</w:t>
                              </w:r>
                              <w:r>
                                <w:rPr>
                                  <w:sz w:val="20"/>
                                </w:rPr>
                                <w:t xml:space="preserve"> to determine if it is right for them.</w:t>
                              </w:r>
                            </w:p>
                          </w:txbxContent>
                        </wps:txbx>
                        <wps:bodyPr rot="0" vert="horz" wrap="square" lIns="91440" tIns="45720" rIns="91440" bIns="45720" anchor="t" anchorCtr="0" upright="1">
                          <a:noAutofit/>
                        </wps:bodyPr>
                      </wps:wsp>
                      <wps:wsp>
                        <wps:cNvPr id="178" name="AutoShape 199"/>
                        <wps:cNvSpPr>
                          <a:spLocks noChangeArrowheads="1"/>
                        </wps:cNvSpPr>
                        <wps:spPr bwMode="auto">
                          <a:xfrm>
                            <a:off x="2715" y="4620"/>
                            <a:ext cx="5895" cy="1500"/>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9C2BAE" w:rsidRDefault="00377C33" w:rsidP="0067247E">
                              <w:pPr>
                                <w:rPr>
                                  <w:sz w:val="20"/>
                                </w:rPr>
                              </w:pPr>
                              <w:r w:rsidRPr="009C2BAE">
                                <w:rPr>
                                  <w:sz w:val="20"/>
                                </w:rPr>
                                <w:t xml:space="preserve">DHS determines if customer is eligible to enter into a VIM agreement. If eligible, DHS </w:t>
                              </w:r>
                              <w:r>
                                <w:rPr>
                                  <w:sz w:val="20"/>
                                </w:rPr>
                                <w:t>can see a customer or book an initial assessment</w:t>
                              </w:r>
                              <w:r w:rsidRPr="009C2BAE">
                                <w:rPr>
                                  <w:sz w:val="20"/>
                                </w:rPr>
                                <w:t xml:space="preserve"> interview with the customer</w:t>
                              </w:r>
                              <w:r>
                                <w:rPr>
                                  <w:sz w:val="20"/>
                                </w:rPr>
                                <w:t>. Eligibility is determined according to: location; payment type; nominee criteria; whether it is feasible.</w:t>
                              </w:r>
                            </w:p>
                          </w:txbxContent>
                        </wps:txbx>
                        <wps:bodyPr rot="0" vert="horz" wrap="square" lIns="91440" tIns="45720" rIns="91440" bIns="45720" anchor="t" anchorCtr="0" upright="1">
                          <a:noAutofit/>
                        </wps:bodyPr>
                      </wps:wsp>
                      <wps:wsp>
                        <wps:cNvPr id="179" name="AutoShape 200"/>
                        <wps:cNvSpPr>
                          <a:spLocks noChangeArrowheads="1"/>
                        </wps:cNvSpPr>
                        <wps:spPr bwMode="auto">
                          <a:xfrm>
                            <a:off x="2715" y="6315"/>
                            <a:ext cx="5970" cy="117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9C2BAE" w:rsidRDefault="00377C33" w:rsidP="0067247E">
                              <w:pPr>
                                <w:rPr>
                                  <w:sz w:val="20"/>
                                </w:rPr>
                              </w:pPr>
                              <w:r>
                                <w:rPr>
                                  <w:sz w:val="20"/>
                                </w:rPr>
                                <w:t>At the initial assessment</w:t>
                              </w:r>
                              <w:r w:rsidRPr="009C2BAE">
                                <w:rPr>
                                  <w:sz w:val="20"/>
                                </w:rPr>
                                <w:t xml:space="preserve"> interview, DHS advises customer of the advantages of Income Management, details of how it will work and the customer’s obligations under the measure.</w:t>
                              </w:r>
                            </w:p>
                          </w:txbxContent>
                        </wps:txbx>
                        <wps:bodyPr rot="0" vert="horz" wrap="square" lIns="91440" tIns="45720" rIns="91440" bIns="45720" anchor="t" anchorCtr="0" upright="1">
                          <a:noAutofit/>
                        </wps:bodyPr>
                      </wps:wsp>
                      <wps:wsp>
                        <wps:cNvPr id="180" name="AutoShape 201"/>
                        <wps:cNvSpPr>
                          <a:spLocks noChangeArrowheads="1"/>
                        </wps:cNvSpPr>
                        <wps:spPr bwMode="auto">
                          <a:xfrm>
                            <a:off x="2715" y="7740"/>
                            <a:ext cx="5895" cy="70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9C2BAE" w:rsidRDefault="00377C33" w:rsidP="0067247E">
                              <w:pPr>
                                <w:rPr>
                                  <w:sz w:val="20"/>
                                </w:rPr>
                              </w:pPr>
                              <w:r>
                                <w:rPr>
                                  <w:sz w:val="20"/>
                                </w:rPr>
                                <w:t>If the customer wishes to continue, the VIM agreement (A1791) is signed.</w:t>
                              </w:r>
                            </w:p>
                          </w:txbxContent>
                        </wps:txbx>
                        <wps:bodyPr rot="0" vert="horz" wrap="square" lIns="91440" tIns="45720" rIns="91440" bIns="45720" anchor="t" anchorCtr="0" upright="1">
                          <a:noAutofit/>
                        </wps:bodyPr>
                      </wps:wsp>
                      <wps:wsp>
                        <wps:cNvPr id="181" name="AutoShape 202"/>
                        <wps:cNvSpPr>
                          <a:spLocks noChangeArrowheads="1"/>
                        </wps:cNvSpPr>
                        <wps:spPr bwMode="auto">
                          <a:xfrm>
                            <a:off x="2790" y="8715"/>
                            <a:ext cx="5895" cy="13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E97C5C" w:rsidRDefault="00377C33" w:rsidP="0067247E">
                              <w:pPr>
                                <w:rPr>
                                  <w:sz w:val="20"/>
                                </w:rPr>
                              </w:pPr>
                              <w:r w:rsidRPr="00E97C5C">
                                <w:rPr>
                                  <w:sz w:val="20"/>
                                </w:rPr>
                                <w:t>DHS offers the customer a referral</w:t>
                              </w:r>
                              <w:r>
                                <w:rPr>
                                  <w:sz w:val="20"/>
                                </w:rPr>
                                <w:t xml:space="preserve"> to a Financial Management Program Service (FMPS) provider as part of the initial assessment interview. The customer is advised that the referral is voluntary and confidential.</w:t>
                              </w:r>
                            </w:p>
                          </w:txbxContent>
                        </wps:txbx>
                        <wps:bodyPr rot="0" vert="horz" wrap="square" lIns="91440" tIns="45720" rIns="91440" bIns="45720" anchor="t" anchorCtr="0" upright="1">
                          <a:noAutofit/>
                        </wps:bodyPr>
                      </wps:wsp>
                      <wps:wsp>
                        <wps:cNvPr id="182" name="AutoShape 203"/>
                        <wps:cNvSpPr>
                          <a:spLocks noChangeArrowheads="1"/>
                        </wps:cNvSpPr>
                        <wps:spPr bwMode="auto">
                          <a:xfrm>
                            <a:off x="1605" y="10320"/>
                            <a:ext cx="3840" cy="8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67247E">
                              <w:r>
                                <w:rPr>
                                  <w:sz w:val="20"/>
                                </w:rPr>
                                <w:t>Client does not take up referral to financial management program</w:t>
                              </w:r>
                            </w:p>
                          </w:txbxContent>
                        </wps:txbx>
                        <wps:bodyPr rot="0" vert="horz" wrap="square" lIns="91440" tIns="45720" rIns="91440" bIns="45720" anchor="t" anchorCtr="0" upright="1">
                          <a:noAutofit/>
                        </wps:bodyPr>
                      </wps:wsp>
                      <wps:wsp>
                        <wps:cNvPr id="183" name="AutoShape 204"/>
                        <wps:cNvSpPr>
                          <a:spLocks noChangeArrowheads="1"/>
                        </wps:cNvSpPr>
                        <wps:spPr bwMode="auto">
                          <a:xfrm>
                            <a:off x="6930" y="10320"/>
                            <a:ext cx="3840" cy="8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67247E">
                              <w:r>
                                <w:rPr>
                                  <w:sz w:val="20"/>
                                </w:rPr>
                                <w:t>Client takes up referral to financial management program</w:t>
                              </w:r>
                            </w:p>
                          </w:txbxContent>
                        </wps:txbx>
                        <wps:bodyPr rot="0" vert="horz" wrap="square" lIns="91440" tIns="45720" rIns="91440" bIns="45720" anchor="t" anchorCtr="0" upright="1">
                          <a:noAutofit/>
                        </wps:bodyPr>
                      </wps:wsp>
                      <wps:wsp>
                        <wps:cNvPr id="184" name="AutoShape 205"/>
                        <wps:cNvSpPr>
                          <a:spLocks noChangeArrowheads="1"/>
                        </wps:cNvSpPr>
                        <wps:spPr bwMode="auto">
                          <a:xfrm>
                            <a:off x="540" y="6210"/>
                            <a:ext cx="870" cy="640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2278F6" w:rsidRDefault="00377C33" w:rsidP="003C23B2">
                              <w:pPr>
                                <w:jc w:val="center"/>
                                <w:rPr>
                                  <w:b/>
                                </w:rPr>
                              </w:pPr>
                              <w:r>
                                <w:rPr>
                                  <w:b/>
                                </w:rPr>
                                <w:t>Initial Assessment</w:t>
                              </w:r>
                              <w:r w:rsidRPr="002278F6">
                                <w:rPr>
                                  <w:b/>
                                </w:rPr>
                                <w:t xml:space="preserve"> Interview</w:t>
                              </w:r>
                            </w:p>
                          </w:txbxContent>
                        </wps:txbx>
                        <wps:bodyPr rot="0" vert="vert270" wrap="square" lIns="91440" tIns="45720" rIns="91440" bIns="45720" anchor="t" anchorCtr="0" upright="1">
                          <a:noAutofit/>
                        </wps:bodyPr>
                      </wps:wsp>
                      <wps:wsp>
                        <wps:cNvPr id="185" name="AutoShape 206"/>
                        <wps:cNvSpPr>
                          <a:spLocks noChangeArrowheads="1"/>
                        </wps:cNvSpPr>
                        <wps:spPr bwMode="auto">
                          <a:xfrm>
                            <a:off x="2340" y="11265"/>
                            <a:ext cx="7965" cy="106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242B55" w:rsidRDefault="00377C33" w:rsidP="0067247E">
                              <w:pPr>
                                <w:rPr>
                                  <w:sz w:val="20"/>
                                </w:rPr>
                              </w:pPr>
                              <w:r w:rsidRPr="00242B55">
                                <w:rPr>
                                  <w:sz w:val="20"/>
                                </w:rPr>
                                <w:t>DHS and the customer then agree on the allocations to be made from their I</w:t>
                              </w:r>
                              <w:r>
                                <w:rPr>
                                  <w:sz w:val="20"/>
                                </w:rPr>
                                <w:t>M</w:t>
                              </w:r>
                              <w:r w:rsidRPr="00242B55">
                                <w:rPr>
                                  <w:sz w:val="20"/>
                                </w:rPr>
                                <w:t xml:space="preserve"> funds, to meet the customer’s priority needs.  </w:t>
                              </w:r>
                              <w:r w:rsidRPr="00EB1C25">
                                <w:rPr>
                                  <w:sz w:val="20"/>
                                </w:rPr>
                                <w:t xml:space="preserve">DHS advises the </w:t>
                              </w:r>
                              <w:r>
                                <w:rPr>
                                  <w:sz w:val="20"/>
                                </w:rPr>
                                <w:t>customer that an appointment will</w:t>
                              </w:r>
                              <w:r w:rsidRPr="00EB1C25">
                                <w:rPr>
                                  <w:sz w:val="20"/>
                                </w:rPr>
                                <w:t xml:space="preserve"> be arranged to review the progress between 2 - 4 weeks from t</w:t>
                              </w:r>
                              <w:r>
                                <w:rPr>
                                  <w:sz w:val="20"/>
                                </w:rPr>
                                <w:t xml:space="preserve">he start of their VIM agreement. </w:t>
                              </w:r>
                            </w:p>
                          </w:txbxContent>
                        </wps:txbx>
                        <wps:bodyPr rot="0" vert="horz" wrap="square" lIns="91440" tIns="45720" rIns="91440" bIns="45720" anchor="t" anchorCtr="0" upright="1">
                          <a:noAutofit/>
                        </wps:bodyPr>
                      </wps:wsp>
                      <wps:wsp>
                        <wps:cNvPr id="186" name="AutoShape 207"/>
                        <wps:cNvSpPr>
                          <a:spLocks noChangeArrowheads="1"/>
                        </wps:cNvSpPr>
                        <wps:spPr bwMode="auto">
                          <a:xfrm>
                            <a:off x="585" y="1995"/>
                            <a:ext cx="825" cy="3870"/>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09214A" w:rsidRDefault="00377C33" w:rsidP="003C23B2">
                              <w:pPr>
                                <w:jc w:val="center"/>
                                <w:rPr>
                                  <w:b/>
                                </w:rPr>
                              </w:pPr>
                              <w:r w:rsidRPr="0009214A">
                                <w:rPr>
                                  <w:b/>
                                </w:rPr>
                                <w:t>Referral and assessment</w:t>
                              </w:r>
                            </w:p>
                          </w:txbxContent>
                        </wps:txbx>
                        <wps:bodyPr rot="0" vert="vert270" wrap="square" lIns="91440" tIns="45720" rIns="91440" bIns="45720" anchor="t" anchorCtr="0" upright="1">
                          <a:noAutofit/>
                        </wps:bodyPr>
                      </wps:wsp>
                      <wps:wsp>
                        <wps:cNvPr id="187" name="AutoShape 208"/>
                        <wps:cNvSpPr>
                          <a:spLocks noChangeArrowheads="1"/>
                        </wps:cNvSpPr>
                        <wps:spPr bwMode="auto">
                          <a:xfrm>
                            <a:off x="2715" y="1890"/>
                            <a:ext cx="5970" cy="1140"/>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B32C1C" w:rsidRDefault="00377C33" w:rsidP="0067247E">
                              <w:pPr>
                                <w:rPr>
                                  <w:sz w:val="20"/>
                                </w:rPr>
                              </w:pPr>
                              <w:r>
                                <w:rPr>
                                  <w:sz w:val="20"/>
                                </w:rPr>
                                <w:t>Client can be referred by an organisation, or can find out about VIM through posters, referral cards or through word of mouth. Clients may also transition from other IM measures on to VIM.</w:t>
                              </w:r>
                            </w:p>
                          </w:txbxContent>
                        </wps:txbx>
                        <wps:bodyPr rot="0" vert="horz" wrap="square" lIns="91440" tIns="45720" rIns="91440" bIns="45720" anchor="t" anchorCtr="0" upright="1">
                          <a:noAutofit/>
                        </wps:bodyPr>
                      </wps:wsp>
                      <wps:wsp>
                        <wps:cNvPr id="188" name="AutoShape 209"/>
                        <wps:cNvCnPr>
                          <a:cxnSpLocks noChangeShapeType="1"/>
                        </wps:cNvCnPr>
                        <wps:spPr bwMode="auto">
                          <a:xfrm>
                            <a:off x="5700" y="60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210"/>
                        <wps:cNvCnPr>
                          <a:cxnSpLocks noChangeShapeType="1"/>
                        </wps:cNvCnPr>
                        <wps:spPr bwMode="auto">
                          <a:xfrm>
                            <a:off x="5700" y="7485"/>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211"/>
                        <wps:cNvCnPr>
                          <a:cxnSpLocks noChangeShapeType="1"/>
                        </wps:cNvCnPr>
                        <wps:spPr bwMode="auto">
                          <a:xfrm flipH="1">
                            <a:off x="4920" y="10065"/>
                            <a:ext cx="525"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212"/>
                        <wps:cNvCnPr>
                          <a:cxnSpLocks noChangeShapeType="1"/>
                        </wps:cNvCnPr>
                        <wps:spPr bwMode="auto">
                          <a:xfrm>
                            <a:off x="6465" y="10065"/>
                            <a:ext cx="585"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213"/>
                        <wps:cNvCnPr>
                          <a:cxnSpLocks noChangeShapeType="1"/>
                        </wps:cNvCnPr>
                        <wps:spPr bwMode="auto">
                          <a:xfrm>
                            <a:off x="5850" y="10065"/>
                            <a:ext cx="1"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214"/>
                        <wps:cNvSpPr>
                          <a:spLocks noChangeArrowheads="1"/>
                        </wps:cNvSpPr>
                        <wps:spPr bwMode="auto">
                          <a:xfrm>
                            <a:off x="9315" y="12631"/>
                            <a:ext cx="2505" cy="1289"/>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B50F87" w:rsidRDefault="00377C33" w:rsidP="0067247E">
                              <w:pPr>
                                <w:rPr>
                                  <w:sz w:val="20"/>
                                </w:rPr>
                              </w:pPr>
                              <w:r>
                                <w:rPr>
                                  <w:sz w:val="20"/>
                                </w:rPr>
                                <w:t>Priority needs and allocations are reviewed every 8-10 weeks or at request of customer.</w:t>
                              </w:r>
                            </w:p>
                          </w:txbxContent>
                        </wps:txbx>
                        <wps:bodyPr rot="0" vert="horz" wrap="square" lIns="91440" tIns="45720" rIns="91440" bIns="45720" anchor="t" anchorCtr="0" upright="1">
                          <a:noAutofit/>
                        </wps:bodyPr>
                      </wps:wsp>
                      <wps:wsp>
                        <wps:cNvPr id="194" name="AutoShape 215"/>
                        <wps:cNvCnPr>
                          <a:cxnSpLocks noChangeShapeType="1"/>
                        </wps:cNvCnPr>
                        <wps:spPr bwMode="auto">
                          <a:xfrm>
                            <a:off x="9225" y="12330"/>
                            <a:ext cx="435"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 o:spid="_x0000_s1035" alt="Title: Figure 3.5: Customer pathway map for the Voluntary measure (VIM)" style="position:absolute;left:0;text-align:left;margin-left:-45pt;margin-top:35.25pt;width:564pt;height:714pt;z-index:251671552;mso-position-horizontal-relative:text;mso-position-vertical-relative:text" coordorigin="540,1890" coordsize="11280,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">
                <v:shapetype id="_x0000_t32" coordsize="21600,21600" o:spt="32" o:oned="t" path="m,l21600,21600e" filled="f">
                  <v:path arrowok="t" fillok="f" o:connecttype="none"/>
                  <o:lock v:ext="edit" shapetype="t"/>
                </v:shapetype>
                <v:shape id="AutoShape 182" o:spid="_x0000_s1036" type="#_x0000_t32" style="position:absolute;left:5700;top:438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183" o:spid="_x0000_s1037" type="#_x0000_t32" style="position:absolute;left:5700;top:844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roundrect id="AutoShape 184" o:spid="_x0000_s1038" style="position:absolute;left:7050;top:14835;width:3720;height:1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rV8AA&#10;AADcAAAADwAAAGRycy9kb3ducmV2LnhtbERPzWoCMRC+F3yHMIK3mlXRymoUEYSeSnftAwzJuFnd&#10;TJYk1fXtm0Kht/n4fme7H1wn7hRi61nBbFqAINbetNwo+DqfXtcgYkI22HkmBU+KsN+NXrZYGv/g&#10;iu51akQO4ViiAptSX0oZtSWHcep74sxdfHCYMgyNNAEfOdx1cl4UK+mw5dxgsaejJX2rv50CfT02&#10;tl1WT9df+PQZlufh4+2q1GQ8HDYgEg3pX/znfjd5/moB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crV8AAAADcAAAADwAAAAAAAAAAAAAAAACYAgAAZHJzL2Rvd25y&#10;ZXYueG1sUEsFBgAAAAAEAAQA9QAAAIUDAAAAAA==&#10;" fillcolor="#b8cce4 [1300]">
                  <v:textbox>
                    <w:txbxContent>
                      <w:p w:rsidR="00377C33" w:rsidRPr="00242B55" w:rsidRDefault="00377C33" w:rsidP="0067247E">
                        <w:pPr>
                          <w:rPr>
                            <w:sz w:val="20"/>
                          </w:rPr>
                        </w:pPr>
                        <w:r>
                          <w:rPr>
                            <w:sz w:val="20"/>
                          </w:rPr>
                          <w:t>Client does not attend the 2-4 week progress meeting, and DHS makes at least one attempt to contact them via phone,</w:t>
                        </w:r>
                      </w:p>
                    </w:txbxContent>
                  </v:textbox>
                </v:roundrect>
                <v:shape id="AutoShape 185" o:spid="_x0000_s1039" type="#_x0000_t32" style="position:absolute;left:5700;top:30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186" o:spid="_x0000_s1040" type="#_x0000_t32" style="position:absolute;left:5850;top:12375;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 id="AutoShape 187" o:spid="_x0000_s1041" type="#_x0000_t32" style="position:absolute;left:5850;top:13710;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88" o:spid="_x0000_s1042" type="#_x0000_t32" style="position:absolute;left:5850;top:14205;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189" o:spid="_x0000_s1043" type="#_x0000_t32" style="position:absolute;left:3495;top:1459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roundrect id="AutoShape 190" o:spid="_x0000_s1044" style="position:absolute;left:1605;top:14835;width:3450;height: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cvcAA&#10;AADcAAAADwAAAGRycy9kb3ducmV2LnhtbERP24rCMBB9F/Yfwiz4pqmCrts1LSIIPi3ePmBoxqba&#10;TEoStf69WRD2bQ7nOsuyt624kw+NYwWTcQaCuHK64VrB6bgZLUCEiKyxdUwKnhSgLD4GS8y1e/Ce&#10;7odYixTCIUcFJsYulzJUhiyGseuIE3d23mJM0NdSe3ykcNvKaZbNpcWGU4PBjtaGquvhZhVUl3Vt&#10;mtn+abszb3Z+dux/vy5KDT/71Q+ISH38F7/dW53mz7/h75l0gS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8cvcAAAADcAAAADwAAAAAAAAAAAAAAAACYAgAAZHJzL2Rvd25y&#10;ZXYueG1sUEsFBgAAAAAEAAQA9QAAAIUDAAAAAA==&#10;" fillcolor="#b8cce4 [1300]">
                  <v:textbox>
                    <w:txbxContent>
                      <w:p w:rsidR="00377C33" w:rsidRPr="00242B55" w:rsidRDefault="00377C33" w:rsidP="0067247E">
                        <w:pPr>
                          <w:rPr>
                            <w:sz w:val="20"/>
                          </w:rPr>
                        </w:pPr>
                        <w:r>
                          <w:rPr>
                            <w:sz w:val="20"/>
                          </w:rPr>
                          <w:t>Client attends the 2-4 week progress review</w:t>
                        </w:r>
                      </w:p>
                    </w:txbxContent>
                  </v:textbox>
                </v:roundrect>
                <v:roundrect id="AutoShape 191" o:spid="_x0000_s1045" style="position:absolute;left:1605;top:13830;width:3450;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j/cMA&#10;AADcAAAADwAAAGRycy9kb3ducmV2LnhtbESPzYoCMRCE7wu+Q2jB25pRcF1Go4gg7GnxZx+gmbST&#10;0UlnSKKOb28fhL11U9VVXy/XvW/VnWJqAhuYjAtQxFWwDdcG/k67z29QKSNbbAOTgSclWK8GH0ss&#10;bXjwge7HXCsJ4VSiAZdzV2qdKkce0zh0xKKdQ/SYZY21thEfEu5bPS2KL+2xYWlw2NHWUXU93ryB&#10;6rKtXTM7PH135t0+zk797/xizGjYbxagMvX53/y+/rGCPxd8eUYm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j/cMAAADcAAAADwAAAAAAAAAAAAAAAACYAgAAZHJzL2Rv&#10;d25yZXYueG1sUEsFBgAAAAAEAAQA9QAAAIgDAAAAAA==&#10;" fillcolor="#b8cce4 [1300]">
                  <v:textbox>
                    <w:txbxContent>
                      <w:p w:rsidR="00377C33" w:rsidRPr="00912949" w:rsidRDefault="00377C33" w:rsidP="0067247E">
                        <w:pPr>
                          <w:rPr>
                            <w:sz w:val="20"/>
                          </w:rPr>
                        </w:pPr>
                        <w:r w:rsidRPr="00912949">
                          <w:rPr>
                            <w:sz w:val="20"/>
                          </w:rPr>
                          <w:t>Client requests a 2-4 week progress review</w:t>
                        </w:r>
                      </w:p>
                    </w:txbxContent>
                  </v:textbox>
                </v:roundrect>
                <v:roundrect id="AutoShape 192" o:spid="_x0000_s1046" style="position:absolute;left:6930;top:13920;width:3450;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GZsAA&#10;AADcAAAADwAAAGRycy9kb3ducmV2LnhtbERPzYrCMBC+C75DGMGbpi50XapRRBD2JNu6DzA0Y1Nt&#10;JiWJ2r79ZmFhb/Px/c52P9hOPMmH1rGC1TIDQVw73XKj4PtyWnyACBFZY+eYFIwUYL+bTrZYaPfi&#10;kp5VbEQK4VCgAhNjX0gZakMWw9L1xIm7Om8xJugbqT2+Urjt5FuWvUuLLacGgz0dDdX36mEV1Ldj&#10;Y9q8HG1/5dOXzy/DeX1Taj4bDhsQkYb4L/5zf+o0f72C32fSB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CGZsAAAADcAAAADwAAAAAAAAAAAAAAAACYAgAAZHJzL2Rvd25y&#10;ZXYueG1sUEsFBgAAAAAEAAQA9QAAAIUDAAAAAA==&#10;" fillcolor="#b8cce4 [1300]">
                  <v:textbox>
                    <w:txbxContent>
                      <w:p w:rsidR="00377C33" w:rsidRPr="00912949" w:rsidRDefault="00377C33" w:rsidP="0067247E">
                        <w:pPr>
                          <w:rPr>
                            <w:sz w:val="20"/>
                          </w:rPr>
                        </w:pPr>
                        <w:r w:rsidRPr="00912949">
                          <w:rPr>
                            <w:sz w:val="20"/>
                          </w:rPr>
                          <w:t xml:space="preserve">Client </w:t>
                        </w:r>
                        <w:r>
                          <w:rPr>
                            <w:sz w:val="20"/>
                          </w:rPr>
                          <w:t xml:space="preserve">does not </w:t>
                        </w:r>
                        <w:r w:rsidRPr="00912949">
                          <w:rPr>
                            <w:sz w:val="20"/>
                          </w:rPr>
                          <w:t>request a 2-4 week progress review</w:t>
                        </w:r>
                      </w:p>
                    </w:txbxContent>
                  </v:textbox>
                </v:roundrect>
                <v:roundrect id="AutoShape 193" o:spid="_x0000_s1047" style="position:absolute;left:585;top:13290;width:825;height:2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Su8EA&#10;AADcAAAADwAAAGRycy9kb3ducmV2LnhtbERPTYvCMBC9C/6HMIIXWVMFdekaRQqCCIJ2hb2OzdhW&#10;m0lpotZ/bwRhb/N4nzNftqYSd2pcaVnBaBiBIM6sLjlXcPxdf32DcB5ZY2WZFDzJwXLR7cwx1vbB&#10;B7qnPhchhF2MCgrv61hKlxVk0A1tTRy4s20M+gCbXOoGHyHcVHIcRVNpsOTQUGBNSUHZNb0ZBflE&#10;m4RPu6SltCov+9Mt3f4NlOr32tUPCE+t/xd/3Bsd5s/G8H4mX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krvBAAAA3AAAAA8AAAAAAAAAAAAAAAAAmAIAAGRycy9kb3du&#10;cmV2LnhtbFBLBQYAAAAABAAEAPUAAACGAwAAAAA=&#10;" fillcolor="#b8cce4 [1300]">
                  <v:textbox style="layout-flow:vertical;mso-layout-flow-alt:bottom-to-top">
                    <w:txbxContent>
                      <w:p w:rsidR="00377C33" w:rsidRPr="002278F6" w:rsidRDefault="00377C33" w:rsidP="003C23B2">
                        <w:pPr>
                          <w:jc w:val="center"/>
                          <w:rPr>
                            <w:b/>
                          </w:rPr>
                        </w:pPr>
                        <w:r w:rsidRPr="002278F6">
                          <w:rPr>
                            <w:b/>
                          </w:rPr>
                          <w:t>2-4 week review</w:t>
                        </w:r>
                      </w:p>
                    </w:txbxContent>
                  </v:textbox>
                </v:roundrect>
                <v:roundrect id="AutoShape 194" o:spid="_x0000_s1048" style="position:absolute;left:3015;top:12646;width:6015;height:10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O6sMA&#10;AADcAAAADwAAAGRycy9kb3ducmV2LnhtbERP32vCMBB+H/g/hBP2NlMnTK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zO6sMAAADcAAAADwAAAAAAAAAAAAAAAACYAgAAZHJzL2Rv&#10;d25yZXYueG1sUEsFBgAAAAAEAAQA9QAAAIgDAAAAAA==&#10;" fillcolor="#dbe5f1 [660]">
                  <v:textbox>
                    <w:txbxContent>
                      <w:p w:rsidR="00377C33" w:rsidRDefault="00377C33" w:rsidP="0067247E">
                        <w:r>
                          <w:rPr>
                            <w:sz w:val="20"/>
                          </w:rPr>
                          <w:t>Client is offered a</w:t>
                        </w:r>
                        <w:r w:rsidRPr="007468DF">
                          <w:rPr>
                            <w:sz w:val="20"/>
                          </w:rPr>
                          <w:t xml:space="preserve"> BasicsCard</w:t>
                        </w:r>
                        <w:r>
                          <w:rPr>
                            <w:sz w:val="20"/>
                          </w:rPr>
                          <w:t xml:space="preserve"> and issued with one</w:t>
                        </w:r>
                        <w:r w:rsidRPr="007468DF">
                          <w:rPr>
                            <w:sz w:val="20"/>
                          </w:rPr>
                          <w:t xml:space="preserve"> if they wish to have one</w:t>
                        </w:r>
                        <w:r>
                          <w:rPr>
                            <w:sz w:val="20"/>
                          </w:rPr>
                          <w:t>, and other financial arrangements are made for allocations, including direct credits, cheques and one-off payments.</w:t>
                        </w:r>
                      </w:p>
                    </w:txbxContent>
                  </v:textbox>
                </v:roundrect>
                <v:shape id="AutoShape 195" o:spid="_x0000_s1049" type="#_x0000_t32" style="position:absolute;left:5055;top:14205;width:7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QqcEAAADcAAAADwAAAGRycy9kb3ducmV2LnhtbERPTWsCMRC9C/6HMEJvmrVY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xCpwQAAANwAAAAPAAAAAAAAAAAAAAAA&#10;AKECAABkcnMvZG93bnJldi54bWxQSwUGAAAAAAQABAD5AAAAjwMAAAAA&#10;">
                  <v:stroke endarrow="block"/>
                </v:shape>
                <v:shape id="AutoShape 196" o:spid="_x0000_s1050" type="#_x0000_t32" style="position:absolute;left:5055;top:14445;width:1995;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197" o:spid="_x0000_s1051" type="#_x0000_t32" style="position:absolute;left:6075;top:13680;width:0;height:2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roundrect id="AutoShape 198" o:spid="_x0000_s1052" style="position:absolute;left:2640;top:3345;width:5970;height:1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NtMIA&#10;AADcAAAADwAAAGRycy9kb3ducmV2LnhtbERP3WrCMBS+F3yHcITdyEwnoqMzigyKE+ZFuz3AoTm2&#10;Zc1JTKLt3n4ZDHZ3Pr7fs92Pphd38qGzrOBpkYEgrq3uuFHw+VE8PoMIEVljb5kUfFOA/W462WKu&#10;7cAl3avYiBTCIUcFbYwulzLULRkMC+uIE3ex3mBM0DdSexxSuOnlMsvW0mDHqaFFR68t1V/VzSgo&#10;3Lw4l+b9yv62OunLcCxdYKUeZuPhBUSkMf6L/9xvOs3fbOD3mXS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o20wgAAANwAAAAPAAAAAAAAAAAAAAAAAJgCAABkcnMvZG93&#10;bnJldi54bWxQSwUGAAAAAAQABAD1AAAAhwMAAAAA&#10;" fillcolor="#daeef3 [664]">
                  <v:fill opacity="42662f"/>
                  <v:textbox>
                    <w:txbxContent>
                      <w:p w:rsidR="00377C33" w:rsidRPr="009C2BAE" w:rsidRDefault="00377C33" w:rsidP="0067247E">
                        <w:pPr>
                          <w:rPr>
                            <w:sz w:val="20"/>
                          </w:rPr>
                        </w:pPr>
                        <w:r w:rsidRPr="009C2BAE">
                          <w:rPr>
                            <w:sz w:val="20"/>
                          </w:rPr>
                          <w:t>Customer contacts DHS either in perso</w:t>
                        </w:r>
                        <w:r>
                          <w:rPr>
                            <w:sz w:val="20"/>
                          </w:rPr>
                          <w:t xml:space="preserve">n or via phone. They are provided </w:t>
                        </w:r>
                        <w:r w:rsidRPr="009C2BAE">
                          <w:rPr>
                            <w:sz w:val="20"/>
                          </w:rPr>
                          <w:t>with information on VIM</w:t>
                        </w:r>
                        <w:r>
                          <w:rPr>
                            <w:sz w:val="20"/>
                          </w:rPr>
                          <w:t xml:space="preserve"> to determine if it is right for them.</w:t>
                        </w:r>
                      </w:p>
                    </w:txbxContent>
                  </v:textbox>
                </v:roundrect>
                <v:roundrect id="AutoShape 199" o:spid="_x0000_s1053" style="position:absolute;left:2715;top:4620;width:5895;height:1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ZxsUA&#10;AADcAAAADwAAAGRycy9kb3ducmV2LnhtbESPQUvDQBCF74L/YRnBi9iNIlVit0UKwRbsIdUfMGSn&#10;STA7u93dNum/7xwEbzO8N+99s1hNblBniqn3bOBpVoAibrztuTXw8109voFKGdni4JkMXCjBanl7&#10;s8DS+pFrOu9zqySEU4kGupxDqXVqOnKYZj4Qi3bw0WGWNbbaRhwl3A36uSjm2mHP0tBhoHVHze/+&#10;5AxU4aHa1e7ryPH0srWH8bMOiY25v5s+3kFlmvK/+e96YwX/VWjlGZ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RnGxQAAANwAAAAPAAAAAAAAAAAAAAAAAJgCAABkcnMv&#10;ZG93bnJldi54bWxQSwUGAAAAAAQABAD1AAAAigMAAAAA&#10;" fillcolor="#daeef3 [664]">
                  <v:fill opacity="42662f"/>
                  <v:textbox>
                    <w:txbxContent>
                      <w:p w:rsidR="00377C33" w:rsidRPr="009C2BAE" w:rsidRDefault="00377C33" w:rsidP="0067247E">
                        <w:pPr>
                          <w:rPr>
                            <w:sz w:val="20"/>
                          </w:rPr>
                        </w:pPr>
                        <w:r w:rsidRPr="009C2BAE">
                          <w:rPr>
                            <w:sz w:val="20"/>
                          </w:rPr>
                          <w:t xml:space="preserve">DHS determines if customer is eligible to enter into a VIM agreement. If eligible, DHS </w:t>
                        </w:r>
                        <w:r>
                          <w:rPr>
                            <w:sz w:val="20"/>
                          </w:rPr>
                          <w:t>can see a customer or book an initial assessment</w:t>
                        </w:r>
                        <w:r w:rsidRPr="009C2BAE">
                          <w:rPr>
                            <w:sz w:val="20"/>
                          </w:rPr>
                          <w:t xml:space="preserve"> interview with the customer</w:t>
                        </w:r>
                        <w:r>
                          <w:rPr>
                            <w:sz w:val="20"/>
                          </w:rPr>
                          <w:t>. Eligibility is determined according to: location; payment type; nominee criteria; whether it is feasible.</w:t>
                        </w:r>
                      </w:p>
                    </w:txbxContent>
                  </v:textbox>
                </v:roundrect>
                <v:roundrect id="AutoShape 200" o:spid="_x0000_s1054" style="position:absolute;left:2715;top:6315;width:5970;height:11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5AMMA&#10;AADcAAAADwAAAGRycy9kb3ducmV2LnhtbERPTWvCQBC9F/wPywi91Y09aBOzERGEIi2lKuJxyI5J&#10;MDsbdtck/vtuodDbPN7n5OvRtKIn5xvLCuazBARxaXXDlYLTcffyBsIHZI2tZVLwIA/rYvKUY6bt&#10;wN/UH0IlYgj7DBXUIXSZlL6syaCf2Y44clfrDIYIXSW1wyGGm1a+JslCGmw4NtTY0bam8na4GwWX&#10;e9qfy6XT6eUxfG6Tj689V71Sz9NxswIRaAz/4j/3u47zlyn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5AMMAAADcAAAADwAAAAAAAAAAAAAAAACYAgAAZHJzL2Rv&#10;d25yZXYueG1sUEsFBgAAAAAEAAQA9QAAAIgDAAAAAA==&#10;" fillcolor="#dbe5f1 [660]">
                  <v:textbox>
                    <w:txbxContent>
                      <w:p w:rsidR="00377C33" w:rsidRPr="009C2BAE" w:rsidRDefault="00377C33" w:rsidP="0067247E">
                        <w:pPr>
                          <w:rPr>
                            <w:sz w:val="20"/>
                          </w:rPr>
                        </w:pPr>
                        <w:r>
                          <w:rPr>
                            <w:sz w:val="20"/>
                          </w:rPr>
                          <w:t>At the initial assessment</w:t>
                        </w:r>
                        <w:r w:rsidRPr="009C2BAE">
                          <w:rPr>
                            <w:sz w:val="20"/>
                          </w:rPr>
                          <w:t xml:space="preserve"> interview, DHS advises customer of the advantages of Income Management, details of how it will work and the customer’s obligations under the measure.</w:t>
                        </w:r>
                      </w:p>
                    </w:txbxContent>
                  </v:textbox>
                </v:roundrect>
                <v:roundrect id="AutoShape 201" o:spid="_x0000_s1055" style="position:absolute;left:2715;top:7740;width:5895;height: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gusUA&#10;AADcAAAADwAAAGRycy9kb3ducmV2LnhtbESPQWvCQBCF7wX/wzKCt7rRg9XUVUQQSmkRbSkeh+w0&#10;Cc3Oht01if++cxC8zfDevPfNeju4RnUUYu3ZwGyagSIuvK25NPD9dXhegooJ2WLjmQzcKMJ2M3pa&#10;Y259zyfqzqlUEsIxRwNVSm2udSwqchinviUW7dcHh0nWUGobsJdw1+h5li20w5qlocKW9hUVf+er&#10;M3C5rrqf4iXY1eXWf+6zj+M7l50xk/GwewWVaEgP8/36zQr+Uv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yC6xQAAANwAAAAPAAAAAAAAAAAAAAAAAJgCAABkcnMv&#10;ZG93bnJldi54bWxQSwUGAAAAAAQABAD1AAAAigMAAAAA&#10;" fillcolor="#dbe5f1 [660]">
                  <v:textbox>
                    <w:txbxContent>
                      <w:p w:rsidR="00377C33" w:rsidRPr="009C2BAE" w:rsidRDefault="00377C33" w:rsidP="0067247E">
                        <w:pPr>
                          <w:rPr>
                            <w:sz w:val="20"/>
                          </w:rPr>
                        </w:pPr>
                        <w:r>
                          <w:rPr>
                            <w:sz w:val="20"/>
                          </w:rPr>
                          <w:t>If the customer wishes to continue, the VIM agreement (A1791) is signed.</w:t>
                        </w:r>
                      </w:p>
                    </w:txbxContent>
                  </v:textbox>
                </v:roundrect>
                <v:roundrect id="AutoShape 202" o:spid="_x0000_s1056" style="position:absolute;left:2790;top:8715;width:5895;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FIcMA&#10;AADcAAAADwAAAGRycy9kb3ducmV2LnhtbERPS2vCQBC+F/wPywi9NRt7sDG6ighCkZZSWyTHITsm&#10;wexs2F3z+PfdQqG3+fies9mNphU9Od9YVrBIUhDEpdUNVwq+v45PGQgfkDW2lknBRB5229nDBnNt&#10;B/6k/hwqEUPY56igDqHLpfRlTQZ9YjviyF2tMxgidJXUDocYblr5nKZLabDh2FBjR4eaytv5bhQU&#10;91V/KV+cXhXT8H5I3z5OXPVKPc7H/RpEoDH8i//crzrOzx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eFIcMAAADcAAAADwAAAAAAAAAAAAAAAACYAgAAZHJzL2Rv&#10;d25yZXYueG1sUEsFBgAAAAAEAAQA9QAAAIgDAAAAAA==&#10;" fillcolor="#dbe5f1 [660]">
                  <v:textbox>
                    <w:txbxContent>
                      <w:p w:rsidR="00377C33" w:rsidRPr="00E97C5C" w:rsidRDefault="00377C33" w:rsidP="0067247E">
                        <w:pPr>
                          <w:rPr>
                            <w:sz w:val="20"/>
                          </w:rPr>
                        </w:pPr>
                        <w:r w:rsidRPr="00E97C5C">
                          <w:rPr>
                            <w:sz w:val="20"/>
                          </w:rPr>
                          <w:t>DHS offers the customer a referral</w:t>
                        </w:r>
                        <w:r>
                          <w:rPr>
                            <w:sz w:val="20"/>
                          </w:rPr>
                          <w:t xml:space="preserve"> to a Financial Management Program Service (FMPS) provider as part of the initial assessment interview. The customer is advised that the referral is voluntary and confidential.</w:t>
                        </w:r>
                      </w:p>
                    </w:txbxContent>
                  </v:textbox>
                </v:roundrect>
                <v:roundrect id="AutoShape 203" o:spid="_x0000_s1057" style="position:absolute;left:1605;top:10320;width:3840;height: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7TsMA&#10;AADcAAAADwAAAGRycy9kb3ducmV2LnhtbERPTWvCQBC9F/wPywheSt00BwnRVaRS8OCltge9Ddlp&#10;NjQ7G3c3Jvrru0Kht3m8z1ltRtuKK/nQOFbwOs9AEFdON1wr+Pp8fylAhIissXVMCm4UYLOePK2w&#10;1G7gD7oeYy1SCIcSFZgYu1LKUBmyGOauI07ct/MWY4K+ltrjkMJtK/MsW0iLDacGgx29Gap+jr1V&#10;MLjDbjhtC5/fn01/6fPDqTsXSs2m43YJItIY/8V/7r1O84scHs+k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E7TsMAAADcAAAADwAAAAAAAAAAAAAAAACYAgAAZHJzL2Rv&#10;d25yZXYueG1sUEsFBgAAAAAEAAQA9QAAAIgDAAAAAA==&#10;" fillcolor="#d6e3bc [1302]">
                  <v:textbox>
                    <w:txbxContent>
                      <w:p w:rsidR="00377C33" w:rsidRDefault="00377C33" w:rsidP="0067247E">
                        <w:r>
                          <w:rPr>
                            <w:sz w:val="20"/>
                          </w:rPr>
                          <w:t>Client does not take up referral to financial management program</w:t>
                        </w:r>
                      </w:p>
                    </w:txbxContent>
                  </v:textbox>
                </v:roundrect>
                <v:roundrect id="AutoShape 204" o:spid="_x0000_s1058" style="position:absolute;left:6930;top:10320;width:3840;height: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e1cQA&#10;AADcAAAADwAAAGRycy9kb3ducmV2LnhtbERPTWvCQBC9C/0PyxR6kbpphBKiq0hLoQcvWg/2NmTH&#10;bGh2Nt3dmLS/3hUEb/N4n7Ncj7YVZ/KhcazgZZaBIK6cbrhWcPj6eC5AhIissXVMCv4owHr1MFli&#10;qd3AOzrvYy1SCIcSFZgYu1LKUBmyGGauI07cyXmLMUFfS+1xSOG2lXmWvUqLDacGgx29Gap+9r1V&#10;MLjt+3DcFD7/n5r+t8+3x+67UOrpcdwsQEQa4118c3/qNL+Yw/WZd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ntXEAAAA3AAAAA8AAAAAAAAAAAAAAAAAmAIAAGRycy9k&#10;b3ducmV2LnhtbFBLBQYAAAAABAAEAPUAAACJAwAAAAA=&#10;" fillcolor="#d6e3bc [1302]">
                  <v:textbox>
                    <w:txbxContent>
                      <w:p w:rsidR="00377C33" w:rsidRDefault="00377C33" w:rsidP="0067247E">
                        <w:r>
                          <w:rPr>
                            <w:sz w:val="20"/>
                          </w:rPr>
                          <w:t>Client takes up referral to financial management program</w:t>
                        </w:r>
                      </w:p>
                    </w:txbxContent>
                  </v:textbox>
                </v:roundrect>
                <v:roundrect id="AutoShape 205" o:spid="_x0000_s1059" style="position:absolute;left:540;top:6210;width:870;height:6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VrMIA&#10;AADcAAAADwAAAGRycy9kb3ducmV2LnhtbERPS2sCMRC+F/wPYQq9lJpViiyrUapQ8FSoLmJvw2b2&#10;oclkSdJ1+++bQsHbfHzPWW1Ga8RAPnSOFcymGQjiyumOGwXl8f0lBxEiskbjmBT8UIDNevKwwkK7&#10;G3/ScIiNSCEcClTQxtgXUoaqJYth6nrixNXOW4wJ+kZqj7cUbo2cZ9lCWuw4NbTY066l6nr4tgp8&#10;HM51/Xzdfn2c9LGsL6aj3Cj19Di+LUFEGuNd/O/e6zQ/f4W/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1WswgAAANwAAAAPAAAAAAAAAAAAAAAAAJgCAABkcnMvZG93&#10;bnJldi54bWxQSwUGAAAAAAQABAD1AAAAhwMAAAAA&#10;" fillcolor="#dbe5f1 [660]">
                  <v:textbox style="layout-flow:vertical;mso-layout-flow-alt:bottom-to-top">
                    <w:txbxContent>
                      <w:p w:rsidR="00377C33" w:rsidRPr="002278F6" w:rsidRDefault="00377C33" w:rsidP="003C23B2">
                        <w:pPr>
                          <w:jc w:val="center"/>
                          <w:rPr>
                            <w:b/>
                          </w:rPr>
                        </w:pPr>
                        <w:r>
                          <w:rPr>
                            <w:b/>
                          </w:rPr>
                          <w:t>Initial Assessment</w:t>
                        </w:r>
                        <w:r w:rsidRPr="002278F6">
                          <w:rPr>
                            <w:b/>
                          </w:rPr>
                          <w:t xml:space="preserve"> Interview</w:t>
                        </w:r>
                      </w:p>
                    </w:txbxContent>
                  </v:textbox>
                </v:roundrect>
                <v:roundrect id="AutoShape 206" o:spid="_x0000_s1060" style="position:absolute;left:2340;top:11265;width:7965;height:1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DIsMA&#10;AADcAAAADwAAAGRycy9kb3ducmV2LnhtbERP32vCMBB+H/g/hBP2NlMHblpNiwgDGRvDboiPR3Nr&#10;y5pLSWJb//tFEHy7j+/nbfLRtKIn5xvLCuazBARxaXXDlYKf77enJQgfkDW2lknBhTzk2eRhg6m2&#10;Ax+oL0IlYgj7FBXUIXSplL6syaCf2Y44cr/WGQwRukpqh0MMN618TpIXabDh2FBjR7uayr/ibBSc&#10;zqv+WL46vTpdhs9d8vH1zlWv1ON03K5BBBrDXXxz73Wcv1z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yDIsMAAADcAAAADwAAAAAAAAAAAAAAAACYAgAAZHJzL2Rv&#10;d25yZXYueG1sUEsFBgAAAAAEAAQA9QAAAIgDAAAAAA==&#10;" fillcolor="#dbe5f1 [660]">
                  <v:textbox>
                    <w:txbxContent>
                      <w:p w:rsidR="00377C33" w:rsidRPr="00242B55" w:rsidRDefault="00377C33" w:rsidP="0067247E">
                        <w:pPr>
                          <w:rPr>
                            <w:sz w:val="20"/>
                          </w:rPr>
                        </w:pPr>
                        <w:r w:rsidRPr="00242B55">
                          <w:rPr>
                            <w:sz w:val="20"/>
                          </w:rPr>
                          <w:t>DHS and the customer then agree on the allocations to be made from their I</w:t>
                        </w:r>
                        <w:r>
                          <w:rPr>
                            <w:sz w:val="20"/>
                          </w:rPr>
                          <w:t>M</w:t>
                        </w:r>
                        <w:r w:rsidRPr="00242B55">
                          <w:rPr>
                            <w:sz w:val="20"/>
                          </w:rPr>
                          <w:t xml:space="preserve"> funds, to meet the customer’s priority needs.  </w:t>
                        </w:r>
                        <w:r w:rsidRPr="00EB1C25">
                          <w:rPr>
                            <w:sz w:val="20"/>
                          </w:rPr>
                          <w:t xml:space="preserve">DHS advises the </w:t>
                        </w:r>
                        <w:r>
                          <w:rPr>
                            <w:sz w:val="20"/>
                          </w:rPr>
                          <w:t>customer that an appointment will</w:t>
                        </w:r>
                        <w:r w:rsidRPr="00EB1C25">
                          <w:rPr>
                            <w:sz w:val="20"/>
                          </w:rPr>
                          <w:t xml:space="preserve"> be arranged to review the progress between 2 - 4 weeks from t</w:t>
                        </w:r>
                        <w:r>
                          <w:rPr>
                            <w:sz w:val="20"/>
                          </w:rPr>
                          <w:t xml:space="preserve">he start of their VIM agreement. </w:t>
                        </w:r>
                      </w:p>
                    </w:txbxContent>
                  </v:textbox>
                </v:roundrect>
                <v:roundrect id="AutoShape 207" o:spid="_x0000_s1061" style="position:absolute;left:585;top:1995;width:825;height:3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qVr8A&#10;AADcAAAADwAAAGRycy9kb3ducmV2LnhtbERPTYvCMBC9C/6HMII3TVWspRpFBMGbrOvB49CMbbGZ&#10;1CRq/fdGWNjbPN7nrDadacSTnK8tK5iMExDEhdU1lwrOv/tRBsIHZI2NZVLwJg+bdb+3wlzbF//Q&#10;8xRKEUPY56igCqHNpfRFRQb92LbEkbtaZzBE6EqpHb5iuGnkNElSabDm2FBhS7uKitvpYRSwu/jp&#10;dT4pj/vins3mCbaLe6rUcNBtlyACdeFf/Oc+6Dg/S+H7TLx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qpWvwAAANwAAAAPAAAAAAAAAAAAAAAAAJgCAABkcnMvZG93bnJl&#10;di54bWxQSwUGAAAAAAQABAD1AAAAhAMAAAAA&#10;" fillcolor="#daeef3 [664]">
                  <v:fill opacity="42662f"/>
                  <v:textbox style="layout-flow:vertical;mso-layout-flow-alt:bottom-to-top">
                    <w:txbxContent>
                      <w:p w:rsidR="00377C33" w:rsidRPr="0009214A" w:rsidRDefault="00377C33" w:rsidP="003C23B2">
                        <w:pPr>
                          <w:jc w:val="center"/>
                          <w:rPr>
                            <w:b/>
                          </w:rPr>
                        </w:pPr>
                        <w:r w:rsidRPr="0009214A">
                          <w:rPr>
                            <w:b/>
                          </w:rPr>
                          <w:t>Referral and assessment</w:t>
                        </w:r>
                      </w:p>
                    </w:txbxContent>
                  </v:textbox>
                </v:roundrect>
                <v:roundrect id="AutoShape 208" o:spid="_x0000_s1062" style="position:absolute;left:2715;top:1890;width:5970;height:1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k8IA&#10;AADcAAAADwAAAGRycy9kb3ducmV2LnhtbERP3WrCMBS+H+wdwhl4M2aqjCnVKCIUHWwX1T3AoTm2&#10;xeYkJtHWtzeDwe7Ox/d7luvBdOJGPrSWFUzGGQjiyuqWawU/x+JtDiJEZI2dZVJwpwDr1fPTEnNt&#10;ey7pdoi1SCEcclTQxOhyKUPVkMEwto44cSfrDcYEfS21xz6Fm05Os+xDGmw5NTToaNtQdT5cjYLC&#10;vRbfpfm6sL++f+pTvytdYKVGL8NmASLSEP/Ff+69TvPnM/h9Jl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2TwgAAANwAAAAPAAAAAAAAAAAAAAAAAJgCAABkcnMvZG93&#10;bnJldi54bWxQSwUGAAAAAAQABAD1AAAAhwMAAAAA&#10;" fillcolor="#daeef3 [664]">
                  <v:fill opacity="42662f"/>
                  <v:textbox>
                    <w:txbxContent>
                      <w:p w:rsidR="00377C33" w:rsidRPr="00B32C1C" w:rsidRDefault="00377C33" w:rsidP="0067247E">
                        <w:pPr>
                          <w:rPr>
                            <w:sz w:val="20"/>
                          </w:rPr>
                        </w:pPr>
                        <w:r>
                          <w:rPr>
                            <w:sz w:val="20"/>
                          </w:rPr>
                          <w:t>Client can be referred by an organisation, or can find out about VIM through posters, referral cards or through word of mouth. Clients may also transition from other IM measures on to VIM.</w:t>
                        </w:r>
                      </w:p>
                    </w:txbxContent>
                  </v:textbox>
                </v:roundrect>
                <v:shape id="AutoShape 209" o:spid="_x0000_s1063" type="#_x0000_t32" style="position:absolute;left:5700;top:60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AutoShape 210" o:spid="_x0000_s1064" type="#_x0000_t32" style="position:absolute;left:5700;top:748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AutoShape 211" o:spid="_x0000_s1065" type="#_x0000_t32" style="position:absolute;left:4920;top:10065;width:525;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UMQAAADcAAAADwAAAGRycy9kb3ducmV2LnhtbESPQWsCMRCF74X+hzCF3mpWoaVdjaKC&#10;IL2U2kI9DptxN7iZLJu4Wf995yB4m+G9ee+bxWr0rRqojy6wgemkAEVcBeu4NvD7s3t5BxUTssU2&#10;MBm4UoTV8vFhgaUNmb9pOKRaSQjHEg00KXWl1rFqyGOchI5YtFPoPSZZ+1rbHrOE+1bPiuJNe3Qs&#10;DQ12tG2oOh8u3oDLX27o9tu8+fw7RpvJXV+DM+b5aVzPQSUa0918u95bwf8Q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PBQxAAAANwAAAAPAAAAAAAAAAAA&#10;AAAAAKECAABkcnMvZG93bnJldi54bWxQSwUGAAAAAAQABAD5AAAAkgMAAAAA&#10;">
                  <v:stroke endarrow="block"/>
                </v:shape>
                <v:shape id="AutoShape 212" o:spid="_x0000_s1066" type="#_x0000_t32" style="position:absolute;left:6465;top:10065;width:585;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AutoShape 213" o:spid="_x0000_s1067" type="#_x0000_t32" style="position:absolute;left:5850;top:10065;width:1;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roundrect id="AutoShape 214" o:spid="_x0000_s1068" style="position:absolute;left:9315;top:12631;width:2505;height:1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oEMMA&#10;AADcAAAADwAAAGRycy9kb3ducmV2LnhtbERP32vCMBB+F/wfwgl7m6kONtuZFhEGY2yIOoaPR3Nr&#10;i82lJLGt//0yEHy7j+/nrYvRtKIn5xvLChbzBARxaXXDlYLv49vjCoQPyBpby6TgSh6KfDpZY6bt&#10;wHvqD6ESMYR9hgrqELpMSl/WZNDPbUccuV/rDIYIXSW1wyGGm1Yuk+RZGmw4NtTY0bam8ny4GAWn&#10;S9r/lC9Op6fr8LVNPncfXPVKPczGzSuIQGO4i2/udx3np0/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AoEMMAAADcAAAADwAAAAAAAAAAAAAAAACYAgAAZHJzL2Rv&#10;d25yZXYueG1sUEsFBgAAAAAEAAQA9QAAAIgDAAAAAA==&#10;" fillcolor="#dbe5f1 [660]">
                  <v:textbox>
                    <w:txbxContent>
                      <w:p w:rsidR="00377C33" w:rsidRPr="00B50F87" w:rsidRDefault="00377C33" w:rsidP="0067247E">
                        <w:pPr>
                          <w:rPr>
                            <w:sz w:val="20"/>
                          </w:rPr>
                        </w:pPr>
                        <w:r>
                          <w:rPr>
                            <w:sz w:val="20"/>
                          </w:rPr>
                          <w:t>Priority needs and allocations are reviewed every 8-10 weeks or at request of customer.</w:t>
                        </w:r>
                      </w:p>
                    </w:txbxContent>
                  </v:textbox>
                </v:roundrect>
                <v:shape id="AutoShape 215" o:spid="_x0000_s1069" type="#_x0000_t32" style="position:absolute;left:9225;top:12330;width:435;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group>
            </w:pict>
          </mc:Fallback>
        </mc:AlternateContent>
      </w:r>
      <w:r w:rsidR="0069353B">
        <w:t xml:space="preserve">: </w:t>
      </w:r>
      <w:r w:rsidR="00487890">
        <w:t>Customer</w:t>
      </w:r>
      <w:r w:rsidR="00F85218">
        <w:t xml:space="preserve"> pathway</w:t>
      </w:r>
      <w:r w:rsidR="0069353B">
        <w:t xml:space="preserve"> map for </w:t>
      </w:r>
      <w:r w:rsidR="008478FB">
        <w:t>the Voluntary</w:t>
      </w:r>
      <w:r w:rsidR="0069353B">
        <w:t xml:space="preserve"> </w:t>
      </w:r>
      <w:bookmarkEnd w:id="99"/>
      <w:r w:rsidR="008478FB">
        <w:t>measure (VIM)</w:t>
      </w:r>
      <w:bookmarkEnd w:id="100"/>
    </w:p>
    <w:p w:rsidR="0067247E" w:rsidRDefault="0067247E" w:rsidP="0067247E">
      <w:pPr>
        <w:pStyle w:val="BodyText"/>
      </w:pPr>
    </w:p>
    <w:p w:rsidR="0067247E" w:rsidRPr="0067247E" w:rsidRDefault="0067247E" w:rsidP="0067247E">
      <w:pPr>
        <w:pStyle w:val="BodyText"/>
        <w:sectPr w:rsidR="0067247E" w:rsidRPr="0067247E" w:rsidSect="0049641F">
          <w:pgSz w:w="11906" w:h="16838" w:code="9"/>
          <w:pgMar w:top="1440" w:right="1440" w:bottom="1440" w:left="1440" w:header="720" w:footer="720" w:gutter="0"/>
          <w:cols w:space="720"/>
          <w:docGrid w:linePitch="360"/>
        </w:sectPr>
      </w:pPr>
    </w:p>
    <w:p w:rsidR="0069353B" w:rsidRDefault="00FB0D24" w:rsidP="0069353B">
      <w:r>
        <w:rPr>
          <w:noProof/>
          <w:lang w:eastAsia="en-AU"/>
        </w:rPr>
        <w:lastRenderedPageBreak/>
        <mc:AlternateContent>
          <mc:Choice Requires="wps">
            <w:drawing>
              <wp:anchor distT="0" distB="0" distL="114300" distR="114300" simplePos="0" relativeHeight="251693056" behindDoc="0" locked="0" layoutInCell="1" allowOverlap="1" wp14:anchorId="77677DA5" wp14:editId="584C2923">
                <wp:simplePos x="0" y="0"/>
                <wp:positionH relativeFrom="column">
                  <wp:posOffset>3923030</wp:posOffset>
                </wp:positionH>
                <wp:positionV relativeFrom="paragraph">
                  <wp:posOffset>-378460</wp:posOffset>
                </wp:positionV>
                <wp:extent cx="1885950" cy="742950"/>
                <wp:effectExtent l="8255" t="12065" r="10795" b="6985"/>
                <wp:wrapNone/>
                <wp:docPr id="159"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74295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377C33" w:rsidRPr="00223675" w:rsidRDefault="00377C33" w:rsidP="00181165">
                            <w:pPr>
                              <w:rPr>
                                <w:sz w:val="20"/>
                              </w:rPr>
                            </w:pPr>
                            <w:r>
                              <w:rPr>
                                <w:sz w:val="20"/>
                              </w:rPr>
                              <w:t xml:space="preserve">After 26 weeks of continuous VIM customer is eligible for a voluntary incentive payment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0" o:spid="_x0000_s1070" style="position:absolute;margin-left:308.9pt;margin-top:-29.8pt;width:148.5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" fillcolor="#95b3d7 [1940]">
                <v:textbox>
                  <w:txbxContent>
                    <w:p w:rsidR="00377C33" w:rsidRPr="00223675" w:rsidRDefault="00377C33" w:rsidP="00181165">
                      <w:pPr>
                        <w:rPr>
                          <w:sz w:val="20"/>
                        </w:rPr>
                      </w:pPr>
                      <w:r>
                        <w:rPr>
                          <w:sz w:val="20"/>
                        </w:rPr>
                        <w:t xml:space="preserve">After 26 weeks of continuous VIM customer is eligible for a voluntary incentive payment </w:t>
                      </w:r>
                    </w:p>
                  </w:txbxContent>
                </v:textbox>
              </v:roundrect>
            </w:pict>
          </mc:Fallback>
        </mc:AlternateContent>
      </w:r>
      <w:r>
        <w:rPr>
          <w:noProof/>
          <w:lang w:eastAsia="en-AU"/>
        </w:rPr>
        <mc:AlternateContent>
          <mc:Choice Requires="wps">
            <w:drawing>
              <wp:anchor distT="0" distB="0" distL="114300" distR="114300" simplePos="0" relativeHeight="251692032" behindDoc="0" locked="0" layoutInCell="1" allowOverlap="1" wp14:anchorId="7CD309D7" wp14:editId="472D6D0C">
                <wp:simplePos x="0" y="0"/>
                <wp:positionH relativeFrom="column">
                  <wp:posOffset>2294255</wp:posOffset>
                </wp:positionH>
                <wp:positionV relativeFrom="paragraph">
                  <wp:posOffset>-140335</wp:posOffset>
                </wp:positionV>
                <wp:extent cx="1628775" cy="635"/>
                <wp:effectExtent l="8255" t="59690" r="20320" b="53975"/>
                <wp:wrapNone/>
                <wp:docPr id="158" name="AutoShape 299" title="right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alt="Title: right arrow" style="position:absolute;margin-left:180.65pt;margin-top:-11.05pt;width:128.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">
                <v:stroke endarrow="block"/>
              </v:shape>
            </w:pict>
          </mc:Fallback>
        </mc:AlternateContent>
      </w:r>
      <w:r>
        <w:rPr>
          <w:noProof/>
          <w:lang w:eastAsia="en-AU"/>
        </w:rPr>
        <mc:AlternateContent>
          <mc:Choice Requires="wps">
            <w:drawing>
              <wp:anchor distT="0" distB="0" distL="114300" distR="114300" simplePos="0" relativeHeight="251691008" behindDoc="0" locked="0" layoutInCell="1" allowOverlap="1" wp14:anchorId="34BD4D70" wp14:editId="5D5080A0">
                <wp:simplePos x="0" y="0"/>
                <wp:positionH relativeFrom="column">
                  <wp:posOffset>-1353820</wp:posOffset>
                </wp:positionH>
                <wp:positionV relativeFrom="paragraph">
                  <wp:posOffset>-730885</wp:posOffset>
                </wp:positionV>
                <wp:extent cx="523875" cy="1524000"/>
                <wp:effectExtent l="8255" t="12065" r="10795" b="6985"/>
                <wp:wrapNone/>
                <wp:docPr id="157"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52400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377C33" w:rsidRPr="00C45934" w:rsidRDefault="00377C33" w:rsidP="003C23B2">
                            <w:pPr>
                              <w:jc w:val="center"/>
                              <w:rPr>
                                <w:b/>
                              </w:rPr>
                            </w:pPr>
                            <w:r w:rsidRPr="00C45934">
                              <w:rPr>
                                <w:b/>
                              </w:rPr>
                              <w:t>Ongoing review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8" o:spid="_x0000_s1071" style="position:absolute;margin-left:-106.6pt;margin-top:-57.55pt;width:41.25pt;height:1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" fillcolor="#95b3d7 [1940]">
                <v:textbox style="layout-flow:vertical;mso-layout-flow-alt:bottom-to-top">
                  <w:txbxContent>
                    <w:p w:rsidR="00377C33" w:rsidRPr="00C45934" w:rsidRDefault="00377C33" w:rsidP="003C23B2">
                      <w:pPr>
                        <w:jc w:val="center"/>
                        <w:rPr>
                          <w:b/>
                        </w:rPr>
                      </w:pPr>
                      <w:r w:rsidRPr="00C45934">
                        <w:rPr>
                          <w:b/>
                        </w:rPr>
                        <w:t>Ongoing review</w:t>
                      </w:r>
                    </w:p>
                  </w:txbxContent>
                </v:textbox>
              </v:roundrect>
            </w:pict>
          </mc:Fallback>
        </mc:AlternateContent>
      </w:r>
      <w:r>
        <w:rPr>
          <w:noProof/>
          <w:lang w:eastAsia="en-AU"/>
        </w:rPr>
        <mc:AlternateContent>
          <mc:Choice Requires="wps">
            <w:drawing>
              <wp:anchor distT="0" distB="0" distL="114300" distR="114300" simplePos="0" relativeHeight="251685888" behindDoc="0" locked="0" layoutInCell="1" allowOverlap="1" wp14:anchorId="74636A24" wp14:editId="24EBD620">
                <wp:simplePos x="0" y="0"/>
                <wp:positionH relativeFrom="column">
                  <wp:posOffset>2284730</wp:posOffset>
                </wp:positionH>
                <wp:positionV relativeFrom="paragraph">
                  <wp:posOffset>-121285</wp:posOffset>
                </wp:positionV>
                <wp:extent cx="0" cy="400050"/>
                <wp:effectExtent l="55880" t="12065" r="58420" b="16510"/>
                <wp:wrapNone/>
                <wp:docPr id="156" name="AutoShape 293"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alt="Title: down arrow" style="position:absolute;margin-left:179.9pt;margin-top:-9.55pt;width:0;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">
                <v:stroke endarrow="block"/>
              </v:shape>
            </w:pict>
          </mc:Fallback>
        </mc:AlternateContent>
      </w:r>
    </w:p>
    <w:p w:rsidR="0069353B" w:rsidRDefault="00FB0D24" w:rsidP="0069353B">
      <w:pPr>
        <w:rPr>
          <w:b/>
          <w:color w:val="002776"/>
          <w:kern w:val="28"/>
          <w:sz w:val="56"/>
        </w:rPr>
      </w:pPr>
      <w:r>
        <w:rPr>
          <w:noProof/>
          <w:lang w:eastAsia="en-AU"/>
        </w:rPr>
        <mc:AlternateContent>
          <mc:Choice Requires="wps">
            <w:drawing>
              <wp:anchor distT="0" distB="0" distL="114300" distR="114300" simplePos="0" relativeHeight="251689984" behindDoc="0" locked="0" layoutInCell="1" allowOverlap="1" wp14:anchorId="06824473" wp14:editId="4E889371">
                <wp:simplePos x="0" y="0"/>
                <wp:positionH relativeFrom="column">
                  <wp:posOffset>-1353820</wp:posOffset>
                </wp:positionH>
                <wp:positionV relativeFrom="paragraph">
                  <wp:posOffset>736600</wp:posOffset>
                </wp:positionV>
                <wp:extent cx="523875" cy="4895850"/>
                <wp:effectExtent l="8255" t="12700" r="10795" b="6350"/>
                <wp:wrapNone/>
                <wp:docPr id="155"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89585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2278F6" w:rsidRDefault="00377C33" w:rsidP="00181165">
                            <w:pPr>
                              <w:jc w:val="center"/>
                              <w:rPr>
                                <w:b/>
                                <w:color w:val="FFFFFF" w:themeColor="background1"/>
                              </w:rPr>
                            </w:pPr>
                            <w:r>
                              <w:rPr>
                                <w:b/>
                                <w:color w:val="FFFFFF" w:themeColor="background1"/>
                              </w:rPr>
                              <w:t xml:space="preserve">Exiting VIM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7" o:spid="_x0000_s1072" style="position:absolute;margin-left:-106.6pt;margin-top:58pt;width:41.25pt;height:3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" fillcolor="#365f91 [2404]">
                <v:textbox style="layout-flow:vertical;mso-layout-flow-alt:bottom-to-top">
                  <w:txbxContent>
                    <w:p w:rsidR="00377C33" w:rsidRPr="002278F6" w:rsidRDefault="00377C33" w:rsidP="00181165">
                      <w:pPr>
                        <w:jc w:val="center"/>
                        <w:rPr>
                          <w:b/>
                          <w:color w:val="FFFFFF" w:themeColor="background1"/>
                        </w:rPr>
                      </w:pPr>
                      <w:r>
                        <w:rPr>
                          <w:b/>
                          <w:color w:val="FFFFFF" w:themeColor="background1"/>
                        </w:rPr>
                        <w:t xml:space="preserve">Exiting VIM </w:t>
                      </w:r>
                    </w:p>
                  </w:txbxContent>
                </v:textbox>
              </v:roundrect>
            </w:pict>
          </mc:Fallback>
        </mc:AlternateContent>
      </w:r>
      <w:r>
        <w:rPr>
          <w:noProof/>
          <w:lang w:eastAsia="en-AU"/>
        </w:rPr>
        <mc:AlternateContent>
          <mc:Choice Requires="wps">
            <w:drawing>
              <wp:anchor distT="0" distB="0" distL="114300" distR="114300" simplePos="0" relativeHeight="251688960" behindDoc="0" locked="0" layoutInCell="1" allowOverlap="1" wp14:anchorId="688D4192" wp14:editId="0E1970FC">
                <wp:simplePos x="0" y="0"/>
                <wp:positionH relativeFrom="column">
                  <wp:posOffset>1989455</wp:posOffset>
                </wp:positionH>
                <wp:positionV relativeFrom="paragraph">
                  <wp:posOffset>736600</wp:posOffset>
                </wp:positionV>
                <wp:extent cx="635" cy="209550"/>
                <wp:effectExtent l="55880" t="12700" r="57785" b="15875"/>
                <wp:wrapNone/>
                <wp:docPr id="154" name="AutoShape 296"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alt="Title: down arrow" style="position:absolute;margin-left:156.65pt;margin-top:58pt;width:.0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">
                <v:stroke endarrow="block"/>
              </v:shape>
            </w:pict>
          </mc:Fallback>
        </mc:AlternateContent>
      </w:r>
      <w:r>
        <w:rPr>
          <w:noProof/>
          <w:lang w:eastAsia="en-AU"/>
        </w:rPr>
        <mc:AlternateContent>
          <mc:Choice Requires="wps">
            <w:drawing>
              <wp:anchor distT="0" distB="0" distL="114300" distR="114300" simplePos="0" relativeHeight="251687936" behindDoc="0" locked="0" layoutInCell="1" allowOverlap="1" wp14:anchorId="01101917" wp14:editId="619F3AE8">
                <wp:simplePos x="0" y="0"/>
                <wp:positionH relativeFrom="column">
                  <wp:posOffset>2551430</wp:posOffset>
                </wp:positionH>
                <wp:positionV relativeFrom="paragraph">
                  <wp:posOffset>1660525</wp:posOffset>
                </wp:positionV>
                <wp:extent cx="1438275" cy="752475"/>
                <wp:effectExtent l="8255" t="12700" r="39370" b="53975"/>
                <wp:wrapNone/>
                <wp:docPr id="153" name="AutoShape 295" title="down-right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alt="Title: down-right arrow" style="position:absolute;margin-left:200.9pt;margin-top:130.75pt;width:113.25pt;height:5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">
                <v:stroke endarrow="block"/>
              </v:shape>
            </w:pict>
          </mc:Fallback>
        </mc:AlternateContent>
      </w:r>
      <w:r>
        <w:rPr>
          <w:noProof/>
          <w:lang w:eastAsia="en-AU"/>
        </w:rPr>
        <mc:AlternateContent>
          <mc:Choice Requires="wps">
            <w:drawing>
              <wp:anchor distT="0" distB="0" distL="114300" distR="114300" simplePos="0" relativeHeight="251686912" behindDoc="0" locked="0" layoutInCell="1" allowOverlap="1" wp14:anchorId="34A3AEEC" wp14:editId="067A7478">
                <wp:simplePos x="0" y="0"/>
                <wp:positionH relativeFrom="column">
                  <wp:posOffset>960755</wp:posOffset>
                </wp:positionH>
                <wp:positionV relativeFrom="paragraph">
                  <wp:posOffset>1660525</wp:posOffset>
                </wp:positionV>
                <wp:extent cx="828675" cy="638175"/>
                <wp:effectExtent l="46355" t="12700" r="10795" b="53975"/>
                <wp:wrapNone/>
                <wp:docPr id="152" name="AutoShape 294" title="down-left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alt="Title: down-left arrow" style="position:absolute;margin-left:75.65pt;margin-top:130.75pt;width:65.25pt;height:50.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">
                <v:stroke endarrow="block"/>
              </v:shape>
            </w:pict>
          </mc:Fallback>
        </mc:AlternateContent>
      </w:r>
      <w:r>
        <w:rPr>
          <w:noProof/>
          <w:lang w:eastAsia="en-AU"/>
        </w:rPr>
        <mc:AlternateContent>
          <mc:Choice Requires="wps">
            <w:drawing>
              <wp:anchor distT="0" distB="0" distL="114300" distR="114300" simplePos="0" relativeHeight="251684864" behindDoc="0" locked="0" layoutInCell="1" allowOverlap="1" wp14:anchorId="22D2E62E" wp14:editId="0FD52A3C">
                <wp:simplePos x="0" y="0"/>
                <wp:positionH relativeFrom="column">
                  <wp:posOffset>3608705</wp:posOffset>
                </wp:positionH>
                <wp:positionV relativeFrom="paragraph">
                  <wp:posOffset>2413000</wp:posOffset>
                </wp:positionV>
                <wp:extent cx="1952625" cy="2028825"/>
                <wp:effectExtent l="8255" t="12700" r="10795" b="6350"/>
                <wp:wrapNone/>
                <wp:docPr id="151"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02882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DE5E39" w:rsidRDefault="00377C33" w:rsidP="00181165">
                            <w:pPr>
                              <w:rPr>
                                <w:color w:val="FFFFFF" w:themeColor="background1"/>
                                <w:sz w:val="20"/>
                              </w:rPr>
                            </w:pPr>
                            <w:r w:rsidRPr="00DE5E39">
                              <w:rPr>
                                <w:color w:val="FFFFFF" w:themeColor="background1"/>
                                <w:sz w:val="20"/>
                              </w:rPr>
                              <w:t xml:space="preserve">Customers will remain on VIM agreement (subject to clients’ eligibility) until they initiate an exit from the agreement. </w:t>
                            </w:r>
                            <w:r>
                              <w:rPr>
                                <w:color w:val="FFFFFF" w:themeColor="background1"/>
                                <w:sz w:val="20"/>
                              </w:rPr>
                              <w:t>Flags on client record will indicate when eligibility changes, for example if their payment rate drops, or if they lose payment eligibility.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2" o:spid="_x0000_s1073" style="position:absolute;margin-left:284.15pt;margin-top:190pt;width:153.75pt;height:15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" fillcolor="#365f91 [2404]">
                <v:textbox>
                  <w:txbxContent>
                    <w:p w:rsidR="00377C33" w:rsidRPr="00DE5E39" w:rsidRDefault="00377C33" w:rsidP="00181165">
                      <w:pPr>
                        <w:rPr>
                          <w:color w:val="FFFFFF" w:themeColor="background1"/>
                          <w:sz w:val="20"/>
                        </w:rPr>
                      </w:pPr>
                      <w:r w:rsidRPr="00DE5E39">
                        <w:rPr>
                          <w:color w:val="FFFFFF" w:themeColor="background1"/>
                          <w:sz w:val="20"/>
                        </w:rPr>
                        <w:t xml:space="preserve">Customers will remain on VIM agreement (subject to clients’ eligibility) until they initiate an exit from the agreement. </w:t>
                      </w:r>
                      <w:r>
                        <w:rPr>
                          <w:color w:val="FFFFFF" w:themeColor="background1"/>
                          <w:sz w:val="20"/>
                        </w:rPr>
                        <w:t>Flags on client record will indicate when eligibility changes, for example if their payment rate drops, or if they lose payment eligibility.</w:t>
                      </w:r>
                    </w:p>
                  </w:txbxContent>
                </v:textbox>
              </v:roundrect>
            </w:pict>
          </mc:Fallback>
        </mc:AlternateContent>
      </w:r>
      <w:r>
        <w:rPr>
          <w:noProof/>
          <w:lang w:eastAsia="en-AU"/>
        </w:rPr>
        <mc:AlternateContent>
          <mc:Choice Requires="wps">
            <w:drawing>
              <wp:anchor distT="0" distB="0" distL="114300" distR="114300" simplePos="0" relativeHeight="251683840" behindDoc="0" locked="0" layoutInCell="1" allowOverlap="1" wp14:anchorId="7FC20A1F" wp14:editId="520B4EA8">
                <wp:simplePos x="0" y="0"/>
                <wp:positionH relativeFrom="column">
                  <wp:posOffset>-429895</wp:posOffset>
                </wp:positionH>
                <wp:positionV relativeFrom="paragraph">
                  <wp:posOffset>4630420</wp:posOffset>
                </wp:positionV>
                <wp:extent cx="2857500" cy="914400"/>
                <wp:effectExtent l="8255" t="10795" r="10795" b="8255"/>
                <wp:wrapNone/>
                <wp:docPr id="150"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DE5E39" w:rsidRDefault="00377C33" w:rsidP="00181165">
                            <w:pPr>
                              <w:rPr>
                                <w:color w:val="FFFFFF" w:themeColor="background1"/>
                                <w:sz w:val="20"/>
                              </w:rPr>
                            </w:pPr>
                            <w:r w:rsidRPr="00DE5E39">
                              <w:rPr>
                                <w:color w:val="FFFFFF" w:themeColor="background1"/>
                                <w:sz w:val="20"/>
                              </w:rPr>
                              <w:t xml:space="preserve">FMPS will be offered to the customer again, and a discussion about any residual IM funds will be held including the use of </w:t>
                            </w:r>
                            <w:proofErr w:type="spellStart"/>
                            <w:r w:rsidRPr="00DE5E39">
                              <w:rPr>
                                <w:color w:val="FFFFFF" w:themeColor="background1"/>
                                <w:sz w:val="20"/>
                              </w:rPr>
                              <w:t>Centrepay</w:t>
                            </w:r>
                            <w:proofErr w:type="spellEnd"/>
                            <w:r w:rsidRPr="00DE5E39">
                              <w:rPr>
                                <w:color w:val="FFFFFF" w:themeColor="background1"/>
                                <w:sz w:val="20"/>
                              </w:rPr>
                              <w:t xml:space="preserve"> to pay ongoing expenses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074" style="position:absolute;margin-left:-33.85pt;margin-top:364.6pt;width:22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" fillcolor="#365f91 [2404]">
                <v:textbox>
                  <w:txbxContent>
                    <w:p w:rsidR="00377C33" w:rsidRPr="00DE5E39" w:rsidRDefault="00377C33" w:rsidP="00181165">
                      <w:pPr>
                        <w:rPr>
                          <w:color w:val="FFFFFF" w:themeColor="background1"/>
                          <w:sz w:val="20"/>
                        </w:rPr>
                      </w:pPr>
                      <w:r w:rsidRPr="00DE5E39">
                        <w:rPr>
                          <w:color w:val="FFFFFF" w:themeColor="background1"/>
                          <w:sz w:val="20"/>
                        </w:rPr>
                        <w:t xml:space="preserve">FMPS will be offered to the customer again, and a discussion about any residual IM funds will be held including the use of </w:t>
                      </w:r>
                      <w:proofErr w:type="spellStart"/>
                      <w:r w:rsidRPr="00DE5E39">
                        <w:rPr>
                          <w:color w:val="FFFFFF" w:themeColor="background1"/>
                          <w:sz w:val="20"/>
                        </w:rPr>
                        <w:t>Centrepay</w:t>
                      </w:r>
                      <w:proofErr w:type="spellEnd"/>
                      <w:r w:rsidRPr="00DE5E39">
                        <w:rPr>
                          <w:color w:val="FFFFFF" w:themeColor="background1"/>
                          <w:sz w:val="20"/>
                        </w:rPr>
                        <w:t xml:space="preserve"> to pay ongoing expenses</w:t>
                      </w:r>
                    </w:p>
                  </w:txbxContent>
                </v:textbox>
              </v:roundrect>
            </w:pict>
          </mc:Fallback>
        </mc:AlternateContent>
      </w:r>
      <w:r>
        <w:rPr>
          <w:noProof/>
          <w:lang w:eastAsia="en-AU"/>
        </w:rPr>
        <mc:AlternateContent>
          <mc:Choice Requires="wps">
            <w:drawing>
              <wp:anchor distT="0" distB="0" distL="114300" distR="114300" simplePos="0" relativeHeight="251682816" behindDoc="0" locked="0" layoutInCell="1" allowOverlap="1" wp14:anchorId="16D56591" wp14:editId="13A619AF">
                <wp:simplePos x="0" y="0"/>
                <wp:positionH relativeFrom="column">
                  <wp:posOffset>864870</wp:posOffset>
                </wp:positionH>
                <wp:positionV relativeFrom="paragraph">
                  <wp:posOffset>4125595</wp:posOffset>
                </wp:positionV>
                <wp:extent cx="635" cy="504825"/>
                <wp:effectExtent l="55245" t="10795" r="58420" b="17780"/>
                <wp:wrapNone/>
                <wp:docPr id="149" name="AutoShape 290"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alt="Title: down arrow" style="position:absolute;margin-left:68.1pt;margin-top:324.85pt;width:.0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">
                <v:stroke endarrow="block"/>
              </v:shape>
            </w:pict>
          </mc:Fallback>
        </mc:AlternateContent>
      </w:r>
      <w:r>
        <w:rPr>
          <w:noProof/>
          <w:lang w:eastAsia="en-AU"/>
        </w:rPr>
        <mc:AlternateContent>
          <mc:Choice Requires="wps">
            <w:drawing>
              <wp:anchor distT="0" distB="0" distL="114300" distR="114300" simplePos="0" relativeHeight="251681792" behindDoc="0" locked="0" layoutInCell="1" allowOverlap="1" wp14:anchorId="66341647" wp14:editId="77479B79">
                <wp:simplePos x="0" y="0"/>
                <wp:positionH relativeFrom="column">
                  <wp:posOffset>-496570</wp:posOffset>
                </wp:positionH>
                <wp:positionV relativeFrom="paragraph">
                  <wp:posOffset>2296795</wp:posOffset>
                </wp:positionV>
                <wp:extent cx="3838575" cy="1828800"/>
                <wp:effectExtent l="8255" t="10795" r="10795" b="8255"/>
                <wp:wrapNone/>
                <wp:docPr id="14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82880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DE5E39" w:rsidRDefault="00377C33" w:rsidP="00181165">
                            <w:pPr>
                              <w:rPr>
                                <w:color w:val="FFFFFF" w:themeColor="background1"/>
                                <w:sz w:val="20"/>
                              </w:rPr>
                            </w:pPr>
                            <w:r w:rsidRPr="00DE5E39">
                              <w:rPr>
                                <w:color w:val="FFFFFF" w:themeColor="background1"/>
                                <w:sz w:val="20"/>
                              </w:rPr>
                              <w:t>If customer decides to exit:</w:t>
                            </w:r>
                          </w:p>
                          <w:p w:rsidR="00377C33" w:rsidRPr="00181165" w:rsidRDefault="00377C33" w:rsidP="00FB72A3">
                            <w:pPr>
                              <w:pStyle w:val="ListParagraph"/>
                              <w:numPr>
                                <w:ilvl w:val="0"/>
                                <w:numId w:val="16"/>
                              </w:numPr>
                              <w:spacing w:after="200" w:line="276" w:lineRule="auto"/>
                              <w:rPr>
                                <w:rFonts w:asciiTheme="minorHAnsi" w:hAnsiTheme="minorHAnsi"/>
                                <w:color w:val="FFFFFF" w:themeColor="background1"/>
                                <w:sz w:val="20"/>
                                <w:szCs w:val="20"/>
                              </w:rPr>
                            </w:pPr>
                            <w:r w:rsidRPr="00181165">
                              <w:rPr>
                                <w:rFonts w:asciiTheme="minorHAnsi" w:hAnsiTheme="minorHAnsi"/>
                                <w:color w:val="FFFFFF" w:themeColor="background1"/>
                                <w:sz w:val="20"/>
                                <w:szCs w:val="20"/>
                              </w:rPr>
                              <w:t xml:space="preserve">A 21 day waiting period will apply from the date they exited before any new agreements can be entered into </w:t>
                            </w:r>
                          </w:p>
                          <w:p w:rsidR="00377C33" w:rsidRPr="00181165" w:rsidRDefault="00377C33" w:rsidP="00FB72A3">
                            <w:pPr>
                              <w:pStyle w:val="ListParagraph"/>
                              <w:numPr>
                                <w:ilvl w:val="0"/>
                                <w:numId w:val="16"/>
                              </w:numPr>
                              <w:spacing w:after="200" w:line="276" w:lineRule="auto"/>
                              <w:rPr>
                                <w:rFonts w:asciiTheme="minorHAnsi" w:hAnsiTheme="minorHAnsi"/>
                                <w:color w:val="FFFFFF" w:themeColor="background1"/>
                                <w:sz w:val="20"/>
                                <w:szCs w:val="20"/>
                              </w:rPr>
                            </w:pPr>
                            <w:r w:rsidRPr="00181165">
                              <w:rPr>
                                <w:rFonts w:asciiTheme="minorHAnsi" w:hAnsiTheme="minorHAnsi"/>
                                <w:color w:val="FFFFFF" w:themeColor="background1"/>
                                <w:sz w:val="20"/>
                                <w:szCs w:val="20"/>
                              </w:rPr>
                              <w:t>The customer can enter into a VIM agreement a maximum of 4 times in any 12 month period</w:t>
                            </w:r>
                          </w:p>
                          <w:p w:rsidR="00377C33" w:rsidRPr="00181165" w:rsidRDefault="00377C33" w:rsidP="00FB72A3">
                            <w:pPr>
                              <w:pStyle w:val="ListParagraph"/>
                              <w:numPr>
                                <w:ilvl w:val="0"/>
                                <w:numId w:val="16"/>
                              </w:numPr>
                              <w:spacing w:after="200" w:line="276" w:lineRule="auto"/>
                              <w:rPr>
                                <w:rFonts w:asciiTheme="minorHAnsi" w:hAnsiTheme="minorHAnsi"/>
                                <w:color w:val="FFFFFF" w:themeColor="background1"/>
                                <w:sz w:val="20"/>
                                <w:szCs w:val="20"/>
                              </w:rPr>
                            </w:pPr>
                            <w:r w:rsidRPr="00181165">
                              <w:rPr>
                                <w:rFonts w:asciiTheme="minorHAnsi" w:hAnsiTheme="minorHAnsi"/>
                                <w:color w:val="FFFFFF" w:themeColor="background1"/>
                                <w:sz w:val="20"/>
                                <w:szCs w:val="20"/>
                              </w:rPr>
                              <w:t>If the customer chooses to exit from their VIM agreement, this will result in loss of entitlement to the Voluntary Income Management Incentive Payment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9" o:spid="_x0000_s1075" style="position:absolute;margin-left:-39.1pt;margin-top:180.85pt;width:302.25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" fillcolor="#365f91 [2404]">
                <v:textbox>
                  <w:txbxContent>
                    <w:p w:rsidR="00377C33" w:rsidRPr="00DE5E39" w:rsidRDefault="00377C33" w:rsidP="00181165">
                      <w:pPr>
                        <w:rPr>
                          <w:color w:val="FFFFFF" w:themeColor="background1"/>
                          <w:sz w:val="20"/>
                        </w:rPr>
                      </w:pPr>
                      <w:r w:rsidRPr="00DE5E39">
                        <w:rPr>
                          <w:color w:val="FFFFFF" w:themeColor="background1"/>
                          <w:sz w:val="20"/>
                        </w:rPr>
                        <w:t>If customer decides to exit:</w:t>
                      </w:r>
                    </w:p>
                    <w:p w:rsidR="00377C33" w:rsidRPr="00181165" w:rsidRDefault="00377C33" w:rsidP="00FB72A3">
                      <w:pPr>
                        <w:pStyle w:val="ListParagraph"/>
                        <w:numPr>
                          <w:ilvl w:val="0"/>
                          <w:numId w:val="16"/>
                        </w:numPr>
                        <w:spacing w:after="200" w:line="276" w:lineRule="auto"/>
                        <w:rPr>
                          <w:rFonts w:asciiTheme="minorHAnsi" w:hAnsiTheme="minorHAnsi"/>
                          <w:color w:val="FFFFFF" w:themeColor="background1"/>
                          <w:sz w:val="20"/>
                          <w:szCs w:val="20"/>
                        </w:rPr>
                      </w:pPr>
                      <w:r w:rsidRPr="00181165">
                        <w:rPr>
                          <w:rFonts w:asciiTheme="minorHAnsi" w:hAnsiTheme="minorHAnsi"/>
                          <w:color w:val="FFFFFF" w:themeColor="background1"/>
                          <w:sz w:val="20"/>
                          <w:szCs w:val="20"/>
                        </w:rPr>
                        <w:t xml:space="preserve">A 21 day waiting period will apply from the date they exited before any new agreements can be entered into </w:t>
                      </w:r>
                    </w:p>
                    <w:p w:rsidR="00377C33" w:rsidRPr="00181165" w:rsidRDefault="00377C33" w:rsidP="00FB72A3">
                      <w:pPr>
                        <w:pStyle w:val="ListParagraph"/>
                        <w:numPr>
                          <w:ilvl w:val="0"/>
                          <w:numId w:val="16"/>
                        </w:numPr>
                        <w:spacing w:after="200" w:line="276" w:lineRule="auto"/>
                        <w:rPr>
                          <w:rFonts w:asciiTheme="minorHAnsi" w:hAnsiTheme="minorHAnsi"/>
                          <w:color w:val="FFFFFF" w:themeColor="background1"/>
                          <w:sz w:val="20"/>
                          <w:szCs w:val="20"/>
                        </w:rPr>
                      </w:pPr>
                      <w:r w:rsidRPr="00181165">
                        <w:rPr>
                          <w:rFonts w:asciiTheme="minorHAnsi" w:hAnsiTheme="minorHAnsi"/>
                          <w:color w:val="FFFFFF" w:themeColor="background1"/>
                          <w:sz w:val="20"/>
                          <w:szCs w:val="20"/>
                        </w:rPr>
                        <w:t>The customer can enter into a VIM agreement a maximum of 4 times in any 12 month period</w:t>
                      </w:r>
                    </w:p>
                    <w:p w:rsidR="00377C33" w:rsidRPr="00181165" w:rsidRDefault="00377C33" w:rsidP="00FB72A3">
                      <w:pPr>
                        <w:pStyle w:val="ListParagraph"/>
                        <w:numPr>
                          <w:ilvl w:val="0"/>
                          <w:numId w:val="16"/>
                        </w:numPr>
                        <w:spacing w:after="200" w:line="276" w:lineRule="auto"/>
                        <w:rPr>
                          <w:rFonts w:asciiTheme="minorHAnsi" w:hAnsiTheme="minorHAnsi"/>
                          <w:color w:val="FFFFFF" w:themeColor="background1"/>
                          <w:sz w:val="20"/>
                          <w:szCs w:val="20"/>
                        </w:rPr>
                      </w:pPr>
                      <w:r w:rsidRPr="00181165">
                        <w:rPr>
                          <w:rFonts w:asciiTheme="minorHAnsi" w:hAnsiTheme="minorHAnsi"/>
                          <w:color w:val="FFFFFF" w:themeColor="background1"/>
                          <w:sz w:val="20"/>
                          <w:szCs w:val="20"/>
                        </w:rPr>
                        <w:t>If the customer chooses to exit from their VIM agreement, this will result in loss of entitlement to the Voluntary Income Management Incentive Payment</w:t>
                      </w:r>
                    </w:p>
                  </w:txbxContent>
                </v:textbox>
              </v:roundrect>
            </w:pict>
          </mc:Fallback>
        </mc:AlternateContent>
      </w:r>
      <w:r>
        <w:rPr>
          <w:noProof/>
          <w:lang w:eastAsia="en-AU"/>
        </w:rPr>
        <mc:AlternateContent>
          <mc:Choice Requires="wps">
            <w:drawing>
              <wp:anchor distT="0" distB="0" distL="114300" distR="114300" simplePos="0" relativeHeight="251680768" behindDoc="0" locked="0" layoutInCell="1" allowOverlap="1" wp14:anchorId="11247090" wp14:editId="3DFF04AD">
                <wp:simplePos x="0" y="0"/>
                <wp:positionH relativeFrom="column">
                  <wp:posOffset>-67945</wp:posOffset>
                </wp:positionH>
                <wp:positionV relativeFrom="paragraph">
                  <wp:posOffset>974725</wp:posOffset>
                </wp:positionV>
                <wp:extent cx="4714875" cy="685800"/>
                <wp:effectExtent l="8255" t="12700" r="10795" b="6350"/>
                <wp:wrapNone/>
                <wp:docPr id="147"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68580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DE5E39" w:rsidRDefault="00377C33" w:rsidP="00181165">
                            <w:pPr>
                              <w:rPr>
                                <w:color w:val="FFFFFF" w:themeColor="background1"/>
                                <w:sz w:val="20"/>
                              </w:rPr>
                            </w:pPr>
                            <w:r w:rsidRPr="00DE5E39">
                              <w:rPr>
                                <w:color w:val="FFFFFF" w:themeColor="background1"/>
                                <w:sz w:val="20"/>
                              </w:rPr>
                              <w:t>Customers can contact DHS to exit their VIM agreeme</w:t>
                            </w:r>
                            <w:r>
                              <w:rPr>
                                <w:color w:val="FFFFFF" w:themeColor="background1"/>
                                <w:sz w:val="20"/>
                              </w:rPr>
                              <w:t>nt at any time after the minimum</w:t>
                            </w:r>
                            <w:r w:rsidRPr="00DE5E39">
                              <w:rPr>
                                <w:color w:val="FFFFFF" w:themeColor="background1"/>
                                <w:sz w:val="20"/>
                              </w:rPr>
                              <w:t xml:space="preserve"> 13 week period is completed. DHS will provide the customer with a ‘Request to End Agreement’ (A1793) and discuss the implications of the exit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8" o:spid="_x0000_s1076" style="position:absolute;margin-left:-5.35pt;margin-top:76.75pt;width:371.2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" fillcolor="#365f91 [2404]">
                <v:textbox>
                  <w:txbxContent>
                    <w:p w:rsidR="00377C33" w:rsidRPr="00DE5E39" w:rsidRDefault="00377C33" w:rsidP="00181165">
                      <w:pPr>
                        <w:rPr>
                          <w:color w:val="FFFFFF" w:themeColor="background1"/>
                          <w:sz w:val="20"/>
                        </w:rPr>
                      </w:pPr>
                      <w:r w:rsidRPr="00DE5E39">
                        <w:rPr>
                          <w:color w:val="FFFFFF" w:themeColor="background1"/>
                          <w:sz w:val="20"/>
                        </w:rPr>
                        <w:t>Customers can contact DHS to exit their VIM agreeme</w:t>
                      </w:r>
                      <w:r>
                        <w:rPr>
                          <w:color w:val="FFFFFF" w:themeColor="background1"/>
                          <w:sz w:val="20"/>
                        </w:rPr>
                        <w:t>nt at any time after the minimum</w:t>
                      </w:r>
                      <w:r w:rsidRPr="00DE5E39">
                        <w:rPr>
                          <w:color w:val="FFFFFF" w:themeColor="background1"/>
                          <w:sz w:val="20"/>
                        </w:rPr>
                        <w:t xml:space="preserve"> 13 week period is completed. DHS will provide the customer with a ‘Request to End Agreement’ (A1793) and discuss the implications of the exit request.</w:t>
                      </w:r>
                    </w:p>
                  </w:txbxContent>
                </v:textbox>
              </v:roundrect>
            </w:pict>
          </mc:Fallback>
        </mc:AlternateContent>
      </w:r>
      <w:r>
        <w:rPr>
          <w:noProof/>
          <w:lang w:eastAsia="en-AU"/>
        </w:rPr>
        <mc:AlternateContent>
          <mc:Choice Requires="wps">
            <w:drawing>
              <wp:anchor distT="0" distB="0" distL="114300" distR="114300" simplePos="0" relativeHeight="251679744" behindDoc="0" locked="0" layoutInCell="1" allowOverlap="1" wp14:anchorId="7B633BCF" wp14:editId="28FA61AC">
                <wp:simplePos x="0" y="0"/>
                <wp:positionH relativeFrom="column">
                  <wp:posOffset>122555</wp:posOffset>
                </wp:positionH>
                <wp:positionV relativeFrom="paragraph">
                  <wp:posOffset>155575</wp:posOffset>
                </wp:positionV>
                <wp:extent cx="3800475" cy="552450"/>
                <wp:effectExtent l="8255" t="12700" r="10795" b="6350"/>
                <wp:wrapNone/>
                <wp:docPr id="146"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55245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377C33" w:rsidRPr="00774A5D" w:rsidRDefault="00377C33" w:rsidP="00181165">
                            <w:pPr>
                              <w:rPr>
                                <w:sz w:val="20"/>
                              </w:rPr>
                            </w:pPr>
                            <w:r>
                              <w:rPr>
                                <w:sz w:val="20"/>
                              </w:rPr>
                              <w:t>The customer can initiate contact with DHS as required to discuss IM, their BasicsCard, or to change allocations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77" style="position:absolute;margin-left:9.65pt;margin-top:12.25pt;width:299.2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" fillcolor="#95b3d7 [1940]">
                <v:textbox>
                  <w:txbxContent>
                    <w:p w:rsidR="00377C33" w:rsidRPr="00774A5D" w:rsidRDefault="00377C33" w:rsidP="00181165">
                      <w:pPr>
                        <w:rPr>
                          <w:sz w:val="20"/>
                        </w:rPr>
                      </w:pPr>
                      <w:r>
                        <w:rPr>
                          <w:sz w:val="20"/>
                        </w:rPr>
                        <w:t>The customer can initiate contact with DHS as required to discuss IM, their BasicsCard, or to change allocations</w:t>
                      </w:r>
                    </w:p>
                  </w:txbxContent>
                </v:textbox>
              </v:roundrect>
            </w:pict>
          </mc:Fallback>
        </mc:AlternateContent>
      </w:r>
      <w:r w:rsidR="0069353B">
        <w:br w:type="page"/>
      </w:r>
    </w:p>
    <w:p w:rsidR="00181165" w:rsidRPr="00181165" w:rsidRDefault="0069353B" w:rsidP="0069353B">
      <w:pPr>
        <w:pStyle w:val="CaptionFigure"/>
        <w:rPr>
          <w:kern w:val="28"/>
          <w:sz w:val="56"/>
        </w:rPr>
      </w:pPr>
      <w:bookmarkStart w:id="101" w:name="_Toc342495268"/>
      <w:r>
        <w:lastRenderedPageBreak/>
        <w:t xml:space="preserve">: </w:t>
      </w:r>
      <w:r w:rsidR="00487890">
        <w:t>Customer</w:t>
      </w:r>
      <w:r w:rsidR="00F85218">
        <w:t xml:space="preserve"> pathway</w:t>
      </w:r>
      <w:r>
        <w:t xml:space="preserve"> map for Vulnerable </w:t>
      </w:r>
      <w:r w:rsidR="00237FA9">
        <w:t>measure</w:t>
      </w:r>
      <w:r w:rsidR="008478FB">
        <w:t xml:space="preserve"> (VULN IM)</w:t>
      </w:r>
      <w:r w:rsidR="00237FA9">
        <w:t>*</w:t>
      </w:r>
      <w:bookmarkEnd w:id="101"/>
    </w:p>
    <w:bookmarkStart w:id="102" w:name="_Toc329183435"/>
    <w:bookmarkStart w:id="103" w:name="_Toc329189065"/>
    <w:bookmarkStart w:id="104" w:name="_Toc329193135"/>
    <w:bookmarkStart w:id="105" w:name="_Toc342379032"/>
    <w:bookmarkStart w:id="106" w:name="_Toc342495269"/>
    <w:p w:rsidR="00C45934" w:rsidRPr="00C45934" w:rsidRDefault="00FB0D24" w:rsidP="004D317F">
      <w:pPr>
        <w:pStyle w:val="CaptionFigure"/>
        <w:numPr>
          <w:ilvl w:val="0"/>
          <w:numId w:val="0"/>
        </w:numPr>
        <w:jc w:val="left"/>
      </w:pPr>
      <w:r>
        <w:rPr>
          <w:noProof/>
          <w:kern w:val="28"/>
          <w:sz w:val="20"/>
          <w:szCs w:val="20"/>
          <w:lang w:eastAsia="en-AU"/>
        </w:rPr>
        <mc:AlternateContent>
          <mc:Choice Requires="wpg">
            <w:drawing>
              <wp:anchor distT="0" distB="0" distL="114300" distR="114300" simplePos="0" relativeHeight="251677696" behindDoc="0" locked="0" layoutInCell="1" allowOverlap="1" wp14:anchorId="2881C57F" wp14:editId="158273F4">
                <wp:simplePos x="0" y="0"/>
                <wp:positionH relativeFrom="column">
                  <wp:posOffset>-1277620</wp:posOffset>
                </wp:positionH>
                <wp:positionV relativeFrom="paragraph">
                  <wp:posOffset>4445</wp:posOffset>
                </wp:positionV>
                <wp:extent cx="7143750" cy="9580880"/>
                <wp:effectExtent l="8255" t="13970" r="10795" b="6350"/>
                <wp:wrapNone/>
                <wp:docPr id="117" name="Group 437" title="Figure 3.6: Customer pathway map for Vulnerable measure (VULN I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9580880"/>
                          <a:chOff x="540" y="1592"/>
                          <a:chExt cx="11250" cy="15088"/>
                        </a:xfrm>
                      </wpg:grpSpPr>
                      <wps:wsp>
                        <wps:cNvPr id="118" name="AutoShape 438"/>
                        <wps:cNvSpPr>
                          <a:spLocks noChangeArrowheads="1"/>
                        </wps:cNvSpPr>
                        <wps:spPr bwMode="auto">
                          <a:xfrm>
                            <a:off x="2715" y="2865"/>
                            <a:ext cx="5895" cy="2610"/>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1573B2" w:rsidRDefault="00377C33" w:rsidP="00C45934">
                              <w:pPr>
                                <w:rPr>
                                  <w:sz w:val="20"/>
                                </w:rPr>
                              </w:pPr>
                              <w:r w:rsidRPr="001573B2">
                                <w:rPr>
                                  <w:sz w:val="20"/>
                                </w:rPr>
                                <w:t xml:space="preserve">A DHS Social Worker makes a </w:t>
                              </w:r>
                              <w:r>
                                <w:rPr>
                                  <w:sz w:val="20"/>
                                </w:rPr>
                                <w:t>decision to place the client on</w:t>
                              </w:r>
                              <w:r w:rsidRPr="001573B2">
                                <w:rPr>
                                  <w:sz w:val="20"/>
                                </w:rPr>
                                <w:t xml:space="preserve"> income management under the Vulnerable Welfare Payment Recipient Measure (Vulnerable Measure). Can be done following an interview with the person or following a file review in some circumstances</w:t>
                              </w:r>
                              <w:r>
                                <w:rPr>
                                  <w:sz w:val="20"/>
                                </w:rPr>
                                <w:t>. The client can be referred by a housing authority or another service.  Criteria for VULN IM includes: financial hardship; financial exploitation; failure to undertake reasonable self-care; homelessness or risk of homelessness.</w:t>
                              </w:r>
                            </w:p>
                          </w:txbxContent>
                        </wps:txbx>
                        <wps:bodyPr rot="0" vert="horz" wrap="square" lIns="91440" tIns="45720" rIns="91440" bIns="45720" anchor="t" anchorCtr="0" upright="1">
                          <a:noAutofit/>
                        </wps:bodyPr>
                      </wps:wsp>
                      <wps:wsp>
                        <wps:cNvPr id="119" name="AutoShape 439"/>
                        <wps:cNvSpPr>
                          <a:spLocks noChangeArrowheads="1"/>
                        </wps:cNvSpPr>
                        <wps:spPr bwMode="auto">
                          <a:xfrm>
                            <a:off x="2715" y="5730"/>
                            <a:ext cx="5895" cy="1305"/>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7468DF" w:rsidRDefault="00377C33" w:rsidP="00C45934">
                              <w:pPr>
                                <w:rPr>
                                  <w:sz w:val="20"/>
                                </w:rPr>
                              </w:pPr>
                              <w:r w:rsidRPr="007468DF">
                                <w:rPr>
                                  <w:sz w:val="20"/>
                                </w:rPr>
                                <w:t>The DHS Social Worker creates a notice for the client</w:t>
                              </w:r>
                              <w:r>
                                <w:rPr>
                                  <w:sz w:val="20"/>
                                </w:rPr>
                                <w:t>, which is recorded in the client record</w:t>
                              </w:r>
                              <w:r w:rsidRPr="007468DF">
                                <w:rPr>
                                  <w:sz w:val="20"/>
                                </w:rPr>
                                <w:t>. The notice outlines the duration of income management they wish to</w:t>
                              </w:r>
                              <w:r>
                                <w:rPr>
                                  <w:sz w:val="20"/>
                                </w:rPr>
                                <w:t xml:space="preserve"> be</w:t>
                              </w:r>
                              <w:r w:rsidRPr="007468DF">
                                <w:rPr>
                                  <w:sz w:val="20"/>
                                </w:rPr>
                                <w:t xml:space="preserve"> applied to the client (up to 12 months)</w:t>
                              </w:r>
                            </w:p>
                          </w:txbxContent>
                        </wps:txbx>
                        <wps:bodyPr rot="0" vert="horz" wrap="square" lIns="91440" tIns="45720" rIns="91440" bIns="45720" anchor="t" anchorCtr="0" upright="1">
                          <a:noAutofit/>
                        </wps:bodyPr>
                      </wps:wsp>
                      <wps:wsp>
                        <wps:cNvPr id="120" name="AutoShape 440"/>
                        <wps:cNvSpPr>
                          <a:spLocks noChangeArrowheads="1"/>
                        </wps:cNvSpPr>
                        <wps:spPr bwMode="auto">
                          <a:xfrm>
                            <a:off x="2715" y="7350"/>
                            <a:ext cx="5760" cy="1320"/>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7468DF" w:rsidRDefault="00377C33" w:rsidP="00C45934">
                              <w:pPr>
                                <w:rPr>
                                  <w:sz w:val="20"/>
                                </w:rPr>
                              </w:pPr>
                              <w:r w:rsidRPr="007468DF">
                                <w:rPr>
                                  <w:sz w:val="20"/>
                                </w:rPr>
                                <w:t>Upon receipt of the notice, the DHS Social Worker hands ov</w:t>
                              </w:r>
                              <w:r>
                                <w:rPr>
                                  <w:sz w:val="20"/>
                                </w:rPr>
                                <w:t>er to a Customer Service Officer (CSO</w:t>
                              </w:r>
                              <w:r w:rsidRPr="007468DF">
                                <w:rPr>
                                  <w:sz w:val="20"/>
                                </w:rPr>
                                <w:t>) to contact the customer an</w:t>
                              </w:r>
                              <w:r>
                                <w:rPr>
                                  <w:sz w:val="20"/>
                                </w:rPr>
                                <w:t>d arrange an initial assessment</w:t>
                              </w:r>
                              <w:r w:rsidRPr="007468DF">
                                <w:rPr>
                                  <w:sz w:val="20"/>
                                </w:rPr>
                                <w:t xml:space="preserve"> interview on the same day or at a later date.</w:t>
                              </w:r>
                            </w:p>
                            <w:p w:rsidR="00377C33" w:rsidRDefault="00377C33" w:rsidP="00C45934"/>
                          </w:txbxContent>
                        </wps:txbx>
                        <wps:bodyPr rot="0" vert="horz" wrap="square" lIns="91440" tIns="45720" rIns="91440" bIns="45720" anchor="t" anchorCtr="0" upright="1">
                          <a:noAutofit/>
                        </wps:bodyPr>
                      </wps:wsp>
                      <wps:wsp>
                        <wps:cNvPr id="121" name="AutoShape 441"/>
                        <wps:cNvSpPr>
                          <a:spLocks noChangeArrowheads="1"/>
                        </wps:cNvSpPr>
                        <wps:spPr bwMode="auto">
                          <a:xfrm>
                            <a:off x="2715" y="8970"/>
                            <a:ext cx="5760" cy="217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7468DF" w:rsidRDefault="00377C33" w:rsidP="00C45934">
                              <w:pPr>
                                <w:rPr>
                                  <w:sz w:val="20"/>
                                </w:rPr>
                              </w:pPr>
                              <w:r w:rsidRPr="009A5437">
                                <w:rPr>
                                  <w:b/>
                                  <w:color w:val="17365D" w:themeColor="text2" w:themeShade="BF"/>
                                  <w:sz w:val="20"/>
                                </w:rPr>
                                <w:t>At the initial allocation interview</w:t>
                              </w:r>
                              <w:r w:rsidRPr="007468DF">
                                <w:rPr>
                                  <w:sz w:val="20"/>
                                </w:rPr>
                                <w:t>:</w:t>
                              </w:r>
                            </w:p>
                            <w:p w:rsidR="00377C33" w:rsidRPr="00C45934" w:rsidRDefault="00377C33" w:rsidP="00FB72A3">
                              <w:pPr>
                                <w:pStyle w:val="ListParagraph"/>
                                <w:numPr>
                                  <w:ilvl w:val="0"/>
                                  <w:numId w:val="17"/>
                                </w:numPr>
                                <w:spacing w:after="200" w:line="276" w:lineRule="auto"/>
                                <w:rPr>
                                  <w:rFonts w:asciiTheme="minorHAnsi" w:hAnsiTheme="minorHAnsi"/>
                                  <w:sz w:val="20"/>
                                  <w:szCs w:val="20"/>
                                </w:rPr>
                              </w:pPr>
                              <w:r w:rsidRPr="00C45934">
                                <w:rPr>
                                  <w:rFonts w:asciiTheme="minorHAnsi" w:hAnsiTheme="minorHAnsi"/>
                                  <w:sz w:val="20"/>
                                  <w:szCs w:val="20"/>
                                </w:rPr>
                                <w:t>DHS explains to the customer how IM works and their obligations under the measure;</w:t>
                              </w:r>
                            </w:p>
                            <w:p w:rsidR="00377C33" w:rsidRPr="00C45934" w:rsidRDefault="00377C33" w:rsidP="00FB72A3">
                              <w:pPr>
                                <w:pStyle w:val="ListParagraph"/>
                                <w:numPr>
                                  <w:ilvl w:val="0"/>
                                  <w:numId w:val="17"/>
                                </w:numPr>
                                <w:spacing w:after="200" w:line="276" w:lineRule="auto"/>
                                <w:rPr>
                                  <w:rFonts w:asciiTheme="minorHAnsi" w:hAnsiTheme="minorHAnsi"/>
                                  <w:sz w:val="20"/>
                                  <w:szCs w:val="20"/>
                                </w:rPr>
                              </w:pPr>
                              <w:r w:rsidRPr="00C45934">
                                <w:rPr>
                                  <w:rFonts w:asciiTheme="minorHAnsi" w:hAnsiTheme="minorHAnsi"/>
                                  <w:sz w:val="20"/>
                                  <w:szCs w:val="20"/>
                                </w:rPr>
                                <w:t>DHS and customer discuss the allocation of the customer’s priority needs and determine allocation of IM funds.</w:t>
                              </w:r>
                            </w:p>
                          </w:txbxContent>
                        </wps:txbx>
                        <wps:bodyPr rot="0" vert="horz" wrap="square" lIns="91440" tIns="45720" rIns="91440" bIns="45720" anchor="t" anchorCtr="0" upright="1">
                          <a:noAutofit/>
                        </wps:bodyPr>
                      </wps:wsp>
                      <wps:wsp>
                        <wps:cNvPr id="122" name="AutoShape 442"/>
                        <wps:cNvSpPr>
                          <a:spLocks noChangeArrowheads="1"/>
                        </wps:cNvSpPr>
                        <wps:spPr bwMode="auto">
                          <a:xfrm>
                            <a:off x="2295" y="13155"/>
                            <a:ext cx="6615" cy="139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7468DF" w:rsidRDefault="00377C33" w:rsidP="00C45934">
                              <w:pPr>
                                <w:rPr>
                                  <w:sz w:val="20"/>
                                </w:rPr>
                              </w:pPr>
                              <w:r w:rsidRPr="007468DF">
                                <w:rPr>
                                  <w:sz w:val="20"/>
                                </w:rPr>
                                <w:t xml:space="preserve">DHS offer the client a referral to a Financial Management Program Services (FMPS) provider as part of the initial allocation interview. </w:t>
                              </w:r>
                              <w:r>
                                <w:rPr>
                                  <w:sz w:val="20"/>
                                </w:rPr>
                                <w:t xml:space="preserve"> </w:t>
                              </w:r>
                              <w:r w:rsidRPr="007468DF">
                                <w:rPr>
                                  <w:sz w:val="20"/>
                                </w:rPr>
                                <w:t xml:space="preserve">The client is advised that the referral is voluntary, and confidential, but is encouraged to attend.  </w:t>
                              </w:r>
                            </w:p>
                          </w:txbxContent>
                        </wps:txbx>
                        <wps:bodyPr rot="0" vert="horz" wrap="square" lIns="91440" tIns="45720" rIns="91440" bIns="45720" anchor="t" anchorCtr="0" upright="1">
                          <a:noAutofit/>
                        </wps:bodyPr>
                      </wps:wsp>
                      <wps:wsp>
                        <wps:cNvPr id="123" name="AutoShape 443"/>
                        <wps:cNvCnPr>
                          <a:cxnSpLocks noChangeShapeType="1"/>
                        </wps:cNvCnPr>
                        <wps:spPr bwMode="auto">
                          <a:xfrm>
                            <a:off x="5605" y="5475"/>
                            <a:ext cx="1"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444"/>
                        <wps:cNvCnPr>
                          <a:cxnSpLocks noChangeShapeType="1"/>
                        </wps:cNvCnPr>
                        <wps:spPr bwMode="auto">
                          <a:xfrm>
                            <a:off x="5612" y="7035"/>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445"/>
                        <wps:cNvSpPr>
                          <a:spLocks noChangeArrowheads="1"/>
                        </wps:cNvSpPr>
                        <wps:spPr bwMode="auto">
                          <a:xfrm>
                            <a:off x="2715" y="11551"/>
                            <a:ext cx="5670" cy="1079"/>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Default="00377C33" w:rsidP="00C45934">
                              <w:r w:rsidRPr="007468DF">
                                <w:rPr>
                                  <w:sz w:val="20"/>
                                </w:rPr>
                                <w:t>Client is issued with a BasicsCard if they wish to have one</w:t>
                              </w:r>
                              <w:r>
                                <w:rPr>
                                  <w:sz w:val="20"/>
                                </w:rPr>
                                <w:t>, and other financial arrangements are made for allocations, including direct credits, cheques and one-off payments.</w:t>
                              </w:r>
                            </w:p>
                          </w:txbxContent>
                        </wps:txbx>
                        <wps:bodyPr rot="0" vert="horz" wrap="square" lIns="91440" tIns="45720" rIns="91440" bIns="45720" anchor="t" anchorCtr="0" upright="1">
                          <a:noAutofit/>
                        </wps:bodyPr>
                      </wps:wsp>
                      <wps:wsp>
                        <wps:cNvPr id="126" name="AutoShape 446"/>
                        <wps:cNvCnPr>
                          <a:cxnSpLocks noChangeShapeType="1"/>
                        </wps:cNvCnPr>
                        <wps:spPr bwMode="auto">
                          <a:xfrm flipH="1">
                            <a:off x="3915" y="14550"/>
                            <a:ext cx="132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447"/>
                        <wps:cNvSpPr>
                          <a:spLocks noChangeArrowheads="1"/>
                        </wps:cNvSpPr>
                        <wps:spPr bwMode="auto">
                          <a:xfrm>
                            <a:off x="1050" y="14925"/>
                            <a:ext cx="3840" cy="8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C45934">
                              <w:r>
                                <w:rPr>
                                  <w:sz w:val="20"/>
                                </w:rPr>
                                <w:t>Client does not take up referral to financial management program</w:t>
                              </w:r>
                            </w:p>
                          </w:txbxContent>
                        </wps:txbx>
                        <wps:bodyPr rot="0" vert="horz" wrap="square" lIns="91440" tIns="45720" rIns="91440" bIns="45720" anchor="t" anchorCtr="0" upright="1">
                          <a:noAutofit/>
                        </wps:bodyPr>
                      </wps:wsp>
                      <wps:wsp>
                        <wps:cNvPr id="128" name="AutoShape 448"/>
                        <wps:cNvSpPr>
                          <a:spLocks noChangeArrowheads="1"/>
                        </wps:cNvSpPr>
                        <wps:spPr bwMode="auto">
                          <a:xfrm>
                            <a:off x="6540" y="14940"/>
                            <a:ext cx="3840" cy="8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C45934">
                              <w:r>
                                <w:rPr>
                                  <w:sz w:val="20"/>
                                </w:rPr>
                                <w:t>Client takes up referral to financial management program</w:t>
                              </w:r>
                            </w:p>
                          </w:txbxContent>
                        </wps:txbx>
                        <wps:bodyPr rot="0" vert="horz" wrap="square" lIns="91440" tIns="45720" rIns="91440" bIns="45720" anchor="t" anchorCtr="0" upright="1">
                          <a:noAutofit/>
                        </wps:bodyPr>
                      </wps:wsp>
                      <wps:wsp>
                        <wps:cNvPr id="129" name="AutoShape 449"/>
                        <wps:cNvCnPr>
                          <a:cxnSpLocks noChangeShapeType="1"/>
                        </wps:cNvCnPr>
                        <wps:spPr bwMode="auto">
                          <a:xfrm>
                            <a:off x="5910" y="14550"/>
                            <a:ext cx="163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450"/>
                        <wps:cNvSpPr>
                          <a:spLocks noChangeArrowheads="1"/>
                        </wps:cNvSpPr>
                        <wps:spPr bwMode="auto">
                          <a:xfrm>
                            <a:off x="540" y="8490"/>
                            <a:ext cx="870" cy="625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2278F6" w:rsidRDefault="00377C33" w:rsidP="00C45934">
                              <w:pPr>
                                <w:jc w:val="center"/>
                                <w:rPr>
                                  <w:b/>
                                </w:rPr>
                              </w:pPr>
                              <w:r w:rsidRPr="002278F6">
                                <w:rPr>
                                  <w:b/>
                                </w:rPr>
                                <w:t>Initial Allocation Interview</w:t>
                              </w:r>
                            </w:p>
                          </w:txbxContent>
                        </wps:txbx>
                        <wps:bodyPr rot="0" vert="vert270" wrap="square" lIns="91440" tIns="45720" rIns="91440" bIns="45720" anchor="t" anchorCtr="0" upright="1">
                          <a:noAutofit/>
                        </wps:bodyPr>
                      </wps:wsp>
                      <wps:wsp>
                        <wps:cNvPr id="131" name="AutoShape 451"/>
                        <wps:cNvSpPr>
                          <a:spLocks noChangeArrowheads="1"/>
                        </wps:cNvSpPr>
                        <wps:spPr bwMode="auto">
                          <a:xfrm>
                            <a:off x="540" y="1635"/>
                            <a:ext cx="870" cy="6513"/>
                          </a:xfrm>
                          <a:prstGeom prst="roundRect">
                            <a:avLst>
                              <a:gd name="adj" fmla="val 16667"/>
                            </a:avLst>
                          </a:prstGeom>
                          <a:solidFill>
                            <a:srgbClr val="D7F2F7">
                              <a:alpha val="64999"/>
                            </a:srgbClr>
                          </a:solidFill>
                          <a:ln w="9525">
                            <a:solidFill>
                              <a:srgbClr val="000000"/>
                            </a:solidFill>
                            <a:round/>
                            <a:headEnd/>
                            <a:tailEnd/>
                          </a:ln>
                        </wps:spPr>
                        <wps:txbx>
                          <w:txbxContent>
                            <w:p w:rsidR="00377C33" w:rsidRPr="002278F6" w:rsidRDefault="00377C33" w:rsidP="00C45934">
                              <w:pPr>
                                <w:jc w:val="center"/>
                                <w:rPr>
                                  <w:b/>
                                </w:rPr>
                              </w:pPr>
                              <w:r>
                                <w:rPr>
                                  <w:b/>
                                </w:rPr>
                                <w:t>Referral and Assessment</w:t>
                              </w:r>
                            </w:p>
                          </w:txbxContent>
                        </wps:txbx>
                        <wps:bodyPr rot="0" vert="vert270" wrap="square" lIns="91440" tIns="45720" rIns="91440" bIns="45720" anchor="t" anchorCtr="0" upright="1">
                          <a:noAutofit/>
                        </wps:bodyPr>
                      </wps:wsp>
                      <wps:wsp>
                        <wps:cNvPr id="132" name="AutoShape 452"/>
                        <wps:cNvSpPr>
                          <a:spLocks noChangeArrowheads="1"/>
                        </wps:cNvSpPr>
                        <wps:spPr bwMode="auto">
                          <a:xfrm>
                            <a:off x="9000" y="3360"/>
                            <a:ext cx="2790" cy="271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377C33" w:rsidRPr="00A4335A" w:rsidRDefault="00377C33" w:rsidP="00C45934">
                              <w:pPr>
                                <w:rPr>
                                  <w:sz w:val="20"/>
                                </w:rPr>
                              </w:pPr>
                              <w:r>
                                <w:rPr>
                                  <w:sz w:val="20"/>
                                </w:rPr>
                                <w:t>Client can appeal: decision to assess as VULN; decision to place on VULN; length of IM notice; the allocations. They can also request a reconsideration of their vulnerable status no more than once every 90 days.</w:t>
                              </w:r>
                            </w:p>
                          </w:txbxContent>
                        </wps:txbx>
                        <wps:bodyPr rot="0" vert="horz" wrap="square" lIns="91440" tIns="45720" rIns="91440" bIns="45720" anchor="t" anchorCtr="0" upright="1">
                          <a:noAutofit/>
                        </wps:bodyPr>
                      </wps:wsp>
                      <wps:wsp>
                        <wps:cNvPr id="133" name="AutoShape 453"/>
                        <wps:cNvCnPr>
                          <a:cxnSpLocks noChangeShapeType="1"/>
                        </wps:cNvCnPr>
                        <wps:spPr bwMode="auto">
                          <a:xfrm>
                            <a:off x="8610" y="4020"/>
                            <a:ext cx="39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454"/>
                        <wps:cNvCnPr>
                          <a:cxnSpLocks noChangeShapeType="1"/>
                        </wps:cNvCnPr>
                        <wps:spPr bwMode="auto">
                          <a:xfrm>
                            <a:off x="5612" y="11145"/>
                            <a:ext cx="0" cy="4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455"/>
                        <wps:cNvCnPr>
                          <a:cxnSpLocks noChangeShapeType="1"/>
                        </wps:cNvCnPr>
                        <wps:spPr bwMode="auto">
                          <a:xfrm>
                            <a:off x="5612" y="8670"/>
                            <a:ext cx="3553"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456"/>
                        <wps:cNvSpPr>
                          <a:spLocks noChangeArrowheads="1"/>
                        </wps:cNvSpPr>
                        <wps:spPr bwMode="auto">
                          <a:xfrm>
                            <a:off x="9075" y="8790"/>
                            <a:ext cx="2505" cy="262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B50F87" w:rsidRDefault="00377C33" w:rsidP="00C45934">
                              <w:pPr>
                                <w:rPr>
                                  <w:sz w:val="20"/>
                                </w:rPr>
                              </w:pPr>
                              <w:r>
                                <w:rPr>
                                  <w:sz w:val="20"/>
                                </w:rPr>
                                <w:t>If customer does not attend initial allocation interview they commence automatic IM for 28 days. If there is still no contact from customer, their payment is suspended.</w:t>
                              </w:r>
                            </w:p>
                          </w:txbxContent>
                        </wps:txbx>
                        <wps:bodyPr rot="0" vert="horz" wrap="square" lIns="91440" tIns="45720" rIns="91440" bIns="45720" anchor="t" anchorCtr="0" upright="1">
                          <a:noAutofit/>
                        </wps:bodyPr>
                      </wps:wsp>
                      <wps:wsp>
                        <wps:cNvPr id="137" name="AutoShape 457"/>
                        <wps:cNvCnPr>
                          <a:cxnSpLocks noChangeShapeType="1"/>
                        </wps:cNvCnPr>
                        <wps:spPr bwMode="auto">
                          <a:xfrm>
                            <a:off x="5605" y="12630"/>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458"/>
                        <wps:cNvSpPr>
                          <a:spLocks noChangeArrowheads="1"/>
                        </wps:cNvSpPr>
                        <wps:spPr bwMode="auto">
                          <a:xfrm>
                            <a:off x="9075" y="12406"/>
                            <a:ext cx="2505" cy="1469"/>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B50F87" w:rsidRDefault="00377C33" w:rsidP="00C45934">
                              <w:pPr>
                                <w:rPr>
                                  <w:sz w:val="20"/>
                                </w:rPr>
                              </w:pPr>
                              <w:r>
                                <w:rPr>
                                  <w:sz w:val="20"/>
                                </w:rPr>
                                <w:t>Allocations are reviewed approximately every 8-10 weeks or at the request of the customer</w:t>
                              </w:r>
                            </w:p>
                          </w:txbxContent>
                        </wps:txbx>
                        <wps:bodyPr rot="0" vert="horz" wrap="square" lIns="91440" tIns="45720" rIns="91440" bIns="45720" anchor="t" anchorCtr="0" upright="1">
                          <a:noAutofit/>
                        </wps:bodyPr>
                      </wps:wsp>
                      <wps:wsp>
                        <wps:cNvPr id="139" name="AutoShape 459"/>
                        <wps:cNvCnPr>
                          <a:cxnSpLocks noChangeShapeType="1"/>
                        </wps:cNvCnPr>
                        <wps:spPr bwMode="auto">
                          <a:xfrm>
                            <a:off x="8385" y="11055"/>
                            <a:ext cx="1095" cy="1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460"/>
                        <wps:cNvSpPr>
                          <a:spLocks noChangeArrowheads="1"/>
                        </wps:cNvSpPr>
                        <wps:spPr bwMode="auto">
                          <a:xfrm>
                            <a:off x="2715" y="1592"/>
                            <a:ext cx="5895" cy="1033"/>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FD3665" w:rsidRDefault="00377C33" w:rsidP="00C45934">
                              <w:pPr>
                                <w:rPr>
                                  <w:sz w:val="20"/>
                                </w:rPr>
                              </w:pPr>
                              <w:r>
                                <w:rPr>
                                  <w:sz w:val="20"/>
                                </w:rPr>
                                <w:t xml:space="preserve">(Note: In some states referrals will also be made by housing authorities) </w:t>
                              </w:r>
                              <w:r w:rsidRPr="00FD3665">
                                <w:rPr>
                                  <w:sz w:val="20"/>
                                </w:rPr>
                                <w:t>Client is referred by state housing authorities with recommendation to consider IM</w:t>
                              </w:r>
                            </w:p>
                          </w:txbxContent>
                        </wps:txbx>
                        <wps:bodyPr rot="0" vert="horz" wrap="square" lIns="91440" tIns="45720" rIns="91440" bIns="45720" anchor="t" anchorCtr="0" upright="1">
                          <a:noAutofit/>
                        </wps:bodyPr>
                      </wps:wsp>
                      <wps:wsp>
                        <wps:cNvPr id="141" name="AutoShape 461"/>
                        <wps:cNvCnPr>
                          <a:cxnSpLocks noChangeShapeType="1"/>
                        </wps:cNvCnPr>
                        <wps:spPr bwMode="auto">
                          <a:xfrm>
                            <a:off x="5609" y="2625"/>
                            <a:ext cx="3" cy="24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2" name="AutoShape 462"/>
                        <wps:cNvCnPr>
                          <a:cxnSpLocks noChangeShapeType="1"/>
                        </wps:cNvCnPr>
                        <wps:spPr bwMode="auto">
                          <a:xfrm>
                            <a:off x="5612" y="8670"/>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463"/>
                        <wps:cNvCnPr>
                          <a:cxnSpLocks noChangeShapeType="1"/>
                        </wps:cNvCnPr>
                        <wps:spPr bwMode="auto">
                          <a:xfrm flipH="1">
                            <a:off x="5605" y="14550"/>
                            <a:ext cx="7" cy="1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464"/>
                        <wps:cNvCnPr>
                          <a:cxnSpLocks noChangeShapeType="1"/>
                        </wps:cNvCnPr>
                        <wps:spPr bwMode="auto">
                          <a:xfrm flipH="1">
                            <a:off x="4725" y="15780"/>
                            <a:ext cx="3045"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465"/>
                        <wps:cNvCnPr>
                          <a:cxnSpLocks noChangeShapeType="1"/>
                        </wps:cNvCnPr>
                        <wps:spPr bwMode="auto">
                          <a:xfrm>
                            <a:off x="8700" y="15780"/>
                            <a:ext cx="375" cy="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7" o:spid="_x0000_s1078" alt="Title: Figure 3.6: Customer pathway map for Vulnerable measure (VULN IM)" style="position:absolute;margin-left:-100.6pt;margin-top:.35pt;width:562.5pt;height:754.4pt;z-index:251677696;mso-position-horizontal-relative:text;mso-position-vertical-relative:text" coordorigin="540,1592" coordsize="11250,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">
                <v:roundrect id="AutoShape 438" o:spid="_x0000_s1079" style="position:absolute;left:2715;top:2865;width:5895;height:2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ZsUA&#10;AADcAAAADwAAAGRycy9kb3ducmV2LnhtbESPQWvDMAyF74P9B6NBL2N1OsYYWd0yCqErbId0+wEi&#10;VpOwWPZst0n/fXUo9Cbxnt77tFxPblAniqn3bGAxL0ARN9723Br4/ame3kCljGxx8EwGzpRgvbq/&#10;W2Jp/cg1nfa5VRLCqUQDXc6h1Do1HTlMcx+IRTv46DDLGlttI44S7gb9XBSv2mHP0tBhoE1Hzd/+&#10;6AxU4bH6rt3XP8fjy84exm0dEhsze5g+3kFlmvLNfL3+tIK/EFp5Rib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vxmxQAAANwAAAAPAAAAAAAAAAAAAAAAAJgCAABkcnMv&#10;ZG93bnJldi54bWxQSwUGAAAAAAQABAD1AAAAigMAAAAA&#10;" fillcolor="#daeef3 [664]">
                  <v:fill opacity="42662f"/>
                  <v:textbox>
                    <w:txbxContent>
                      <w:p w:rsidR="00377C33" w:rsidRPr="001573B2" w:rsidRDefault="00377C33" w:rsidP="00C45934">
                        <w:pPr>
                          <w:rPr>
                            <w:sz w:val="20"/>
                          </w:rPr>
                        </w:pPr>
                        <w:r w:rsidRPr="001573B2">
                          <w:rPr>
                            <w:sz w:val="20"/>
                          </w:rPr>
                          <w:t xml:space="preserve">A DHS Social Worker makes a </w:t>
                        </w:r>
                        <w:r>
                          <w:rPr>
                            <w:sz w:val="20"/>
                          </w:rPr>
                          <w:t>decision to place the client on</w:t>
                        </w:r>
                        <w:r w:rsidRPr="001573B2">
                          <w:rPr>
                            <w:sz w:val="20"/>
                          </w:rPr>
                          <w:t xml:space="preserve"> income management under the Vulnerable Welfare Payment Recipient Measure (Vulnerable Measure). Can be done following an interview with the person or following a file review in some circumstances</w:t>
                        </w:r>
                        <w:r>
                          <w:rPr>
                            <w:sz w:val="20"/>
                          </w:rPr>
                          <w:t>. The client can be referred by a housing authority or another service.  Criteria for VULN IM includes: financial hardship; financial exploitation; failure to undertake reasonable self-care; homelessness or risk of homelessness.</w:t>
                        </w:r>
                      </w:p>
                    </w:txbxContent>
                  </v:textbox>
                </v:roundrect>
                <v:roundrect id="AutoShape 439" o:spid="_x0000_s1080" style="position:absolute;left:2715;top:5730;width:5895;height:1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Z/cIA&#10;AADcAAAADwAAAGRycy9kb3ducmV2LnhtbERP3WrCMBS+H/gO4QjeDE2VMbQaRQZFB9tF1Qc4NMe2&#10;2JxkSbTd2y+Dwe7Ox/d7NrvBdOJBPrSWFcxnGQjiyuqWawWXczFdgggRWWNnmRR8U4DddvS0wVzb&#10;nkt6nGItUgiHHBU0MbpcylA1ZDDMrCNO3NV6gzFBX0vtsU/hppOLLHuVBltODQ06emuoup3uRkHh&#10;novP0nx8sb+/vOtrfyhdYKUm42G/BhFpiP/iP/dRp/nzF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ln9wgAAANwAAAAPAAAAAAAAAAAAAAAAAJgCAABkcnMvZG93&#10;bnJldi54bWxQSwUGAAAAAAQABAD1AAAAhwMAAAAA&#10;" fillcolor="#daeef3 [664]">
                  <v:fill opacity="42662f"/>
                  <v:textbox>
                    <w:txbxContent>
                      <w:p w:rsidR="00377C33" w:rsidRPr="007468DF" w:rsidRDefault="00377C33" w:rsidP="00C45934">
                        <w:pPr>
                          <w:rPr>
                            <w:sz w:val="20"/>
                          </w:rPr>
                        </w:pPr>
                        <w:r w:rsidRPr="007468DF">
                          <w:rPr>
                            <w:sz w:val="20"/>
                          </w:rPr>
                          <w:t>The DHS Social Worker creates a notice for the client</w:t>
                        </w:r>
                        <w:r>
                          <w:rPr>
                            <w:sz w:val="20"/>
                          </w:rPr>
                          <w:t>, which is recorded in the client record</w:t>
                        </w:r>
                        <w:r w:rsidRPr="007468DF">
                          <w:rPr>
                            <w:sz w:val="20"/>
                          </w:rPr>
                          <w:t>. The notice outlines the duration of income management they wish to</w:t>
                        </w:r>
                        <w:r>
                          <w:rPr>
                            <w:sz w:val="20"/>
                          </w:rPr>
                          <w:t xml:space="preserve"> be</w:t>
                        </w:r>
                        <w:r w:rsidRPr="007468DF">
                          <w:rPr>
                            <w:sz w:val="20"/>
                          </w:rPr>
                          <w:t xml:space="preserve"> applied to the client (up to 12 months)</w:t>
                        </w:r>
                      </w:p>
                    </w:txbxContent>
                  </v:textbox>
                </v:roundrect>
                <v:roundrect id="AutoShape 440" o:spid="_x0000_s1081" style="position:absolute;left:2715;top:7350;width:5760;height:13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3cUA&#10;AADcAAAADwAAAGRycy9kb3ducmV2LnhtbESPQWvDMAyF74P9B6PCLmN1VsYoad1SBmEbbIe0+wEi&#10;VpPQWPZst8n+/XQo9Cbxnt77tN5OblAXiqn3bOB5XoAibrztuTXwc6ielqBSRrY4eCYDf5Rgu7m/&#10;W2Np/cg1Xfa5VRLCqUQDXc6h1Do1HTlMcx+IRTv66DDLGlttI44S7ga9KIpX7bBnaegw0FtHzWl/&#10;dgaq8Fh91+7rl+P55dMex/c6JDbmYTbtVqAyTflmvl5/WMFfCL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DrdxQAAANwAAAAPAAAAAAAAAAAAAAAAAJgCAABkcnMv&#10;ZG93bnJldi54bWxQSwUGAAAAAAQABAD1AAAAigMAAAAA&#10;" fillcolor="#daeef3 [664]">
                  <v:fill opacity="42662f"/>
                  <v:textbox>
                    <w:txbxContent>
                      <w:p w:rsidR="00377C33" w:rsidRPr="007468DF" w:rsidRDefault="00377C33" w:rsidP="00C45934">
                        <w:pPr>
                          <w:rPr>
                            <w:sz w:val="20"/>
                          </w:rPr>
                        </w:pPr>
                        <w:r w:rsidRPr="007468DF">
                          <w:rPr>
                            <w:sz w:val="20"/>
                          </w:rPr>
                          <w:t>Upon receipt of the notice, the DHS Social Worker hands ov</w:t>
                        </w:r>
                        <w:r>
                          <w:rPr>
                            <w:sz w:val="20"/>
                          </w:rPr>
                          <w:t>er to a Customer Service Officer (CSO</w:t>
                        </w:r>
                        <w:r w:rsidRPr="007468DF">
                          <w:rPr>
                            <w:sz w:val="20"/>
                          </w:rPr>
                          <w:t>) to contact the customer an</w:t>
                        </w:r>
                        <w:r>
                          <w:rPr>
                            <w:sz w:val="20"/>
                          </w:rPr>
                          <w:t>d arrange an initial assessment</w:t>
                        </w:r>
                        <w:r w:rsidRPr="007468DF">
                          <w:rPr>
                            <w:sz w:val="20"/>
                          </w:rPr>
                          <w:t xml:space="preserve"> interview on the same day or at a later date.</w:t>
                        </w:r>
                      </w:p>
                      <w:p w:rsidR="00377C33" w:rsidRDefault="00377C33" w:rsidP="00C45934"/>
                    </w:txbxContent>
                  </v:textbox>
                </v:roundrect>
                <v:roundrect id="AutoShape 441" o:spid="_x0000_s1082" style="position:absolute;left:2715;top:8970;width:5760;height:21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aG8MA&#10;AADcAAAADwAAAGRycy9kb3ducmV2LnhtbERPTWvCQBC9F/wPywi9NRtzaGt0FQkIpbSUqkiOQ3ZM&#10;gtnZsLsm8d93C4Xe5vE+Z72dTCcGcr61rGCRpCCIK6tbrhWcjvunVxA+IGvsLJOCO3nYbmYPa8y1&#10;HfmbhkOoRQxhn6OCJoQ+l9JXDRn0ie2JI3exzmCI0NVSOxxjuOlklqbP0mDLsaHBnoqGquvhZhSU&#10;t+Vwrl6cXpb38bNIP77euR6UepxPuxWIQFP4F/+533Scny3g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HaG8MAAADcAAAADwAAAAAAAAAAAAAAAACYAgAAZHJzL2Rv&#10;d25yZXYueG1sUEsFBgAAAAAEAAQA9QAAAIgDAAAAAA==&#10;" fillcolor="#dbe5f1 [660]">
                  <v:textbox>
                    <w:txbxContent>
                      <w:p w:rsidR="00377C33" w:rsidRPr="007468DF" w:rsidRDefault="00377C33" w:rsidP="00C45934">
                        <w:pPr>
                          <w:rPr>
                            <w:sz w:val="20"/>
                          </w:rPr>
                        </w:pPr>
                        <w:r w:rsidRPr="009A5437">
                          <w:rPr>
                            <w:b/>
                            <w:color w:val="17365D" w:themeColor="text2" w:themeShade="BF"/>
                            <w:sz w:val="20"/>
                          </w:rPr>
                          <w:t>At the initial allocation interview</w:t>
                        </w:r>
                        <w:r w:rsidRPr="007468DF">
                          <w:rPr>
                            <w:sz w:val="20"/>
                          </w:rPr>
                          <w:t>:</w:t>
                        </w:r>
                      </w:p>
                      <w:p w:rsidR="00377C33" w:rsidRPr="00C45934" w:rsidRDefault="00377C33" w:rsidP="00FB72A3">
                        <w:pPr>
                          <w:pStyle w:val="ListParagraph"/>
                          <w:numPr>
                            <w:ilvl w:val="0"/>
                            <w:numId w:val="17"/>
                          </w:numPr>
                          <w:spacing w:after="200" w:line="276" w:lineRule="auto"/>
                          <w:rPr>
                            <w:rFonts w:asciiTheme="minorHAnsi" w:hAnsiTheme="minorHAnsi"/>
                            <w:sz w:val="20"/>
                            <w:szCs w:val="20"/>
                          </w:rPr>
                        </w:pPr>
                        <w:r w:rsidRPr="00C45934">
                          <w:rPr>
                            <w:rFonts w:asciiTheme="minorHAnsi" w:hAnsiTheme="minorHAnsi"/>
                            <w:sz w:val="20"/>
                            <w:szCs w:val="20"/>
                          </w:rPr>
                          <w:t>DHS explains to the customer how IM works and their obligations under the measure;</w:t>
                        </w:r>
                      </w:p>
                      <w:p w:rsidR="00377C33" w:rsidRPr="00C45934" w:rsidRDefault="00377C33" w:rsidP="00FB72A3">
                        <w:pPr>
                          <w:pStyle w:val="ListParagraph"/>
                          <w:numPr>
                            <w:ilvl w:val="0"/>
                            <w:numId w:val="17"/>
                          </w:numPr>
                          <w:spacing w:after="200" w:line="276" w:lineRule="auto"/>
                          <w:rPr>
                            <w:rFonts w:asciiTheme="minorHAnsi" w:hAnsiTheme="minorHAnsi"/>
                            <w:sz w:val="20"/>
                            <w:szCs w:val="20"/>
                          </w:rPr>
                        </w:pPr>
                        <w:r w:rsidRPr="00C45934">
                          <w:rPr>
                            <w:rFonts w:asciiTheme="minorHAnsi" w:hAnsiTheme="minorHAnsi"/>
                            <w:sz w:val="20"/>
                            <w:szCs w:val="20"/>
                          </w:rPr>
                          <w:t>DHS and customer discuss the allocation of the customer’s priority needs and determine allocation of IM funds.</w:t>
                        </w:r>
                      </w:p>
                    </w:txbxContent>
                  </v:textbox>
                </v:roundrect>
                <v:roundrect id="AutoShape 442" o:spid="_x0000_s1083" style="position:absolute;left:2295;top:13155;width:6615;height:13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EbMIA&#10;AADcAAAADwAAAGRycy9kb3ducmV2LnhtbERPTWvCQBC9F/wPywje6sYcbE1dpQiCiEUaRTwO2WkS&#10;mp0Nu2sS/70rFHqbx/uc5XowjejI+dqygtk0AUFcWF1zqeB82r6+g/ABWWNjmRTcycN6NXpZYqZt&#10;z9/U5aEUMYR9hgqqENpMSl9UZNBPbUscuR/rDIYIXSm1wz6Gm0amSTKXBmuODRW2tKmo+M1vRsH1&#10;tuguxZvTi+u9/9okh+Oey06pyXj4/AARaAj/4j/3Tsf5aQrP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0RswgAAANwAAAAPAAAAAAAAAAAAAAAAAJgCAABkcnMvZG93&#10;bnJldi54bWxQSwUGAAAAAAQABAD1AAAAhwMAAAAA&#10;" fillcolor="#dbe5f1 [660]">
                  <v:textbox>
                    <w:txbxContent>
                      <w:p w:rsidR="00377C33" w:rsidRPr="007468DF" w:rsidRDefault="00377C33" w:rsidP="00C45934">
                        <w:pPr>
                          <w:rPr>
                            <w:sz w:val="20"/>
                          </w:rPr>
                        </w:pPr>
                        <w:r w:rsidRPr="007468DF">
                          <w:rPr>
                            <w:sz w:val="20"/>
                          </w:rPr>
                          <w:t xml:space="preserve">DHS offer the client a referral to a Financial Management Program Services (FMPS) provider as part of the initial allocation interview. </w:t>
                        </w:r>
                        <w:r>
                          <w:rPr>
                            <w:sz w:val="20"/>
                          </w:rPr>
                          <w:t xml:space="preserve"> </w:t>
                        </w:r>
                        <w:r w:rsidRPr="007468DF">
                          <w:rPr>
                            <w:sz w:val="20"/>
                          </w:rPr>
                          <w:t xml:space="preserve">The client is advised that the referral is voluntary, and confidential, but is encouraged to attend.  </w:t>
                        </w:r>
                      </w:p>
                    </w:txbxContent>
                  </v:textbox>
                </v:roundrect>
                <v:shape id="AutoShape 443" o:spid="_x0000_s1084" type="#_x0000_t32" style="position:absolute;left:5605;top:5475;width:1;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444" o:spid="_x0000_s1085" type="#_x0000_t32" style="position:absolute;left:5612;top:7035;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roundrect id="AutoShape 445" o:spid="_x0000_s1086" style="position:absolute;left:2715;top:11551;width:5670;height:10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cGMIA&#10;AADcAAAADwAAAGRycy9kb3ducmV2LnhtbERP32vCMBB+F/Y/hBvsTdMJ01mNMoTBEEWmIj4ezdkW&#10;m0tJYlv/eyMIvt3H9/Nmi85UoiHnS8sKPgcJCOLM6pJzBYf9b/8bhA/IGivLpOBGHhbzt94MU21b&#10;/qdmF3IRQ9inqKAIoU6l9FlBBv3A1sSRO1tnMETocqkdtjHcVHKYJCNpsOTYUGBNy4Kyy+5qFJyu&#10;k+aYjZ2enG7tZpmstyvOG6U+3rufKYhAXXiJn+4/HecPv+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twYwgAAANwAAAAPAAAAAAAAAAAAAAAAAJgCAABkcnMvZG93&#10;bnJldi54bWxQSwUGAAAAAAQABAD1AAAAhwMAAAAA&#10;" fillcolor="#dbe5f1 [660]">
                  <v:textbox>
                    <w:txbxContent>
                      <w:p w:rsidR="00377C33" w:rsidRDefault="00377C33" w:rsidP="00C45934">
                        <w:r w:rsidRPr="007468DF">
                          <w:rPr>
                            <w:sz w:val="20"/>
                          </w:rPr>
                          <w:t>Client is issued with a BasicsCard if they wish to have one</w:t>
                        </w:r>
                        <w:r>
                          <w:rPr>
                            <w:sz w:val="20"/>
                          </w:rPr>
                          <w:t>, and other financial arrangements are made for allocations, including direct credits, cheques and one-off payments.</w:t>
                        </w:r>
                      </w:p>
                    </w:txbxContent>
                  </v:textbox>
                </v:roundrect>
                <v:shape id="AutoShape 446" o:spid="_x0000_s1087" type="#_x0000_t32" style="position:absolute;left:3915;top:14550;width:1320;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roundrect id="AutoShape 447" o:spid="_x0000_s1088" style="position:absolute;left:1050;top:14925;width:3840;height: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H7MQA&#10;AADcAAAADwAAAGRycy9kb3ducmV2LnhtbERPPW/CMBDdkfofrKvUBRWnGWgUMAi1qtSBBcpAt1N8&#10;xFHjc2o7JO2vx0hIbPf0Pm+5Hm0rzuRD41jByywDQVw53XCt4PD18VyACBFZY+uYFPxRgPXqYbLE&#10;UruBd3Tex1qkEA4lKjAxdqWUoTJkMcxcR5y4k/MWY4K+ltrjkMJtK/Msm0uLDacGgx29Gap+9r1V&#10;MLjt+3DcFD7/n5r+t8+3x+67UOrpcdwsQEQa4118c3/qND9/hesz6QK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x+zEAAAA3AAAAA8AAAAAAAAAAAAAAAAAmAIAAGRycy9k&#10;b3ducmV2LnhtbFBLBQYAAAAABAAEAPUAAACJAwAAAAA=&#10;" fillcolor="#d6e3bc [1302]">
                  <v:textbox>
                    <w:txbxContent>
                      <w:p w:rsidR="00377C33" w:rsidRDefault="00377C33" w:rsidP="00C45934">
                        <w:r>
                          <w:rPr>
                            <w:sz w:val="20"/>
                          </w:rPr>
                          <w:t>Client does not take up referral to financial management program</w:t>
                        </w:r>
                      </w:p>
                    </w:txbxContent>
                  </v:textbox>
                </v:roundrect>
                <v:roundrect id="AutoShape 448" o:spid="_x0000_s1089" style="position:absolute;left:6540;top:14940;width:3840;height: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TnsYA&#10;AADcAAAADwAAAGRycy9kb3ducmV2LnhtbESPMU/DMBCFd6T+B+uQWFDrkAFFad2qAiExdKEwtNsp&#10;PuKI+JzaThP49dyAxHan9+697za72ffqSjF1gQ08rApQxE2wHbcGPt5flhWolJEt9oHJwDcl2G0X&#10;NxusbZj4ja7H3CoJ4VSjAZfzUGudGkce0yoMxKJ9hugxyxpbbSNOEu57XRbFo/bYsTQ4HOjJUfN1&#10;HL2BKRyep9O+iuXPvRsvY3k4DefKmLvbeb8GlWnO/+a/61cr+KX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9TnsYAAADcAAAADwAAAAAAAAAAAAAAAACYAgAAZHJz&#10;L2Rvd25yZXYueG1sUEsFBgAAAAAEAAQA9QAAAIsDAAAAAA==&#10;" fillcolor="#d6e3bc [1302]">
                  <v:textbox>
                    <w:txbxContent>
                      <w:p w:rsidR="00377C33" w:rsidRDefault="00377C33" w:rsidP="00C45934">
                        <w:r>
                          <w:rPr>
                            <w:sz w:val="20"/>
                          </w:rPr>
                          <w:t>Client takes up referral to financial management program</w:t>
                        </w:r>
                      </w:p>
                    </w:txbxContent>
                  </v:textbox>
                </v:roundrect>
                <v:shape id="AutoShape 449" o:spid="_x0000_s1090" type="#_x0000_t32" style="position:absolute;left:5910;top:14550;width:163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roundrect id="AutoShape 450" o:spid="_x0000_s1091" style="position:absolute;left:540;top:8490;width:870;height:6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SMUA&#10;AADcAAAADwAAAGRycy9kb3ducmV2LnhtbESPT2sCMRDF74V+hzAFL6VmVSiyNUpbEHoSqiLtbdjM&#10;/qnJZEnSdf32nYPQ2wzvzXu/WW1G79RAMXWBDcymBSjiKtiOGwPHw/ZpCSplZIsuMBm4UoLN+v5u&#10;haUNF/6kYZ8bJSGcSjTQ5tyXWqeqJY9pGnpi0eoQPWZZY6NtxIuEe6fnRfGsPXYsDS329N5Sdd7/&#10;egMxD191/Xh++96d7OFY/7iOls6YycP4+gIq05j/zbfrDyv4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5pIxQAAANwAAAAPAAAAAAAAAAAAAAAAAJgCAABkcnMv&#10;ZG93bnJldi54bWxQSwUGAAAAAAQABAD1AAAAigMAAAAA&#10;" fillcolor="#dbe5f1 [660]">
                  <v:textbox style="layout-flow:vertical;mso-layout-flow-alt:bottom-to-top">
                    <w:txbxContent>
                      <w:p w:rsidR="00377C33" w:rsidRPr="002278F6" w:rsidRDefault="00377C33" w:rsidP="00C45934">
                        <w:pPr>
                          <w:jc w:val="center"/>
                          <w:rPr>
                            <w:b/>
                          </w:rPr>
                        </w:pPr>
                        <w:r w:rsidRPr="002278F6">
                          <w:rPr>
                            <w:b/>
                          </w:rPr>
                          <w:t>Initial Allocation Interview</w:t>
                        </w:r>
                      </w:p>
                    </w:txbxContent>
                  </v:textbox>
                </v:roundrect>
                <v:roundrect id="AutoShape 451" o:spid="_x0000_s1092" style="position:absolute;left:540;top:1635;width:870;height:65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xMEA&#10;AADcAAAADwAAAGRycy9kb3ducmV2LnhtbERPzYrCMBC+C/sOYRb2Ipq6itVuo4iw4Emw+gBjM9uW&#10;NpPSRFvffiMI3ubj+510O5hG3KlzlWUFs2kEgji3uuJCweX8O1mBcB5ZY2OZFDzIwXbzMUox0bbn&#10;E90zX4gQwi5BBaX3bSKly0sy6Ka2JQ7cn+0M+gC7QuoO+xBuGvkdRUtpsOLQUGJL+5LyOrsZBQtr&#10;blrH4/68dvVjjuOrj4+xUl+fw+4HhKfBv8Uv90GH+fMZPJ8JF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V/sTBAAAA3AAAAA8AAAAAAAAAAAAAAAAAmAIAAGRycy9kb3du&#10;cmV2LnhtbFBLBQYAAAAABAAEAPUAAACGAwAAAAA=&#10;" fillcolor="#d7f2f7">
                  <v:fill opacity="42662f"/>
                  <v:textbox style="layout-flow:vertical;mso-layout-flow-alt:bottom-to-top">
                    <w:txbxContent>
                      <w:p w:rsidR="00377C33" w:rsidRPr="002278F6" w:rsidRDefault="00377C33" w:rsidP="00C45934">
                        <w:pPr>
                          <w:jc w:val="center"/>
                          <w:rPr>
                            <w:b/>
                          </w:rPr>
                        </w:pPr>
                        <w:r>
                          <w:rPr>
                            <w:b/>
                          </w:rPr>
                          <w:t>Referral and Assessment</w:t>
                        </w:r>
                      </w:p>
                    </w:txbxContent>
                  </v:textbox>
                </v:roundrect>
                <v:roundrect id="AutoShape 452" o:spid="_x0000_s1093" style="position:absolute;left:9000;top:3360;width:2790;height:2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rsQA&#10;AADcAAAADwAAAGRycy9kb3ducmV2LnhtbERPTWvCQBC9F/wPywi91U0jiqRuQhELUvFQKxRvQ3ZM&#10;0mZnw+7WRH+9WxB6m8f7nGUxmFacyfnGsoLnSQKCuLS64UrB4fPtaQHCB2SNrWVScCEPRT56WGKm&#10;bc8fdN6HSsQQ9hkqqEPoMil9WZNBP7EdceRO1hkMEbpKaod9DDetTJNkLg02HBtq7GhVU/mz/zUK&#10;jpvd9jpr0/X77MtMw/a7O/XuqNTjeHh9ARFoCP/iu3uj4/xpC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6q7EAAAA3AAAAA8AAAAAAAAAAAAAAAAAmAIAAGRycy9k&#10;b3ducmV2LnhtbFBLBQYAAAAABAAEAPUAAACJAwAAAAA=&#10;" fillcolor="#fbd4b4 [1305]">
                  <v:textbox>
                    <w:txbxContent>
                      <w:p w:rsidR="00377C33" w:rsidRPr="00A4335A" w:rsidRDefault="00377C33" w:rsidP="00C45934">
                        <w:pPr>
                          <w:rPr>
                            <w:sz w:val="20"/>
                          </w:rPr>
                        </w:pPr>
                        <w:r>
                          <w:rPr>
                            <w:sz w:val="20"/>
                          </w:rPr>
                          <w:t>Client can appeal: decision to assess as VULN; decision to place on VULN; length of IM notice; the allocations. They can also request a reconsideration of their vulnerable status no more than once every 90 days.</w:t>
                        </w:r>
                      </w:p>
                    </w:txbxContent>
                  </v:textbox>
                </v:roundrect>
                <v:shape id="AutoShape 453" o:spid="_x0000_s1094" type="#_x0000_t32" style="position:absolute;left:8610;top:4020;width:39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454" o:spid="_x0000_s1095" type="#_x0000_t32" style="position:absolute;left:5612;top:11145;width:0;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455" o:spid="_x0000_s1096" type="#_x0000_t32" style="position:absolute;left:5612;top:8670;width:3553;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roundrect id="AutoShape 456" o:spid="_x0000_s1097" style="position:absolute;left:9075;top:8790;width:2505;height:26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UssMA&#10;AADcAAAADwAAAGRycy9kb3ducmV2LnhtbERP32vCMBB+H/g/hBP2NlMnOK2mRYSBDMewG+Lj0dza&#10;suZSktjW/94MBnu7j+/nbfPRtKIn5xvLCuazBARxaXXDlYKvz9enFQgfkDW2lknBjTzk2eRhi6m2&#10;A5+oL0IlYgj7FBXUIXSplL6syaCf2Y44ct/WGQwRukpqh0MMN618TpKlNNhwbKixo31N5U9xNQou&#10;13V/Ll+cXl9uw/s+OX68cdUr9TgddxsQgcbwL/5zH3Scv1j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UssMAAADcAAAADwAAAAAAAAAAAAAAAACYAgAAZHJzL2Rv&#10;d25yZXYueG1sUEsFBgAAAAAEAAQA9QAAAIgDAAAAAA==&#10;" fillcolor="#dbe5f1 [660]">
                  <v:textbox>
                    <w:txbxContent>
                      <w:p w:rsidR="00377C33" w:rsidRPr="00B50F87" w:rsidRDefault="00377C33" w:rsidP="00C45934">
                        <w:pPr>
                          <w:rPr>
                            <w:sz w:val="20"/>
                          </w:rPr>
                        </w:pPr>
                        <w:r>
                          <w:rPr>
                            <w:sz w:val="20"/>
                          </w:rPr>
                          <w:t>If customer does not attend initial allocation interview they commence automatic IM for 28 days. If there is still no contact from customer, their payment is suspended.</w:t>
                        </w:r>
                      </w:p>
                    </w:txbxContent>
                  </v:textbox>
                </v:roundrect>
                <v:shape id="AutoShape 457" o:spid="_x0000_s1098" type="#_x0000_t32" style="position:absolute;left:5605;top:12630;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roundrect id="AutoShape 458" o:spid="_x0000_s1099" style="position:absolute;left:9075;top:12406;width:2505;height:14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lW8UA&#10;AADcAAAADwAAAGRycy9kb3ducmV2LnhtbESPQWvCQBCF7wX/wzKCt7qxQltTVxGhIFIpVSkeh+w0&#10;Cc3Oht01if/eORR6m+G9ee+b5XpwjeooxNqzgdk0A0VceFtzaeB8en98BRUTssXGMxm4UYT1avSw&#10;xNz6nr+oO6ZSSQjHHA1UKbW51rGoyGGc+pZYtB8fHCZZQ6ltwF7CXaOfsuxZO6xZGipsaVtR8Xu8&#10;OgOX66L7Ll6CXVxu/WGbfXzuueyMmYyHzRuoREP6N/9d76zg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uVbxQAAANwAAAAPAAAAAAAAAAAAAAAAAJgCAABkcnMv&#10;ZG93bnJldi54bWxQSwUGAAAAAAQABAD1AAAAigMAAAAA&#10;" fillcolor="#dbe5f1 [660]">
                  <v:textbox>
                    <w:txbxContent>
                      <w:p w:rsidR="00377C33" w:rsidRPr="00B50F87" w:rsidRDefault="00377C33" w:rsidP="00C45934">
                        <w:pPr>
                          <w:rPr>
                            <w:sz w:val="20"/>
                          </w:rPr>
                        </w:pPr>
                        <w:r>
                          <w:rPr>
                            <w:sz w:val="20"/>
                          </w:rPr>
                          <w:t>Allocations are reviewed approximately every 8-10 weeks or at the request of the customer</w:t>
                        </w:r>
                      </w:p>
                    </w:txbxContent>
                  </v:textbox>
                </v:roundrect>
                <v:shape id="AutoShape 459" o:spid="_x0000_s1100" type="#_x0000_t32" style="position:absolute;left:8385;top:11055;width:1095;height:1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roundrect id="AutoShape 460" o:spid="_x0000_s1101" style="position:absolute;left:2715;top:1592;width:5895;height:10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fcUA&#10;AADcAAAADwAAAGRycy9kb3ducmV2LnhtbESPQWvDMAyF74P9B6PCLmN1NkoZad1SBmEbrId0+wEi&#10;VpPQWPZst8n+/XQo9Cbxnt77tN5OblAXiqn3bOB5XoAibrztuTXw8109vYJKGdni4JkM/FGC7eb+&#10;bo2l9SPXdDnkVkkIpxINdDmHUuvUdOQwzX0gFu3oo8Msa2y1jThKuBv0S1EstcOepaHDQG8dNafD&#10;2RmowmO1r93XL8fz4tMex/c6JDbmYTbtVqAyTflmvl5/WMFfCL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999xQAAANwAAAAPAAAAAAAAAAAAAAAAAJgCAABkcnMv&#10;ZG93bnJldi54bWxQSwUGAAAAAAQABAD1AAAAigMAAAAA&#10;" fillcolor="#daeef3 [664]">
                  <v:fill opacity="42662f"/>
                  <v:textbox>
                    <w:txbxContent>
                      <w:p w:rsidR="00377C33" w:rsidRPr="00FD3665" w:rsidRDefault="00377C33" w:rsidP="00C45934">
                        <w:pPr>
                          <w:rPr>
                            <w:sz w:val="20"/>
                          </w:rPr>
                        </w:pPr>
                        <w:r>
                          <w:rPr>
                            <w:sz w:val="20"/>
                          </w:rPr>
                          <w:t xml:space="preserve">(Note: In some states referrals will also be made by housing authorities) </w:t>
                        </w:r>
                        <w:r w:rsidRPr="00FD3665">
                          <w:rPr>
                            <w:sz w:val="20"/>
                          </w:rPr>
                          <w:t>Client is referred by state housing authorities with recommendation to consider IM</w:t>
                        </w:r>
                      </w:p>
                    </w:txbxContent>
                  </v:textbox>
                </v:roundrect>
                <v:shape id="AutoShape 461" o:spid="_x0000_s1102" type="#_x0000_t32" style="position:absolute;left:5609;top:2625;width:3;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8pr8AAADcAAAADwAAAGRycy9kb3ducmV2LnhtbERPS4vCMBC+C/6HMII3TRURqUbRhYW9&#10;2nrxNjbTBzaT2sxq/febhYW9zcf3nN1hcK16Uh8azwYW8wQUceFtw5WBS/4524AKgmyx9UwG3hTg&#10;sB+Pdpha/+IzPTOpVAzhkKKBWqRLtQ5FTQ7D3HfEkSt971Ai7Ctte3zFcNfqZZKstcOGY0ONHX3U&#10;VNyzb2eA14/uthQ8tbIpb0OZ59lV58ZMJ8NxC0pokH/xn/vLxvmrBfw+Ey/Q+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cA8pr8AAADcAAAADwAAAAAAAAAAAAAAAACh&#10;AgAAZHJzL2Rvd25yZXYueG1sUEsFBgAAAAAEAAQA+QAAAI0DAAAAAA==&#10;">
                  <v:stroke dashstyle="1 1" endarrow="block"/>
                </v:shape>
                <v:shape id="AutoShape 462" o:spid="_x0000_s1103" type="#_x0000_t32" style="position:absolute;left:5612;top:867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463" o:spid="_x0000_s1104" type="#_x0000_t32" style="position:absolute;left:5605;top:14550;width:7;height:15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lH8IAAADcAAAADwAAAGRycy9kb3ducmV2LnhtbERPTWsCMRC9F/ofwgheimbXi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lH8IAAADcAAAADwAAAAAAAAAAAAAA&#10;AAChAgAAZHJzL2Rvd25yZXYueG1sUEsFBgAAAAAEAAQA+QAAAJADAAAAAA==&#10;"/>
                <v:shape id="AutoShape 464" o:spid="_x0000_s1105" type="#_x0000_t32" style="position:absolute;left:4725;top:15780;width:3045;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465" o:spid="_x0000_s1106" type="#_x0000_t32" style="position:absolute;left:8700;top:15780;width:375;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group>
            </w:pict>
          </mc:Fallback>
        </mc:AlternateContent>
      </w:r>
      <w:bookmarkEnd w:id="102"/>
      <w:bookmarkEnd w:id="103"/>
      <w:bookmarkEnd w:id="104"/>
      <w:bookmarkEnd w:id="105"/>
      <w:bookmarkEnd w:id="106"/>
    </w:p>
    <w:bookmarkStart w:id="107" w:name="_Toc326834309"/>
    <w:bookmarkStart w:id="108" w:name="_Toc329183366"/>
    <w:bookmarkStart w:id="109" w:name="_Toc329188996"/>
    <w:bookmarkStart w:id="110" w:name="_Toc329191604"/>
    <w:bookmarkStart w:id="111" w:name="_Toc329193066"/>
    <w:bookmarkStart w:id="112" w:name="_Toc342378993"/>
    <w:bookmarkStart w:id="113" w:name="_Toc342495231"/>
    <w:p w:rsidR="0069353B" w:rsidRPr="00A77F1B" w:rsidRDefault="00FB0D24" w:rsidP="0069353B">
      <w:pPr>
        <w:pStyle w:val="Heading1"/>
        <w:numPr>
          <w:ilvl w:val="0"/>
          <w:numId w:val="0"/>
        </w:numPr>
        <w:rPr>
          <w:sz w:val="20"/>
        </w:rPr>
      </w:pPr>
      <w:r>
        <w:rPr>
          <w:noProof/>
          <w:sz w:val="20"/>
          <w:lang w:eastAsia="en-AU"/>
        </w:rPr>
        <w:lastRenderedPageBreak/>
        <mc:AlternateContent>
          <mc:Choice Requires="wpg">
            <w:drawing>
              <wp:anchor distT="0" distB="0" distL="114300" distR="114300" simplePos="0" relativeHeight="251678720" behindDoc="0" locked="0" layoutInCell="1" allowOverlap="1" wp14:anchorId="48A710D0" wp14:editId="4C3CC5BE">
                <wp:simplePos x="0" y="0"/>
                <wp:positionH relativeFrom="column">
                  <wp:posOffset>-1239520</wp:posOffset>
                </wp:positionH>
                <wp:positionV relativeFrom="paragraph">
                  <wp:posOffset>-711835</wp:posOffset>
                </wp:positionV>
                <wp:extent cx="7124700" cy="9772650"/>
                <wp:effectExtent l="0" t="0" r="19050" b="19050"/>
                <wp:wrapNone/>
                <wp:docPr id="82" name="Group 466" title="Figure 3.6 (second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9772650"/>
                          <a:chOff x="600" y="240"/>
                          <a:chExt cx="11220" cy="14280"/>
                        </a:xfrm>
                      </wpg:grpSpPr>
                      <wps:wsp>
                        <wps:cNvPr id="83" name="AutoShape 467"/>
                        <wps:cNvSpPr>
                          <a:spLocks noChangeArrowheads="1"/>
                        </wps:cNvSpPr>
                        <wps:spPr bwMode="auto">
                          <a:xfrm>
                            <a:off x="1080" y="705"/>
                            <a:ext cx="4125" cy="132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C45934">
                              <w:r>
                                <w:rPr>
                                  <w:sz w:val="20"/>
                                </w:rPr>
                                <w:t>Client completes money management course and shows demonstrated pattern of saving over 13 weeks and is eligible for the Matched Savings Payment</w:t>
                              </w:r>
                            </w:p>
                          </w:txbxContent>
                        </wps:txbx>
                        <wps:bodyPr rot="0" vert="horz" wrap="square" lIns="91440" tIns="45720" rIns="91440" bIns="45720" anchor="t" anchorCtr="0" upright="1">
                          <a:noAutofit/>
                        </wps:bodyPr>
                      </wps:wsp>
                      <wps:wsp>
                        <wps:cNvPr id="84" name="AutoShape 468"/>
                        <wps:cNvSpPr>
                          <a:spLocks noChangeArrowheads="1"/>
                        </wps:cNvSpPr>
                        <wps:spPr bwMode="auto">
                          <a:xfrm>
                            <a:off x="2745" y="2892"/>
                            <a:ext cx="7365" cy="105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7468DF" w:rsidRDefault="00377C33" w:rsidP="00C45934">
                              <w:pPr>
                                <w:rPr>
                                  <w:sz w:val="20"/>
                                </w:rPr>
                              </w:pPr>
                              <w:r w:rsidRPr="007468DF">
                                <w:rPr>
                                  <w:sz w:val="20"/>
                                </w:rPr>
                                <w:t xml:space="preserve">The DHS </w:t>
                              </w:r>
                              <w:r>
                                <w:rPr>
                                  <w:sz w:val="20"/>
                                </w:rPr>
                                <w:t xml:space="preserve">Social </w:t>
                              </w:r>
                              <w:r w:rsidRPr="007468DF">
                                <w:rPr>
                                  <w:sz w:val="20"/>
                                </w:rPr>
                                <w:t>Worker can make the decision at any point to continue the customer on IM or to end IM early (revoke the notice)</w:t>
                              </w:r>
                              <w:r>
                                <w:rPr>
                                  <w:sz w:val="20"/>
                                </w:rPr>
                                <w:t xml:space="preserve">. The review can be held with the client or be done as a file assessment. </w:t>
                              </w:r>
                            </w:p>
                          </w:txbxContent>
                        </wps:txbx>
                        <wps:bodyPr rot="0" vert="horz" wrap="square" lIns="91440" tIns="45720" rIns="91440" bIns="45720" anchor="t" anchorCtr="0" upright="1">
                          <a:noAutofit/>
                        </wps:bodyPr>
                      </wps:wsp>
                      <wps:wsp>
                        <wps:cNvPr id="85" name="AutoShape 469"/>
                        <wps:cNvSpPr>
                          <a:spLocks noChangeArrowheads="1"/>
                        </wps:cNvSpPr>
                        <wps:spPr bwMode="auto">
                          <a:xfrm>
                            <a:off x="2820" y="4335"/>
                            <a:ext cx="2295" cy="82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7468DF" w:rsidRDefault="00377C33" w:rsidP="00C45934">
                              <w:pPr>
                                <w:rPr>
                                  <w:sz w:val="20"/>
                                </w:rPr>
                              </w:pPr>
                              <w:r w:rsidRPr="007468DF">
                                <w:rPr>
                                  <w:sz w:val="20"/>
                                </w:rPr>
                                <w:t xml:space="preserve">Customer is </w:t>
                              </w:r>
                              <w:r w:rsidRPr="009A5437">
                                <w:rPr>
                                  <w:b/>
                                  <w:sz w:val="20"/>
                                </w:rPr>
                                <w:t xml:space="preserve">continued </w:t>
                              </w:r>
                              <w:r w:rsidRPr="007468DF">
                                <w:rPr>
                                  <w:sz w:val="20"/>
                                </w:rPr>
                                <w:t xml:space="preserve">on </w:t>
                              </w:r>
                              <w:r>
                                <w:rPr>
                                  <w:sz w:val="20"/>
                                </w:rPr>
                                <w:t xml:space="preserve">VULN </w:t>
                              </w:r>
                              <w:r w:rsidRPr="007468DF">
                                <w:rPr>
                                  <w:sz w:val="20"/>
                                </w:rPr>
                                <w:t>IM</w:t>
                              </w:r>
                            </w:p>
                          </w:txbxContent>
                        </wps:txbx>
                        <wps:bodyPr rot="0" vert="horz" wrap="square" lIns="91440" tIns="45720" rIns="91440" bIns="45720" anchor="t" anchorCtr="0" upright="1">
                          <a:noAutofit/>
                        </wps:bodyPr>
                      </wps:wsp>
                      <wps:wsp>
                        <wps:cNvPr id="86" name="AutoShape 470"/>
                        <wps:cNvSpPr>
                          <a:spLocks noChangeArrowheads="1"/>
                        </wps:cNvSpPr>
                        <wps:spPr bwMode="auto">
                          <a:xfrm>
                            <a:off x="2745" y="5790"/>
                            <a:ext cx="5985" cy="93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B95107" w:rsidRDefault="00377C33" w:rsidP="00C45934">
                              <w:pPr>
                                <w:rPr>
                                  <w:color w:val="FFFFFF" w:themeColor="background1"/>
                                  <w:sz w:val="20"/>
                                </w:rPr>
                              </w:pPr>
                              <w:r w:rsidRPr="00B95107">
                                <w:rPr>
                                  <w:color w:val="FFFFFF" w:themeColor="background1"/>
                                  <w:sz w:val="20"/>
                                </w:rPr>
                                <w:t xml:space="preserve">The </w:t>
                              </w:r>
                              <w:r w:rsidRPr="00B95107">
                                <w:rPr>
                                  <w:b/>
                                  <w:color w:val="FFFFFF" w:themeColor="background1"/>
                                  <w:sz w:val="20"/>
                                </w:rPr>
                                <w:t>final review</w:t>
                              </w:r>
                              <w:r w:rsidRPr="00B95107">
                                <w:rPr>
                                  <w:color w:val="FFFFFF" w:themeColor="background1"/>
                                  <w:sz w:val="20"/>
                                </w:rPr>
                                <w:t xml:space="preserve"> is conducted 35 days prior to income management ending by the DHS Social Worker</w:t>
                              </w:r>
                            </w:p>
                          </w:txbxContent>
                        </wps:txbx>
                        <wps:bodyPr rot="0" vert="horz" wrap="square" lIns="91440" tIns="45720" rIns="91440" bIns="45720" anchor="t" anchorCtr="0" upright="1">
                          <a:noAutofit/>
                        </wps:bodyPr>
                      </wps:wsp>
                      <wps:wsp>
                        <wps:cNvPr id="87" name="AutoShape 471"/>
                        <wps:cNvSpPr>
                          <a:spLocks noChangeArrowheads="1"/>
                        </wps:cNvSpPr>
                        <wps:spPr bwMode="auto">
                          <a:xfrm>
                            <a:off x="1995" y="7305"/>
                            <a:ext cx="2400" cy="112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B95107" w:rsidRDefault="00377C33" w:rsidP="00C45934">
                              <w:pPr>
                                <w:rPr>
                                  <w:color w:val="FFFFFF" w:themeColor="background1"/>
                                  <w:sz w:val="20"/>
                                </w:rPr>
                              </w:pPr>
                              <w:r w:rsidRPr="00B95107">
                                <w:rPr>
                                  <w:color w:val="FFFFFF" w:themeColor="background1"/>
                                  <w:sz w:val="20"/>
                                </w:rPr>
                                <w:t xml:space="preserve">DHS Social Worker decides to allow the notice to </w:t>
                              </w:r>
                              <w:r w:rsidRPr="00B95107">
                                <w:rPr>
                                  <w:b/>
                                  <w:color w:val="FFFFFF" w:themeColor="background1"/>
                                  <w:sz w:val="20"/>
                                </w:rPr>
                                <w:t>expire</w:t>
                              </w:r>
                            </w:p>
                          </w:txbxContent>
                        </wps:txbx>
                        <wps:bodyPr rot="0" vert="horz" wrap="square" lIns="91440" tIns="45720" rIns="91440" bIns="45720" anchor="t" anchorCtr="0" upright="1">
                          <a:noAutofit/>
                        </wps:bodyPr>
                      </wps:wsp>
                      <wps:wsp>
                        <wps:cNvPr id="88" name="AutoShape 472"/>
                        <wps:cNvSpPr>
                          <a:spLocks noChangeArrowheads="1"/>
                        </wps:cNvSpPr>
                        <wps:spPr bwMode="auto">
                          <a:xfrm>
                            <a:off x="7035" y="7395"/>
                            <a:ext cx="2610" cy="79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B95107" w:rsidRDefault="00377C33" w:rsidP="00C45934">
                              <w:pPr>
                                <w:rPr>
                                  <w:color w:val="FFFFFF" w:themeColor="background1"/>
                                  <w:sz w:val="20"/>
                                </w:rPr>
                              </w:pPr>
                              <w:r w:rsidRPr="00B95107">
                                <w:rPr>
                                  <w:color w:val="FFFFFF" w:themeColor="background1"/>
                                  <w:sz w:val="20"/>
                                </w:rPr>
                                <w:t xml:space="preserve">DHS Social Worker </w:t>
                              </w:r>
                              <w:r w:rsidRPr="00B95107">
                                <w:rPr>
                                  <w:b/>
                                  <w:color w:val="FFFFFF" w:themeColor="background1"/>
                                  <w:sz w:val="20"/>
                                </w:rPr>
                                <w:t>extends</w:t>
                              </w:r>
                              <w:r w:rsidRPr="00B95107">
                                <w:rPr>
                                  <w:color w:val="FFFFFF" w:themeColor="background1"/>
                                  <w:sz w:val="20"/>
                                </w:rPr>
                                <w:t xml:space="preserve"> the notice</w:t>
                              </w:r>
                            </w:p>
                          </w:txbxContent>
                        </wps:txbx>
                        <wps:bodyPr rot="0" vert="horz" wrap="square" lIns="91440" tIns="45720" rIns="91440" bIns="45720" anchor="t" anchorCtr="0" upright="1">
                          <a:noAutofit/>
                        </wps:bodyPr>
                      </wps:wsp>
                      <wps:wsp>
                        <wps:cNvPr id="89" name="AutoShape 473"/>
                        <wps:cNvSpPr>
                          <a:spLocks noChangeArrowheads="1"/>
                        </wps:cNvSpPr>
                        <wps:spPr bwMode="auto">
                          <a:xfrm>
                            <a:off x="2610" y="9150"/>
                            <a:ext cx="3570" cy="1788"/>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5E5C9A" w:rsidRDefault="00377C33" w:rsidP="00C45934">
                              <w:pPr>
                                <w:rPr>
                                  <w:color w:val="FFFFFF" w:themeColor="background1"/>
                                  <w:sz w:val="20"/>
                                </w:rPr>
                              </w:pPr>
                              <w:r w:rsidRPr="005E5C9A">
                                <w:rPr>
                                  <w:color w:val="FFFFFF" w:themeColor="background1"/>
                                  <w:sz w:val="20"/>
                                </w:rPr>
                                <w:t xml:space="preserve">Customer attends an </w:t>
                              </w:r>
                              <w:r w:rsidRPr="005E5C9A">
                                <w:rPr>
                                  <w:b/>
                                  <w:color w:val="FFFFFF" w:themeColor="background1"/>
                                  <w:sz w:val="20"/>
                                </w:rPr>
                                <w:t>exit interview</w:t>
                              </w:r>
                              <w:r w:rsidRPr="005E5C9A">
                                <w:rPr>
                                  <w:color w:val="FFFFFF" w:themeColor="background1"/>
                                  <w:sz w:val="20"/>
                                </w:rPr>
                                <w:t xml:space="preserve"> if notice is not </w:t>
                              </w:r>
                              <w:proofErr w:type="gramStart"/>
                              <w:r w:rsidRPr="005E5C9A">
                                <w:rPr>
                                  <w:color w:val="FFFFFF" w:themeColor="background1"/>
                                  <w:sz w:val="20"/>
                                </w:rPr>
                                <w:t>extended,</w:t>
                              </w:r>
                              <w:proofErr w:type="gramEnd"/>
                              <w:r w:rsidRPr="005E5C9A">
                                <w:rPr>
                                  <w:color w:val="FFFFFF" w:themeColor="background1"/>
                                  <w:sz w:val="20"/>
                                </w:rPr>
                                <w:t xml:space="preserve"> The customer is offered the option to transition to Voluntary Income Management. Referral to a FMPS offered to client.</w:t>
                              </w:r>
                            </w:p>
                          </w:txbxContent>
                        </wps:txbx>
                        <wps:bodyPr rot="0" vert="horz" wrap="square" lIns="91440" tIns="45720" rIns="91440" bIns="45720" anchor="t" anchorCtr="0" upright="1">
                          <a:noAutofit/>
                        </wps:bodyPr>
                      </wps:wsp>
                      <wps:wsp>
                        <wps:cNvPr id="90" name="AutoShape 474"/>
                        <wps:cNvCnPr>
                          <a:cxnSpLocks noChangeShapeType="1"/>
                        </wps:cNvCnPr>
                        <wps:spPr bwMode="auto">
                          <a:xfrm>
                            <a:off x="3345" y="8430"/>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475"/>
                        <wps:cNvCnPr>
                          <a:cxnSpLocks noChangeShapeType="1"/>
                        </wps:cNvCnPr>
                        <wps:spPr bwMode="auto">
                          <a:xfrm>
                            <a:off x="8730" y="8190"/>
                            <a:ext cx="1"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476"/>
                        <wps:cNvCnPr>
                          <a:cxnSpLocks noChangeShapeType="1"/>
                        </wps:cNvCnPr>
                        <wps:spPr bwMode="auto">
                          <a:xfrm flipH="1">
                            <a:off x="4395" y="3945"/>
                            <a:ext cx="52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477"/>
                        <wps:cNvCnPr>
                          <a:cxnSpLocks noChangeShapeType="1"/>
                        </wps:cNvCnPr>
                        <wps:spPr bwMode="auto">
                          <a:xfrm>
                            <a:off x="6915" y="3945"/>
                            <a:ext cx="55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478"/>
                        <wps:cNvCnPr>
                          <a:cxnSpLocks noChangeShapeType="1"/>
                        </wps:cNvCnPr>
                        <wps:spPr bwMode="auto">
                          <a:xfrm>
                            <a:off x="4035" y="5190"/>
                            <a:ext cx="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479"/>
                        <wps:cNvSpPr>
                          <a:spLocks noChangeArrowheads="1"/>
                        </wps:cNvSpPr>
                        <wps:spPr bwMode="auto">
                          <a:xfrm>
                            <a:off x="6915" y="4335"/>
                            <a:ext cx="2415" cy="75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9A5437" w:rsidRDefault="00377C33" w:rsidP="00C45934">
                              <w:pPr>
                                <w:rPr>
                                  <w:b/>
                                  <w:sz w:val="20"/>
                                </w:rPr>
                              </w:pPr>
                              <w:r w:rsidRPr="007468DF">
                                <w:rPr>
                                  <w:sz w:val="20"/>
                                </w:rPr>
                                <w:t xml:space="preserve">Customer </w:t>
                              </w:r>
                              <w:r>
                                <w:rPr>
                                  <w:sz w:val="20"/>
                                </w:rPr>
                                <w:t xml:space="preserve">VULN </w:t>
                              </w:r>
                              <w:r w:rsidRPr="007468DF">
                                <w:rPr>
                                  <w:sz w:val="20"/>
                                </w:rPr>
                                <w:t xml:space="preserve">IM notice is </w:t>
                              </w:r>
                              <w:r w:rsidRPr="009A5437">
                                <w:rPr>
                                  <w:b/>
                                  <w:sz w:val="20"/>
                                </w:rPr>
                                <w:t>revoked</w:t>
                              </w:r>
                              <w:r>
                                <w:rPr>
                                  <w:b/>
                                  <w:sz w:val="20"/>
                                </w:rPr>
                                <w:t xml:space="preserve"> </w:t>
                              </w:r>
                            </w:p>
                          </w:txbxContent>
                        </wps:txbx>
                        <wps:bodyPr rot="0" vert="horz" wrap="square" lIns="91440" tIns="45720" rIns="91440" bIns="45720" anchor="t" anchorCtr="0" upright="1">
                          <a:noAutofit/>
                        </wps:bodyPr>
                      </wps:wsp>
                      <wps:wsp>
                        <wps:cNvPr id="96" name="AutoShape 480"/>
                        <wps:cNvCnPr>
                          <a:cxnSpLocks noChangeShapeType="1"/>
                        </wps:cNvCnPr>
                        <wps:spPr bwMode="auto">
                          <a:xfrm flipH="1">
                            <a:off x="4036" y="6720"/>
                            <a:ext cx="1349"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481"/>
                        <wps:cNvCnPr>
                          <a:cxnSpLocks noChangeShapeType="1"/>
                        </wps:cNvCnPr>
                        <wps:spPr bwMode="auto">
                          <a:xfrm>
                            <a:off x="6000" y="6720"/>
                            <a:ext cx="1665"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482"/>
                        <wps:cNvSpPr>
                          <a:spLocks noChangeArrowheads="1"/>
                        </wps:cNvSpPr>
                        <wps:spPr bwMode="auto">
                          <a:xfrm>
                            <a:off x="7995" y="8970"/>
                            <a:ext cx="2550" cy="1437"/>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Pr="007468DF" w:rsidRDefault="00377C33" w:rsidP="00C45934">
                              <w:pPr>
                                <w:rPr>
                                  <w:sz w:val="20"/>
                                </w:rPr>
                              </w:pPr>
                              <w:r w:rsidRPr="007468DF">
                                <w:rPr>
                                  <w:sz w:val="20"/>
                                </w:rPr>
                                <w:t>The DHS Social Workers must create a new notice before the customer’s end date is reached</w:t>
                              </w:r>
                            </w:p>
                          </w:txbxContent>
                        </wps:txbx>
                        <wps:bodyPr rot="0" vert="horz" wrap="square" lIns="91440" tIns="45720" rIns="91440" bIns="45720" anchor="t" anchorCtr="0" upright="1">
                          <a:noAutofit/>
                        </wps:bodyPr>
                      </wps:wsp>
                      <wps:wsp>
                        <wps:cNvPr id="99" name="AutoShape 483"/>
                        <wps:cNvCnPr>
                          <a:cxnSpLocks noChangeShapeType="1"/>
                        </wps:cNvCnPr>
                        <wps:spPr bwMode="auto">
                          <a:xfrm flipH="1">
                            <a:off x="3120" y="10938"/>
                            <a:ext cx="1275" cy="1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484"/>
                        <wps:cNvCnPr>
                          <a:cxnSpLocks noChangeShapeType="1"/>
                        </wps:cNvCnPr>
                        <wps:spPr bwMode="auto">
                          <a:xfrm>
                            <a:off x="4395" y="10938"/>
                            <a:ext cx="1425" cy="1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485"/>
                        <wps:cNvSpPr>
                          <a:spLocks noChangeArrowheads="1"/>
                        </wps:cNvSpPr>
                        <wps:spPr bwMode="auto">
                          <a:xfrm>
                            <a:off x="1665" y="12105"/>
                            <a:ext cx="2370" cy="85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5E5C9A" w:rsidRDefault="00377C33" w:rsidP="00C45934">
                              <w:pPr>
                                <w:rPr>
                                  <w:color w:val="FFFFFF" w:themeColor="background1"/>
                                  <w:sz w:val="20"/>
                                </w:rPr>
                              </w:pPr>
                              <w:r w:rsidRPr="005E5C9A">
                                <w:rPr>
                                  <w:color w:val="FFFFFF" w:themeColor="background1"/>
                                  <w:sz w:val="20"/>
                                </w:rPr>
                                <w:t xml:space="preserve">Customer </w:t>
                              </w:r>
                              <w:r w:rsidRPr="005E5C9A">
                                <w:rPr>
                                  <w:b/>
                                  <w:color w:val="FFFFFF" w:themeColor="background1"/>
                                  <w:sz w:val="20"/>
                                </w:rPr>
                                <w:t>exits</w:t>
                              </w:r>
                              <w:r w:rsidRPr="005E5C9A">
                                <w:rPr>
                                  <w:color w:val="FFFFFF" w:themeColor="background1"/>
                                  <w:sz w:val="20"/>
                                </w:rPr>
                                <w:t xml:space="preserve"> IM</w:t>
                              </w:r>
                            </w:p>
                          </w:txbxContent>
                        </wps:txbx>
                        <wps:bodyPr rot="0" vert="horz" wrap="square" lIns="91440" tIns="45720" rIns="91440" bIns="45720" anchor="t" anchorCtr="0" upright="1">
                          <a:noAutofit/>
                        </wps:bodyPr>
                      </wps:wsp>
                      <wps:wsp>
                        <wps:cNvPr id="102" name="AutoShape 486"/>
                        <wps:cNvSpPr>
                          <a:spLocks noChangeArrowheads="1"/>
                        </wps:cNvSpPr>
                        <wps:spPr bwMode="auto">
                          <a:xfrm>
                            <a:off x="4920" y="12105"/>
                            <a:ext cx="2370" cy="85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Pr="007468DF" w:rsidRDefault="00377C33" w:rsidP="00C45934">
                              <w:pPr>
                                <w:rPr>
                                  <w:sz w:val="20"/>
                                </w:rPr>
                              </w:pPr>
                              <w:r w:rsidRPr="007468DF">
                                <w:rPr>
                                  <w:sz w:val="20"/>
                                </w:rPr>
                                <w:t xml:space="preserve">Customer </w:t>
                              </w:r>
                              <w:r w:rsidRPr="009A5437">
                                <w:rPr>
                                  <w:b/>
                                  <w:sz w:val="20"/>
                                </w:rPr>
                                <w:t>transitions</w:t>
                              </w:r>
                              <w:r>
                                <w:rPr>
                                  <w:sz w:val="20"/>
                                </w:rPr>
                                <w:t xml:space="preserve"> to </w:t>
                              </w:r>
                              <w:r w:rsidRPr="007468DF">
                                <w:rPr>
                                  <w:sz w:val="20"/>
                                </w:rPr>
                                <w:t xml:space="preserve">Voluntary IM </w:t>
                              </w:r>
                            </w:p>
                          </w:txbxContent>
                        </wps:txbx>
                        <wps:bodyPr rot="0" vert="horz" wrap="square" lIns="91440" tIns="45720" rIns="91440" bIns="45720" anchor="t" anchorCtr="0" upright="1">
                          <a:noAutofit/>
                        </wps:bodyPr>
                      </wps:wsp>
                      <wps:wsp>
                        <wps:cNvPr id="103" name="AutoShape 487"/>
                        <wps:cNvCnPr>
                          <a:cxnSpLocks noChangeShapeType="1"/>
                        </wps:cNvCnPr>
                        <wps:spPr bwMode="auto">
                          <a:xfrm>
                            <a:off x="9330" y="10407"/>
                            <a:ext cx="0"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88"/>
                        <wps:cNvSpPr>
                          <a:spLocks noChangeArrowheads="1"/>
                        </wps:cNvSpPr>
                        <wps:spPr bwMode="auto">
                          <a:xfrm>
                            <a:off x="8340" y="11760"/>
                            <a:ext cx="2370" cy="82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Pr="007468DF" w:rsidRDefault="00377C33" w:rsidP="00C45934">
                              <w:pPr>
                                <w:rPr>
                                  <w:sz w:val="20"/>
                                </w:rPr>
                              </w:pPr>
                              <w:r w:rsidRPr="007468DF">
                                <w:rPr>
                                  <w:sz w:val="20"/>
                                </w:rPr>
                                <w:t xml:space="preserve">Customer </w:t>
                              </w:r>
                              <w:r w:rsidRPr="009A5437">
                                <w:rPr>
                                  <w:b/>
                                  <w:sz w:val="20"/>
                                </w:rPr>
                                <w:t>continues</w:t>
                              </w:r>
                              <w:r>
                                <w:rPr>
                                  <w:sz w:val="20"/>
                                </w:rPr>
                                <w:t xml:space="preserve"> on Vulnerable IM. </w:t>
                              </w:r>
                            </w:p>
                          </w:txbxContent>
                        </wps:txbx>
                        <wps:bodyPr rot="0" vert="horz" wrap="square" lIns="91440" tIns="45720" rIns="91440" bIns="45720" anchor="t" anchorCtr="0" upright="1">
                          <a:noAutofit/>
                        </wps:bodyPr>
                      </wps:wsp>
                      <wps:wsp>
                        <wps:cNvPr id="105" name="AutoShape 489"/>
                        <wps:cNvSpPr>
                          <a:spLocks noChangeArrowheads="1"/>
                        </wps:cNvSpPr>
                        <wps:spPr bwMode="auto">
                          <a:xfrm>
                            <a:off x="8415" y="990"/>
                            <a:ext cx="3315" cy="111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C45934">
                              <w:r>
                                <w:rPr>
                                  <w:sz w:val="20"/>
                                </w:rPr>
                                <w:t>Client does not complete money management course and is not eligible for Matched Savings Payment</w:t>
                              </w:r>
                            </w:p>
                          </w:txbxContent>
                        </wps:txbx>
                        <wps:bodyPr rot="0" vert="horz" wrap="square" lIns="91440" tIns="45720" rIns="91440" bIns="45720" anchor="t" anchorCtr="0" upright="1">
                          <a:noAutofit/>
                        </wps:bodyPr>
                      </wps:wsp>
                      <wps:wsp>
                        <wps:cNvPr id="106" name="AutoShape 490"/>
                        <wps:cNvSpPr>
                          <a:spLocks noChangeArrowheads="1"/>
                        </wps:cNvSpPr>
                        <wps:spPr bwMode="auto">
                          <a:xfrm>
                            <a:off x="630" y="2460"/>
                            <a:ext cx="825" cy="255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2278F6" w:rsidRDefault="00377C33" w:rsidP="00C45934">
                              <w:pPr>
                                <w:jc w:val="center"/>
                                <w:rPr>
                                  <w:b/>
                                </w:rPr>
                              </w:pPr>
                              <w:r>
                                <w:rPr>
                                  <w:b/>
                                </w:rPr>
                                <w:t>Review of IM</w:t>
                              </w:r>
                            </w:p>
                          </w:txbxContent>
                        </wps:txbx>
                        <wps:bodyPr rot="0" vert="vert270" wrap="square" lIns="91440" tIns="45720" rIns="91440" bIns="45720" anchor="t" anchorCtr="0" upright="1">
                          <a:noAutofit/>
                        </wps:bodyPr>
                      </wps:wsp>
                      <wps:wsp>
                        <wps:cNvPr id="107" name="AutoShape 491"/>
                        <wps:cNvSpPr>
                          <a:spLocks noChangeArrowheads="1"/>
                        </wps:cNvSpPr>
                        <wps:spPr bwMode="auto">
                          <a:xfrm>
                            <a:off x="600" y="5535"/>
                            <a:ext cx="825" cy="735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2278F6" w:rsidRDefault="00377C33" w:rsidP="00C45934">
                              <w:pPr>
                                <w:jc w:val="center"/>
                                <w:rPr>
                                  <w:b/>
                                  <w:color w:val="FFFFFF" w:themeColor="background1"/>
                                </w:rPr>
                              </w:pPr>
                              <w:r w:rsidRPr="002278F6">
                                <w:rPr>
                                  <w:b/>
                                  <w:color w:val="FFFFFF" w:themeColor="background1"/>
                                </w:rPr>
                                <w:t>Final review</w:t>
                              </w:r>
                              <w:r>
                                <w:rPr>
                                  <w:b/>
                                  <w:color w:val="FFFFFF" w:themeColor="background1"/>
                                </w:rPr>
                                <w:t xml:space="preserve"> and exiting VULN IM</w:t>
                              </w:r>
                            </w:p>
                          </w:txbxContent>
                        </wps:txbx>
                        <wps:bodyPr rot="0" vert="vert270" wrap="square" lIns="91440" tIns="45720" rIns="91440" bIns="45720" anchor="t" anchorCtr="0" upright="1">
                          <a:noAutofit/>
                        </wps:bodyPr>
                      </wps:wsp>
                      <wps:wsp>
                        <wps:cNvPr id="108" name="AutoShape 492"/>
                        <wps:cNvSpPr>
                          <a:spLocks noChangeArrowheads="1"/>
                        </wps:cNvSpPr>
                        <wps:spPr bwMode="auto">
                          <a:xfrm>
                            <a:off x="2820" y="13470"/>
                            <a:ext cx="3375" cy="105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Default="00377C33" w:rsidP="00C45934">
                              <w:r>
                                <w:rPr>
                                  <w:sz w:val="20"/>
                                </w:rPr>
                                <w:t xml:space="preserve">Client takes up options for meeting expenses via </w:t>
                              </w:r>
                              <w:proofErr w:type="spellStart"/>
                              <w:r>
                                <w:rPr>
                                  <w:sz w:val="20"/>
                                </w:rPr>
                                <w:t>Centrepay</w:t>
                              </w:r>
                              <w:proofErr w:type="spellEnd"/>
                              <w:r>
                                <w:rPr>
                                  <w:sz w:val="20"/>
                                </w:rPr>
                                <w:t xml:space="preserve"> or Nominee arrangements</w:t>
                              </w:r>
                            </w:p>
                          </w:txbxContent>
                        </wps:txbx>
                        <wps:bodyPr rot="0" vert="horz" wrap="square" lIns="91440" tIns="45720" rIns="91440" bIns="45720" anchor="t" anchorCtr="0" upright="1">
                          <a:noAutofit/>
                        </wps:bodyPr>
                      </wps:wsp>
                      <wps:wsp>
                        <wps:cNvPr id="109" name="AutoShape 493"/>
                        <wps:cNvCnPr>
                          <a:cxnSpLocks noChangeShapeType="1"/>
                        </wps:cNvCnPr>
                        <wps:spPr bwMode="auto">
                          <a:xfrm>
                            <a:off x="4395" y="10938"/>
                            <a:ext cx="0" cy="25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494"/>
                        <wps:cNvSpPr>
                          <a:spLocks noChangeArrowheads="1"/>
                        </wps:cNvSpPr>
                        <wps:spPr bwMode="auto">
                          <a:xfrm>
                            <a:off x="6105" y="10692"/>
                            <a:ext cx="2505" cy="1068"/>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Pr="00806E38" w:rsidRDefault="00377C33" w:rsidP="00C45934">
                              <w:pPr>
                                <w:rPr>
                                  <w:sz w:val="20"/>
                                </w:rPr>
                              </w:pPr>
                              <w:r w:rsidRPr="00806E38">
                                <w:rPr>
                                  <w:sz w:val="20"/>
                                </w:rPr>
                                <w:t xml:space="preserve">Customer referred </w:t>
                              </w:r>
                              <w:r>
                                <w:rPr>
                                  <w:sz w:val="20"/>
                                </w:rPr>
                                <w:t xml:space="preserve">again </w:t>
                              </w:r>
                              <w:r w:rsidRPr="00806E38">
                                <w:rPr>
                                  <w:sz w:val="20"/>
                                </w:rPr>
                                <w:t>to FMPS</w:t>
                              </w:r>
                              <w:r>
                                <w:rPr>
                                  <w:sz w:val="20"/>
                                </w:rPr>
                                <w:t xml:space="preserve"> if did not accept earlier referral</w:t>
                              </w:r>
                            </w:p>
                          </w:txbxContent>
                        </wps:txbx>
                        <wps:bodyPr rot="0" vert="horz" wrap="square" lIns="91440" tIns="45720" rIns="91440" bIns="45720" anchor="t" anchorCtr="0" upright="1">
                          <a:noAutofit/>
                        </wps:bodyPr>
                      </wps:wsp>
                      <wps:wsp>
                        <wps:cNvPr id="111" name="AutoShape 495"/>
                        <wps:cNvCnPr>
                          <a:cxnSpLocks noChangeShapeType="1"/>
                        </wps:cNvCnPr>
                        <wps:spPr bwMode="auto">
                          <a:xfrm>
                            <a:off x="6180" y="9825"/>
                            <a:ext cx="735" cy="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496"/>
                        <wps:cNvCnPr>
                          <a:cxnSpLocks noChangeShapeType="1"/>
                        </wps:cNvCnPr>
                        <wps:spPr bwMode="auto">
                          <a:xfrm>
                            <a:off x="8820" y="5085"/>
                            <a:ext cx="990"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497"/>
                        <wps:cNvSpPr>
                          <a:spLocks noChangeArrowheads="1"/>
                        </wps:cNvSpPr>
                        <wps:spPr bwMode="auto">
                          <a:xfrm>
                            <a:off x="9735" y="5535"/>
                            <a:ext cx="2085" cy="319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Pr="00742B5C" w:rsidRDefault="00377C33" w:rsidP="00C45934">
                              <w:pPr>
                                <w:rPr>
                                  <w:sz w:val="20"/>
                                </w:rPr>
                              </w:pPr>
                              <w:r>
                                <w:rPr>
                                  <w:sz w:val="20"/>
                                </w:rPr>
                                <w:t>Client continues on IM for up to 28 days before returning to normal payments. This is to allow time to contact the customer before making a change to their payments.</w:t>
                              </w:r>
                            </w:p>
                          </w:txbxContent>
                        </wps:txbx>
                        <wps:bodyPr rot="0" vert="horz" wrap="square" lIns="91440" tIns="45720" rIns="91440" bIns="45720" anchor="t" anchorCtr="0" upright="1">
                          <a:noAutofit/>
                        </wps:bodyPr>
                      </wps:wsp>
                      <wps:wsp>
                        <wps:cNvPr id="114" name="AutoShape 498"/>
                        <wps:cNvCnPr>
                          <a:cxnSpLocks noChangeShapeType="1"/>
                        </wps:cNvCnPr>
                        <wps:spPr bwMode="auto">
                          <a:xfrm>
                            <a:off x="9450" y="240"/>
                            <a:ext cx="36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499"/>
                        <wps:cNvCnPr>
                          <a:cxnSpLocks noChangeShapeType="1"/>
                        </wps:cNvCnPr>
                        <wps:spPr bwMode="auto">
                          <a:xfrm flipH="1">
                            <a:off x="1905" y="240"/>
                            <a:ext cx="1335"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500"/>
                        <wps:cNvCnPr>
                          <a:cxnSpLocks noChangeShapeType="1"/>
                        </wps:cNvCnPr>
                        <wps:spPr bwMode="auto">
                          <a:xfrm>
                            <a:off x="5610" y="630"/>
                            <a:ext cx="30" cy="2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6" o:spid="_x0000_s1107" alt="Title: Figure 3.6 (second page)" style="position:absolute;margin-left:-97.6pt;margin-top:-56.05pt;width:561pt;height:769.5pt;z-index:251678720;mso-position-horizontal-relative:text;mso-position-vertical-relative:text" coordorigin="600,240" coordsize="11220,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">
                <v:roundrect id="AutoShape 467" o:spid="_x0000_s1108" style="position:absolute;left:1080;top:705;width:4125;height:13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FosUA&#10;AADbAAAADwAAAGRycy9kb3ducmV2LnhtbESPQWvCQBSE70L/w/IKvUjdNEIJ0VWkpdCDF60He3tk&#10;n9nQ7Nt0d2PS/npXEDwOM/MNs1yPthVn8qFxrOBlloEgrpxuuFZw+Pp4LkCEiKyxdUwK/ijAevUw&#10;WWKp3cA7Ou9jLRKEQ4kKTIxdKWWoDFkMM9cRJ+/kvMWYpK+l9jgkuG1lnmWv0mLDacFgR2+Gqp99&#10;bxUMbvs+HDeFz/+npv/t8+2x+y6UenocNwsQkcZ4D9/an1pBMYfrl/Q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0WixQAAANsAAAAPAAAAAAAAAAAAAAAAAJgCAABkcnMv&#10;ZG93bnJldi54bWxQSwUGAAAAAAQABAD1AAAAigMAAAAA&#10;" fillcolor="#d6e3bc [1302]">
                  <v:textbox>
                    <w:txbxContent>
                      <w:p w:rsidR="00377C33" w:rsidRDefault="00377C33" w:rsidP="00C45934">
                        <w:r>
                          <w:rPr>
                            <w:sz w:val="20"/>
                          </w:rPr>
                          <w:t>Client completes money management course and shows demonstrated pattern of saving over 13 weeks and is eligible for the Matched Savings Payment</w:t>
                        </w:r>
                      </w:p>
                    </w:txbxContent>
                  </v:textbox>
                </v:roundrect>
                <v:roundrect id="AutoShape 468" o:spid="_x0000_s1109" style="position:absolute;left:2745;top:2892;width:7365;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CgsEA&#10;AADbAAAADwAAAGRycy9kb3ducmV2LnhtbESP3YrCMBSE74V9h3AE7zRVdJVuoyyC4NXi3wMcmmPT&#10;bnNSkqj17c2CsJfDzHzDFJvetuJOPtSOFUwnGQji0umaKwWX8268AhEissbWMSl4UoDN+mNQYK7d&#10;g490P8VKJAiHHBWYGLtcylAashgmriNO3tV5izFJX0nt8ZHgtpWzLPuUFmtOCwY72hoqf083q6Bs&#10;tpWpF8en7a68O/jFuf9ZNkqNhv33F4hIffwPv9t7rWA1h78v6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mwoLBAAAA2wAAAA8AAAAAAAAAAAAAAAAAmAIAAGRycy9kb3du&#10;cmV2LnhtbFBLBQYAAAAABAAEAPUAAACGAwAAAAA=&#10;" fillcolor="#b8cce4 [1300]">
                  <v:textbox>
                    <w:txbxContent>
                      <w:p w:rsidR="00377C33" w:rsidRPr="007468DF" w:rsidRDefault="00377C33" w:rsidP="00C45934">
                        <w:pPr>
                          <w:rPr>
                            <w:sz w:val="20"/>
                          </w:rPr>
                        </w:pPr>
                        <w:r w:rsidRPr="007468DF">
                          <w:rPr>
                            <w:sz w:val="20"/>
                          </w:rPr>
                          <w:t xml:space="preserve">The DHS </w:t>
                        </w:r>
                        <w:r>
                          <w:rPr>
                            <w:sz w:val="20"/>
                          </w:rPr>
                          <w:t xml:space="preserve">Social </w:t>
                        </w:r>
                        <w:r w:rsidRPr="007468DF">
                          <w:rPr>
                            <w:sz w:val="20"/>
                          </w:rPr>
                          <w:t>Worker can make the decision at any point to continue the customer on IM or to end IM early (revoke the notice)</w:t>
                        </w:r>
                        <w:r>
                          <w:rPr>
                            <w:sz w:val="20"/>
                          </w:rPr>
                          <w:t xml:space="preserve">. The review can be held with the client or be done as a file assessment. </w:t>
                        </w:r>
                      </w:p>
                    </w:txbxContent>
                  </v:textbox>
                </v:roundrect>
                <v:roundrect id="AutoShape 469" o:spid="_x0000_s1110" style="position:absolute;left:2820;top:4335;width:2295;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GcAA&#10;AADbAAAADwAAAGRycy9kb3ducmV2LnhtbESP3YrCMBSE7wXfIRzBO01XqErXKIsgeCX+PcChOTZ1&#10;m5OSRK1vbwTBy2FmvmEWq8424k4+1I4V/IwzEMSl0zVXCs6nzWgOIkRkjY1jUvCkAKtlv7fAQrsH&#10;H+h+jJVIEA4FKjAxtoWUoTRkMYxdS5y8i/MWY5K+ktrjI8FtIydZNpUWa04LBltaGyr/jzeroLyu&#10;K1Pnh6dtL7zZ+/zU7WZXpYaD7u8XRKQufsOf9lYrmOfw/p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nGcAAAADbAAAADwAAAAAAAAAAAAAAAACYAgAAZHJzL2Rvd25y&#10;ZXYueG1sUEsFBgAAAAAEAAQA9QAAAIUDAAAAAA==&#10;" fillcolor="#b8cce4 [1300]">
                  <v:textbox>
                    <w:txbxContent>
                      <w:p w:rsidR="00377C33" w:rsidRPr="007468DF" w:rsidRDefault="00377C33" w:rsidP="00C45934">
                        <w:pPr>
                          <w:rPr>
                            <w:sz w:val="20"/>
                          </w:rPr>
                        </w:pPr>
                        <w:r w:rsidRPr="007468DF">
                          <w:rPr>
                            <w:sz w:val="20"/>
                          </w:rPr>
                          <w:t xml:space="preserve">Customer is </w:t>
                        </w:r>
                        <w:r w:rsidRPr="009A5437">
                          <w:rPr>
                            <w:b/>
                            <w:sz w:val="20"/>
                          </w:rPr>
                          <w:t xml:space="preserve">continued </w:t>
                        </w:r>
                        <w:r w:rsidRPr="007468DF">
                          <w:rPr>
                            <w:sz w:val="20"/>
                          </w:rPr>
                          <w:t xml:space="preserve">on </w:t>
                        </w:r>
                        <w:r>
                          <w:rPr>
                            <w:sz w:val="20"/>
                          </w:rPr>
                          <w:t xml:space="preserve">VULN </w:t>
                        </w:r>
                        <w:r w:rsidRPr="007468DF">
                          <w:rPr>
                            <w:sz w:val="20"/>
                          </w:rPr>
                          <w:t>IM</w:t>
                        </w:r>
                      </w:p>
                    </w:txbxContent>
                  </v:textbox>
                </v:roundrect>
                <v:roundrect id="AutoShape 470" o:spid="_x0000_s1111" style="position:absolute;left:2745;top:5790;width:5985;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2jsIA&#10;AADbAAAADwAAAGRycy9kb3ducmV2LnhtbESPQWsCMRSE74X+h/AK3mrWHmRZjVK1wl61Ra/PzWuy&#10;uHlZk6jrv28KhR6HmfmGmS8H14kbhdh6VjAZFyCIG69bNgq+PrevJYiYkDV2nknBgyIsF89Pc6y0&#10;v/OObvtkRIZwrFCBTamvpIyNJYdx7Hvi7H374DBlGYzUAe8Z7jr5VhRT6bDlvGCxp7Wl5ry/OgWH&#10;ozGb8FF3/bk+ldtjbC8ru1Zq9DK8z0AkGtJ/+K9dawXlFH6/5B8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vaOwgAAANsAAAAPAAAAAAAAAAAAAAAAAJgCAABkcnMvZG93&#10;bnJldi54bWxQSwUGAAAAAAQABAD1AAAAhwMAAAAA&#10;" fillcolor="#365f91 [2404]">
                  <v:textbox>
                    <w:txbxContent>
                      <w:p w:rsidR="00377C33" w:rsidRPr="00B95107" w:rsidRDefault="00377C33" w:rsidP="00C45934">
                        <w:pPr>
                          <w:rPr>
                            <w:color w:val="FFFFFF" w:themeColor="background1"/>
                            <w:sz w:val="20"/>
                          </w:rPr>
                        </w:pPr>
                        <w:r w:rsidRPr="00B95107">
                          <w:rPr>
                            <w:color w:val="FFFFFF" w:themeColor="background1"/>
                            <w:sz w:val="20"/>
                          </w:rPr>
                          <w:t xml:space="preserve">The </w:t>
                        </w:r>
                        <w:r w:rsidRPr="00B95107">
                          <w:rPr>
                            <w:b/>
                            <w:color w:val="FFFFFF" w:themeColor="background1"/>
                            <w:sz w:val="20"/>
                          </w:rPr>
                          <w:t>final review</w:t>
                        </w:r>
                        <w:r w:rsidRPr="00B95107">
                          <w:rPr>
                            <w:color w:val="FFFFFF" w:themeColor="background1"/>
                            <w:sz w:val="20"/>
                          </w:rPr>
                          <w:t xml:space="preserve"> is conducted 35 days prior to income management ending by the DHS Social Worker</w:t>
                        </w:r>
                      </w:p>
                    </w:txbxContent>
                  </v:textbox>
                </v:roundrect>
                <v:roundrect id="AutoShape 471" o:spid="_x0000_s1112" style="position:absolute;left:1995;top:7305;width:2400;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TFcMA&#10;AADbAAAADwAAAGRycy9kb3ducmV2LnhtbESPzW7CMBCE75X6DtZW6q045dBGAYP4KVKupQiuS7zY&#10;EfE6tV1I375GQupxNDPfaKbzwXXiQiG2nhW8jgoQxI3XLRsFu6/NSwkiJmSNnWdS8EsR5rPHhylW&#10;2l/5ky7bZESGcKxQgU2pr6SMjSWHceR74uydfHCYsgxG6oDXDHedHBfFm3TYcl6w2NPKUnPe/jgF&#10;+4Mx6/BRd/25PpabQ2y/l3al1PPTsJiASDSk//C9XWsF5Tvcvu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TFcMAAADbAAAADwAAAAAAAAAAAAAAAACYAgAAZHJzL2Rv&#10;d25yZXYueG1sUEsFBgAAAAAEAAQA9QAAAIgDAAAAAA==&#10;" fillcolor="#365f91 [2404]">
                  <v:textbox>
                    <w:txbxContent>
                      <w:p w:rsidR="00377C33" w:rsidRPr="00B95107" w:rsidRDefault="00377C33" w:rsidP="00C45934">
                        <w:pPr>
                          <w:rPr>
                            <w:color w:val="FFFFFF" w:themeColor="background1"/>
                            <w:sz w:val="20"/>
                          </w:rPr>
                        </w:pPr>
                        <w:r w:rsidRPr="00B95107">
                          <w:rPr>
                            <w:color w:val="FFFFFF" w:themeColor="background1"/>
                            <w:sz w:val="20"/>
                          </w:rPr>
                          <w:t xml:space="preserve">DHS Social Worker decides to allow the notice to </w:t>
                        </w:r>
                        <w:r w:rsidRPr="00B95107">
                          <w:rPr>
                            <w:b/>
                            <w:color w:val="FFFFFF" w:themeColor="background1"/>
                            <w:sz w:val="20"/>
                          </w:rPr>
                          <w:t>expire</w:t>
                        </w:r>
                      </w:p>
                    </w:txbxContent>
                  </v:textbox>
                </v:roundrect>
                <v:roundrect id="AutoShape 472" o:spid="_x0000_s1113" style="position:absolute;left:7035;top:7395;width:261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HZ78A&#10;AADbAAAADwAAAGRycy9kb3ducmV2LnhtbERPPW/CMBDdkfgP1iF1A6cMVRQwqKUgZS0gWI/4akfE&#10;59R2If339YDE+PS+l+vBdeJGIbaeFbzOChDEjdctGwXHw25agogJWWPnmRT8UYT1ajxaYqX9nb/o&#10;tk9G5BCOFSqwKfWVlLGx5DDOfE+cuW8fHKYMg5E64D2Hu07Oi+JNOmw5N1jsaWOpue5/nYLT2ZjP&#10;sK27/lpfyt05tj8fdqPUy2R4X4BINKSn+OGutYIyj81f8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cdnvwAAANsAAAAPAAAAAAAAAAAAAAAAAJgCAABkcnMvZG93bnJl&#10;di54bWxQSwUGAAAAAAQABAD1AAAAhAMAAAAA&#10;" fillcolor="#365f91 [2404]">
                  <v:textbox>
                    <w:txbxContent>
                      <w:p w:rsidR="00377C33" w:rsidRPr="00B95107" w:rsidRDefault="00377C33" w:rsidP="00C45934">
                        <w:pPr>
                          <w:rPr>
                            <w:color w:val="FFFFFF" w:themeColor="background1"/>
                            <w:sz w:val="20"/>
                          </w:rPr>
                        </w:pPr>
                        <w:r w:rsidRPr="00B95107">
                          <w:rPr>
                            <w:color w:val="FFFFFF" w:themeColor="background1"/>
                            <w:sz w:val="20"/>
                          </w:rPr>
                          <w:t xml:space="preserve">DHS Social Worker </w:t>
                        </w:r>
                        <w:r w:rsidRPr="00B95107">
                          <w:rPr>
                            <w:b/>
                            <w:color w:val="FFFFFF" w:themeColor="background1"/>
                            <w:sz w:val="20"/>
                          </w:rPr>
                          <w:t>extends</w:t>
                        </w:r>
                        <w:r w:rsidRPr="00B95107">
                          <w:rPr>
                            <w:color w:val="FFFFFF" w:themeColor="background1"/>
                            <w:sz w:val="20"/>
                          </w:rPr>
                          <w:t xml:space="preserve"> the notice</w:t>
                        </w:r>
                      </w:p>
                    </w:txbxContent>
                  </v:textbox>
                </v:roundrect>
                <v:roundrect id="AutoShape 473" o:spid="_x0000_s1114" style="position:absolute;left:2610;top:9150;width:3570;height:17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i/MMA&#10;AADbAAAADwAAAGRycy9kb3ducmV2LnhtbESPzW7CMBCE75X6DtZW6q045VCFgEH8FCnXAoLrEi92&#10;RLxObRfSt68rVepxNDPfaGaLwXXiRiG2nhW8jgoQxI3XLRsFh/32pQQRE7LGzjMp+KYIi/njwwwr&#10;7e/8QbddMiJDOFaowKbUV1LGxpLDOPI9cfYuPjhMWQYjdcB7hrtOjoviTTpsOS9Y7GltqbnuvpyC&#10;48mYTXivu/5an8vtKbafK7tW6vlpWE5BJBrSf/ivXWsF5QR+v+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i/MMAAADbAAAADwAAAAAAAAAAAAAAAACYAgAAZHJzL2Rv&#10;d25yZXYueG1sUEsFBgAAAAAEAAQA9QAAAIgDAAAAAA==&#10;" fillcolor="#365f91 [2404]">
                  <v:textbox>
                    <w:txbxContent>
                      <w:p w:rsidR="00377C33" w:rsidRPr="005E5C9A" w:rsidRDefault="00377C33" w:rsidP="00C45934">
                        <w:pPr>
                          <w:rPr>
                            <w:color w:val="FFFFFF" w:themeColor="background1"/>
                            <w:sz w:val="20"/>
                          </w:rPr>
                        </w:pPr>
                        <w:r w:rsidRPr="005E5C9A">
                          <w:rPr>
                            <w:color w:val="FFFFFF" w:themeColor="background1"/>
                            <w:sz w:val="20"/>
                          </w:rPr>
                          <w:t xml:space="preserve">Customer attends an </w:t>
                        </w:r>
                        <w:r w:rsidRPr="005E5C9A">
                          <w:rPr>
                            <w:b/>
                            <w:color w:val="FFFFFF" w:themeColor="background1"/>
                            <w:sz w:val="20"/>
                          </w:rPr>
                          <w:t>exit interview</w:t>
                        </w:r>
                        <w:r w:rsidRPr="005E5C9A">
                          <w:rPr>
                            <w:color w:val="FFFFFF" w:themeColor="background1"/>
                            <w:sz w:val="20"/>
                          </w:rPr>
                          <w:t xml:space="preserve"> if notice is not </w:t>
                        </w:r>
                        <w:proofErr w:type="gramStart"/>
                        <w:r w:rsidRPr="005E5C9A">
                          <w:rPr>
                            <w:color w:val="FFFFFF" w:themeColor="background1"/>
                            <w:sz w:val="20"/>
                          </w:rPr>
                          <w:t>extended,</w:t>
                        </w:r>
                        <w:proofErr w:type="gramEnd"/>
                        <w:r w:rsidRPr="005E5C9A">
                          <w:rPr>
                            <w:color w:val="FFFFFF" w:themeColor="background1"/>
                            <w:sz w:val="20"/>
                          </w:rPr>
                          <w:t xml:space="preserve"> The customer is offered the option to transition to Voluntary Income Management. Referral to a FMPS offered to client.</w:t>
                        </w:r>
                      </w:p>
                    </w:txbxContent>
                  </v:textbox>
                </v:roundrect>
                <v:shape id="AutoShape 474" o:spid="_x0000_s1115" type="#_x0000_t32" style="position:absolute;left:3345;top:8430;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475" o:spid="_x0000_s1116" type="#_x0000_t32" style="position:absolute;left:8730;top:8190;width:1;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AutoShape 476" o:spid="_x0000_s1117" type="#_x0000_t32" style="position:absolute;left:4395;top:3945;width:525;height:3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477" o:spid="_x0000_s1118" type="#_x0000_t32" style="position:absolute;left:6915;top:3945;width:555;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478" o:spid="_x0000_s1119" type="#_x0000_t32" style="position:absolute;left:4035;top:5190;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roundrect id="AutoShape 479" o:spid="_x0000_s1120" style="position:absolute;left:6915;top:4335;width:2415;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xxMMA&#10;AADbAAAADwAAAGRycy9kb3ducmV2LnhtbESPzWrDMBCE74G+g9hCb4ncgPvjRgklEOipxHEeYLE2&#10;llNrZSTFP29fBQo9DjPzDbPZTbYTA/nQOlbwvMpAENdOt9woOFeH5RuIEJE1do5JwUwBdtuHxQYL&#10;7UYuaTjFRiQIhwIVmBj7QspQG7IYVq4nTt7FeYsxSd9I7XFMcNvJdZa9SIstpwWDPe0N1T+nm1VQ&#10;X/eNafNytv2FD0efV9P361Wpp8fp8wNEpCn+h//aX1rBew73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xxMMAAADbAAAADwAAAAAAAAAAAAAAAACYAgAAZHJzL2Rv&#10;d25yZXYueG1sUEsFBgAAAAAEAAQA9QAAAIgDAAAAAA==&#10;" fillcolor="#b8cce4 [1300]">
                  <v:textbox>
                    <w:txbxContent>
                      <w:p w:rsidR="00377C33" w:rsidRPr="009A5437" w:rsidRDefault="00377C33" w:rsidP="00C45934">
                        <w:pPr>
                          <w:rPr>
                            <w:b/>
                            <w:sz w:val="20"/>
                          </w:rPr>
                        </w:pPr>
                        <w:r w:rsidRPr="007468DF">
                          <w:rPr>
                            <w:sz w:val="20"/>
                          </w:rPr>
                          <w:t xml:space="preserve">Customer </w:t>
                        </w:r>
                        <w:r>
                          <w:rPr>
                            <w:sz w:val="20"/>
                          </w:rPr>
                          <w:t xml:space="preserve">VULN </w:t>
                        </w:r>
                        <w:r w:rsidRPr="007468DF">
                          <w:rPr>
                            <w:sz w:val="20"/>
                          </w:rPr>
                          <w:t xml:space="preserve">IM notice is </w:t>
                        </w:r>
                        <w:r w:rsidRPr="009A5437">
                          <w:rPr>
                            <w:b/>
                            <w:sz w:val="20"/>
                          </w:rPr>
                          <w:t>revoked</w:t>
                        </w:r>
                        <w:r>
                          <w:rPr>
                            <w:b/>
                            <w:sz w:val="20"/>
                          </w:rPr>
                          <w:t xml:space="preserve"> </w:t>
                        </w:r>
                      </w:p>
                    </w:txbxContent>
                  </v:textbox>
                </v:roundrect>
                <v:shape id="AutoShape 480" o:spid="_x0000_s1121" type="#_x0000_t32" style="position:absolute;left:4036;top:6720;width:1349;height: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481" o:spid="_x0000_s1122" type="#_x0000_t32" style="position:absolute;left:6000;top:6720;width:1665;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roundrect id="AutoShape 482" o:spid="_x0000_s1123" style="position:absolute;left:7995;top:8970;width:2550;height:14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psMAA&#10;AADbAAAADwAAAGRycy9kb3ducmV2LnhtbERPTYvCMBC9C/6HMMLeNFVw0WoUEVwXWShVwevQjG21&#10;mZQm29Z/vzkseHy87/W2N5VoqXGlZQXTSQSCOLO65FzB9XIYL0A4j6yxskwKXuRguxkO1hhr23FK&#10;7dnnIoSwi1FB4X0dS+myggy6ia2JA3e3jUEfYJNL3WAXwk0lZ1H0KQ2WHBoKrGlfUPY8/xoFXXus&#10;T/vkmlY/9jE/3NIk+epbpT5G/W4FwlPv3+J/97dWsAxjw5fw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TpsMAAAADbAAAADwAAAAAAAAAAAAAAAACYAgAAZHJzL2Rvd25y&#10;ZXYueG1sUEsFBgAAAAAEAAQA9QAAAIUDAAAAAA==&#10;" fillcolor="#daeef3 [664]">
                  <v:textbox>
                    <w:txbxContent>
                      <w:p w:rsidR="00377C33" w:rsidRPr="007468DF" w:rsidRDefault="00377C33" w:rsidP="00C45934">
                        <w:pPr>
                          <w:rPr>
                            <w:sz w:val="20"/>
                          </w:rPr>
                        </w:pPr>
                        <w:r w:rsidRPr="007468DF">
                          <w:rPr>
                            <w:sz w:val="20"/>
                          </w:rPr>
                          <w:t>The DHS Social Workers must create a new notice before the customer’s end date is reached</w:t>
                        </w:r>
                      </w:p>
                    </w:txbxContent>
                  </v:textbox>
                </v:roundrect>
                <v:shape id="AutoShape 483" o:spid="_x0000_s1124" type="#_x0000_t32" style="position:absolute;left:3120;top:10938;width:1275;height:11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shape id="AutoShape 484" o:spid="_x0000_s1125" type="#_x0000_t32" style="position:absolute;left:4395;top:10938;width:1425;height:1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roundrect id="AutoShape 485" o:spid="_x0000_s1126" style="position:absolute;left:1665;top:12105;width:2370;height: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dnMEA&#10;AADcAAAADwAAAGRycy9kb3ducmV2LnhtbERPTWsCMRC9C/6HMIXeNGsPRVbj0toKe60VvY6babLs&#10;ZrImqW7/fVMoeJvH+5x1NbpeXCnE1rOCxbwAQdx43bJRcPjczZYgYkLW2HsmBT8UodpMJ2sstb/x&#10;B133yYgcwrFEBTaloZQyNpYcxrkfiDP35YPDlGEwUge85XDXy6eieJYOW84NFgfaWmq6/bdTcDwZ&#10;8xbe637o6vNyd4rt5dVulXp8GF9WIBKN6S7+d9c6zy8W8PdMv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6HZzBAAAA3AAAAA8AAAAAAAAAAAAAAAAAmAIAAGRycy9kb3du&#10;cmV2LnhtbFBLBQYAAAAABAAEAPUAAACGAwAAAAA=&#10;" fillcolor="#365f91 [2404]">
                  <v:textbox>
                    <w:txbxContent>
                      <w:p w:rsidR="00377C33" w:rsidRPr="005E5C9A" w:rsidRDefault="00377C33" w:rsidP="00C45934">
                        <w:pPr>
                          <w:rPr>
                            <w:color w:val="FFFFFF" w:themeColor="background1"/>
                            <w:sz w:val="20"/>
                          </w:rPr>
                        </w:pPr>
                        <w:r w:rsidRPr="005E5C9A">
                          <w:rPr>
                            <w:color w:val="FFFFFF" w:themeColor="background1"/>
                            <w:sz w:val="20"/>
                          </w:rPr>
                          <w:t xml:space="preserve">Customer </w:t>
                        </w:r>
                        <w:r w:rsidRPr="005E5C9A">
                          <w:rPr>
                            <w:b/>
                            <w:color w:val="FFFFFF" w:themeColor="background1"/>
                            <w:sz w:val="20"/>
                          </w:rPr>
                          <w:t>exits</w:t>
                        </w:r>
                        <w:r w:rsidRPr="005E5C9A">
                          <w:rPr>
                            <w:color w:val="FFFFFF" w:themeColor="background1"/>
                            <w:sz w:val="20"/>
                          </w:rPr>
                          <w:t xml:space="preserve"> IM</w:t>
                        </w:r>
                      </w:p>
                    </w:txbxContent>
                  </v:textbox>
                </v:roundrect>
                <v:roundrect id="AutoShape 486" o:spid="_x0000_s1127" style="position:absolute;left:4920;top:12105;width:2370;height: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BY8MA&#10;AADcAAAADwAAAGRycy9kb3ducmV2LnhtbERPTWuDQBC9F/Iflgn0VtcEWopxlRBIWkpBTAK5Du5E&#10;TdxZcbdq/323UOhtHu9z0nw2nRhpcK1lBasoBkFcWd1yreB82j+9gnAeWWNnmRR8k4M8WzykmGg7&#10;cUnj0dcihLBLUEHjfZ9I6aqGDLrI9sSBu9rBoA9wqKUecArhppPrOH6RBlsODQ32tGuouh+/jIJp&#10;fOs/dsW57D7t7Xl/KYviMI9KPS7n7QaEp9n/i//c7zrMj9fw+0y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qBY8MAAADcAAAADwAAAAAAAAAAAAAAAACYAgAAZHJzL2Rv&#10;d25yZXYueG1sUEsFBgAAAAAEAAQA9QAAAIgDAAAAAA==&#10;" fillcolor="#daeef3 [664]">
                  <v:textbox>
                    <w:txbxContent>
                      <w:p w:rsidR="00377C33" w:rsidRPr="007468DF" w:rsidRDefault="00377C33" w:rsidP="00C45934">
                        <w:pPr>
                          <w:rPr>
                            <w:sz w:val="20"/>
                          </w:rPr>
                        </w:pPr>
                        <w:r w:rsidRPr="007468DF">
                          <w:rPr>
                            <w:sz w:val="20"/>
                          </w:rPr>
                          <w:t xml:space="preserve">Customer </w:t>
                        </w:r>
                        <w:r w:rsidRPr="009A5437">
                          <w:rPr>
                            <w:b/>
                            <w:sz w:val="20"/>
                          </w:rPr>
                          <w:t>transitions</w:t>
                        </w:r>
                        <w:r>
                          <w:rPr>
                            <w:sz w:val="20"/>
                          </w:rPr>
                          <w:t xml:space="preserve"> to </w:t>
                        </w:r>
                        <w:r w:rsidRPr="007468DF">
                          <w:rPr>
                            <w:sz w:val="20"/>
                          </w:rPr>
                          <w:t xml:space="preserve">Voluntary IM </w:t>
                        </w:r>
                      </w:p>
                    </w:txbxContent>
                  </v:textbox>
                </v:roundrect>
                <v:shape id="AutoShape 487" o:spid="_x0000_s1128" type="#_x0000_t32" style="position:absolute;left:9330;top:10407;width:0;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roundrect id="AutoShape 488" o:spid="_x0000_s1129" style="position:absolute;left:8340;top:11760;width:2370;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jMMA&#10;AADcAAAADwAAAGRycy9kb3ducmV2LnhtbERPTWvCQBC9C/0PyxS86aallpK6hhLQigghVuh1yI5J&#10;bHY2ZNck/ntXKHibx/ucZTKaRvTUudqygpd5BIK4sLrmUsHxZz37AOE8ssbGMim4koNk9TRZYqzt&#10;wDn1B1+KEMIuRgWV920spSsqMujmtiUO3Ml2Bn2AXSl1h0MIN418jaJ3abDm0FBhS2lFxd/hYhQM&#10;/Xe7S7Nj3uztebH+zbNsM/ZKTZ/Hr08Qnkb/EP+7tzrMj97g/ky4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8jMMAAADcAAAADwAAAAAAAAAAAAAAAACYAgAAZHJzL2Rv&#10;d25yZXYueG1sUEsFBgAAAAAEAAQA9QAAAIgDAAAAAA==&#10;" fillcolor="#daeef3 [664]">
                  <v:textbox>
                    <w:txbxContent>
                      <w:p w:rsidR="00377C33" w:rsidRPr="007468DF" w:rsidRDefault="00377C33" w:rsidP="00C45934">
                        <w:pPr>
                          <w:rPr>
                            <w:sz w:val="20"/>
                          </w:rPr>
                        </w:pPr>
                        <w:r w:rsidRPr="007468DF">
                          <w:rPr>
                            <w:sz w:val="20"/>
                          </w:rPr>
                          <w:t xml:space="preserve">Customer </w:t>
                        </w:r>
                        <w:r w:rsidRPr="009A5437">
                          <w:rPr>
                            <w:b/>
                            <w:sz w:val="20"/>
                          </w:rPr>
                          <w:t>continues</w:t>
                        </w:r>
                        <w:r>
                          <w:rPr>
                            <w:sz w:val="20"/>
                          </w:rPr>
                          <w:t xml:space="preserve"> on Vulnerable IM. </w:t>
                        </w:r>
                      </w:p>
                    </w:txbxContent>
                  </v:textbox>
                </v:roundrect>
                <v:roundrect id="AutoShape 489" o:spid="_x0000_s1130" style="position:absolute;left:8415;top:990;width:3315;height:11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gYMQA&#10;AADcAAAADwAAAGRycy9kb3ducmV2LnhtbERPTWvCQBC9C/0PyxR6kbppwBKiq0hLoQcvWg/2NmTH&#10;bGh2Nt3dmLS/3hUEb/N4n7Ncj7YVZ/KhcazgZZaBIK6cbrhWcPj6eC5AhIissXVMCv4owHr1MFli&#10;qd3AOzrvYy1SCIcSFZgYu1LKUBmyGGauI07cyXmLMUFfS+1xSOG2lXmWvUqLDacGgx29Gap+9r1V&#10;MLjt+3DcFD7/n5r+t8+3x+67UOrpcdwsQEQa4118c3/qND+bw/WZd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7oGDEAAAA3AAAAA8AAAAAAAAAAAAAAAAAmAIAAGRycy9k&#10;b3ducmV2LnhtbFBLBQYAAAAABAAEAPUAAACJAwAAAAA=&#10;" fillcolor="#d6e3bc [1302]">
                  <v:textbox>
                    <w:txbxContent>
                      <w:p w:rsidR="00377C33" w:rsidRDefault="00377C33" w:rsidP="00C45934">
                        <w:r>
                          <w:rPr>
                            <w:sz w:val="20"/>
                          </w:rPr>
                          <w:t>Client does not complete money management course and is not eligible for Matched Savings Payment</w:t>
                        </w:r>
                      </w:p>
                    </w:txbxContent>
                  </v:textbox>
                </v:roundrect>
                <v:roundrect id="AutoShape 490" o:spid="_x0000_s1131" style="position:absolute;left:630;top:2460;width:825;height:25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nxcEA&#10;AADcAAAADwAAAGRycy9kb3ducmV2LnhtbERPTYvCMBC9C/6HMIIX0XQFRbpNRQrCIghuFbyOzWzb&#10;3WZSmqj135sFwds83uck69404kadqy0r+JhFIIgLq2suFZyO2+kKhPPIGhvLpOBBDtbpcJBgrO2d&#10;v+mW+1KEEHYxKqi8b2MpXVGRQTezLXHgfmxn0AfYlVJ3eA/hppHzKFpKgzWHhgpbyioq/vKrUVAu&#10;tMn4ss96ypv693C55rvzRKnxqN98gvDU+7f45f7SYX60hP9nwgU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Z58XBAAAA3AAAAA8AAAAAAAAAAAAAAAAAmAIAAGRycy9kb3du&#10;cmV2LnhtbFBLBQYAAAAABAAEAPUAAACGAwAAAAA=&#10;" fillcolor="#b8cce4 [1300]">
                  <v:textbox style="layout-flow:vertical;mso-layout-flow-alt:bottom-to-top">
                    <w:txbxContent>
                      <w:p w:rsidR="00377C33" w:rsidRPr="002278F6" w:rsidRDefault="00377C33" w:rsidP="00C45934">
                        <w:pPr>
                          <w:jc w:val="center"/>
                          <w:rPr>
                            <w:b/>
                          </w:rPr>
                        </w:pPr>
                        <w:r>
                          <w:rPr>
                            <w:b/>
                          </w:rPr>
                          <w:t>Review of IM</w:t>
                        </w:r>
                      </w:p>
                    </w:txbxContent>
                  </v:textbox>
                </v:roundrect>
                <v:roundrect id="AutoShape 491" o:spid="_x0000_s1132" style="position:absolute;left:600;top:5535;width:825;height:7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TDcMA&#10;AADcAAAADwAAAGRycy9kb3ducmV2LnhtbERP3WrCMBS+F/YO4Qy803QK1nVGUWEyQRB1D3DWHJuy&#10;5qQ0WVvffhEE787H93sWq95WoqXGl44VvI0TEMS50yUXCr4vn6M5CB+QNVaOScGNPKyWL4MFZtp1&#10;fKL2HAoRQ9hnqMCEUGdS+tyQRT92NXHkrq6xGCJsCqkb7GK4reQkSWbSYsmxwWBNW0P57/nPKmjf&#10;16ef/DY77Lr9NN3s081xdzVKDV/79QeIQH14ih/uLx3nJy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TDcMAAADcAAAADwAAAAAAAAAAAAAAAACYAgAAZHJzL2Rv&#10;d25yZXYueG1sUEsFBgAAAAAEAAQA9QAAAIgDAAAAAA==&#10;" fillcolor="#365f91 [2404]">
                  <v:textbox style="layout-flow:vertical;mso-layout-flow-alt:bottom-to-top">
                    <w:txbxContent>
                      <w:p w:rsidR="00377C33" w:rsidRPr="002278F6" w:rsidRDefault="00377C33" w:rsidP="00C45934">
                        <w:pPr>
                          <w:jc w:val="center"/>
                          <w:rPr>
                            <w:b/>
                            <w:color w:val="FFFFFF" w:themeColor="background1"/>
                          </w:rPr>
                        </w:pPr>
                        <w:r w:rsidRPr="002278F6">
                          <w:rPr>
                            <w:b/>
                            <w:color w:val="FFFFFF" w:themeColor="background1"/>
                          </w:rPr>
                          <w:t>Final review</w:t>
                        </w:r>
                        <w:r>
                          <w:rPr>
                            <w:b/>
                            <w:color w:val="FFFFFF" w:themeColor="background1"/>
                          </w:rPr>
                          <w:t xml:space="preserve"> and exiting VULN IM</w:t>
                        </w:r>
                      </w:p>
                    </w:txbxContent>
                  </v:textbox>
                </v:roundrect>
                <v:roundrect id="AutoShape 492" o:spid="_x0000_s1133" style="position:absolute;left:2820;top:13470;width:3375;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2icUA&#10;AADcAAAADwAAAGRycy9kb3ducmV2LnhtbESPT2vCQBDF7wW/wzJCb3WjUCmpq4jgH0ohRIVeh+w0&#10;Sc3OhuyapN++cxB6m+G9ee83q83oGtVTF2rPBuazBBRx4W3NpYHrZf/yBipEZIuNZzLwSwE268nT&#10;ClPrB86pP8dSSQiHFA1UMbap1qGoyGGY+ZZYtG/fOYyydqW2HQ4S7hq9SJKldlizNFTY0q6i4na+&#10;OwNDf2w/dtk1bz79z+v+K8+yw9gb8zwdt++gIo3x3/y4PlnBT4RW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raJxQAAANwAAAAPAAAAAAAAAAAAAAAAAJgCAABkcnMv&#10;ZG93bnJldi54bWxQSwUGAAAAAAQABAD1AAAAigMAAAAA&#10;" fillcolor="#daeef3 [664]">
                  <v:textbox>
                    <w:txbxContent>
                      <w:p w:rsidR="00377C33" w:rsidRDefault="00377C33" w:rsidP="00C45934">
                        <w:r>
                          <w:rPr>
                            <w:sz w:val="20"/>
                          </w:rPr>
                          <w:t xml:space="preserve">Client takes up options for meeting expenses via </w:t>
                        </w:r>
                        <w:proofErr w:type="spellStart"/>
                        <w:r>
                          <w:rPr>
                            <w:sz w:val="20"/>
                          </w:rPr>
                          <w:t>Centrepay</w:t>
                        </w:r>
                        <w:proofErr w:type="spellEnd"/>
                        <w:r>
                          <w:rPr>
                            <w:sz w:val="20"/>
                          </w:rPr>
                          <w:t xml:space="preserve"> or Nominee arrangements</w:t>
                        </w:r>
                      </w:p>
                    </w:txbxContent>
                  </v:textbox>
                </v:roundrect>
                <v:shape id="AutoShape 493" o:spid="_x0000_s1134" type="#_x0000_t32" style="position:absolute;left:4395;top:10938;width:0;height:2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roundrect id="AutoShape 494" o:spid="_x0000_s1135" style="position:absolute;left:6105;top:10692;width:2505;height:10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sUsYA&#10;AADcAAAADwAAAGRycy9kb3ducmV2LnhtbESPT2vCQBDF7wW/wzKCt7pRsJTUVUTwD1IIsUKvQ3aa&#10;pM3OhuyaxG/fORR6m+G9ee836+3oGtVTF2rPBhbzBBRx4W3NpYHbx+H5FVSIyBYbz2TgQQG2m8nT&#10;GlPrB86pv8ZSSQiHFA1UMbap1qGoyGGY+5ZYtC/fOYyydqW2HQ4S7hq9TJIX7bBmaaiwpX1Fxc/1&#10;7gwM/am97LNb3rz779XhM8+y49gbM5uOuzdQkcb4b/67PlvBX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sUsYAAADcAAAADwAAAAAAAAAAAAAAAACYAgAAZHJz&#10;L2Rvd25yZXYueG1sUEsFBgAAAAAEAAQA9QAAAIsDAAAAAA==&#10;" fillcolor="#daeef3 [664]">
                  <v:textbox>
                    <w:txbxContent>
                      <w:p w:rsidR="00377C33" w:rsidRPr="00806E38" w:rsidRDefault="00377C33" w:rsidP="00C45934">
                        <w:pPr>
                          <w:rPr>
                            <w:sz w:val="20"/>
                          </w:rPr>
                        </w:pPr>
                        <w:r w:rsidRPr="00806E38">
                          <w:rPr>
                            <w:sz w:val="20"/>
                          </w:rPr>
                          <w:t xml:space="preserve">Customer referred </w:t>
                        </w:r>
                        <w:r>
                          <w:rPr>
                            <w:sz w:val="20"/>
                          </w:rPr>
                          <w:t xml:space="preserve">again </w:t>
                        </w:r>
                        <w:r w:rsidRPr="00806E38">
                          <w:rPr>
                            <w:sz w:val="20"/>
                          </w:rPr>
                          <w:t>to FMPS</w:t>
                        </w:r>
                        <w:r>
                          <w:rPr>
                            <w:sz w:val="20"/>
                          </w:rPr>
                          <w:t xml:space="preserve"> if did not accept earlier referral</w:t>
                        </w:r>
                      </w:p>
                    </w:txbxContent>
                  </v:textbox>
                </v:roundrect>
                <v:shape id="AutoShape 495" o:spid="_x0000_s1136" type="#_x0000_t32" style="position:absolute;left:6180;top:9825;width:735;height: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496" o:spid="_x0000_s1137" type="#_x0000_t32" style="position:absolute;left:8820;top:5085;width:99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roundrect id="AutoShape 497" o:spid="_x0000_s1138" style="position:absolute;left:9735;top:5535;width:2085;height:31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JcIA&#10;AADcAAAADwAAAGRycy9kb3ducmV2LnhtbERPTWvCQBC9F/wPywi91Y1Ki0RXEUEtRQhRweuQHZNo&#10;djZk1yT9912h4G0e73MWq95UoqXGlZYVjEcRCOLM6pJzBefT9mMGwnlkjZVlUvBLDlbLwdsCY207&#10;Tqk9+lyEEHYxKii8r2MpXVaQQTeyNXHgrrYx6ANscqkb7EK4qeQkir6kwZJDQ4E1bQrK7seHUdC1&#10;+/pnk5zT6mBvn9tLmiS7vlXqfdiv5yA89f4l/nd/6zB/PIXn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7IlwgAAANwAAAAPAAAAAAAAAAAAAAAAAJgCAABkcnMvZG93&#10;bnJldi54bWxQSwUGAAAAAAQABAD1AAAAhwMAAAAA&#10;" fillcolor="#daeef3 [664]">
                  <v:textbox>
                    <w:txbxContent>
                      <w:p w:rsidR="00377C33" w:rsidRPr="00742B5C" w:rsidRDefault="00377C33" w:rsidP="00C45934">
                        <w:pPr>
                          <w:rPr>
                            <w:sz w:val="20"/>
                          </w:rPr>
                        </w:pPr>
                        <w:r>
                          <w:rPr>
                            <w:sz w:val="20"/>
                          </w:rPr>
                          <w:t>Client continues on IM for up to 28 days before returning to normal payments. This is to allow time to contact the customer before making a change to their payments.</w:t>
                        </w:r>
                      </w:p>
                    </w:txbxContent>
                  </v:textbox>
                </v:roundrect>
                <v:shape id="AutoShape 498" o:spid="_x0000_s1139" type="#_x0000_t32" style="position:absolute;left:9450;top:240;width:36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499" o:spid="_x0000_s1140" type="#_x0000_t32" style="position:absolute;left:1905;top:240;width:1335;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shape id="AutoShape 500" o:spid="_x0000_s1141" type="#_x0000_t32" style="position:absolute;left:5610;top:630;width:30;height:2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group>
            </w:pict>
          </mc:Fallback>
        </mc:AlternateContent>
      </w:r>
      <w:bookmarkEnd w:id="107"/>
      <w:bookmarkEnd w:id="108"/>
      <w:bookmarkEnd w:id="109"/>
      <w:bookmarkEnd w:id="110"/>
      <w:bookmarkEnd w:id="111"/>
      <w:bookmarkEnd w:id="112"/>
      <w:bookmarkEnd w:id="113"/>
    </w:p>
    <w:p w:rsidR="0069353B" w:rsidRDefault="00FB0D24" w:rsidP="0069353B">
      <w:pPr>
        <w:rPr>
          <w:b/>
          <w:color w:val="002776"/>
          <w:kern w:val="28"/>
          <w:sz w:val="56"/>
        </w:rPr>
      </w:pPr>
      <w:r>
        <w:rPr>
          <w:noProof/>
          <w:lang w:eastAsia="en-AU"/>
        </w:rPr>
        <mc:AlternateContent>
          <mc:Choice Requires="wps">
            <w:drawing>
              <wp:anchor distT="0" distB="0" distL="114300" distR="114300" simplePos="0" relativeHeight="251724800" behindDoc="0" locked="0" layoutInCell="1" allowOverlap="1" wp14:anchorId="527ADD1E" wp14:editId="4E81B299">
                <wp:simplePos x="0" y="0"/>
                <wp:positionH relativeFrom="column">
                  <wp:posOffset>-934720</wp:posOffset>
                </wp:positionH>
                <wp:positionV relativeFrom="paragraph">
                  <wp:posOffset>8763000</wp:posOffset>
                </wp:positionV>
                <wp:extent cx="6096000" cy="590550"/>
                <wp:effectExtent l="0" t="0" r="0" b="0"/>
                <wp:wrapNone/>
                <wp:docPr id="8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C33" w:rsidRPr="00237FA9" w:rsidRDefault="00377C33" w:rsidP="00237FA9">
                            <w:pPr>
                              <w:rPr>
                                <w:sz w:val="20"/>
                              </w:rPr>
                            </w:pPr>
                            <w:r w:rsidRPr="00237FA9">
                              <w:rPr>
                                <w:sz w:val="20"/>
                              </w:rPr>
                              <w:t>*Note: Some elements of th</w:t>
                            </w:r>
                            <w:r>
                              <w:rPr>
                                <w:sz w:val="20"/>
                              </w:rPr>
                              <w:t>e Customer p</w:t>
                            </w:r>
                            <w:r w:rsidRPr="00237FA9">
                              <w:rPr>
                                <w:sz w:val="20"/>
                              </w:rPr>
                              <w:t>athway</w:t>
                            </w:r>
                            <w:r>
                              <w:rPr>
                                <w:sz w:val="20"/>
                              </w:rPr>
                              <w:t xml:space="preserve"> m</w:t>
                            </w:r>
                            <w:r w:rsidRPr="00237FA9">
                              <w:rPr>
                                <w:sz w:val="20"/>
                              </w:rPr>
                              <w:t>aps may vary somewhat across jurisdictions</w:t>
                            </w:r>
                            <w:r>
                              <w:rPr>
                                <w:sz w:val="20"/>
                              </w:rPr>
                              <w:t>,</w:t>
                            </w:r>
                            <w:r w:rsidRPr="00237FA9">
                              <w:rPr>
                                <w:sz w:val="20"/>
                              </w:rPr>
                              <w:t xml:space="preserve"> in line with jurisdictional variations in agreed referral pathways into income management by state government departments, namely housing and child protection authorities.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142" type="#_x0000_t202" style="position:absolute;margin-left:-73.6pt;margin-top:690pt;width:480pt;height: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" stroked="f">
                <v:textbox>
                  <w:txbxContent>
                    <w:p w:rsidR="00377C33" w:rsidRPr="00237FA9" w:rsidRDefault="00377C33" w:rsidP="00237FA9">
                      <w:pPr>
                        <w:rPr>
                          <w:sz w:val="20"/>
                        </w:rPr>
                      </w:pPr>
                      <w:r w:rsidRPr="00237FA9">
                        <w:rPr>
                          <w:sz w:val="20"/>
                        </w:rPr>
                        <w:t>*Note: Some elements of th</w:t>
                      </w:r>
                      <w:r>
                        <w:rPr>
                          <w:sz w:val="20"/>
                        </w:rPr>
                        <w:t>e Customer p</w:t>
                      </w:r>
                      <w:r w:rsidRPr="00237FA9">
                        <w:rPr>
                          <w:sz w:val="20"/>
                        </w:rPr>
                        <w:t>athway</w:t>
                      </w:r>
                      <w:r>
                        <w:rPr>
                          <w:sz w:val="20"/>
                        </w:rPr>
                        <w:t xml:space="preserve"> m</w:t>
                      </w:r>
                      <w:r w:rsidRPr="00237FA9">
                        <w:rPr>
                          <w:sz w:val="20"/>
                        </w:rPr>
                        <w:t>aps may vary somewhat across jurisdictions</w:t>
                      </w:r>
                      <w:r>
                        <w:rPr>
                          <w:sz w:val="20"/>
                        </w:rPr>
                        <w:t>,</w:t>
                      </w:r>
                      <w:r w:rsidRPr="00237FA9">
                        <w:rPr>
                          <w:sz w:val="20"/>
                        </w:rPr>
                        <w:t xml:space="preserve"> in line with jurisdictional variations in agreed referral pathways into income management by state government departments, namely housing and child protection authorities.</w:t>
                      </w:r>
                    </w:p>
                  </w:txbxContent>
                </v:textbox>
              </v:shape>
            </w:pict>
          </mc:Fallback>
        </mc:AlternateContent>
      </w:r>
      <w:r w:rsidR="0069353B">
        <w:br w:type="page"/>
      </w:r>
    </w:p>
    <w:bookmarkStart w:id="114" w:name="_Toc342495270"/>
    <w:bookmarkStart w:id="115" w:name="_Ref322089475"/>
    <w:p w:rsidR="0069353B" w:rsidRPr="00AE170D" w:rsidRDefault="00FB0D24" w:rsidP="0069353B">
      <w:pPr>
        <w:pStyle w:val="CaptionFigure"/>
      </w:pPr>
      <w:r>
        <w:rPr>
          <w:noProof/>
          <w:lang w:eastAsia="en-AU"/>
        </w:rPr>
        <w:lastRenderedPageBreak/>
        <mc:AlternateContent>
          <mc:Choice Requires="wps">
            <w:drawing>
              <wp:anchor distT="0" distB="0" distL="114300" distR="114300" simplePos="0" relativeHeight="251716608" behindDoc="0" locked="0" layoutInCell="1" allowOverlap="1" wp14:anchorId="60AD643B" wp14:editId="76EB24AA">
                <wp:simplePos x="0" y="0"/>
                <wp:positionH relativeFrom="column">
                  <wp:posOffset>4151630</wp:posOffset>
                </wp:positionH>
                <wp:positionV relativeFrom="paragraph">
                  <wp:posOffset>269240</wp:posOffset>
                </wp:positionV>
                <wp:extent cx="1695450" cy="1647825"/>
                <wp:effectExtent l="8255" t="12065" r="10795" b="6985"/>
                <wp:wrapNone/>
                <wp:docPr id="80"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64782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377C33" w:rsidRPr="003F3F00" w:rsidRDefault="00377C33" w:rsidP="00261FF1">
                            <w:pPr>
                              <w:rPr>
                                <w:sz w:val="20"/>
                              </w:rPr>
                            </w:pPr>
                            <w:r>
                              <w:rPr>
                                <w:sz w:val="20"/>
                              </w:rPr>
                              <w:t>Client can appeal to child protection authority regarding decision to refer. IM is applied until outcome of appeal is known. The client can also appeal to DHS regarding allocations.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8" o:spid="_x0000_s1143" style="position:absolute;left:0;text-align:left;margin-left:326.9pt;margin-top:21.2pt;width:133.5pt;height:12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" fillcolor="#fbd4b4 [1305]">
                <v:textbox>
                  <w:txbxContent>
                    <w:p w:rsidR="00377C33" w:rsidRPr="003F3F00" w:rsidRDefault="00377C33" w:rsidP="00261FF1">
                      <w:pPr>
                        <w:rPr>
                          <w:sz w:val="20"/>
                        </w:rPr>
                      </w:pPr>
                      <w:r>
                        <w:rPr>
                          <w:sz w:val="20"/>
                        </w:rPr>
                        <w:t>Client can appeal to child protection authority regarding decision to refer. IM is applied until outcome of appeal is known. The client can also appeal to DHS regarding allocations.</w:t>
                      </w:r>
                    </w:p>
                  </w:txbxContent>
                </v:textbox>
              </v:roundrect>
            </w:pict>
          </mc:Fallback>
        </mc:AlternateContent>
      </w:r>
      <w:r w:rsidR="00F85218">
        <w:t xml:space="preserve">: </w:t>
      </w:r>
      <w:r w:rsidR="00487890">
        <w:t>Customer</w:t>
      </w:r>
      <w:r w:rsidR="00F85218">
        <w:t xml:space="preserve"> pathway</w:t>
      </w:r>
      <w:r w:rsidR="00237FA9">
        <w:t xml:space="preserve"> map for Child P</w:t>
      </w:r>
      <w:r w:rsidR="0069353B">
        <w:t>rotection measure</w:t>
      </w:r>
      <w:r w:rsidR="008478FB">
        <w:t xml:space="preserve"> (CPIM)</w:t>
      </w:r>
      <w:r w:rsidR="00237FA9">
        <w:t>*</w:t>
      </w:r>
      <w:bookmarkEnd w:id="114"/>
      <w:r w:rsidR="0069353B">
        <w:t xml:space="preserve"> </w:t>
      </w:r>
      <w:bookmarkEnd w:id="115"/>
    </w:p>
    <w:p w:rsidR="0069353B" w:rsidRPr="00AE170D" w:rsidRDefault="0069353B" w:rsidP="0069353B">
      <w:pPr>
        <w:pStyle w:val="BodyText"/>
      </w:pPr>
    </w:p>
    <w:p w:rsidR="0069353B" w:rsidRDefault="00FB0D24" w:rsidP="0069353B">
      <w:pPr>
        <w:rPr>
          <w:b/>
          <w:color w:val="002776"/>
          <w:kern w:val="28"/>
          <w:sz w:val="56"/>
        </w:rPr>
      </w:pPr>
      <w:r>
        <w:rPr>
          <w:noProof/>
          <w:lang w:eastAsia="en-AU"/>
        </w:rPr>
        <mc:AlternateContent>
          <mc:Choice Requires="wps">
            <w:drawing>
              <wp:anchor distT="0" distB="0" distL="114300" distR="114300" simplePos="0" relativeHeight="251723776" behindDoc="0" locked="0" layoutInCell="1" allowOverlap="1" wp14:anchorId="35EA89EA" wp14:editId="01B9AF1A">
                <wp:simplePos x="0" y="0"/>
                <wp:positionH relativeFrom="column">
                  <wp:posOffset>4256405</wp:posOffset>
                </wp:positionH>
                <wp:positionV relativeFrom="paragraph">
                  <wp:posOffset>5348605</wp:posOffset>
                </wp:positionV>
                <wp:extent cx="1590675" cy="685165"/>
                <wp:effectExtent l="8255" t="5080" r="10795" b="5080"/>
                <wp:wrapNone/>
                <wp:docPr id="79"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8516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B50F87" w:rsidRDefault="00377C33" w:rsidP="00261FF1">
                            <w:pPr>
                              <w:rPr>
                                <w:sz w:val="20"/>
                              </w:rPr>
                            </w:pPr>
                            <w:r>
                              <w:rPr>
                                <w:sz w:val="20"/>
                              </w:rPr>
                              <w:t>Allocations are reviewed every 8-10 weeks or at request of 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5" o:spid="_x0000_s1144" style="position:absolute;margin-left:335.15pt;margin-top:421.15pt;width:125.25pt;height:53.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" fillcolor="#dbe5f1 [660]">
                <v:textbox>
                  <w:txbxContent>
                    <w:p w:rsidR="00377C33" w:rsidRPr="00B50F87" w:rsidRDefault="00377C33" w:rsidP="00261FF1">
                      <w:pPr>
                        <w:rPr>
                          <w:sz w:val="20"/>
                        </w:rPr>
                      </w:pPr>
                      <w:r>
                        <w:rPr>
                          <w:sz w:val="20"/>
                        </w:rPr>
                        <w:t>Allocations are reviewed every 8-10 weeks or at request of customer.</w:t>
                      </w:r>
                    </w:p>
                  </w:txbxContent>
                </v:textbox>
              </v:roundrect>
            </w:pict>
          </mc:Fallback>
        </mc:AlternateContent>
      </w:r>
      <w:r>
        <w:rPr>
          <w:noProof/>
          <w:lang w:eastAsia="en-AU"/>
        </w:rPr>
        <mc:AlternateContent>
          <mc:Choice Requires="wps">
            <w:drawing>
              <wp:anchor distT="0" distB="0" distL="114300" distR="114300" simplePos="0" relativeHeight="251722752" behindDoc="0" locked="0" layoutInCell="1" allowOverlap="1" wp14:anchorId="4B7F2ACC" wp14:editId="6899B059">
                <wp:simplePos x="0" y="0"/>
                <wp:positionH relativeFrom="column">
                  <wp:posOffset>3675380</wp:posOffset>
                </wp:positionH>
                <wp:positionV relativeFrom="paragraph">
                  <wp:posOffset>4766945</wp:posOffset>
                </wp:positionV>
                <wp:extent cx="714375" cy="581660"/>
                <wp:effectExtent l="8255" t="13970" r="48895" b="52070"/>
                <wp:wrapNone/>
                <wp:docPr id="78" name="AutoShape 394" title="down-right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alt="Title: down-right arrow" style="position:absolute;margin-left:289.4pt;margin-top:375.35pt;width:56.25pt;height:4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">
                <v:stroke endarrow="block"/>
              </v:shape>
            </w:pict>
          </mc:Fallback>
        </mc:AlternateContent>
      </w:r>
      <w:r>
        <w:rPr>
          <w:noProof/>
          <w:lang w:eastAsia="en-AU"/>
        </w:rPr>
        <mc:AlternateContent>
          <mc:Choice Requires="wps">
            <w:drawing>
              <wp:anchor distT="0" distB="0" distL="114300" distR="114300" simplePos="0" relativeHeight="251721728" behindDoc="0" locked="0" layoutInCell="1" allowOverlap="1" wp14:anchorId="6B0F27D0" wp14:editId="3F773C77">
                <wp:simplePos x="0" y="0"/>
                <wp:positionH relativeFrom="column">
                  <wp:posOffset>1989455</wp:posOffset>
                </wp:positionH>
                <wp:positionV relativeFrom="paragraph">
                  <wp:posOffset>6033770</wp:posOffset>
                </wp:positionV>
                <wp:extent cx="0" cy="447675"/>
                <wp:effectExtent l="55880" t="13970" r="58420" b="14605"/>
                <wp:wrapNone/>
                <wp:docPr id="77" name="AutoShape 393"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alt="Title: down arrow" style="position:absolute;margin-left:156.65pt;margin-top:475.1pt;width:0;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">
                <v:stroke endarrow="block"/>
              </v:shape>
            </w:pict>
          </mc:Fallback>
        </mc:AlternateContent>
      </w:r>
      <w:r>
        <w:rPr>
          <w:noProof/>
          <w:lang w:eastAsia="en-AU"/>
        </w:rPr>
        <mc:AlternateContent>
          <mc:Choice Requires="wps">
            <w:drawing>
              <wp:anchor distT="0" distB="0" distL="114300" distR="114300" simplePos="0" relativeHeight="251720704" behindDoc="0" locked="0" layoutInCell="1" allowOverlap="1" wp14:anchorId="5C577C44" wp14:editId="23473125">
                <wp:simplePos x="0" y="0"/>
                <wp:positionH relativeFrom="column">
                  <wp:posOffset>1989455</wp:posOffset>
                </wp:positionH>
                <wp:positionV relativeFrom="paragraph">
                  <wp:posOffset>4843145</wp:posOffset>
                </wp:positionV>
                <wp:extent cx="0" cy="505460"/>
                <wp:effectExtent l="55880" t="13970" r="58420" b="23495"/>
                <wp:wrapNone/>
                <wp:docPr id="76" name="AutoShape 392"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alt="Title: down arrow" style="position:absolute;margin-left:156.65pt;margin-top:381.35pt;width:0;height:3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">
                <v:stroke endarrow="block"/>
              </v:shape>
            </w:pict>
          </mc:Fallback>
        </mc:AlternateContent>
      </w:r>
      <w:r>
        <w:rPr>
          <w:noProof/>
          <w:lang w:eastAsia="en-AU"/>
        </w:rPr>
        <mc:AlternateContent>
          <mc:Choice Requires="wps">
            <w:drawing>
              <wp:anchor distT="0" distB="0" distL="114300" distR="114300" simplePos="0" relativeHeight="251719680" behindDoc="0" locked="0" layoutInCell="1" allowOverlap="1" wp14:anchorId="7D351641" wp14:editId="78A3B631">
                <wp:simplePos x="0" y="0"/>
                <wp:positionH relativeFrom="column">
                  <wp:posOffset>189230</wp:posOffset>
                </wp:positionH>
                <wp:positionV relativeFrom="paragraph">
                  <wp:posOffset>5348605</wp:posOffset>
                </wp:positionV>
                <wp:extent cx="3600450" cy="685165"/>
                <wp:effectExtent l="8255" t="5080" r="10795" b="5080"/>
                <wp:wrapNone/>
                <wp:docPr id="75"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68516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Default="00377C33" w:rsidP="00261FF1">
                            <w:r w:rsidRPr="007468DF">
                              <w:rPr>
                                <w:sz w:val="20"/>
                              </w:rPr>
                              <w:t>Client is issued with a BasicsCard if they wish to have one</w:t>
                            </w:r>
                            <w:r>
                              <w:rPr>
                                <w:sz w:val="20"/>
                              </w:rPr>
                              <w:t>, and other financial arrangements are made for allocations, including direct credits, cheques and one-off payments.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1" o:spid="_x0000_s1145" style="position:absolute;margin-left:14.9pt;margin-top:421.15pt;width:283.5pt;height:5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" fillcolor="#dbe5f1 [660]">
                <v:textbox>
                  <w:txbxContent>
                    <w:p w:rsidR="00377C33" w:rsidRDefault="00377C33" w:rsidP="00261FF1">
                      <w:r w:rsidRPr="007468DF">
                        <w:rPr>
                          <w:sz w:val="20"/>
                        </w:rPr>
                        <w:t>Client is issued with a BasicsCard if they wish to have one</w:t>
                      </w:r>
                      <w:r>
                        <w:rPr>
                          <w:sz w:val="20"/>
                        </w:rPr>
                        <w:t>, and other financial arrangements are made for allocations, including direct credits, cheques and one-off payments.</w:t>
                      </w:r>
                    </w:p>
                  </w:txbxContent>
                </v:textbox>
              </v:roundrect>
            </w:pict>
          </mc:Fallback>
        </mc:AlternateContent>
      </w:r>
      <w:r>
        <w:rPr>
          <w:noProof/>
          <w:lang w:eastAsia="en-AU"/>
        </w:rPr>
        <mc:AlternateContent>
          <mc:Choice Requires="wps">
            <w:drawing>
              <wp:anchor distT="0" distB="0" distL="114300" distR="114300" simplePos="0" relativeHeight="251718656" behindDoc="0" locked="0" layoutInCell="1" allowOverlap="1" wp14:anchorId="3B917C4C" wp14:editId="575A4B3F">
                <wp:simplePos x="0" y="0"/>
                <wp:positionH relativeFrom="column">
                  <wp:posOffset>1941830</wp:posOffset>
                </wp:positionH>
                <wp:positionV relativeFrom="paragraph">
                  <wp:posOffset>2738120</wp:posOffset>
                </wp:positionV>
                <wp:extent cx="2324100" cy="447675"/>
                <wp:effectExtent l="8255" t="13970" r="29845" b="62230"/>
                <wp:wrapNone/>
                <wp:docPr id="74" name="AutoShape 390" title="down-right arrow (lo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alt="Title: down-right arrow (long)" style="position:absolute;margin-left:152.9pt;margin-top:215.6pt;width:183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">
                <v:stroke endarrow="block"/>
              </v:shape>
            </w:pict>
          </mc:Fallback>
        </mc:AlternateContent>
      </w:r>
      <w:r>
        <w:rPr>
          <w:noProof/>
          <w:lang w:eastAsia="en-AU"/>
        </w:rPr>
        <mc:AlternateContent>
          <mc:Choice Requires="wps">
            <w:drawing>
              <wp:anchor distT="0" distB="0" distL="114300" distR="114300" simplePos="0" relativeHeight="251717632" behindDoc="0" locked="0" layoutInCell="1" allowOverlap="1" wp14:anchorId="3E058F59" wp14:editId="76590C8A">
                <wp:simplePos x="0" y="0"/>
                <wp:positionH relativeFrom="column">
                  <wp:posOffset>4142105</wp:posOffset>
                </wp:positionH>
                <wp:positionV relativeFrom="paragraph">
                  <wp:posOffset>3128645</wp:posOffset>
                </wp:positionV>
                <wp:extent cx="1590675" cy="1838325"/>
                <wp:effectExtent l="8255" t="13970" r="10795" b="5080"/>
                <wp:wrapNone/>
                <wp:docPr id="73"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83832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B50F87" w:rsidRDefault="00377C33" w:rsidP="00261FF1">
                            <w:pPr>
                              <w:rPr>
                                <w:sz w:val="20"/>
                              </w:rPr>
                            </w:pPr>
                            <w:r>
                              <w:rPr>
                                <w:sz w:val="20"/>
                              </w:rPr>
                              <w:t>If customer does not attend initial allocation interview they commence automatic IM for 28 days. If there is still no contact from customer, their payment is suspended.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9" o:spid="_x0000_s1146" style="position:absolute;margin-left:326.15pt;margin-top:246.35pt;width:125.25pt;height:14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" fillcolor="#dbe5f1 [660]">
                <v:textbox>
                  <w:txbxContent>
                    <w:p w:rsidR="00377C33" w:rsidRPr="00B50F87" w:rsidRDefault="00377C33" w:rsidP="00261FF1">
                      <w:pPr>
                        <w:rPr>
                          <w:sz w:val="20"/>
                        </w:rPr>
                      </w:pPr>
                      <w:r>
                        <w:rPr>
                          <w:sz w:val="20"/>
                        </w:rPr>
                        <w:t>If customer does not attend initial allocation interview they commence automatic IM for 28 days. If there is still no contact from customer, their payment is suspended.</w:t>
                      </w:r>
                    </w:p>
                  </w:txbxContent>
                </v:textbox>
              </v:roundrect>
            </w:pict>
          </mc:Fallback>
        </mc:AlternateContent>
      </w:r>
      <w:r>
        <w:rPr>
          <w:noProof/>
          <w:lang w:eastAsia="en-AU"/>
        </w:rPr>
        <mc:AlternateContent>
          <mc:Choice Requires="wps">
            <w:drawing>
              <wp:anchor distT="0" distB="0" distL="114300" distR="114300" simplePos="0" relativeHeight="251715584" behindDoc="0" locked="0" layoutInCell="1" allowOverlap="1" wp14:anchorId="514307B6" wp14:editId="138BBB72">
                <wp:simplePos x="0" y="0"/>
                <wp:positionH relativeFrom="column">
                  <wp:posOffset>-1277620</wp:posOffset>
                </wp:positionH>
                <wp:positionV relativeFrom="paragraph">
                  <wp:posOffset>33020</wp:posOffset>
                </wp:positionV>
                <wp:extent cx="552450" cy="2981325"/>
                <wp:effectExtent l="8255" t="13970" r="10795" b="5080"/>
                <wp:wrapNone/>
                <wp:docPr id="72"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81325"/>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2278F6" w:rsidRDefault="00377C33" w:rsidP="00261FF1">
                            <w:pPr>
                              <w:jc w:val="center"/>
                              <w:rPr>
                                <w:b/>
                              </w:rPr>
                            </w:pPr>
                            <w:r>
                              <w:rPr>
                                <w:b/>
                              </w:rPr>
                              <w:t>Referral and assessment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7" o:spid="_x0000_s1147" style="position:absolute;margin-left:-100.6pt;margin-top:2.6pt;width:43.5pt;height:23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" fillcolor="#daeef3 [664]">
                <v:fill opacity="42662f"/>
                <v:textbox style="layout-flow:vertical;mso-layout-flow-alt:bottom-to-top">
                  <w:txbxContent>
                    <w:p w:rsidR="00377C33" w:rsidRPr="002278F6" w:rsidRDefault="00377C33" w:rsidP="00261FF1">
                      <w:pPr>
                        <w:jc w:val="center"/>
                        <w:rPr>
                          <w:b/>
                        </w:rPr>
                      </w:pPr>
                      <w:r>
                        <w:rPr>
                          <w:b/>
                        </w:rPr>
                        <w:t>Referral and assessment</w:t>
                      </w:r>
                    </w:p>
                  </w:txbxContent>
                </v:textbox>
              </v:roundrect>
            </w:pict>
          </mc:Fallback>
        </mc:AlternateContent>
      </w:r>
      <w:r>
        <w:rPr>
          <w:noProof/>
          <w:lang w:eastAsia="en-AU"/>
        </w:rPr>
        <mc:AlternateContent>
          <mc:Choice Requires="wps">
            <w:drawing>
              <wp:anchor distT="0" distB="0" distL="114300" distR="114300" simplePos="0" relativeHeight="251714560" behindDoc="0" locked="0" layoutInCell="1" allowOverlap="1" wp14:anchorId="72A2AE39" wp14:editId="6602A82E">
                <wp:simplePos x="0" y="0"/>
                <wp:positionH relativeFrom="column">
                  <wp:posOffset>-1277620</wp:posOffset>
                </wp:positionH>
                <wp:positionV relativeFrom="paragraph">
                  <wp:posOffset>3185795</wp:posOffset>
                </wp:positionV>
                <wp:extent cx="552450" cy="3971925"/>
                <wp:effectExtent l="8255" t="13970" r="10795" b="5080"/>
                <wp:wrapNone/>
                <wp:docPr id="71"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97192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2278F6" w:rsidRDefault="00377C33" w:rsidP="00261FF1">
                            <w:pPr>
                              <w:jc w:val="center"/>
                              <w:rPr>
                                <w:b/>
                              </w:rPr>
                            </w:pPr>
                            <w:r w:rsidRPr="002278F6">
                              <w:rPr>
                                <w:b/>
                              </w:rPr>
                              <w:t>Initial Allocation Interview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6" o:spid="_x0000_s1148" style="position:absolute;margin-left:-100.6pt;margin-top:250.85pt;width:43.5pt;height:3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" fillcolor="#dbe5f1 [660]">
                <v:textbox style="layout-flow:vertical;mso-layout-flow-alt:bottom-to-top">
                  <w:txbxContent>
                    <w:p w:rsidR="00377C33" w:rsidRPr="002278F6" w:rsidRDefault="00377C33" w:rsidP="00261FF1">
                      <w:pPr>
                        <w:jc w:val="center"/>
                        <w:rPr>
                          <w:b/>
                        </w:rPr>
                      </w:pPr>
                      <w:r w:rsidRPr="002278F6">
                        <w:rPr>
                          <w:b/>
                        </w:rPr>
                        <w:t>Initial Allocation Interview</w:t>
                      </w:r>
                    </w:p>
                  </w:txbxContent>
                </v:textbox>
              </v:roundrect>
            </w:pict>
          </mc:Fallback>
        </mc:AlternateContent>
      </w:r>
      <w:r>
        <w:rPr>
          <w:noProof/>
          <w:lang w:eastAsia="en-AU"/>
        </w:rPr>
        <mc:AlternateContent>
          <mc:Choice Requires="wps">
            <w:drawing>
              <wp:anchor distT="0" distB="0" distL="114300" distR="114300" simplePos="0" relativeHeight="251713536" behindDoc="0" locked="0" layoutInCell="1" allowOverlap="1" wp14:anchorId="0EFAE712" wp14:editId="4A7F68C4">
                <wp:simplePos x="0" y="0"/>
                <wp:positionH relativeFrom="column">
                  <wp:posOffset>2722880</wp:posOffset>
                </wp:positionH>
                <wp:positionV relativeFrom="paragraph">
                  <wp:posOffset>8367395</wp:posOffset>
                </wp:positionV>
                <wp:extent cx="0" cy="1724025"/>
                <wp:effectExtent l="55880" t="13970" r="58420" b="14605"/>
                <wp:wrapNone/>
                <wp:docPr id="70" name="AutoShape 385" title="down arrow (lo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alt="Title: down arrow (long)" style="position:absolute;margin-left:214.4pt;margin-top:658.85pt;width:0;height:13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">
                <v:stroke endarrow="block"/>
              </v:shape>
            </w:pict>
          </mc:Fallback>
        </mc:AlternateContent>
      </w:r>
      <w:r>
        <w:rPr>
          <w:noProof/>
          <w:lang w:eastAsia="en-AU"/>
        </w:rPr>
        <mc:AlternateContent>
          <mc:Choice Requires="wps">
            <w:drawing>
              <wp:anchor distT="0" distB="0" distL="114300" distR="114300" simplePos="0" relativeHeight="251712512" behindDoc="0" locked="0" layoutInCell="1" allowOverlap="1" wp14:anchorId="14E30F22" wp14:editId="65C83C5A">
                <wp:simplePos x="0" y="0"/>
                <wp:positionH relativeFrom="column">
                  <wp:posOffset>2913380</wp:posOffset>
                </wp:positionH>
                <wp:positionV relativeFrom="paragraph">
                  <wp:posOffset>8367395</wp:posOffset>
                </wp:positionV>
                <wp:extent cx="9525" cy="790575"/>
                <wp:effectExtent l="8255" t="13970" r="10795" b="5080"/>
                <wp:wrapNone/>
                <wp:docPr id="69" name="AutoShape 384" title="L-shaped arrow (down-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alt="Title: L-shaped arrow (down-right)" style="position:absolute;margin-left:229.4pt;margin-top:658.85pt;width:.75pt;height:6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"/>
            </w:pict>
          </mc:Fallback>
        </mc:AlternateContent>
      </w:r>
      <w:r>
        <w:rPr>
          <w:noProof/>
          <w:lang w:eastAsia="en-AU"/>
        </w:rPr>
        <mc:AlternateContent>
          <mc:Choice Requires="wps">
            <w:drawing>
              <wp:anchor distT="0" distB="0" distL="114300" distR="114300" simplePos="0" relativeHeight="251711488" behindDoc="0" locked="0" layoutInCell="1" allowOverlap="1" wp14:anchorId="4DC040F4" wp14:editId="6388BEEF">
                <wp:simplePos x="0" y="0"/>
                <wp:positionH relativeFrom="column">
                  <wp:posOffset>3608705</wp:posOffset>
                </wp:positionH>
                <wp:positionV relativeFrom="paragraph">
                  <wp:posOffset>8119745</wp:posOffset>
                </wp:positionV>
                <wp:extent cx="238125" cy="142875"/>
                <wp:effectExtent l="8255" t="13970" r="39370" b="52705"/>
                <wp:wrapNone/>
                <wp:docPr id="68" name="AutoShape 383" title="down-right arrow (shor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alt="Title: down-right arrow (short)" style="position:absolute;margin-left:284.15pt;margin-top:639.35pt;width:18.75pt;height:1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">
                <v:stroke endarrow="block"/>
              </v:shape>
            </w:pict>
          </mc:Fallback>
        </mc:AlternateContent>
      </w:r>
      <w:r>
        <w:rPr>
          <w:noProof/>
          <w:lang w:eastAsia="en-AU"/>
        </w:rPr>
        <mc:AlternateContent>
          <mc:Choice Requires="wps">
            <w:drawing>
              <wp:anchor distT="0" distB="0" distL="114300" distR="114300" simplePos="0" relativeHeight="251710464" behindDoc="0" locked="0" layoutInCell="1" allowOverlap="1" wp14:anchorId="1011BF0D" wp14:editId="13DB229A">
                <wp:simplePos x="0" y="0"/>
                <wp:positionH relativeFrom="column">
                  <wp:posOffset>646430</wp:posOffset>
                </wp:positionH>
                <wp:positionV relativeFrom="paragraph">
                  <wp:posOffset>8424545</wp:posOffset>
                </wp:positionV>
                <wp:extent cx="9525" cy="857250"/>
                <wp:effectExtent l="55880" t="13970" r="48895" b="24130"/>
                <wp:wrapNone/>
                <wp:docPr id="67" name="AutoShape 382"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alt="Title: down arrow" style="position:absolute;margin-left:50.9pt;margin-top:663.35pt;width:.75pt;height:6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">
                <v:stroke endarrow="block"/>
              </v:shape>
            </w:pict>
          </mc:Fallback>
        </mc:AlternateContent>
      </w:r>
      <w:r>
        <w:rPr>
          <w:noProof/>
          <w:lang w:eastAsia="en-AU"/>
        </w:rPr>
        <mc:AlternateContent>
          <mc:Choice Requires="wps">
            <w:drawing>
              <wp:anchor distT="0" distB="0" distL="114300" distR="114300" simplePos="0" relativeHeight="251709440" behindDoc="0" locked="0" layoutInCell="1" allowOverlap="1" wp14:anchorId="58CB2F5B" wp14:editId="05E4A5DB">
                <wp:simplePos x="0" y="0"/>
                <wp:positionH relativeFrom="column">
                  <wp:posOffset>-963295</wp:posOffset>
                </wp:positionH>
                <wp:positionV relativeFrom="paragraph">
                  <wp:posOffset>7893050</wp:posOffset>
                </wp:positionV>
                <wp:extent cx="2438400" cy="533400"/>
                <wp:effectExtent l="8255" t="6350" r="10795" b="12700"/>
                <wp:wrapNone/>
                <wp:docPr id="66"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3340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261FF1">
                            <w:r>
                              <w:rPr>
                                <w:sz w:val="20"/>
                              </w:rPr>
                              <w:t>Client does not take up referral to financial management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1" o:spid="_x0000_s1149" style="position:absolute;margin-left:-75.85pt;margin-top:621.5pt;width:192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" fillcolor="#d6e3bc [1302]">
                <v:textbox>
                  <w:txbxContent>
                    <w:p w:rsidR="00377C33" w:rsidRDefault="00377C33" w:rsidP="00261FF1">
                      <w:r>
                        <w:rPr>
                          <w:sz w:val="20"/>
                        </w:rPr>
                        <w:t>Client does not take up referral to financial management program</w:t>
                      </w:r>
                    </w:p>
                  </w:txbxContent>
                </v:textbox>
              </v:roundrect>
            </w:pict>
          </mc:Fallback>
        </mc:AlternateContent>
      </w:r>
      <w:r>
        <w:rPr>
          <w:noProof/>
          <w:lang w:eastAsia="en-AU"/>
        </w:rPr>
        <mc:AlternateContent>
          <mc:Choice Requires="wps">
            <w:drawing>
              <wp:anchor distT="0" distB="0" distL="114300" distR="114300" simplePos="0" relativeHeight="251708416" behindDoc="0" locked="0" layoutInCell="1" allowOverlap="1" wp14:anchorId="2FBB7656" wp14:editId="45B7886D">
                <wp:simplePos x="0" y="0"/>
                <wp:positionH relativeFrom="column">
                  <wp:posOffset>3846830</wp:posOffset>
                </wp:positionH>
                <wp:positionV relativeFrom="paragraph">
                  <wp:posOffset>7938770</wp:posOffset>
                </wp:positionV>
                <wp:extent cx="2066925" cy="647700"/>
                <wp:effectExtent l="8255" t="13970" r="10795" b="5080"/>
                <wp:wrapNone/>
                <wp:docPr id="65"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4770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261FF1">
                            <w:r>
                              <w:rPr>
                                <w:sz w:val="20"/>
                              </w:rPr>
                              <w:t>Client completes money management course and is eligible for the Matched Savings Payment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0" o:spid="_x0000_s1150" style="position:absolute;margin-left:302.9pt;margin-top:625.1pt;width:162.75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" fillcolor="#d6e3bc [1302]">
                <v:textbox>
                  <w:txbxContent>
                    <w:p w:rsidR="00377C33" w:rsidRDefault="00377C33" w:rsidP="00261FF1">
                      <w:r>
                        <w:rPr>
                          <w:sz w:val="20"/>
                        </w:rPr>
                        <w:t>Client completes money management course and is eligible for the Matched Savings Payment</w:t>
                      </w:r>
                    </w:p>
                  </w:txbxContent>
                </v:textbox>
              </v:roundrect>
            </w:pict>
          </mc:Fallback>
        </mc:AlternateContent>
      </w:r>
      <w:r>
        <w:rPr>
          <w:noProof/>
          <w:lang w:eastAsia="en-AU"/>
        </w:rPr>
        <mc:AlternateContent>
          <mc:Choice Requires="wps">
            <w:drawing>
              <wp:anchor distT="0" distB="0" distL="114300" distR="114300" simplePos="0" relativeHeight="251707392" behindDoc="0" locked="0" layoutInCell="1" allowOverlap="1" wp14:anchorId="2CF98681" wp14:editId="7BA9D295">
                <wp:simplePos x="0" y="0"/>
                <wp:positionH relativeFrom="column">
                  <wp:posOffset>1579880</wp:posOffset>
                </wp:positionH>
                <wp:positionV relativeFrom="paragraph">
                  <wp:posOffset>7833995</wp:posOffset>
                </wp:positionV>
                <wp:extent cx="2028825" cy="533400"/>
                <wp:effectExtent l="8255" t="13970" r="10795" b="5080"/>
                <wp:wrapNone/>
                <wp:docPr id="64"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53340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261FF1">
                            <w:r>
                              <w:rPr>
                                <w:sz w:val="20"/>
                              </w:rPr>
                              <w:t>Client takes up referral to financial management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9" o:spid="_x0000_s1151" style="position:absolute;margin-left:124.4pt;margin-top:616.85pt;width:159.7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" fillcolor="#d6e3bc [1302]">
                <v:textbox>
                  <w:txbxContent>
                    <w:p w:rsidR="00377C33" w:rsidRDefault="00377C33" w:rsidP="00261FF1">
                      <w:r>
                        <w:rPr>
                          <w:sz w:val="20"/>
                        </w:rPr>
                        <w:t>Client takes up referral to financial management program</w:t>
                      </w:r>
                    </w:p>
                  </w:txbxContent>
                </v:textbox>
              </v:roundrect>
            </w:pict>
          </mc:Fallback>
        </mc:AlternateContent>
      </w:r>
      <w:r>
        <w:rPr>
          <w:noProof/>
          <w:lang w:eastAsia="en-AU"/>
        </w:rPr>
        <mc:AlternateContent>
          <mc:Choice Requires="wps">
            <w:drawing>
              <wp:anchor distT="0" distB="0" distL="114300" distR="114300" simplePos="0" relativeHeight="251706368" behindDoc="0" locked="0" layoutInCell="1" allowOverlap="1" wp14:anchorId="3D00A886" wp14:editId="5D4DE309">
                <wp:simplePos x="0" y="0"/>
                <wp:positionH relativeFrom="column">
                  <wp:posOffset>2494280</wp:posOffset>
                </wp:positionH>
                <wp:positionV relativeFrom="paragraph">
                  <wp:posOffset>7386320</wp:posOffset>
                </wp:positionV>
                <wp:extent cx="152400" cy="447675"/>
                <wp:effectExtent l="8255" t="13970" r="58420" b="33655"/>
                <wp:wrapNone/>
                <wp:docPr id="63" name="AutoShape 378" title="down-right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8" o:spid="_x0000_s1026" type="#_x0000_t32" alt="Title: down-right arrow" style="position:absolute;margin-left:196.4pt;margin-top:581.6pt;width:12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">
                <v:stroke endarrow="block"/>
              </v:shape>
            </w:pict>
          </mc:Fallback>
        </mc:AlternateContent>
      </w:r>
      <w:r>
        <w:rPr>
          <w:noProof/>
          <w:lang w:eastAsia="en-AU"/>
        </w:rPr>
        <mc:AlternateContent>
          <mc:Choice Requires="wps">
            <w:drawing>
              <wp:anchor distT="0" distB="0" distL="114300" distR="114300" simplePos="0" relativeHeight="251705344" behindDoc="0" locked="0" layoutInCell="1" allowOverlap="1" wp14:anchorId="100BBF9E" wp14:editId="2DC2C0BB">
                <wp:simplePos x="0" y="0"/>
                <wp:positionH relativeFrom="column">
                  <wp:posOffset>1189355</wp:posOffset>
                </wp:positionH>
                <wp:positionV relativeFrom="paragraph">
                  <wp:posOffset>7386320</wp:posOffset>
                </wp:positionV>
                <wp:extent cx="800100" cy="504825"/>
                <wp:effectExtent l="46355" t="13970" r="10795" b="52705"/>
                <wp:wrapNone/>
                <wp:docPr id="62" name="AutoShape 377" title="down left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alt="Title: down left arrow" style="position:absolute;margin-left:93.65pt;margin-top:581.6pt;width:63pt;height:39.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">
                <v:stroke endarrow="block"/>
              </v:shape>
            </w:pict>
          </mc:Fallback>
        </mc:AlternateContent>
      </w:r>
      <w:r>
        <w:rPr>
          <w:noProof/>
          <w:lang w:eastAsia="en-AU"/>
        </w:rPr>
        <mc:AlternateContent>
          <mc:Choice Requires="wps">
            <w:drawing>
              <wp:anchor distT="0" distB="0" distL="114300" distR="114300" simplePos="0" relativeHeight="251704320" behindDoc="0" locked="0" layoutInCell="1" allowOverlap="1" wp14:anchorId="23687F7B" wp14:editId="7AEF5856">
                <wp:simplePos x="0" y="0"/>
                <wp:positionH relativeFrom="column">
                  <wp:posOffset>1941830</wp:posOffset>
                </wp:positionH>
                <wp:positionV relativeFrom="paragraph">
                  <wp:posOffset>2738120</wp:posOffset>
                </wp:positionV>
                <wp:extent cx="0" cy="447675"/>
                <wp:effectExtent l="55880" t="13970" r="58420" b="14605"/>
                <wp:wrapNone/>
                <wp:docPr id="61" name="AutoShape 376"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alt="Title: down arrow" style="position:absolute;margin-left:152.9pt;margin-top:215.6pt;width:0;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">
                <v:stroke endarrow="block"/>
              </v:shape>
            </w:pict>
          </mc:Fallback>
        </mc:AlternateContent>
      </w:r>
      <w:r>
        <w:rPr>
          <w:noProof/>
          <w:lang w:eastAsia="en-AU"/>
        </w:rPr>
        <mc:AlternateContent>
          <mc:Choice Requires="wps">
            <w:drawing>
              <wp:anchor distT="0" distB="0" distL="114300" distR="114300" simplePos="0" relativeHeight="251703296" behindDoc="0" locked="0" layoutInCell="1" allowOverlap="1" wp14:anchorId="4B1CE675" wp14:editId="2EC20314">
                <wp:simplePos x="0" y="0"/>
                <wp:positionH relativeFrom="column">
                  <wp:posOffset>1942465</wp:posOffset>
                </wp:positionH>
                <wp:positionV relativeFrom="paragraph">
                  <wp:posOffset>1804670</wp:posOffset>
                </wp:positionV>
                <wp:extent cx="0" cy="390525"/>
                <wp:effectExtent l="56515" t="13970" r="57785" b="14605"/>
                <wp:wrapNone/>
                <wp:docPr id="60" name="AutoShape 375"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alt="Title: down arrow" style="position:absolute;margin-left:152.95pt;margin-top:142.1pt;width:0;height: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1702272" behindDoc="0" locked="0" layoutInCell="1" allowOverlap="1" wp14:anchorId="63FCD14F" wp14:editId="74F6A2A1">
                <wp:simplePos x="0" y="0"/>
                <wp:positionH relativeFrom="column">
                  <wp:posOffset>1941830</wp:posOffset>
                </wp:positionH>
                <wp:positionV relativeFrom="paragraph">
                  <wp:posOffset>680720</wp:posOffset>
                </wp:positionV>
                <wp:extent cx="635" cy="238125"/>
                <wp:effectExtent l="55880" t="13970" r="57785" b="14605"/>
                <wp:wrapNone/>
                <wp:docPr id="59" name="AutoShape 374"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4" o:spid="_x0000_s1026" type="#_x0000_t32" alt="Title: down arrow" style="position:absolute;margin-left:152.9pt;margin-top:53.6pt;width:.0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">
                <v:stroke endarrow="block"/>
              </v:shape>
            </w:pict>
          </mc:Fallback>
        </mc:AlternateContent>
      </w:r>
      <w:r>
        <w:rPr>
          <w:noProof/>
          <w:lang w:eastAsia="en-AU"/>
        </w:rPr>
        <mc:AlternateContent>
          <mc:Choice Requires="wps">
            <w:drawing>
              <wp:anchor distT="0" distB="0" distL="114300" distR="114300" simplePos="0" relativeHeight="251701248" behindDoc="0" locked="0" layoutInCell="1" allowOverlap="1" wp14:anchorId="34CA0003" wp14:editId="446F40CA">
                <wp:simplePos x="0" y="0"/>
                <wp:positionH relativeFrom="column">
                  <wp:posOffset>189230</wp:posOffset>
                </wp:positionH>
                <wp:positionV relativeFrom="paragraph">
                  <wp:posOffset>6481445</wp:posOffset>
                </wp:positionV>
                <wp:extent cx="3657600" cy="904875"/>
                <wp:effectExtent l="8255" t="13970" r="10795" b="5080"/>
                <wp:wrapNone/>
                <wp:docPr id="5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487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C016BA" w:rsidRDefault="00377C33" w:rsidP="00261FF1">
                            <w:pPr>
                              <w:rPr>
                                <w:sz w:val="20"/>
                              </w:rPr>
                            </w:pPr>
                            <w:r>
                              <w:rPr>
                                <w:sz w:val="20"/>
                              </w:rPr>
                              <w:t>Client is offered a referral to a Financial Management Program Service (FMPS) provider as part of the initial allocation interview. The client is advised that the referral is voluntary and 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152" style="position:absolute;margin-left:14.9pt;margin-top:510.35pt;width:4in;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" fillcolor="#dbe5f1 [660]">
                <v:textbox>
                  <w:txbxContent>
                    <w:p w:rsidR="00377C33" w:rsidRPr="00C016BA" w:rsidRDefault="00377C33" w:rsidP="00261FF1">
                      <w:pPr>
                        <w:rPr>
                          <w:sz w:val="20"/>
                        </w:rPr>
                      </w:pPr>
                      <w:r>
                        <w:rPr>
                          <w:sz w:val="20"/>
                        </w:rPr>
                        <w:t>Client is offered a referral to a Financial Management Program Service (FMPS) provider as part of the initial allocation interview. The client is advised that the referral is voluntary and confidential.</w:t>
                      </w:r>
                    </w:p>
                  </w:txbxContent>
                </v:textbox>
              </v:roundrect>
            </w:pict>
          </mc:Fallback>
        </mc:AlternateContent>
      </w:r>
      <w:r>
        <w:rPr>
          <w:noProof/>
          <w:lang w:eastAsia="en-AU"/>
        </w:rPr>
        <mc:AlternateContent>
          <mc:Choice Requires="wps">
            <w:drawing>
              <wp:anchor distT="0" distB="0" distL="114300" distR="114300" simplePos="0" relativeHeight="251700224" behindDoc="0" locked="0" layoutInCell="1" allowOverlap="1" wp14:anchorId="7B156D15" wp14:editId="0006A775">
                <wp:simplePos x="0" y="0"/>
                <wp:positionH relativeFrom="column">
                  <wp:posOffset>103505</wp:posOffset>
                </wp:positionH>
                <wp:positionV relativeFrom="paragraph">
                  <wp:posOffset>3185795</wp:posOffset>
                </wp:positionV>
                <wp:extent cx="3657600" cy="1657350"/>
                <wp:effectExtent l="8255" t="13970" r="10795" b="5080"/>
                <wp:wrapNone/>
                <wp:docPr id="57"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6573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377C33" w:rsidRPr="00277E51" w:rsidRDefault="00377C33" w:rsidP="00261FF1">
                            <w:pPr>
                              <w:rPr>
                                <w:color w:val="002060"/>
                                <w:sz w:val="20"/>
                              </w:rPr>
                            </w:pPr>
                            <w:r w:rsidRPr="00277E51">
                              <w:rPr>
                                <w:b/>
                                <w:color w:val="002060"/>
                                <w:sz w:val="20"/>
                              </w:rPr>
                              <w:t>At the initial allocation interview</w:t>
                            </w:r>
                            <w:r w:rsidRPr="00277E51">
                              <w:rPr>
                                <w:color w:val="002060"/>
                                <w:sz w:val="20"/>
                              </w:rPr>
                              <w:t>:</w:t>
                            </w:r>
                          </w:p>
                          <w:p w:rsidR="00377C33" w:rsidRPr="00261FF1" w:rsidRDefault="00377C33" w:rsidP="00FB72A3">
                            <w:pPr>
                              <w:pStyle w:val="ListParagraph"/>
                              <w:numPr>
                                <w:ilvl w:val="0"/>
                                <w:numId w:val="18"/>
                              </w:numPr>
                              <w:spacing w:after="200" w:line="276" w:lineRule="auto"/>
                              <w:rPr>
                                <w:rFonts w:asciiTheme="minorHAnsi" w:hAnsiTheme="minorHAnsi"/>
                                <w:sz w:val="20"/>
                                <w:szCs w:val="20"/>
                              </w:rPr>
                            </w:pPr>
                            <w:r w:rsidRPr="00261FF1">
                              <w:rPr>
                                <w:rFonts w:asciiTheme="minorHAnsi" w:hAnsiTheme="minorHAnsi"/>
                                <w:sz w:val="20"/>
                                <w:szCs w:val="20"/>
                              </w:rPr>
                              <w:t xml:space="preserve">DHS explains to the customer how income management works, and their obligations under the Child Protection measure </w:t>
                            </w:r>
                          </w:p>
                          <w:p w:rsidR="00377C33" w:rsidRPr="00261FF1" w:rsidRDefault="00377C33" w:rsidP="00FB72A3">
                            <w:pPr>
                              <w:pStyle w:val="ListParagraph"/>
                              <w:numPr>
                                <w:ilvl w:val="0"/>
                                <w:numId w:val="18"/>
                              </w:numPr>
                              <w:spacing w:after="200" w:line="276" w:lineRule="auto"/>
                              <w:rPr>
                                <w:rFonts w:asciiTheme="minorHAnsi" w:hAnsiTheme="minorHAnsi"/>
                                <w:sz w:val="20"/>
                                <w:szCs w:val="20"/>
                              </w:rPr>
                            </w:pPr>
                            <w:r w:rsidRPr="00261FF1">
                              <w:rPr>
                                <w:rFonts w:asciiTheme="minorHAnsi" w:hAnsiTheme="minorHAnsi"/>
                                <w:sz w:val="20"/>
                                <w:szCs w:val="20"/>
                              </w:rPr>
                              <w:t>DHS and the customer discuss the child protection workers’ ranking of priority needs and allocate their income management funds to meet these needs</w:t>
                            </w:r>
                          </w:p>
                          <w:p w:rsidR="00377C33" w:rsidRPr="008448EE" w:rsidRDefault="00377C33" w:rsidP="00261FF1">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 o:spid="_x0000_s1153" style="position:absolute;margin-left:8.15pt;margin-top:250.85pt;width:4in;height:1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" fillcolor="#dbe5f1 [660]">
                <v:textbox>
                  <w:txbxContent>
                    <w:p w:rsidR="00377C33" w:rsidRPr="00277E51" w:rsidRDefault="00377C33" w:rsidP="00261FF1">
                      <w:pPr>
                        <w:rPr>
                          <w:color w:val="002060"/>
                          <w:sz w:val="20"/>
                        </w:rPr>
                      </w:pPr>
                      <w:r w:rsidRPr="00277E51">
                        <w:rPr>
                          <w:b/>
                          <w:color w:val="002060"/>
                          <w:sz w:val="20"/>
                        </w:rPr>
                        <w:t>At the initial allocation interview</w:t>
                      </w:r>
                      <w:r w:rsidRPr="00277E51">
                        <w:rPr>
                          <w:color w:val="002060"/>
                          <w:sz w:val="20"/>
                        </w:rPr>
                        <w:t>:</w:t>
                      </w:r>
                    </w:p>
                    <w:p w:rsidR="00377C33" w:rsidRPr="00261FF1" w:rsidRDefault="00377C33" w:rsidP="00FB72A3">
                      <w:pPr>
                        <w:pStyle w:val="ListParagraph"/>
                        <w:numPr>
                          <w:ilvl w:val="0"/>
                          <w:numId w:val="18"/>
                        </w:numPr>
                        <w:spacing w:after="200" w:line="276" w:lineRule="auto"/>
                        <w:rPr>
                          <w:rFonts w:asciiTheme="minorHAnsi" w:hAnsiTheme="minorHAnsi"/>
                          <w:sz w:val="20"/>
                          <w:szCs w:val="20"/>
                        </w:rPr>
                      </w:pPr>
                      <w:r w:rsidRPr="00261FF1">
                        <w:rPr>
                          <w:rFonts w:asciiTheme="minorHAnsi" w:hAnsiTheme="minorHAnsi"/>
                          <w:sz w:val="20"/>
                          <w:szCs w:val="20"/>
                        </w:rPr>
                        <w:t xml:space="preserve">DHS explains to the customer how income management works, and their obligations under the Child Protection measure </w:t>
                      </w:r>
                    </w:p>
                    <w:p w:rsidR="00377C33" w:rsidRPr="00261FF1" w:rsidRDefault="00377C33" w:rsidP="00FB72A3">
                      <w:pPr>
                        <w:pStyle w:val="ListParagraph"/>
                        <w:numPr>
                          <w:ilvl w:val="0"/>
                          <w:numId w:val="18"/>
                        </w:numPr>
                        <w:spacing w:after="200" w:line="276" w:lineRule="auto"/>
                        <w:rPr>
                          <w:rFonts w:asciiTheme="minorHAnsi" w:hAnsiTheme="minorHAnsi"/>
                          <w:sz w:val="20"/>
                          <w:szCs w:val="20"/>
                        </w:rPr>
                      </w:pPr>
                      <w:r w:rsidRPr="00261FF1">
                        <w:rPr>
                          <w:rFonts w:asciiTheme="minorHAnsi" w:hAnsiTheme="minorHAnsi"/>
                          <w:sz w:val="20"/>
                          <w:szCs w:val="20"/>
                        </w:rPr>
                        <w:t>DHS and the customer discuss the child protection workers’ ranking of priority needs and allocate their income management funds to meet these needs</w:t>
                      </w:r>
                    </w:p>
                    <w:p w:rsidR="00377C33" w:rsidRPr="008448EE" w:rsidRDefault="00377C33" w:rsidP="00261FF1">
                      <w:pPr>
                        <w:ind w:left="360"/>
                      </w:pPr>
                    </w:p>
                  </w:txbxContent>
                </v:textbox>
              </v:roundrect>
            </w:pict>
          </mc:Fallback>
        </mc:AlternateContent>
      </w:r>
      <w:r>
        <w:rPr>
          <w:noProof/>
          <w:lang w:eastAsia="en-AU"/>
        </w:rPr>
        <mc:AlternateContent>
          <mc:Choice Requires="wps">
            <w:drawing>
              <wp:anchor distT="0" distB="0" distL="114300" distR="114300" simplePos="0" relativeHeight="251699200" behindDoc="0" locked="0" layoutInCell="1" allowOverlap="1" wp14:anchorId="1A52EB7A" wp14:editId="7A207518">
                <wp:simplePos x="0" y="0"/>
                <wp:positionH relativeFrom="column">
                  <wp:posOffset>103505</wp:posOffset>
                </wp:positionH>
                <wp:positionV relativeFrom="paragraph">
                  <wp:posOffset>918845</wp:posOffset>
                </wp:positionV>
                <wp:extent cx="3743325" cy="885825"/>
                <wp:effectExtent l="8255" t="13970" r="10795" b="5080"/>
                <wp:wrapNone/>
                <wp:docPr id="56"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885825"/>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575C75" w:rsidRDefault="00377C33" w:rsidP="00261FF1">
                            <w:pPr>
                              <w:rPr>
                                <w:sz w:val="20"/>
                              </w:rPr>
                            </w:pPr>
                            <w:r w:rsidRPr="00575C75">
                              <w:rPr>
                                <w:sz w:val="20"/>
                              </w:rPr>
                              <w:t>Notice to apply CPIM to client is submitted to DHS via the Unified Government Gateway (UGG). The notice outlines the duration of IM they wish to</w:t>
                            </w:r>
                            <w:r>
                              <w:rPr>
                                <w:sz w:val="20"/>
                              </w:rPr>
                              <w:t xml:space="preserve"> be</w:t>
                            </w:r>
                            <w:r w:rsidRPr="00575C75">
                              <w:rPr>
                                <w:sz w:val="20"/>
                              </w:rPr>
                              <w:t xml:space="preserve"> applied to the client – 3,</w:t>
                            </w:r>
                            <w:r>
                              <w:rPr>
                                <w:sz w:val="20"/>
                              </w:rPr>
                              <w:t xml:space="preserve"> </w:t>
                            </w:r>
                            <w:r w:rsidRPr="00575C75">
                              <w:rPr>
                                <w:sz w:val="20"/>
                              </w:rPr>
                              <w:t>6,</w:t>
                            </w:r>
                            <w:r>
                              <w:rPr>
                                <w:sz w:val="20"/>
                              </w:rPr>
                              <w:t xml:space="preserve"> </w:t>
                            </w:r>
                            <w:r w:rsidRPr="00575C75">
                              <w:rPr>
                                <w:sz w:val="20"/>
                              </w:rPr>
                              <w:t xml:space="preserve">9 or 12 months. It also provides a ranking of the priority needs of the customer.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1" o:spid="_x0000_s1154" style="position:absolute;margin-left:8.15pt;margin-top:72.35pt;width:294.75pt;height:6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" fillcolor="#daeef3 [664]">
                <v:fill opacity="42662f"/>
                <v:textbox>
                  <w:txbxContent>
                    <w:p w:rsidR="00377C33" w:rsidRPr="00575C75" w:rsidRDefault="00377C33" w:rsidP="00261FF1">
                      <w:pPr>
                        <w:rPr>
                          <w:sz w:val="20"/>
                        </w:rPr>
                      </w:pPr>
                      <w:r w:rsidRPr="00575C75">
                        <w:rPr>
                          <w:sz w:val="20"/>
                        </w:rPr>
                        <w:t>Notice to apply CPIM to client is submitted to DHS via the Unified Government Gateway (UGG). The notice outlines the duration of IM they wish to</w:t>
                      </w:r>
                      <w:r>
                        <w:rPr>
                          <w:sz w:val="20"/>
                        </w:rPr>
                        <w:t xml:space="preserve"> be</w:t>
                      </w:r>
                      <w:r w:rsidRPr="00575C75">
                        <w:rPr>
                          <w:sz w:val="20"/>
                        </w:rPr>
                        <w:t xml:space="preserve"> applied to the client – 3,</w:t>
                      </w:r>
                      <w:r>
                        <w:rPr>
                          <w:sz w:val="20"/>
                        </w:rPr>
                        <w:t xml:space="preserve"> </w:t>
                      </w:r>
                      <w:r w:rsidRPr="00575C75">
                        <w:rPr>
                          <w:sz w:val="20"/>
                        </w:rPr>
                        <w:t>6,</w:t>
                      </w:r>
                      <w:r>
                        <w:rPr>
                          <w:sz w:val="20"/>
                        </w:rPr>
                        <w:t xml:space="preserve"> </w:t>
                      </w:r>
                      <w:r w:rsidRPr="00575C75">
                        <w:rPr>
                          <w:sz w:val="20"/>
                        </w:rPr>
                        <w:t xml:space="preserve">9 or 12 months. It also provides a ranking of the priority needs of the customer. </w:t>
                      </w:r>
                    </w:p>
                  </w:txbxContent>
                </v:textbox>
              </v:roundrect>
            </w:pict>
          </mc:Fallback>
        </mc:AlternateContent>
      </w:r>
      <w:r>
        <w:rPr>
          <w:noProof/>
          <w:lang w:eastAsia="en-AU"/>
        </w:rPr>
        <mc:AlternateContent>
          <mc:Choice Requires="wps">
            <w:drawing>
              <wp:anchor distT="0" distB="0" distL="114300" distR="114300" simplePos="0" relativeHeight="251698176" behindDoc="0" locked="0" layoutInCell="1" allowOverlap="1" wp14:anchorId="4A39160B" wp14:editId="0B0F8315">
                <wp:simplePos x="0" y="0"/>
                <wp:positionH relativeFrom="column">
                  <wp:posOffset>103505</wp:posOffset>
                </wp:positionH>
                <wp:positionV relativeFrom="paragraph">
                  <wp:posOffset>33020</wp:posOffset>
                </wp:positionV>
                <wp:extent cx="3743325" cy="647700"/>
                <wp:effectExtent l="8255" t="13970" r="10795" b="5080"/>
                <wp:wrapNone/>
                <wp:docPr id="55"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647700"/>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575C75" w:rsidRDefault="00377C33" w:rsidP="00261FF1">
                            <w:pPr>
                              <w:rPr>
                                <w:sz w:val="20"/>
                              </w:rPr>
                            </w:pPr>
                            <w:r w:rsidRPr="00575C75">
                              <w:rPr>
                                <w:sz w:val="20"/>
                              </w:rPr>
                              <w:t xml:space="preserve">Child protection worker </w:t>
                            </w:r>
                            <w:r>
                              <w:rPr>
                                <w:sz w:val="20"/>
                              </w:rPr>
                              <w:t xml:space="preserve">makes decision to refer client, </w:t>
                            </w:r>
                            <w:r w:rsidRPr="00575C75">
                              <w:rPr>
                                <w:sz w:val="20"/>
                              </w:rPr>
                              <w:t>advises their client they are being referred for IM and then submits the referral to DHS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0" o:spid="_x0000_s1155" style="position:absolute;margin-left:8.15pt;margin-top:2.6pt;width:294.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" fillcolor="#daeef3 [664]">
                <v:fill opacity="42662f"/>
                <v:textbox>
                  <w:txbxContent>
                    <w:p w:rsidR="00377C33" w:rsidRPr="00575C75" w:rsidRDefault="00377C33" w:rsidP="00261FF1">
                      <w:pPr>
                        <w:rPr>
                          <w:sz w:val="20"/>
                        </w:rPr>
                      </w:pPr>
                      <w:r w:rsidRPr="00575C75">
                        <w:rPr>
                          <w:sz w:val="20"/>
                        </w:rPr>
                        <w:t xml:space="preserve">Child protection worker </w:t>
                      </w:r>
                      <w:r>
                        <w:rPr>
                          <w:sz w:val="20"/>
                        </w:rPr>
                        <w:t xml:space="preserve">makes decision to refer client, </w:t>
                      </w:r>
                      <w:r w:rsidRPr="00575C75">
                        <w:rPr>
                          <w:sz w:val="20"/>
                        </w:rPr>
                        <w:t>advises their client they are being referred for IM and then submits the referral to DHS</w:t>
                      </w:r>
                    </w:p>
                  </w:txbxContent>
                </v:textbox>
              </v:roundrect>
            </w:pict>
          </mc:Fallback>
        </mc:AlternateContent>
      </w:r>
      <w:r>
        <w:rPr>
          <w:noProof/>
          <w:lang w:eastAsia="en-AU"/>
        </w:rPr>
        <mc:AlternateContent>
          <mc:Choice Requires="wps">
            <w:drawing>
              <wp:anchor distT="0" distB="0" distL="114300" distR="114300" simplePos="0" relativeHeight="251697152" behindDoc="0" locked="0" layoutInCell="1" allowOverlap="1" wp14:anchorId="6D24835C" wp14:editId="2CD04C3F">
                <wp:simplePos x="0" y="0"/>
                <wp:positionH relativeFrom="column">
                  <wp:posOffset>103505</wp:posOffset>
                </wp:positionH>
                <wp:positionV relativeFrom="paragraph">
                  <wp:posOffset>2193290</wp:posOffset>
                </wp:positionV>
                <wp:extent cx="3657600" cy="542925"/>
                <wp:effectExtent l="8255" t="12065" r="10795" b="6985"/>
                <wp:wrapNone/>
                <wp:docPr id="54"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42925"/>
                        </a:xfrm>
                        <a:prstGeom prst="roundRect">
                          <a:avLst>
                            <a:gd name="adj" fmla="val 16667"/>
                          </a:avLst>
                        </a:prstGeom>
                        <a:solidFill>
                          <a:schemeClr val="accent5">
                            <a:lumMod val="20000"/>
                            <a:lumOff val="80000"/>
                            <a:alpha val="64999"/>
                          </a:schemeClr>
                        </a:solidFill>
                        <a:ln w="9525">
                          <a:solidFill>
                            <a:srgbClr val="000000"/>
                          </a:solidFill>
                          <a:round/>
                          <a:headEnd/>
                          <a:tailEnd/>
                        </a:ln>
                      </wps:spPr>
                      <wps:txbx>
                        <w:txbxContent>
                          <w:p w:rsidR="00377C33" w:rsidRPr="00575C75" w:rsidRDefault="00377C33" w:rsidP="00261FF1">
                            <w:pPr>
                              <w:rPr>
                                <w:sz w:val="20"/>
                              </w:rPr>
                            </w:pPr>
                            <w:r w:rsidRPr="00575C75">
                              <w:rPr>
                                <w:sz w:val="20"/>
                              </w:rPr>
                              <w:t>Upon receipt of the notice DHS contact the customer a</w:t>
                            </w:r>
                            <w:r>
                              <w:rPr>
                                <w:sz w:val="20"/>
                              </w:rPr>
                              <w:t>nd book them an initial assessment</w:t>
                            </w:r>
                            <w:r w:rsidRPr="00575C75">
                              <w:rPr>
                                <w:sz w:val="20"/>
                              </w:rPr>
                              <w:t xml:space="preserve"> interview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9" o:spid="_x0000_s1156" style="position:absolute;margin-left:8.15pt;margin-top:172.7pt;width:4in;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" fillcolor="#daeef3 [664]">
                <v:fill opacity="42662f"/>
                <v:textbox>
                  <w:txbxContent>
                    <w:p w:rsidR="00377C33" w:rsidRPr="00575C75" w:rsidRDefault="00377C33" w:rsidP="00261FF1">
                      <w:pPr>
                        <w:rPr>
                          <w:sz w:val="20"/>
                        </w:rPr>
                      </w:pPr>
                      <w:r w:rsidRPr="00575C75">
                        <w:rPr>
                          <w:sz w:val="20"/>
                        </w:rPr>
                        <w:t>Upon receipt of the notice DHS contact the customer a</w:t>
                      </w:r>
                      <w:r>
                        <w:rPr>
                          <w:sz w:val="20"/>
                        </w:rPr>
                        <w:t>nd book them an initial assessment</w:t>
                      </w:r>
                      <w:r w:rsidRPr="00575C75">
                        <w:rPr>
                          <w:sz w:val="20"/>
                        </w:rPr>
                        <w:t xml:space="preserve"> interview</w:t>
                      </w:r>
                    </w:p>
                  </w:txbxContent>
                </v:textbox>
              </v:roundrect>
            </w:pict>
          </mc:Fallback>
        </mc:AlternateContent>
      </w:r>
      <w:r>
        <w:rPr>
          <w:noProof/>
          <w:lang w:eastAsia="en-AU"/>
        </w:rPr>
        <mc:AlternateContent>
          <mc:Choice Requires="wps">
            <w:drawing>
              <wp:anchor distT="0" distB="0" distL="114300" distR="114300" simplePos="0" relativeHeight="251696128" behindDoc="0" locked="0" layoutInCell="1" allowOverlap="1" wp14:anchorId="4E09CF0C" wp14:editId="6958E81B">
                <wp:simplePos x="0" y="0"/>
                <wp:positionH relativeFrom="column">
                  <wp:posOffset>3846830</wp:posOffset>
                </wp:positionH>
                <wp:positionV relativeFrom="paragraph">
                  <wp:posOffset>290195</wp:posOffset>
                </wp:positionV>
                <wp:extent cx="304800" cy="0"/>
                <wp:effectExtent l="8255" t="61595" r="20320" b="52705"/>
                <wp:wrapNone/>
                <wp:docPr id="53" name="AutoShape 368" title="right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alt="Title: right arrow" style="position:absolute;margin-left:302.9pt;margin-top:22.85pt;width:24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oyQQIAAHM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">
                <v:stroke endarrow="block"/>
              </v:shape>
            </w:pict>
          </mc:Fallback>
        </mc:AlternateContent>
      </w:r>
      <w:r w:rsidR="0069353B">
        <w:br w:type="page"/>
      </w:r>
    </w:p>
    <w:p w:rsidR="0069353B" w:rsidRDefault="00DD488A" w:rsidP="0069353B">
      <w:pPr>
        <w:rPr>
          <w:b/>
          <w:color w:val="002776"/>
          <w:kern w:val="28"/>
          <w:sz w:val="56"/>
        </w:rPr>
      </w:pPr>
      <w:r>
        <w:rPr>
          <w:noProof/>
          <w:lang w:eastAsia="en-AU"/>
        </w:rPr>
        <w:lastRenderedPageBreak/>
        <mc:AlternateContent>
          <mc:Choice Requires="wps">
            <w:drawing>
              <wp:anchor distT="0" distB="0" distL="114300" distR="114300" simplePos="0" relativeHeight="251725824" behindDoc="0" locked="0" layoutInCell="1" allowOverlap="1" wp14:anchorId="12CD5177" wp14:editId="69BB0D28">
                <wp:simplePos x="0" y="0"/>
                <wp:positionH relativeFrom="column">
                  <wp:posOffset>-782320</wp:posOffset>
                </wp:positionH>
                <wp:positionV relativeFrom="paragraph">
                  <wp:posOffset>9222740</wp:posOffset>
                </wp:positionV>
                <wp:extent cx="6096000" cy="590550"/>
                <wp:effectExtent l="0" t="0" r="0" b="0"/>
                <wp:wrapNone/>
                <wp:docPr id="5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C33" w:rsidRPr="00237FA9" w:rsidRDefault="00377C33" w:rsidP="00237FA9">
                            <w:pPr>
                              <w:rPr>
                                <w:sz w:val="20"/>
                              </w:rPr>
                            </w:pPr>
                            <w:r w:rsidRPr="00237FA9">
                              <w:rPr>
                                <w:sz w:val="20"/>
                              </w:rPr>
                              <w:t>*Note: Some elements of th</w:t>
                            </w:r>
                            <w:r>
                              <w:rPr>
                                <w:sz w:val="20"/>
                              </w:rPr>
                              <w:t>e Customer p</w:t>
                            </w:r>
                            <w:r w:rsidRPr="00237FA9">
                              <w:rPr>
                                <w:sz w:val="20"/>
                              </w:rPr>
                              <w:t>athway</w:t>
                            </w:r>
                            <w:r>
                              <w:rPr>
                                <w:sz w:val="20"/>
                              </w:rPr>
                              <w:t xml:space="preserve"> m</w:t>
                            </w:r>
                            <w:r w:rsidRPr="00237FA9">
                              <w:rPr>
                                <w:sz w:val="20"/>
                              </w:rPr>
                              <w:t>aps may vary somewhat across jurisdictions</w:t>
                            </w:r>
                            <w:r>
                              <w:rPr>
                                <w:sz w:val="20"/>
                              </w:rPr>
                              <w:t>,</w:t>
                            </w:r>
                            <w:r w:rsidRPr="00237FA9">
                              <w:rPr>
                                <w:sz w:val="20"/>
                              </w:rPr>
                              <w:t xml:space="preserve"> in line with jurisdictional variations in agreed referral pathways into income management by state government departments, namely housing and child protection authorities.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57" type="#_x0000_t202" style="position:absolute;margin-left:-61.6pt;margin-top:726.2pt;width:480pt;height: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" stroked="f">
                <v:textbox>
                  <w:txbxContent>
                    <w:p w:rsidR="00377C33" w:rsidRPr="00237FA9" w:rsidRDefault="00377C33" w:rsidP="00237FA9">
                      <w:pPr>
                        <w:rPr>
                          <w:sz w:val="20"/>
                        </w:rPr>
                      </w:pPr>
                      <w:r w:rsidRPr="00237FA9">
                        <w:rPr>
                          <w:sz w:val="20"/>
                        </w:rPr>
                        <w:t>*Note: Some elements of th</w:t>
                      </w:r>
                      <w:r>
                        <w:rPr>
                          <w:sz w:val="20"/>
                        </w:rPr>
                        <w:t>e Customer p</w:t>
                      </w:r>
                      <w:r w:rsidRPr="00237FA9">
                        <w:rPr>
                          <w:sz w:val="20"/>
                        </w:rPr>
                        <w:t>athway</w:t>
                      </w:r>
                      <w:r>
                        <w:rPr>
                          <w:sz w:val="20"/>
                        </w:rPr>
                        <w:t xml:space="preserve"> m</w:t>
                      </w:r>
                      <w:r w:rsidRPr="00237FA9">
                        <w:rPr>
                          <w:sz w:val="20"/>
                        </w:rPr>
                        <w:t>aps may vary somewhat across jurisdictions</w:t>
                      </w:r>
                      <w:r>
                        <w:rPr>
                          <w:sz w:val="20"/>
                        </w:rPr>
                        <w:t>,</w:t>
                      </w:r>
                      <w:r w:rsidRPr="00237FA9">
                        <w:rPr>
                          <w:sz w:val="20"/>
                        </w:rPr>
                        <w:t xml:space="preserve"> in line with jurisdictional variations in agreed referral pathways into income management by state government departments, namely housing and child protection authorities.</w:t>
                      </w:r>
                    </w:p>
                  </w:txbxContent>
                </v:textbox>
              </v:shape>
            </w:pict>
          </mc:Fallback>
        </mc:AlternateContent>
      </w:r>
      <w:r>
        <w:rPr>
          <w:noProof/>
          <w:lang w:eastAsia="en-AU"/>
        </w:rPr>
        <mc:AlternateContent>
          <mc:Choice Requires="wpg">
            <w:drawing>
              <wp:anchor distT="0" distB="0" distL="114300" distR="114300" simplePos="0" relativeHeight="251676672" behindDoc="0" locked="0" layoutInCell="1" allowOverlap="1" wp14:anchorId="47F4A9F2" wp14:editId="102890C5">
                <wp:simplePos x="0" y="0"/>
                <wp:positionH relativeFrom="column">
                  <wp:posOffset>-1420495</wp:posOffset>
                </wp:positionH>
                <wp:positionV relativeFrom="paragraph">
                  <wp:posOffset>-1940560</wp:posOffset>
                </wp:positionV>
                <wp:extent cx="7258050" cy="11096625"/>
                <wp:effectExtent l="0" t="0" r="19050" b="28575"/>
                <wp:wrapNone/>
                <wp:docPr id="14" name="Group 396" title="Figure 3.7: Customer pathway map for Child Protection measure (CPI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0" cy="11096625"/>
                          <a:chOff x="630" y="-1695"/>
                          <a:chExt cx="11115" cy="16830"/>
                        </a:xfrm>
                      </wpg:grpSpPr>
                      <wps:wsp>
                        <wps:cNvPr id="15" name="AutoShape 397"/>
                        <wps:cNvCnPr>
                          <a:cxnSpLocks noChangeShapeType="1"/>
                        </wps:cNvCnPr>
                        <wps:spPr bwMode="auto">
                          <a:xfrm>
                            <a:off x="5760" y="258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398"/>
                        <wps:cNvCnPr>
                          <a:cxnSpLocks noChangeShapeType="1"/>
                        </wps:cNvCnPr>
                        <wps:spPr bwMode="auto">
                          <a:xfrm>
                            <a:off x="7185" y="285"/>
                            <a:ext cx="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99"/>
                        <wps:cNvSpPr>
                          <a:spLocks noChangeArrowheads="1"/>
                        </wps:cNvSpPr>
                        <wps:spPr bwMode="auto">
                          <a:xfrm>
                            <a:off x="2745" y="1095"/>
                            <a:ext cx="6075" cy="14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A30F9B" w:rsidRDefault="00377C33" w:rsidP="00261FF1">
                              <w:pPr>
                                <w:rPr>
                                  <w:sz w:val="20"/>
                                </w:rPr>
                              </w:pPr>
                              <w:r>
                                <w:rPr>
                                  <w:sz w:val="20"/>
                                </w:rPr>
                                <w:t xml:space="preserve">DHS conduct </w:t>
                              </w:r>
                              <w:r w:rsidRPr="00277E51">
                                <w:rPr>
                                  <w:b/>
                                  <w:color w:val="002060"/>
                                  <w:sz w:val="20"/>
                                </w:rPr>
                                <w:t>2-4 week post income management commencement review</w:t>
                              </w:r>
                              <w:r>
                                <w:rPr>
                                  <w:sz w:val="20"/>
                                </w:rPr>
                                <w:t xml:space="preserve"> to examine progress and make any necessary changes to allocation. DHS will make any necessary changes to allocations and/or priority needs. This is non-compulsory and conducted by the CSO with the client. A further referral to FMPS may be made.</w:t>
                              </w:r>
                            </w:p>
                          </w:txbxContent>
                        </wps:txbx>
                        <wps:bodyPr rot="0" vert="horz" wrap="square" lIns="91440" tIns="45720" rIns="91440" bIns="45720" anchor="t" anchorCtr="0" upright="1">
                          <a:noAutofit/>
                        </wps:bodyPr>
                      </wps:wsp>
                      <wps:wsp>
                        <wps:cNvPr id="18" name="AutoShape 400"/>
                        <wps:cNvSpPr>
                          <a:spLocks noChangeArrowheads="1"/>
                        </wps:cNvSpPr>
                        <wps:spPr bwMode="auto">
                          <a:xfrm>
                            <a:off x="2820" y="2805"/>
                            <a:ext cx="6225" cy="136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377C33" w:rsidRPr="00A30F9B" w:rsidRDefault="00377C33" w:rsidP="00261FF1">
                              <w:pPr>
                                <w:rPr>
                                  <w:sz w:val="20"/>
                                </w:rPr>
                              </w:pPr>
                              <w:r>
                                <w:rPr>
                                  <w:sz w:val="20"/>
                                </w:rPr>
                                <w:t xml:space="preserve">DHS IM Contact Officer (IMCO) conducts </w:t>
                              </w:r>
                              <w:r w:rsidRPr="00277E51">
                                <w:rPr>
                                  <w:b/>
                                  <w:color w:val="002060"/>
                                  <w:sz w:val="20"/>
                                </w:rPr>
                                <w:t>mid-point review</w:t>
                              </w:r>
                              <w:r>
                                <w:rPr>
                                  <w:sz w:val="20"/>
                                </w:rPr>
                                <w:t xml:space="preserve"> for customers referred for 6, 9 or 12 months duration with the relevant child protection worker (</w:t>
                              </w:r>
                              <w:r w:rsidRPr="00611825">
                                <w:rPr>
                                  <w:b/>
                                  <w:sz w:val="20"/>
                                </w:rPr>
                                <w:t>note</w:t>
                              </w:r>
                              <w:r>
                                <w:rPr>
                                  <w:sz w:val="20"/>
                                </w:rPr>
                                <w:t>: client is not present). The child protection worker may chose not to attend.</w:t>
                              </w:r>
                            </w:p>
                          </w:txbxContent>
                        </wps:txbx>
                        <wps:bodyPr rot="0" vert="horz" wrap="square" lIns="91440" tIns="45720" rIns="91440" bIns="45720" anchor="t" anchorCtr="0" upright="1">
                          <a:noAutofit/>
                        </wps:bodyPr>
                      </wps:wsp>
                      <wps:wsp>
                        <wps:cNvPr id="19" name="AutoShape 401"/>
                        <wps:cNvSpPr>
                          <a:spLocks noChangeArrowheads="1"/>
                        </wps:cNvSpPr>
                        <wps:spPr bwMode="auto">
                          <a:xfrm>
                            <a:off x="2745" y="5880"/>
                            <a:ext cx="6402" cy="135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2278F6" w:rsidRDefault="00377C33" w:rsidP="00261FF1">
                              <w:pPr>
                                <w:rPr>
                                  <w:color w:val="FFFFFF" w:themeColor="background1"/>
                                  <w:sz w:val="20"/>
                                </w:rPr>
                              </w:pPr>
                              <w:r w:rsidRPr="002278F6">
                                <w:rPr>
                                  <w:color w:val="FFFFFF" w:themeColor="background1"/>
                                  <w:sz w:val="20"/>
                                </w:rPr>
                                <w:t xml:space="preserve">DHS conduct the </w:t>
                              </w:r>
                              <w:r w:rsidRPr="002278F6">
                                <w:rPr>
                                  <w:b/>
                                  <w:color w:val="FFFFFF" w:themeColor="background1"/>
                                  <w:sz w:val="20"/>
                                </w:rPr>
                                <w:t>final review</w:t>
                              </w:r>
                              <w:r w:rsidRPr="002278F6">
                                <w:rPr>
                                  <w:color w:val="FFFFFF" w:themeColor="background1"/>
                                  <w:sz w:val="20"/>
                                </w:rPr>
                                <w:t xml:space="preserve"> 35 days prior to income management ending. This involves an initial review with the child protection worker to determine whether the customer will remain on IM or not.</w:t>
                              </w:r>
                              <w:r>
                                <w:rPr>
                                  <w:color w:val="FFFFFF" w:themeColor="background1"/>
                                  <w:sz w:val="20"/>
                                </w:rPr>
                                <w:t xml:space="preserve"> The child protection worker may chose not to attend.</w:t>
                              </w:r>
                            </w:p>
                          </w:txbxContent>
                        </wps:txbx>
                        <wps:bodyPr rot="0" vert="horz" wrap="square" lIns="91440" tIns="45720" rIns="91440" bIns="45720" anchor="t" anchorCtr="0" upright="1">
                          <a:noAutofit/>
                        </wps:bodyPr>
                      </wps:wsp>
                      <wps:wsp>
                        <wps:cNvPr id="20" name="AutoShape 402"/>
                        <wps:cNvSpPr>
                          <a:spLocks noChangeArrowheads="1"/>
                        </wps:cNvSpPr>
                        <wps:spPr bwMode="auto">
                          <a:xfrm>
                            <a:off x="8460" y="9750"/>
                            <a:ext cx="2775" cy="202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Pr="00D837A2" w:rsidRDefault="00377C33" w:rsidP="00261FF1">
                              <w:pPr>
                                <w:rPr>
                                  <w:sz w:val="20"/>
                                </w:rPr>
                              </w:pPr>
                              <w:r>
                                <w:rPr>
                                  <w:sz w:val="20"/>
                                </w:rPr>
                                <w:t>If the customer is being extended the child protection workers must send through a new notice before the customer’s end date.</w:t>
                              </w:r>
                            </w:p>
                          </w:txbxContent>
                        </wps:txbx>
                        <wps:bodyPr rot="0" vert="horz" wrap="square" lIns="91440" tIns="45720" rIns="91440" bIns="45720" anchor="t" anchorCtr="0" upright="1">
                          <a:noAutofit/>
                        </wps:bodyPr>
                      </wps:wsp>
                      <wps:wsp>
                        <wps:cNvPr id="21" name="AutoShape 403"/>
                        <wps:cNvSpPr>
                          <a:spLocks noChangeArrowheads="1"/>
                        </wps:cNvSpPr>
                        <wps:spPr bwMode="auto">
                          <a:xfrm>
                            <a:off x="2670" y="7995"/>
                            <a:ext cx="2370" cy="112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2278F6" w:rsidRDefault="00377C33" w:rsidP="00261FF1">
                              <w:pPr>
                                <w:rPr>
                                  <w:color w:val="FFFFFF" w:themeColor="background1"/>
                                </w:rPr>
                              </w:pPr>
                              <w:r w:rsidRPr="002278F6">
                                <w:rPr>
                                  <w:color w:val="FFFFFF" w:themeColor="background1"/>
                                  <w:sz w:val="20"/>
                                </w:rPr>
                                <w:t xml:space="preserve">Child protection worker decides to allow the IM notice to </w:t>
                              </w:r>
                              <w:r w:rsidRPr="002278F6">
                                <w:rPr>
                                  <w:b/>
                                  <w:color w:val="FFFFFF" w:themeColor="background1"/>
                                  <w:sz w:val="20"/>
                                </w:rPr>
                                <w:t>expire</w:t>
                              </w:r>
                            </w:p>
                          </w:txbxContent>
                        </wps:txbx>
                        <wps:bodyPr rot="0" vert="horz" wrap="square" lIns="91440" tIns="45720" rIns="91440" bIns="45720" anchor="t" anchorCtr="0" upright="1">
                          <a:noAutofit/>
                        </wps:bodyPr>
                      </wps:wsp>
                      <wps:wsp>
                        <wps:cNvPr id="22" name="AutoShape 404"/>
                        <wps:cNvSpPr>
                          <a:spLocks noChangeArrowheads="1"/>
                        </wps:cNvSpPr>
                        <wps:spPr bwMode="auto">
                          <a:xfrm>
                            <a:off x="7650" y="7995"/>
                            <a:ext cx="2610" cy="102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2278F6" w:rsidRDefault="00377C33" w:rsidP="00261FF1">
                              <w:pPr>
                                <w:rPr>
                                  <w:color w:val="FFFFFF" w:themeColor="background1"/>
                                </w:rPr>
                              </w:pPr>
                              <w:r w:rsidRPr="002278F6">
                                <w:rPr>
                                  <w:color w:val="FFFFFF" w:themeColor="background1"/>
                                  <w:sz w:val="20"/>
                                </w:rPr>
                                <w:t xml:space="preserve">Child protection worker decides to </w:t>
                              </w:r>
                              <w:r w:rsidRPr="002278F6">
                                <w:rPr>
                                  <w:b/>
                                  <w:color w:val="FFFFFF" w:themeColor="background1"/>
                                  <w:sz w:val="20"/>
                                </w:rPr>
                                <w:t>extend</w:t>
                              </w:r>
                              <w:r w:rsidRPr="002278F6">
                                <w:rPr>
                                  <w:color w:val="FFFFFF" w:themeColor="background1"/>
                                  <w:sz w:val="20"/>
                                </w:rPr>
                                <w:t xml:space="preserve"> the notice</w:t>
                              </w:r>
                            </w:p>
                          </w:txbxContent>
                        </wps:txbx>
                        <wps:bodyPr rot="0" vert="horz" wrap="square" lIns="91440" tIns="45720" rIns="91440" bIns="45720" anchor="t" anchorCtr="0" upright="1">
                          <a:noAutofit/>
                        </wps:bodyPr>
                      </wps:wsp>
                      <wps:wsp>
                        <wps:cNvPr id="23" name="AutoShape 405"/>
                        <wps:cNvSpPr>
                          <a:spLocks noChangeArrowheads="1"/>
                        </wps:cNvSpPr>
                        <wps:spPr bwMode="auto">
                          <a:xfrm>
                            <a:off x="2745" y="9702"/>
                            <a:ext cx="3330" cy="2358"/>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B32C65" w:rsidRDefault="00377C33" w:rsidP="00261FF1">
                              <w:pPr>
                                <w:rPr>
                                  <w:color w:val="FFFFFF" w:themeColor="background1"/>
                                  <w:sz w:val="20"/>
                                </w:rPr>
                              </w:pPr>
                              <w:r w:rsidRPr="00B32C65">
                                <w:rPr>
                                  <w:color w:val="FFFFFF" w:themeColor="background1"/>
                                  <w:sz w:val="20"/>
                                </w:rPr>
                                <w:t xml:space="preserve">If the customer is not being extended they will be invited to attend an </w:t>
                              </w:r>
                              <w:r w:rsidRPr="00B32C65">
                                <w:rPr>
                                  <w:b/>
                                  <w:color w:val="FFFFFF" w:themeColor="background1"/>
                                  <w:sz w:val="20"/>
                                </w:rPr>
                                <w:t>exit interview</w:t>
                              </w:r>
                              <w:r>
                                <w:rPr>
                                  <w:b/>
                                  <w:color w:val="FFFFFF" w:themeColor="background1"/>
                                  <w:sz w:val="20"/>
                                </w:rPr>
                                <w:t xml:space="preserve"> </w:t>
                              </w:r>
                              <w:r w:rsidRPr="00DD488A">
                                <w:rPr>
                                  <w:color w:val="FFFFFF" w:themeColor="background1"/>
                                  <w:sz w:val="20"/>
                                </w:rPr>
                                <w:t>approximately</w:t>
                              </w:r>
                              <w:r w:rsidRPr="00B32C65">
                                <w:rPr>
                                  <w:color w:val="FFFFFF" w:themeColor="background1"/>
                                  <w:sz w:val="20"/>
                                </w:rPr>
                                <w:t xml:space="preserve"> 28 days prior to their exit, however this interview is not compulsory. Client is offered the option to transition to Voluntary IM.</w:t>
                              </w:r>
                            </w:p>
                          </w:txbxContent>
                        </wps:txbx>
                        <wps:bodyPr rot="0" vert="horz" wrap="square" lIns="91440" tIns="45720" rIns="91440" bIns="45720" anchor="t" anchorCtr="0" upright="1">
                          <a:noAutofit/>
                        </wps:bodyPr>
                      </wps:wsp>
                      <wps:wsp>
                        <wps:cNvPr id="24" name="AutoShape 406"/>
                        <wps:cNvCnPr>
                          <a:cxnSpLocks noChangeShapeType="1"/>
                        </wps:cNvCnPr>
                        <wps:spPr bwMode="auto">
                          <a:xfrm>
                            <a:off x="3810" y="9120"/>
                            <a:ext cx="1"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407"/>
                        <wps:cNvCnPr>
                          <a:cxnSpLocks noChangeShapeType="1"/>
                        </wps:cNvCnPr>
                        <wps:spPr bwMode="auto">
                          <a:xfrm>
                            <a:off x="9644" y="9015"/>
                            <a:ext cx="1"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408"/>
                        <wps:cNvCnPr>
                          <a:cxnSpLocks noChangeShapeType="1"/>
                        </wps:cNvCnPr>
                        <wps:spPr bwMode="auto">
                          <a:xfrm>
                            <a:off x="3555" y="-1695"/>
                            <a:ext cx="0" cy="2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409"/>
                        <wps:cNvSpPr>
                          <a:spLocks noChangeArrowheads="1"/>
                        </wps:cNvSpPr>
                        <wps:spPr bwMode="auto">
                          <a:xfrm>
                            <a:off x="2745" y="4470"/>
                            <a:ext cx="2535" cy="112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377C33" w:rsidRDefault="00377C33" w:rsidP="00261FF1">
                              <w:r>
                                <w:rPr>
                                  <w:sz w:val="20"/>
                                </w:rPr>
                                <w:t xml:space="preserve">Child protection worker decides to </w:t>
                              </w:r>
                              <w:r w:rsidRPr="00321DC5">
                                <w:rPr>
                                  <w:b/>
                                  <w:sz w:val="20"/>
                                </w:rPr>
                                <w:t>revoke</w:t>
                              </w:r>
                              <w:r w:rsidRPr="003550CA">
                                <w:rPr>
                                  <w:sz w:val="20"/>
                                </w:rPr>
                                <w:t xml:space="preserve"> the </w:t>
                              </w:r>
                              <w:r>
                                <w:rPr>
                                  <w:sz w:val="20"/>
                                </w:rPr>
                                <w:t xml:space="preserve">IM </w:t>
                              </w:r>
                              <w:r w:rsidRPr="003550CA">
                                <w:rPr>
                                  <w:sz w:val="20"/>
                                </w:rPr>
                                <w:t>notice</w:t>
                              </w:r>
                            </w:p>
                          </w:txbxContent>
                        </wps:txbx>
                        <wps:bodyPr rot="0" vert="horz" wrap="square" lIns="91440" tIns="45720" rIns="91440" bIns="45720" anchor="t" anchorCtr="0" upright="1">
                          <a:noAutofit/>
                        </wps:bodyPr>
                      </wps:wsp>
                      <wps:wsp>
                        <wps:cNvPr id="28" name="AutoShape 410"/>
                        <wps:cNvSpPr>
                          <a:spLocks noChangeArrowheads="1"/>
                        </wps:cNvSpPr>
                        <wps:spPr bwMode="auto">
                          <a:xfrm>
                            <a:off x="6537" y="4500"/>
                            <a:ext cx="2610" cy="102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377C33" w:rsidRDefault="00377C33" w:rsidP="00261FF1">
                              <w:r>
                                <w:rPr>
                                  <w:sz w:val="20"/>
                                </w:rPr>
                                <w:t>Child protection worker</w:t>
                              </w:r>
                              <w:r w:rsidRPr="003550CA">
                                <w:rPr>
                                  <w:sz w:val="20"/>
                                </w:rPr>
                                <w:t xml:space="preserve"> </w:t>
                              </w:r>
                              <w:r>
                                <w:rPr>
                                  <w:sz w:val="20"/>
                                </w:rPr>
                                <w:t xml:space="preserve">decides to </w:t>
                              </w:r>
                              <w:r w:rsidRPr="00321DC5">
                                <w:rPr>
                                  <w:b/>
                                  <w:sz w:val="20"/>
                                </w:rPr>
                                <w:t xml:space="preserve">extend </w:t>
                              </w:r>
                              <w:r>
                                <w:rPr>
                                  <w:sz w:val="20"/>
                                </w:rPr>
                                <w:t xml:space="preserve">or </w:t>
                              </w:r>
                              <w:r w:rsidRPr="00E81571">
                                <w:rPr>
                                  <w:b/>
                                  <w:sz w:val="20"/>
                                </w:rPr>
                                <w:t xml:space="preserve">continue </w:t>
                              </w:r>
                              <w:r w:rsidRPr="003550CA">
                                <w:rPr>
                                  <w:sz w:val="20"/>
                                </w:rPr>
                                <w:t>the notice</w:t>
                              </w:r>
                            </w:p>
                          </w:txbxContent>
                        </wps:txbx>
                        <wps:bodyPr rot="0" vert="horz" wrap="square" lIns="91440" tIns="45720" rIns="91440" bIns="45720" anchor="t" anchorCtr="0" upright="1">
                          <a:noAutofit/>
                        </wps:bodyPr>
                      </wps:wsp>
                      <wps:wsp>
                        <wps:cNvPr id="30" name="AutoShape 411"/>
                        <wps:cNvCnPr>
                          <a:cxnSpLocks noChangeShapeType="1"/>
                        </wps:cNvCnPr>
                        <wps:spPr bwMode="auto">
                          <a:xfrm flipH="1">
                            <a:off x="4575" y="4170"/>
                            <a:ext cx="46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12"/>
                        <wps:cNvCnPr>
                          <a:cxnSpLocks noChangeShapeType="1"/>
                        </wps:cNvCnPr>
                        <wps:spPr bwMode="auto">
                          <a:xfrm>
                            <a:off x="6540" y="4170"/>
                            <a:ext cx="49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413"/>
                        <wps:cNvCnPr>
                          <a:cxnSpLocks noChangeShapeType="1"/>
                        </wps:cNvCnPr>
                        <wps:spPr bwMode="auto">
                          <a:xfrm>
                            <a:off x="7650" y="5520"/>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14"/>
                        <wps:cNvCnPr>
                          <a:cxnSpLocks noChangeShapeType="1"/>
                        </wps:cNvCnPr>
                        <wps:spPr bwMode="auto">
                          <a:xfrm flipH="1">
                            <a:off x="4320" y="7230"/>
                            <a:ext cx="1755"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415"/>
                        <wps:cNvCnPr>
                          <a:cxnSpLocks noChangeShapeType="1"/>
                        </wps:cNvCnPr>
                        <wps:spPr bwMode="auto">
                          <a:xfrm>
                            <a:off x="6345" y="7230"/>
                            <a:ext cx="1650" cy="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416"/>
                        <wps:cNvCnPr>
                          <a:cxnSpLocks noChangeShapeType="1"/>
                        </wps:cNvCnPr>
                        <wps:spPr bwMode="auto">
                          <a:xfrm>
                            <a:off x="9645" y="11775"/>
                            <a:ext cx="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17"/>
                        <wps:cNvSpPr>
                          <a:spLocks noChangeArrowheads="1"/>
                        </wps:cNvSpPr>
                        <wps:spPr bwMode="auto">
                          <a:xfrm>
                            <a:off x="8625" y="12525"/>
                            <a:ext cx="2785" cy="102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Default="00377C33" w:rsidP="00261FF1">
                              <w:r>
                                <w:rPr>
                                  <w:sz w:val="20"/>
                                </w:rPr>
                                <w:t>Customer continues on CPIM. DHS will review priority needs and allocations.</w:t>
                              </w:r>
                            </w:p>
                          </w:txbxContent>
                        </wps:txbx>
                        <wps:bodyPr rot="0" vert="horz" wrap="square" lIns="91440" tIns="45720" rIns="91440" bIns="45720" anchor="t" anchorCtr="0" upright="1">
                          <a:noAutofit/>
                        </wps:bodyPr>
                      </wps:wsp>
                      <wps:wsp>
                        <wps:cNvPr id="38" name="AutoShape 418"/>
                        <wps:cNvCnPr>
                          <a:cxnSpLocks noChangeShapeType="1"/>
                        </wps:cNvCnPr>
                        <wps:spPr bwMode="auto">
                          <a:xfrm flipH="1">
                            <a:off x="3240" y="12060"/>
                            <a:ext cx="43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19"/>
                        <wps:cNvCnPr>
                          <a:cxnSpLocks noChangeShapeType="1"/>
                        </wps:cNvCnPr>
                        <wps:spPr bwMode="auto">
                          <a:xfrm>
                            <a:off x="5040" y="12060"/>
                            <a:ext cx="63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20"/>
                        <wps:cNvSpPr>
                          <a:spLocks noChangeArrowheads="1"/>
                        </wps:cNvSpPr>
                        <wps:spPr bwMode="auto">
                          <a:xfrm>
                            <a:off x="4680" y="12660"/>
                            <a:ext cx="2610" cy="102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Default="00377C33" w:rsidP="00261FF1">
                              <w:r>
                                <w:rPr>
                                  <w:sz w:val="20"/>
                                </w:rPr>
                                <w:t>Customer transitions to Voluntary IM</w:t>
                              </w:r>
                            </w:p>
                          </w:txbxContent>
                        </wps:txbx>
                        <wps:bodyPr rot="0" vert="horz" wrap="square" lIns="91440" tIns="45720" rIns="91440" bIns="45720" anchor="t" anchorCtr="0" upright="1">
                          <a:noAutofit/>
                        </wps:bodyPr>
                      </wps:wsp>
                      <wps:wsp>
                        <wps:cNvPr id="41" name="AutoShape 421"/>
                        <wps:cNvSpPr>
                          <a:spLocks noChangeArrowheads="1"/>
                        </wps:cNvSpPr>
                        <wps:spPr bwMode="auto">
                          <a:xfrm>
                            <a:off x="1710" y="12660"/>
                            <a:ext cx="2610" cy="102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B32C65" w:rsidRDefault="00377C33" w:rsidP="00261FF1">
                              <w:pPr>
                                <w:rPr>
                                  <w:color w:val="FFFFFF" w:themeColor="background1"/>
                                </w:rPr>
                              </w:pPr>
                              <w:r w:rsidRPr="00B32C65">
                                <w:rPr>
                                  <w:color w:val="FFFFFF" w:themeColor="background1"/>
                                  <w:sz w:val="20"/>
                                </w:rPr>
                                <w:t>Customer exits IM</w:t>
                              </w:r>
                            </w:p>
                          </w:txbxContent>
                        </wps:txbx>
                        <wps:bodyPr rot="0" vert="horz" wrap="square" lIns="91440" tIns="45720" rIns="91440" bIns="45720" anchor="t" anchorCtr="0" upright="1">
                          <a:noAutofit/>
                        </wps:bodyPr>
                      </wps:wsp>
                      <wps:wsp>
                        <wps:cNvPr id="42" name="AutoShape 422"/>
                        <wps:cNvSpPr>
                          <a:spLocks noChangeArrowheads="1"/>
                        </wps:cNvSpPr>
                        <wps:spPr bwMode="auto">
                          <a:xfrm>
                            <a:off x="9045" y="705"/>
                            <a:ext cx="2700" cy="1485"/>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377C33" w:rsidRDefault="00377C33" w:rsidP="00261FF1">
                              <w:r>
                                <w:rPr>
                                  <w:sz w:val="20"/>
                                </w:rPr>
                                <w:t>Client does not complete money management course and is not eligible for Matched Savings Payment</w:t>
                              </w:r>
                            </w:p>
                          </w:txbxContent>
                        </wps:txbx>
                        <wps:bodyPr rot="0" vert="horz" wrap="square" lIns="91440" tIns="45720" rIns="91440" bIns="45720" anchor="t" anchorCtr="0" upright="1">
                          <a:noAutofit/>
                        </wps:bodyPr>
                      </wps:wsp>
                      <wps:wsp>
                        <wps:cNvPr id="43" name="AutoShape 423"/>
                        <wps:cNvCnPr>
                          <a:cxnSpLocks noChangeShapeType="1"/>
                        </wps:cNvCnPr>
                        <wps:spPr bwMode="auto">
                          <a:xfrm>
                            <a:off x="7185" y="960"/>
                            <a:ext cx="1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24"/>
                        <wps:cNvCnPr>
                          <a:cxnSpLocks noChangeShapeType="1"/>
                        </wps:cNvCnPr>
                        <wps:spPr bwMode="auto">
                          <a:xfrm>
                            <a:off x="6840" y="210"/>
                            <a:ext cx="0"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25"/>
                        <wps:cNvSpPr>
                          <a:spLocks noChangeArrowheads="1"/>
                        </wps:cNvSpPr>
                        <wps:spPr bwMode="auto">
                          <a:xfrm>
                            <a:off x="630" y="840"/>
                            <a:ext cx="825" cy="18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7C33" w:rsidRPr="002278F6" w:rsidRDefault="00377C33" w:rsidP="00261FF1">
                              <w:pPr>
                                <w:rPr>
                                  <w:b/>
                                </w:rPr>
                              </w:pPr>
                              <w:r w:rsidRPr="002278F6">
                                <w:rPr>
                                  <w:b/>
                                </w:rPr>
                                <w:t>2-4 week review</w:t>
                              </w:r>
                            </w:p>
                          </w:txbxContent>
                        </wps:txbx>
                        <wps:bodyPr rot="0" vert="vert270" wrap="square" lIns="91440" tIns="45720" rIns="91440" bIns="45720" anchor="t" anchorCtr="0" upright="1">
                          <a:noAutofit/>
                        </wps:bodyPr>
                      </wps:wsp>
                      <wps:wsp>
                        <wps:cNvPr id="46" name="AutoShape 426"/>
                        <wps:cNvSpPr>
                          <a:spLocks noChangeArrowheads="1"/>
                        </wps:cNvSpPr>
                        <wps:spPr bwMode="auto">
                          <a:xfrm>
                            <a:off x="630" y="3015"/>
                            <a:ext cx="825" cy="240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377C33" w:rsidRPr="002278F6" w:rsidRDefault="00377C33" w:rsidP="00261FF1">
                              <w:pPr>
                                <w:jc w:val="center"/>
                                <w:rPr>
                                  <w:b/>
                                </w:rPr>
                              </w:pPr>
                              <w:r w:rsidRPr="002278F6">
                                <w:rPr>
                                  <w:b/>
                                </w:rPr>
                                <w:t>Mid-point review</w:t>
                              </w:r>
                            </w:p>
                          </w:txbxContent>
                        </wps:txbx>
                        <wps:bodyPr rot="0" vert="vert270" wrap="square" lIns="91440" tIns="45720" rIns="91440" bIns="45720" anchor="t" anchorCtr="0" upright="1">
                          <a:noAutofit/>
                        </wps:bodyPr>
                      </wps:wsp>
                      <wps:wsp>
                        <wps:cNvPr id="47" name="AutoShape 427"/>
                        <wps:cNvSpPr>
                          <a:spLocks noChangeArrowheads="1"/>
                        </wps:cNvSpPr>
                        <wps:spPr bwMode="auto">
                          <a:xfrm>
                            <a:off x="630" y="5775"/>
                            <a:ext cx="825" cy="790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rsidR="00377C33" w:rsidRPr="002278F6" w:rsidRDefault="00377C33" w:rsidP="00261FF1">
                              <w:pPr>
                                <w:jc w:val="center"/>
                                <w:rPr>
                                  <w:b/>
                                  <w:color w:val="FFFFFF" w:themeColor="background1"/>
                                </w:rPr>
                              </w:pPr>
                              <w:r w:rsidRPr="002278F6">
                                <w:rPr>
                                  <w:b/>
                                  <w:color w:val="FFFFFF" w:themeColor="background1"/>
                                </w:rPr>
                                <w:t>Final review</w:t>
                              </w:r>
                              <w:r>
                                <w:rPr>
                                  <w:b/>
                                  <w:color w:val="FFFFFF" w:themeColor="background1"/>
                                </w:rPr>
                                <w:t xml:space="preserve"> and exiting CPIM</w:t>
                              </w:r>
                            </w:p>
                          </w:txbxContent>
                        </wps:txbx>
                        <wps:bodyPr rot="0" vert="vert270" wrap="square" lIns="91440" tIns="45720" rIns="91440" bIns="45720" anchor="t" anchorCtr="0" upright="1">
                          <a:noAutofit/>
                        </wps:bodyPr>
                      </wps:wsp>
                      <wps:wsp>
                        <wps:cNvPr id="48" name="AutoShape 428"/>
                        <wps:cNvSpPr>
                          <a:spLocks noChangeArrowheads="1"/>
                        </wps:cNvSpPr>
                        <wps:spPr bwMode="auto">
                          <a:xfrm>
                            <a:off x="2970" y="14085"/>
                            <a:ext cx="3375" cy="105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Default="00377C33" w:rsidP="00261FF1">
                              <w:r>
                                <w:rPr>
                                  <w:sz w:val="20"/>
                                </w:rPr>
                                <w:t xml:space="preserve">Client takes up options for meeting expenses via </w:t>
                              </w:r>
                              <w:proofErr w:type="spellStart"/>
                              <w:r>
                                <w:rPr>
                                  <w:sz w:val="20"/>
                                </w:rPr>
                                <w:t>Centrepay</w:t>
                              </w:r>
                              <w:proofErr w:type="spellEnd"/>
                              <w:r>
                                <w:rPr>
                                  <w:sz w:val="20"/>
                                </w:rPr>
                                <w:t xml:space="preserve"> or Nominee arrangements</w:t>
                              </w:r>
                            </w:p>
                          </w:txbxContent>
                        </wps:txbx>
                        <wps:bodyPr rot="0" vert="horz" wrap="square" lIns="91440" tIns="45720" rIns="91440" bIns="45720" anchor="t" anchorCtr="0" upright="1">
                          <a:noAutofit/>
                        </wps:bodyPr>
                      </wps:wsp>
                      <wps:wsp>
                        <wps:cNvPr id="49" name="AutoShape 429"/>
                        <wps:cNvCnPr>
                          <a:cxnSpLocks noChangeShapeType="1"/>
                        </wps:cNvCnPr>
                        <wps:spPr bwMode="auto">
                          <a:xfrm flipH="1">
                            <a:off x="4455" y="12060"/>
                            <a:ext cx="15" cy="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430"/>
                        <wps:cNvSpPr>
                          <a:spLocks noChangeArrowheads="1"/>
                        </wps:cNvSpPr>
                        <wps:spPr bwMode="auto">
                          <a:xfrm>
                            <a:off x="6345" y="11040"/>
                            <a:ext cx="2085" cy="132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77C33" w:rsidRPr="00806E38" w:rsidRDefault="00377C33" w:rsidP="00261FF1">
                              <w:pPr>
                                <w:rPr>
                                  <w:sz w:val="20"/>
                                </w:rPr>
                              </w:pPr>
                              <w:r w:rsidRPr="00806E38">
                                <w:rPr>
                                  <w:sz w:val="20"/>
                                </w:rPr>
                                <w:t>Customer referred to FMPS</w:t>
                              </w:r>
                              <w:r>
                                <w:rPr>
                                  <w:sz w:val="20"/>
                                </w:rPr>
                                <w:t xml:space="preserve"> if did not accept earlier referral</w:t>
                              </w:r>
                            </w:p>
                          </w:txbxContent>
                        </wps:txbx>
                        <wps:bodyPr rot="0" vert="horz" wrap="square" lIns="91440" tIns="45720" rIns="91440" bIns="45720" anchor="t" anchorCtr="0" upright="1">
                          <a:noAutofit/>
                        </wps:bodyPr>
                      </wps:wsp>
                      <wps:wsp>
                        <wps:cNvPr id="51" name="AutoShape 431"/>
                        <wps:cNvCnPr>
                          <a:cxnSpLocks noChangeShapeType="1"/>
                        </wps:cNvCnPr>
                        <wps:spPr bwMode="auto">
                          <a:xfrm>
                            <a:off x="6075" y="11040"/>
                            <a:ext cx="270"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6" o:spid="_x0000_s1158" alt="Title: Figure 3.7: Customer pathway map for Child Protection measure (CPIM)" style="position:absolute;margin-left:-111.85pt;margin-top:-152.8pt;width:571.5pt;height:873.75pt;z-index:251676672;mso-position-horizontal-relative:text;mso-position-vertical-relative:text" coordorigin="630,-1695" coordsize="11115,1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">
                <v:shape id="AutoShape 397" o:spid="_x0000_s1159" type="#_x0000_t32" style="position:absolute;left:5760;top:258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398" o:spid="_x0000_s1160" type="#_x0000_t32" style="position:absolute;left:7185;top:285;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roundrect id="AutoShape 399" o:spid="_x0000_s1161" style="position:absolute;left:2745;top:1095;width:6075;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Jcr8A&#10;AADbAAAADwAAAGRycy9kb3ducmV2LnhtbERPzYrCMBC+L/gOYQRva+pCt0vXKCIIexJbfYChGZtq&#10;MylJ1Pr2ZmFhb/Px/c5yPdpe3MmHzrGCxTwDQdw43XGr4HTcvX+BCBFZY++YFDwpwHo1eVtiqd2D&#10;K7rXsRUphEOJCkyMQyllaAxZDHM3ECfu7LzFmKBvpfb4SOG2lx9Z9iktdpwaDA60NdRc65tV0Fy2&#10;reny6mmHM+8OPj+O++Ki1Gw6br5BRBrjv/jP/aPT/AJ+f0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fslyvwAAANsAAAAPAAAAAAAAAAAAAAAAAJgCAABkcnMvZG93bnJl&#10;di54bWxQSwUGAAAAAAQABAD1AAAAhAMAAAAA&#10;" fillcolor="#b8cce4 [1300]">
                  <v:textbox>
                    <w:txbxContent>
                      <w:p w:rsidR="00377C33" w:rsidRPr="00A30F9B" w:rsidRDefault="00377C33" w:rsidP="00261FF1">
                        <w:pPr>
                          <w:rPr>
                            <w:sz w:val="20"/>
                          </w:rPr>
                        </w:pPr>
                        <w:r>
                          <w:rPr>
                            <w:sz w:val="20"/>
                          </w:rPr>
                          <w:t xml:space="preserve">DHS conduct </w:t>
                        </w:r>
                        <w:r w:rsidRPr="00277E51">
                          <w:rPr>
                            <w:b/>
                            <w:color w:val="002060"/>
                            <w:sz w:val="20"/>
                          </w:rPr>
                          <w:t>2-4 week post income management commencement review</w:t>
                        </w:r>
                        <w:r>
                          <w:rPr>
                            <w:sz w:val="20"/>
                          </w:rPr>
                          <w:t xml:space="preserve"> to examine progress and make any necessary changes to allocation. DHS will make any necessary changes to allocations and/or priority needs. This is non-compulsory and conducted by the CSO with the client. A further referral to FMPS may be made.</w:t>
                        </w:r>
                      </w:p>
                    </w:txbxContent>
                  </v:textbox>
                </v:roundrect>
                <v:roundrect id="AutoShape 400" o:spid="_x0000_s1162" style="position:absolute;left:2820;top:2805;width:6225;height:1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5IsIA&#10;AADbAAAADwAAAGRycy9kb3ducmV2LnhtbESPzW7CQAyE75V4h5WReiub/qGSsiBUtVKvpeRuZU0S&#10;kfUuWRcCT18fKvVma8Yzn5frMfTmREPuIju4nxVgiOvoO24c7L4/7l7AZEH22EcmBxfKsF5NbpZY&#10;+njmLzptpTEawrlEB61IKq3NdUsB8ywmYtX2cQgoug6N9QOeNTz09qEo5jZgx9rQYqK3lurD9ic4&#10;eErVPO2uj9U1P/eL9+ri5XgQ526n4+YVjNAo/+a/60+v+Aqrv+gAd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fkiwgAAANsAAAAPAAAAAAAAAAAAAAAAAJgCAABkcnMvZG93&#10;bnJldi54bWxQSwUGAAAAAAQABAD1AAAAhwMAAAAA&#10;" fillcolor="#95b3d7 [1940]">
                  <v:textbox>
                    <w:txbxContent>
                      <w:p w:rsidR="00377C33" w:rsidRPr="00A30F9B" w:rsidRDefault="00377C33" w:rsidP="00261FF1">
                        <w:pPr>
                          <w:rPr>
                            <w:sz w:val="20"/>
                          </w:rPr>
                        </w:pPr>
                        <w:r>
                          <w:rPr>
                            <w:sz w:val="20"/>
                          </w:rPr>
                          <w:t xml:space="preserve">DHS IM Contact Officer (IMCO) conducts </w:t>
                        </w:r>
                        <w:r w:rsidRPr="00277E51">
                          <w:rPr>
                            <w:b/>
                            <w:color w:val="002060"/>
                            <w:sz w:val="20"/>
                          </w:rPr>
                          <w:t>mid-point review</w:t>
                        </w:r>
                        <w:r>
                          <w:rPr>
                            <w:sz w:val="20"/>
                          </w:rPr>
                          <w:t xml:space="preserve"> for customers referred for 6, 9 or 12 months duration with the relevant child protection worker (</w:t>
                        </w:r>
                        <w:r w:rsidRPr="00611825">
                          <w:rPr>
                            <w:b/>
                            <w:sz w:val="20"/>
                          </w:rPr>
                          <w:t>note</w:t>
                        </w:r>
                        <w:r>
                          <w:rPr>
                            <w:sz w:val="20"/>
                          </w:rPr>
                          <w:t>: client is not present). The child protection worker may chose not to attend.</w:t>
                        </w:r>
                      </w:p>
                    </w:txbxContent>
                  </v:textbox>
                </v:roundrect>
                <v:roundrect id="AutoShape 401" o:spid="_x0000_s1163" style="position:absolute;left:2745;top:5880;width:6402;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3e8AA&#10;AADbAAAADwAAAGRycy9kb3ducmV2LnhtbERPTU8CMRC9m/gfmiHxJl08GFwoBFCSvYKEvQ7bod2w&#10;na5thfXfWxITb/PyPme+HFwnrhRi61nBZFyAIG68btkoOHxun6cgYkLW2HkmBT8UYbl4fJhjqf2N&#10;d3TdJyNyCMcSFdiU+lLK2FhyGMe+J87c2QeHKcNgpA54y+Guky9F8SodtpwbLPa0sdRc9t9OwbE2&#10;5j18VF1/qU7TbR3br7XdKPU0GlYzEImG9C/+c1c6z3+D+y/5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v3e8AAAADbAAAADwAAAAAAAAAAAAAAAACYAgAAZHJzL2Rvd25y&#10;ZXYueG1sUEsFBgAAAAAEAAQA9QAAAIUDAAAAAA==&#10;" fillcolor="#365f91 [2404]">
                  <v:textbox>
                    <w:txbxContent>
                      <w:p w:rsidR="00377C33" w:rsidRPr="002278F6" w:rsidRDefault="00377C33" w:rsidP="00261FF1">
                        <w:pPr>
                          <w:rPr>
                            <w:color w:val="FFFFFF" w:themeColor="background1"/>
                            <w:sz w:val="20"/>
                          </w:rPr>
                        </w:pPr>
                        <w:r w:rsidRPr="002278F6">
                          <w:rPr>
                            <w:color w:val="FFFFFF" w:themeColor="background1"/>
                            <w:sz w:val="20"/>
                          </w:rPr>
                          <w:t xml:space="preserve">DHS conduct the </w:t>
                        </w:r>
                        <w:r w:rsidRPr="002278F6">
                          <w:rPr>
                            <w:b/>
                            <w:color w:val="FFFFFF" w:themeColor="background1"/>
                            <w:sz w:val="20"/>
                          </w:rPr>
                          <w:t>final review</w:t>
                        </w:r>
                        <w:r w:rsidRPr="002278F6">
                          <w:rPr>
                            <w:color w:val="FFFFFF" w:themeColor="background1"/>
                            <w:sz w:val="20"/>
                          </w:rPr>
                          <w:t xml:space="preserve"> 35 days prior to income management ending. This involves an initial review with the child protection worker to determine whether the customer will remain on IM or not.</w:t>
                        </w:r>
                        <w:r>
                          <w:rPr>
                            <w:color w:val="FFFFFF" w:themeColor="background1"/>
                            <w:sz w:val="20"/>
                          </w:rPr>
                          <w:t xml:space="preserve"> The child protection worker may chose not to attend.</w:t>
                        </w:r>
                      </w:p>
                    </w:txbxContent>
                  </v:textbox>
                </v:roundrect>
                <v:roundrect id="AutoShape 402" o:spid="_x0000_s1164" style="position:absolute;left:8460;top:9750;width:2775;height:20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sUcAA&#10;AADbAAAADwAAAGRycy9kb3ducmV2LnhtbERPy4rCMBTdD/gP4QruxlRBGapRRPCBDJSq4PbSXNtq&#10;c1Oa2Na/nyyEWR7Oe7nuTSVaalxpWcFkHIEgzqwuOVdwvey+f0A4j6yxskwK3uRgvRp8LTHWtuOU&#10;2rPPRQhhF6OCwvs6ltJlBRl0Y1sTB+5uG4M+wCaXusEuhJtKTqNoLg2WHBoKrGlbUPY8v4yCrj3U&#10;p21yTatf+5jtbmmS7PtWqdGw3yxAeOr9v/jjPmoF07A+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0sUcAAAADbAAAADwAAAAAAAAAAAAAAAACYAgAAZHJzL2Rvd25y&#10;ZXYueG1sUEsFBgAAAAAEAAQA9QAAAIUDAAAAAA==&#10;" fillcolor="#daeef3 [664]">
                  <v:textbox>
                    <w:txbxContent>
                      <w:p w:rsidR="00377C33" w:rsidRPr="00D837A2" w:rsidRDefault="00377C33" w:rsidP="00261FF1">
                        <w:pPr>
                          <w:rPr>
                            <w:sz w:val="20"/>
                          </w:rPr>
                        </w:pPr>
                        <w:r>
                          <w:rPr>
                            <w:sz w:val="20"/>
                          </w:rPr>
                          <w:t>If the customer is being extended the child protection workers must send through a new notice before the customer’s end date.</w:t>
                        </w:r>
                      </w:p>
                    </w:txbxContent>
                  </v:textbox>
                </v:roundrect>
                <v:roundrect id="AutoShape 403" o:spid="_x0000_s1165" style="position:absolute;left:2670;top:7995;width:2370;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xwMIA&#10;AADbAAAADwAAAGRycy9kb3ducmV2LnhtbESPT2sCMRTE7wW/Q3hCbzWrhyKrUVqrsFf/oNfXzWuy&#10;uHnZJlHXb98UBI/DzPyGmS9714orhdh4VjAeFSCIa68bNgoO+83bFERMyBpbz6TgThGWi8HLHEvt&#10;b7yl6y4ZkSEcS1RgU+pKKWNtyWEc+Y44ez8+OExZBiN1wFuGu1ZOiuJdOmw4L1jsaGWpPu8uTsHx&#10;ZMxXWFdtd66+p5tTbH4/7Uqp12H/MQORqE/P8KNdaQWTMfx/y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THAwgAAANsAAAAPAAAAAAAAAAAAAAAAAJgCAABkcnMvZG93&#10;bnJldi54bWxQSwUGAAAAAAQABAD1AAAAhwMAAAAA&#10;" fillcolor="#365f91 [2404]">
                  <v:textbox>
                    <w:txbxContent>
                      <w:p w:rsidR="00377C33" w:rsidRPr="002278F6" w:rsidRDefault="00377C33" w:rsidP="00261FF1">
                        <w:pPr>
                          <w:rPr>
                            <w:color w:val="FFFFFF" w:themeColor="background1"/>
                          </w:rPr>
                        </w:pPr>
                        <w:r w:rsidRPr="002278F6">
                          <w:rPr>
                            <w:color w:val="FFFFFF" w:themeColor="background1"/>
                            <w:sz w:val="20"/>
                          </w:rPr>
                          <w:t xml:space="preserve">Child protection worker decides to allow the IM notice to </w:t>
                        </w:r>
                        <w:r w:rsidRPr="002278F6">
                          <w:rPr>
                            <w:b/>
                            <w:color w:val="FFFFFF" w:themeColor="background1"/>
                            <w:sz w:val="20"/>
                          </w:rPr>
                          <w:t>expire</w:t>
                        </w:r>
                      </w:p>
                    </w:txbxContent>
                  </v:textbox>
                </v:roundrect>
                <v:roundrect id="AutoShape 404" o:spid="_x0000_s1166" style="position:absolute;left:7650;top:7995;width:261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vt8IA&#10;AADbAAAADwAAAGRycy9kb3ducmV2LnhtbESPQWsCMRSE70L/Q3iF3jTrHoqsRlFbYa+1Ra/PzTNZ&#10;3Lxsk1S3/94IhR6HmfmGWawG14krhdh6VjCdFCCIG69bNgq+PnfjGYiYkDV2nknBL0VYLZ9GC6y0&#10;v/EHXffJiAzhWKECm1JfSRkbSw7jxPfE2Tv74DBlGYzUAW8Z7jpZFsWrdNhyXrDY09ZSc9n/OAWH&#10;ozFv4b3u+kt9mu2Osf3e2K1SL8/Deg4i0ZD+w3/tWisoS3h8y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6+3wgAAANsAAAAPAAAAAAAAAAAAAAAAAJgCAABkcnMvZG93&#10;bnJldi54bWxQSwUGAAAAAAQABAD1AAAAhwMAAAAA&#10;" fillcolor="#365f91 [2404]">
                  <v:textbox>
                    <w:txbxContent>
                      <w:p w:rsidR="00377C33" w:rsidRPr="002278F6" w:rsidRDefault="00377C33" w:rsidP="00261FF1">
                        <w:pPr>
                          <w:rPr>
                            <w:color w:val="FFFFFF" w:themeColor="background1"/>
                          </w:rPr>
                        </w:pPr>
                        <w:r w:rsidRPr="002278F6">
                          <w:rPr>
                            <w:color w:val="FFFFFF" w:themeColor="background1"/>
                            <w:sz w:val="20"/>
                          </w:rPr>
                          <w:t xml:space="preserve">Child protection worker decides to </w:t>
                        </w:r>
                        <w:r w:rsidRPr="002278F6">
                          <w:rPr>
                            <w:b/>
                            <w:color w:val="FFFFFF" w:themeColor="background1"/>
                            <w:sz w:val="20"/>
                          </w:rPr>
                          <w:t>extend</w:t>
                        </w:r>
                        <w:r w:rsidRPr="002278F6">
                          <w:rPr>
                            <w:color w:val="FFFFFF" w:themeColor="background1"/>
                            <w:sz w:val="20"/>
                          </w:rPr>
                          <w:t xml:space="preserve"> the notice</w:t>
                        </w:r>
                      </w:p>
                    </w:txbxContent>
                  </v:textbox>
                </v:roundrect>
                <v:roundrect id="AutoShape 405" o:spid="_x0000_s1167" style="position:absolute;left:2745;top:9702;width:3330;height:23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KLMIA&#10;AADbAAAADwAAAGRycy9kb3ducmV2LnhtbESPQWsCMRSE70L/Q3iF3jRbCyJbo7RWYa9q6V5fN6/J&#10;4uZlm0Rd/70pFDwOM/MNs1gNrhNnCrH1rOB5UoAgbrxu2Sj4PGzHcxAxIWvsPJOCK0VYLR9GCyy1&#10;v/COzvtkRIZwLFGBTakvpYyNJYdx4nvi7P344DBlGYzUAS8Z7jo5LYqZdNhyXrDY09pSc9yfnIKv&#10;2piPsKm6/lh9z7d1bH/f7Vqpp8fh7RVEoiHdw//tSiuYvsDfl/w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woswgAAANsAAAAPAAAAAAAAAAAAAAAAAJgCAABkcnMvZG93&#10;bnJldi54bWxQSwUGAAAAAAQABAD1AAAAhwMAAAAA&#10;" fillcolor="#365f91 [2404]">
                  <v:textbox>
                    <w:txbxContent>
                      <w:p w:rsidR="00377C33" w:rsidRPr="00B32C65" w:rsidRDefault="00377C33" w:rsidP="00261FF1">
                        <w:pPr>
                          <w:rPr>
                            <w:color w:val="FFFFFF" w:themeColor="background1"/>
                            <w:sz w:val="20"/>
                          </w:rPr>
                        </w:pPr>
                        <w:r w:rsidRPr="00B32C65">
                          <w:rPr>
                            <w:color w:val="FFFFFF" w:themeColor="background1"/>
                            <w:sz w:val="20"/>
                          </w:rPr>
                          <w:t xml:space="preserve">If the customer is not being extended they will be invited to attend an </w:t>
                        </w:r>
                        <w:r w:rsidRPr="00B32C65">
                          <w:rPr>
                            <w:b/>
                            <w:color w:val="FFFFFF" w:themeColor="background1"/>
                            <w:sz w:val="20"/>
                          </w:rPr>
                          <w:t>exit interview</w:t>
                        </w:r>
                        <w:r>
                          <w:rPr>
                            <w:b/>
                            <w:color w:val="FFFFFF" w:themeColor="background1"/>
                            <w:sz w:val="20"/>
                          </w:rPr>
                          <w:t xml:space="preserve"> </w:t>
                        </w:r>
                        <w:r w:rsidRPr="00DD488A">
                          <w:rPr>
                            <w:color w:val="FFFFFF" w:themeColor="background1"/>
                            <w:sz w:val="20"/>
                          </w:rPr>
                          <w:t>approximately</w:t>
                        </w:r>
                        <w:r w:rsidRPr="00B32C65">
                          <w:rPr>
                            <w:color w:val="FFFFFF" w:themeColor="background1"/>
                            <w:sz w:val="20"/>
                          </w:rPr>
                          <w:t xml:space="preserve"> 28 days prior to their exit, however this interview is not compulsory. Client is offered the option to transition to Voluntary IM.</w:t>
                        </w:r>
                      </w:p>
                    </w:txbxContent>
                  </v:textbox>
                </v:roundrect>
                <v:shape id="AutoShape 406" o:spid="_x0000_s1168" type="#_x0000_t32" style="position:absolute;left:3810;top:9120;width:1;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407" o:spid="_x0000_s1169" type="#_x0000_t32" style="position:absolute;left:9644;top:9015;width:1;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408" o:spid="_x0000_s1170" type="#_x0000_t32" style="position:absolute;left:3555;top:-1695;width:0;height:2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oundrect id="AutoShape 409" o:spid="_x0000_s1171" style="position:absolute;left:2745;top:4470;width:2535;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7cMA&#10;AADbAAAADwAAAGRycy9kb3ducmV2LnhtbESPzW7CMBCE75X6DtZW4lac0gJtwCBUUalXfnJfxUsS&#10;Ea/deIHA09eVKnEczcw3mvmyd606UxcbzwZehhko4tLbhisD+93X8zuoKMgWW89k4EoRlovHhznm&#10;1l94Q+etVCpBOOZooBYJudaxrMlhHPpAnLyD7xxKkl2lbYeXBHetHmXZRDtsOC3UGOizpvK4PTkD&#10;b6GYhP3ttbjFcfuxLq5Wfo5izOCpX81ACfVyD/+3v62B0RT+vqQf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7cMAAADbAAAADwAAAAAAAAAAAAAAAACYAgAAZHJzL2Rv&#10;d25yZXYueG1sUEsFBgAAAAAEAAQA9QAAAIgDAAAAAA==&#10;" fillcolor="#95b3d7 [1940]">
                  <v:textbox>
                    <w:txbxContent>
                      <w:p w:rsidR="00377C33" w:rsidRDefault="00377C33" w:rsidP="00261FF1">
                        <w:r>
                          <w:rPr>
                            <w:sz w:val="20"/>
                          </w:rPr>
                          <w:t xml:space="preserve">Child protection worker decides to </w:t>
                        </w:r>
                        <w:r w:rsidRPr="00321DC5">
                          <w:rPr>
                            <w:b/>
                            <w:sz w:val="20"/>
                          </w:rPr>
                          <w:t>revoke</w:t>
                        </w:r>
                        <w:r w:rsidRPr="003550CA">
                          <w:rPr>
                            <w:sz w:val="20"/>
                          </w:rPr>
                          <w:t xml:space="preserve"> the </w:t>
                        </w:r>
                        <w:r>
                          <w:rPr>
                            <w:sz w:val="20"/>
                          </w:rPr>
                          <w:t xml:space="preserve">IM </w:t>
                        </w:r>
                        <w:r w:rsidRPr="003550CA">
                          <w:rPr>
                            <w:sz w:val="20"/>
                          </w:rPr>
                          <w:t>notice</w:t>
                        </w:r>
                      </w:p>
                    </w:txbxContent>
                  </v:textbox>
                </v:roundrect>
                <v:roundrect id="AutoShape 410" o:spid="_x0000_s1172" style="position:absolute;left:6537;top:4500;width:261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zn78A&#10;AADbAAAADwAAAGRycy9kb3ducmV2LnhtbERPTU/CQBC9k/AfNmPiDbYiEqjdEmM04SrQ+6Q7tg3d&#10;2aU7QuHXuwcTjy/vu9iOrlcXGmLn2cDTPANFXHvbcWPgePicrUFFQbbYeyYDN4qwLaeTAnPrr/xF&#10;l700KoVwzNFAKxJyrWPdksM494E4cd9+cCgJDo22A15TuOv1IstW2mHHqaHFQO8t1af9jzOwDNUq&#10;HO/P1T2+9JuP6mblfBJjHh/Gt1dQQqP8i//cO2tgkcamL+kH6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YTOfvwAAANsAAAAPAAAAAAAAAAAAAAAAAJgCAABkcnMvZG93bnJl&#10;di54bWxQSwUGAAAAAAQABAD1AAAAhAMAAAAA&#10;" fillcolor="#95b3d7 [1940]">
                  <v:textbox>
                    <w:txbxContent>
                      <w:p w:rsidR="00377C33" w:rsidRDefault="00377C33" w:rsidP="00261FF1">
                        <w:r>
                          <w:rPr>
                            <w:sz w:val="20"/>
                          </w:rPr>
                          <w:t>Child protection worker</w:t>
                        </w:r>
                        <w:r w:rsidRPr="003550CA">
                          <w:rPr>
                            <w:sz w:val="20"/>
                          </w:rPr>
                          <w:t xml:space="preserve"> </w:t>
                        </w:r>
                        <w:r>
                          <w:rPr>
                            <w:sz w:val="20"/>
                          </w:rPr>
                          <w:t xml:space="preserve">decides to </w:t>
                        </w:r>
                        <w:r w:rsidRPr="00321DC5">
                          <w:rPr>
                            <w:b/>
                            <w:sz w:val="20"/>
                          </w:rPr>
                          <w:t xml:space="preserve">extend </w:t>
                        </w:r>
                        <w:r>
                          <w:rPr>
                            <w:sz w:val="20"/>
                          </w:rPr>
                          <w:t xml:space="preserve">or </w:t>
                        </w:r>
                        <w:r w:rsidRPr="00E81571">
                          <w:rPr>
                            <w:b/>
                            <w:sz w:val="20"/>
                          </w:rPr>
                          <w:t xml:space="preserve">continue </w:t>
                        </w:r>
                        <w:r w:rsidRPr="003550CA">
                          <w:rPr>
                            <w:sz w:val="20"/>
                          </w:rPr>
                          <w:t>the notice</w:t>
                        </w:r>
                      </w:p>
                    </w:txbxContent>
                  </v:textbox>
                </v:roundrect>
                <v:shape id="AutoShape 411" o:spid="_x0000_s1173" type="#_x0000_t32" style="position:absolute;left:4575;top:4170;width:465;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412" o:spid="_x0000_s1174" type="#_x0000_t32" style="position:absolute;left:6540;top:4170;width:49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413" o:spid="_x0000_s1175" type="#_x0000_t32" style="position:absolute;left:7650;top:552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414" o:spid="_x0000_s1176" type="#_x0000_t32" style="position:absolute;left:4320;top:7230;width:1755;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415" o:spid="_x0000_s1177" type="#_x0000_t32" style="position:absolute;left:6345;top:7230;width:1650;height: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416" o:spid="_x0000_s1178" type="#_x0000_t32" style="position:absolute;left:9645;top:11775;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roundrect id="AutoShape 417" o:spid="_x0000_s1179" style="position:absolute;left:8625;top:12525;width:2785;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i+MQA&#10;AADbAAAADwAAAGRycy9kb3ducmV2LnhtbESPQWvCQBSE74L/YXmCN920RS3RVYpgW0QIsYLXR/Y1&#10;SZt9G7JrEv+9Kwgeh5n5hlltelOJlhpXWlbwMo1AEGdWl5wrOP3sJu8gnEfWWFkmBVdysFkPByuM&#10;te04pfbocxEg7GJUUHhfx1K6rCCDbmpr4uD92sagD7LJpW6wC3BTydcomkuDJYeFAmvaFpT9Hy9G&#10;Qdd+1fttckqrg/2b7c5pknz2rVLjUf+xBOGp98/wo/2tFbwt4P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9IvjEAAAA2wAAAA8AAAAAAAAAAAAAAAAAmAIAAGRycy9k&#10;b3ducmV2LnhtbFBLBQYAAAAABAAEAPUAAACJAwAAAAA=&#10;" fillcolor="#daeef3 [664]">
                  <v:textbox>
                    <w:txbxContent>
                      <w:p w:rsidR="00377C33" w:rsidRDefault="00377C33" w:rsidP="00261FF1">
                        <w:r>
                          <w:rPr>
                            <w:sz w:val="20"/>
                          </w:rPr>
                          <w:t>Customer continues on CPIM. DHS will review priority needs and allocations.</w:t>
                        </w:r>
                      </w:p>
                    </w:txbxContent>
                  </v:textbox>
                </v:roundrect>
                <v:shape id="AutoShape 418" o:spid="_x0000_s1180" type="#_x0000_t32" style="position:absolute;left:3240;top:12060;width:435;height: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419" o:spid="_x0000_s1181" type="#_x0000_t32" style="position:absolute;left:5040;top:12060;width:63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roundrect id="AutoShape 420" o:spid="_x0000_s1182" style="position:absolute;left:4680;top:12660;width:261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J8cAA&#10;AADbAAAADwAAAGRycy9kb3ducmV2LnhtbERPTYvCMBC9C/6HMMLeNFVckWoUEVwXWShVwevQjG21&#10;mZQm29Z/vzkseHy87/W2N5VoqXGlZQXTSQSCOLO65FzB9XIYL0E4j6yxskwKXuRguxkO1hhr23FK&#10;7dnnIoSwi1FB4X0dS+myggy6ia2JA3e3jUEfYJNL3WAXwk0lZ1G0kAZLDg0F1rQvKHuef42Crj3W&#10;p31yTasf+/g83NIk+epbpT5G/W4FwlPv3+J/97dWMA/rw5fw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LJ8cAAAADbAAAADwAAAAAAAAAAAAAAAACYAgAAZHJzL2Rvd25y&#10;ZXYueG1sUEsFBgAAAAAEAAQA9QAAAIUDAAAAAA==&#10;" fillcolor="#daeef3 [664]">
                  <v:textbox>
                    <w:txbxContent>
                      <w:p w:rsidR="00377C33" w:rsidRDefault="00377C33" w:rsidP="00261FF1">
                        <w:r>
                          <w:rPr>
                            <w:sz w:val="20"/>
                          </w:rPr>
                          <w:t>Customer transitions to Voluntary IM</w:t>
                        </w:r>
                      </w:p>
                    </w:txbxContent>
                  </v:textbox>
                </v:roundrect>
                <v:roundrect id="AutoShape 421" o:spid="_x0000_s1183" style="position:absolute;left:1710;top:12660;width:2610;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UYMIA&#10;AADbAAAADwAAAGRycy9kb3ducmV2LnhtbESPQWsCMRSE74L/ITyhN81aSpGtUapV2Gu11Ovr5jVZ&#10;3LysSdTtv28EweMwM98w82XvWnGhEBvPCqaTAgRx7XXDRsHXfjuegYgJWWPrmRT8UYTlYjiYY6n9&#10;lT/psktGZAjHEhXYlLpSylhbchgnviPO3q8PDlOWwUgd8JrhrpXPRfEqHTacFyx2tLZUH3dnp+D7&#10;YMxH2FRtd6x+ZttDbE4ru1bqadS/v4FI1KdH+N6utIKXKdy+5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tRgwgAAANsAAAAPAAAAAAAAAAAAAAAAAJgCAABkcnMvZG93&#10;bnJldi54bWxQSwUGAAAAAAQABAD1AAAAhwMAAAAA&#10;" fillcolor="#365f91 [2404]">
                  <v:textbox>
                    <w:txbxContent>
                      <w:p w:rsidR="00377C33" w:rsidRPr="00B32C65" w:rsidRDefault="00377C33" w:rsidP="00261FF1">
                        <w:pPr>
                          <w:rPr>
                            <w:color w:val="FFFFFF" w:themeColor="background1"/>
                          </w:rPr>
                        </w:pPr>
                        <w:r w:rsidRPr="00B32C65">
                          <w:rPr>
                            <w:color w:val="FFFFFF" w:themeColor="background1"/>
                            <w:sz w:val="20"/>
                          </w:rPr>
                          <w:t>Customer exits IM</w:t>
                        </w:r>
                      </w:p>
                    </w:txbxContent>
                  </v:textbox>
                </v:roundrect>
                <v:roundrect id="AutoShape 422" o:spid="_x0000_s1184" style="position:absolute;left:9045;top:705;width:2700;height:1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ao8UA&#10;AADbAAAADwAAAGRycy9kb3ducmV2LnhtbESPQWvCQBSE70L/w/IKvUjdNEgJ0VWkpdCDF60He3tk&#10;n9nQ7Nt0d2PS/npXEDwOM/MNs1yPthVn8qFxrOBlloEgrpxuuFZw+Pp4LkCEiKyxdUwK/ijAevUw&#10;WWKp3cA7Ou9jLRKEQ4kKTIxdKWWoDFkMM9cRJ+/kvMWYpK+l9jgkuG1lnmWv0mLDacFgR2+Gqp99&#10;bxUMbvs+HDeFz/+npv/t8+2x+y6UenocNwsQkcZ4D9/an1rBPIfrl/Q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lqjxQAAANsAAAAPAAAAAAAAAAAAAAAAAJgCAABkcnMv&#10;ZG93bnJldi54bWxQSwUGAAAAAAQABAD1AAAAigMAAAAA&#10;" fillcolor="#d6e3bc [1302]">
                  <v:textbox>
                    <w:txbxContent>
                      <w:p w:rsidR="00377C33" w:rsidRDefault="00377C33" w:rsidP="00261FF1">
                        <w:r>
                          <w:rPr>
                            <w:sz w:val="20"/>
                          </w:rPr>
                          <w:t>Client does not complete money management course and is not eligible for Matched Savings Payment</w:t>
                        </w:r>
                      </w:p>
                    </w:txbxContent>
                  </v:textbox>
                </v:roundrect>
                <v:shape id="AutoShape 423" o:spid="_x0000_s1185" type="#_x0000_t32" style="position:absolute;left:7185;top:960;width:1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424" o:spid="_x0000_s1186" type="#_x0000_t32" style="position:absolute;left:6840;top:210;width:0;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roundrect id="AutoShape 425" o:spid="_x0000_s1187" style="position:absolute;left:630;top:840;width:825;height:1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3A8IA&#10;AADbAAAADwAAAGRycy9kb3ducmV2LnhtbESPQYvCMBSE74L/ITxhL6KpoiLVKFIQZGHBrYLXZ/Ns&#10;q81LaaJ2/70RFjwOM/MNs1y3phIPalxpWcFoGIEgzqwuOVdwPGwHcxDOI2usLJOCP3KwXnU7S4y1&#10;ffIvPVKfiwBhF6OCwvs6ltJlBRl0Q1sTB+9iG4M+yCaXusFngJtKjqNoJg2WHBYKrCkpKLuld6Mg&#10;n2qT8PknaSmtyuv+fE+/T32lvnrtZgHCU+s/4f/2TiuYTOH9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TcDwgAAANsAAAAPAAAAAAAAAAAAAAAAAJgCAABkcnMvZG93&#10;bnJldi54bWxQSwUGAAAAAAQABAD1AAAAhwMAAAAA&#10;" fillcolor="#b8cce4 [1300]">
                  <v:textbox style="layout-flow:vertical;mso-layout-flow-alt:bottom-to-top">
                    <w:txbxContent>
                      <w:p w:rsidR="00377C33" w:rsidRPr="002278F6" w:rsidRDefault="00377C33" w:rsidP="00261FF1">
                        <w:pPr>
                          <w:rPr>
                            <w:b/>
                          </w:rPr>
                        </w:pPr>
                        <w:r w:rsidRPr="002278F6">
                          <w:rPr>
                            <w:b/>
                          </w:rPr>
                          <w:t>2-4 week review</w:t>
                        </w:r>
                      </w:p>
                    </w:txbxContent>
                  </v:textbox>
                </v:roundrect>
                <v:roundrect id="AutoShape 426" o:spid="_x0000_s1188" style="position:absolute;left:630;top:3015;width:825;height:24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yTsMA&#10;AADbAAAADwAAAGRycy9kb3ducmV2LnhtbESPQYvCMBSE74L/ITxhb5oqbpFqlCoIHlxk1Yu3R/Ns&#10;q81LabK17q/fCAseh5n5hlmsOlOJlhpXWlYwHkUgiDOrS84VnE/b4QyE88gaK8uk4EkOVst+b4GJ&#10;tg/+pvbocxEg7BJUUHhfJ1K6rCCDbmRr4uBdbWPQB9nkUjf4CHBTyUkUxdJgyWGhwJo2BWX3449R&#10;cJhuz5h+3XjDrU3d+vdzH+8uSn0MunQOwlPn3+H/9k4rmMb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yTsMAAADbAAAADwAAAAAAAAAAAAAAAACYAgAAZHJzL2Rv&#10;d25yZXYueG1sUEsFBgAAAAAEAAQA9QAAAIgDAAAAAA==&#10;" fillcolor="#95b3d7 [1940]">
                  <v:textbox style="layout-flow:vertical;mso-layout-flow-alt:bottom-to-top">
                    <w:txbxContent>
                      <w:p w:rsidR="00377C33" w:rsidRPr="002278F6" w:rsidRDefault="00377C33" w:rsidP="00261FF1">
                        <w:pPr>
                          <w:jc w:val="center"/>
                          <w:rPr>
                            <w:b/>
                          </w:rPr>
                        </w:pPr>
                        <w:r w:rsidRPr="002278F6">
                          <w:rPr>
                            <w:b/>
                          </w:rPr>
                          <w:t>Mid-point review</w:t>
                        </w:r>
                      </w:p>
                    </w:txbxContent>
                  </v:textbox>
                </v:roundrect>
                <v:roundrect id="AutoShape 427" o:spid="_x0000_s1189" style="position:absolute;left:630;top:5775;width:825;height:7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aDcUA&#10;AADbAAAADwAAAGRycy9kb3ducmV2LnhtbESP0WrCQBRE3wv+w3IF3+qmVUwbXUULikKhaPsB1+w1&#10;G5q9G7JrEv/eFQp9HGbmDLNY9bYSLTW+dKzgZZyAIM6dLrlQ8PO9fX4D4QOyxsoxKbiRh9Vy8LTA&#10;TLuOj9SeQiEihH2GCkwIdSalzw1Z9GNXE0fv4hqLIcqmkLrBLsJtJV+TZCYtlhwXDNb0YSj/PV2t&#10;gvZ9fTznt9nnrjtM0s0h3XztLkap0bBfz0EE6sN/+K+91wqmKT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loNxQAAANsAAAAPAAAAAAAAAAAAAAAAAJgCAABkcnMv&#10;ZG93bnJldi54bWxQSwUGAAAAAAQABAD1AAAAigMAAAAA&#10;" fillcolor="#365f91 [2404]">
                  <v:textbox style="layout-flow:vertical;mso-layout-flow-alt:bottom-to-top">
                    <w:txbxContent>
                      <w:p w:rsidR="00377C33" w:rsidRPr="002278F6" w:rsidRDefault="00377C33" w:rsidP="00261FF1">
                        <w:pPr>
                          <w:jc w:val="center"/>
                          <w:rPr>
                            <w:b/>
                            <w:color w:val="FFFFFF" w:themeColor="background1"/>
                          </w:rPr>
                        </w:pPr>
                        <w:r w:rsidRPr="002278F6">
                          <w:rPr>
                            <w:b/>
                            <w:color w:val="FFFFFF" w:themeColor="background1"/>
                          </w:rPr>
                          <w:t>Final review</w:t>
                        </w:r>
                        <w:r>
                          <w:rPr>
                            <w:b/>
                            <w:color w:val="FFFFFF" w:themeColor="background1"/>
                          </w:rPr>
                          <w:t xml:space="preserve"> and exiting CPIM</w:t>
                        </w:r>
                      </w:p>
                    </w:txbxContent>
                  </v:textbox>
                </v:roundrect>
                <v:roundrect id="AutoShape 428" o:spid="_x0000_s1190" style="position:absolute;left:2970;top:14085;width:3375;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98AA&#10;AADbAAAADwAAAGRycy9kb3ducmV2LnhtbERPTYvCMBC9C/6HMMLeNFVckWoUEVwXWShVwevQjG21&#10;mZQm29Z/vzkseHy87/W2N5VoqXGlZQXTSQSCOLO65FzB9XIYL0E4j6yxskwKXuRguxkO1hhr23FK&#10;7dnnIoSwi1FB4X0dS+myggy6ia2JA3e3jUEfYJNL3WAXwk0lZ1G0kAZLDg0F1rQvKHuef42Crj3W&#10;p31yTasf+/g83NIk+epbpT5G/W4FwlPv3+J/97dWMA9jw5fw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F98AAAADbAAAADwAAAAAAAAAAAAAAAACYAgAAZHJzL2Rvd25y&#10;ZXYueG1sUEsFBgAAAAAEAAQA9QAAAIUDAAAAAA==&#10;" fillcolor="#daeef3 [664]">
                  <v:textbox>
                    <w:txbxContent>
                      <w:p w:rsidR="00377C33" w:rsidRDefault="00377C33" w:rsidP="00261FF1">
                        <w:r>
                          <w:rPr>
                            <w:sz w:val="20"/>
                          </w:rPr>
                          <w:t xml:space="preserve">Client takes up options for meeting expenses via </w:t>
                        </w:r>
                        <w:proofErr w:type="spellStart"/>
                        <w:r>
                          <w:rPr>
                            <w:sz w:val="20"/>
                          </w:rPr>
                          <w:t>Centrepay</w:t>
                        </w:r>
                        <w:proofErr w:type="spellEnd"/>
                        <w:r>
                          <w:rPr>
                            <w:sz w:val="20"/>
                          </w:rPr>
                          <w:t xml:space="preserve"> or Nominee arrangements</w:t>
                        </w:r>
                      </w:p>
                    </w:txbxContent>
                  </v:textbox>
                </v:roundrect>
                <v:shape id="AutoShape 429" o:spid="_x0000_s1191" type="#_x0000_t32" style="position:absolute;left:4455;top:12060;width:15;height:20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roundrect id="AutoShape 430" o:spid="_x0000_s1192" style="position:absolute;left:6345;top:11040;width:2085;height:13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fLMAA&#10;AADbAAAADwAAAGRycy9kb3ducmV2LnhtbERPy4rCMBTdD/gP4QruxlRBGapRRPCBDJSq4PbSXNtq&#10;c1Oa2Na/nyyEWR7Oe7nuTSVaalxpWcFkHIEgzqwuOVdwvey+f0A4j6yxskwK3uRgvRp8LTHWtuOU&#10;2rPPRQhhF6OCwvs6ltJlBRl0Y1sTB+5uG4M+wCaXusEuhJtKTqNoLg2WHBoKrGlbUPY8v4yCrj3U&#10;p21yTatf+5jtbmmS7PtWqdGw3yxAeOr9v/jjPmoFs7A+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tfLMAAAADbAAAADwAAAAAAAAAAAAAAAACYAgAAZHJzL2Rvd25y&#10;ZXYueG1sUEsFBgAAAAAEAAQA9QAAAIUDAAAAAA==&#10;" fillcolor="#daeef3 [664]">
                  <v:textbox>
                    <w:txbxContent>
                      <w:p w:rsidR="00377C33" w:rsidRPr="00806E38" w:rsidRDefault="00377C33" w:rsidP="00261FF1">
                        <w:pPr>
                          <w:rPr>
                            <w:sz w:val="20"/>
                          </w:rPr>
                        </w:pPr>
                        <w:r w:rsidRPr="00806E38">
                          <w:rPr>
                            <w:sz w:val="20"/>
                          </w:rPr>
                          <w:t>Customer referred to FMPS</w:t>
                        </w:r>
                        <w:r>
                          <w:rPr>
                            <w:sz w:val="20"/>
                          </w:rPr>
                          <w:t xml:space="preserve"> if did not accept earlier referral</w:t>
                        </w:r>
                      </w:p>
                    </w:txbxContent>
                  </v:textbox>
                </v:roundrect>
                <v:shape id="AutoShape 431" o:spid="_x0000_s1193" type="#_x0000_t32" style="position:absolute;left:6075;top:11040;width:27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group>
            </w:pict>
          </mc:Fallback>
        </mc:AlternateContent>
      </w:r>
      <w:r w:rsidR="0069353B">
        <w:br w:type="page"/>
      </w:r>
    </w:p>
    <w:p w:rsidR="00854AD5" w:rsidRDefault="00854AD5" w:rsidP="00854AD5">
      <w:pPr>
        <w:pStyle w:val="Heading1"/>
        <w:ind w:left="0" w:hanging="567"/>
      </w:pPr>
      <w:bookmarkStart w:id="116" w:name="_Toc342495232"/>
      <w:r>
        <w:lastRenderedPageBreak/>
        <w:t xml:space="preserve">Evaluation </w:t>
      </w:r>
      <w:r w:rsidR="009302A4">
        <w:t>structure</w:t>
      </w:r>
      <w:bookmarkEnd w:id="116"/>
    </w:p>
    <w:p w:rsidR="00B90654" w:rsidRDefault="00B90654" w:rsidP="00B90654">
      <w:pPr>
        <w:pStyle w:val="Heading2"/>
      </w:pPr>
      <w:bookmarkStart w:id="117" w:name="_Toc342495233"/>
      <w:r>
        <w:t>Aim and scope</w:t>
      </w:r>
      <w:bookmarkEnd w:id="117"/>
    </w:p>
    <w:p w:rsidR="006E6F70" w:rsidRDefault="006E6F70" w:rsidP="00B90654">
      <w:pPr>
        <w:pStyle w:val="BodyText"/>
      </w:pPr>
      <w:r w:rsidRPr="00DA7345">
        <w:t xml:space="preserve">The objective is to provide </w:t>
      </w:r>
      <w:r>
        <w:t>FaHCSIA</w:t>
      </w:r>
      <w:r w:rsidRPr="00DA7345">
        <w:t xml:space="preserve"> with an independent and expert evaluation between </w:t>
      </w:r>
      <w:r>
        <w:t>2012 and 2015</w:t>
      </w:r>
      <w:r w:rsidRPr="00DA7345">
        <w:t xml:space="preserve">.  </w:t>
      </w:r>
      <w:r w:rsidR="0074722B">
        <w:t>T</w:t>
      </w:r>
      <w:r w:rsidR="00202247" w:rsidRPr="00672D05">
        <w:t xml:space="preserve">he </w:t>
      </w:r>
      <w:r w:rsidR="0074722B">
        <w:t xml:space="preserve">overarching aim of </w:t>
      </w:r>
      <w:r w:rsidR="00202247" w:rsidRPr="00672D05">
        <w:t xml:space="preserve">evaluation </w:t>
      </w:r>
      <w:r w:rsidR="0074722B">
        <w:t>is to</w:t>
      </w:r>
      <w:r w:rsidR="00202247" w:rsidRPr="00672D05">
        <w:t xml:space="preserve"> contribute to future policy decisions about income management and welfare reforms.</w:t>
      </w:r>
      <w:r w:rsidR="00672D05" w:rsidRPr="00672D05">
        <w:t xml:space="preserve">  </w:t>
      </w:r>
    </w:p>
    <w:p w:rsidR="006E6F70" w:rsidRDefault="006E6F70" w:rsidP="000F7775">
      <w:pPr>
        <w:pStyle w:val="BodyText"/>
      </w:pPr>
      <w:r w:rsidRPr="00DA7345">
        <w:t xml:space="preserve">The </w:t>
      </w:r>
      <w:r>
        <w:t>project comprises a</w:t>
      </w:r>
      <w:r w:rsidRPr="00DA7345">
        <w:t xml:space="preserve"> process evaluation </w:t>
      </w:r>
      <w:r>
        <w:t xml:space="preserve">and an outcome evaluation. </w:t>
      </w:r>
    </w:p>
    <w:p w:rsidR="006E6F70" w:rsidRPr="00DA7345" w:rsidRDefault="006E6F70" w:rsidP="006E6F70">
      <w:pPr>
        <w:pStyle w:val="Bullet1"/>
      </w:pPr>
      <w:r>
        <w:t>The</w:t>
      </w:r>
      <w:r w:rsidRPr="00DA7345">
        <w:t xml:space="preserve"> process evaluation </w:t>
      </w:r>
      <w:r>
        <w:t>aims to</w:t>
      </w:r>
      <w:r w:rsidRPr="00DA7345">
        <w:t xml:space="preserve"> determine the effectiveness with which </w:t>
      </w:r>
      <w:r w:rsidR="007F294D">
        <w:t>PBIM</w:t>
      </w:r>
      <w:r w:rsidRPr="00DA7345">
        <w:t xml:space="preserve"> </w:t>
      </w:r>
      <w:r w:rsidR="007F294D">
        <w:t>was</w:t>
      </w:r>
      <w:r w:rsidRPr="00DA7345">
        <w:t xml:space="preserve"> implemented</w:t>
      </w:r>
      <w:r w:rsidR="007F294D">
        <w:t xml:space="preserve"> — t</w:t>
      </w:r>
      <w:r w:rsidRPr="00DA7345">
        <w:t xml:space="preserve">hat is, whether </w:t>
      </w:r>
      <w:r w:rsidR="007F294D">
        <w:t>it</w:t>
      </w:r>
      <w:r w:rsidRPr="00DA7345">
        <w:t xml:space="preserve"> was delivered as intended to the </w:t>
      </w:r>
      <w:r w:rsidR="0027588F">
        <w:t>eligible</w:t>
      </w:r>
      <w:r w:rsidR="0027588F" w:rsidRPr="00DA7345">
        <w:t xml:space="preserve"> population</w:t>
      </w:r>
      <w:r w:rsidRPr="00DA7345">
        <w:t xml:space="preserve"> (including access to necessary services)</w:t>
      </w:r>
      <w:r w:rsidR="007F294D">
        <w:t>.</w:t>
      </w:r>
    </w:p>
    <w:p w:rsidR="006E6F70" w:rsidRPr="00DA7345" w:rsidRDefault="007F294D" w:rsidP="006E6F70">
      <w:pPr>
        <w:pStyle w:val="Bullet1"/>
      </w:pPr>
      <w:r>
        <w:t>The</w:t>
      </w:r>
      <w:r w:rsidR="006E6F70" w:rsidRPr="00DA7345">
        <w:t xml:space="preserve"> outcome evaluation </w:t>
      </w:r>
      <w:r>
        <w:t>aims</w:t>
      </w:r>
      <w:r w:rsidR="006E6F70" w:rsidRPr="00DA7345">
        <w:t xml:space="preserve"> </w:t>
      </w:r>
      <w:r>
        <w:t>to</w:t>
      </w:r>
      <w:r w:rsidR="006E6F70" w:rsidRPr="00DA7345">
        <w:t xml:space="preserve"> assess the impact of </w:t>
      </w:r>
      <w:r>
        <w:t>PBIM</w:t>
      </w:r>
      <w:r w:rsidR="006E6F70" w:rsidRPr="00DA7345">
        <w:t xml:space="preserve"> at the individual, family and community level over the short, medium and, where possible, longer term.</w:t>
      </w:r>
    </w:p>
    <w:p w:rsidR="00B96C30" w:rsidRDefault="007F294D" w:rsidP="007F294D">
      <w:pPr>
        <w:pStyle w:val="BodyText"/>
      </w:pPr>
      <w:r>
        <w:t>T</w:t>
      </w:r>
      <w:r w:rsidR="00B96C30" w:rsidRPr="000F7775">
        <w:t xml:space="preserve">he </w:t>
      </w:r>
      <w:r w:rsidR="006E6F70">
        <w:t xml:space="preserve">evaluation </w:t>
      </w:r>
      <w:r w:rsidR="00B96C30" w:rsidRPr="000F7775">
        <w:t xml:space="preserve">framework </w:t>
      </w:r>
      <w:r w:rsidR="000F7775">
        <w:t>needs to</w:t>
      </w:r>
      <w:r w:rsidR="00B96C30" w:rsidRPr="000F7775">
        <w:t xml:space="preserve"> be aligned, where appropriate, with the design of the other evaluation of income management running concurrently</w:t>
      </w:r>
      <w:r w:rsidR="000F7775">
        <w:t xml:space="preserve"> — </w:t>
      </w:r>
      <w:r w:rsidR="00B96C30" w:rsidRPr="00DA7345">
        <w:t>income management in the Northern Territory (referred to as New Income Management</w:t>
      </w:r>
      <w:r w:rsidR="0012519F">
        <w:t>; NIM</w:t>
      </w:r>
      <w:r w:rsidR="00B96C30" w:rsidRPr="00DA7345">
        <w:t xml:space="preserve">). </w:t>
      </w:r>
    </w:p>
    <w:p w:rsidR="007F294D" w:rsidRPr="00DA7345" w:rsidRDefault="007F294D" w:rsidP="007F294D">
      <w:pPr>
        <w:pStyle w:val="BodyText"/>
      </w:pPr>
      <w:r>
        <w:t>Pre-specified requirements were that:</w:t>
      </w:r>
    </w:p>
    <w:p w:rsidR="00B96C30" w:rsidRPr="00DA7345" w:rsidRDefault="00B96C30" w:rsidP="007F294D">
      <w:pPr>
        <w:pStyle w:val="Bullet1"/>
      </w:pPr>
      <w:r w:rsidRPr="00DA7345">
        <w:t>Th</w:t>
      </w:r>
      <w:r w:rsidR="007F294D">
        <w:t>e</w:t>
      </w:r>
      <w:r w:rsidRPr="00DA7345">
        <w:t xml:space="preserve"> evaluation w</w:t>
      </w:r>
      <w:r w:rsidR="008478FB">
        <w:t>ould</w:t>
      </w:r>
      <w:r w:rsidRPr="00DA7345">
        <w:t xml:space="preserve"> collect baseline data and include analysis of a comparison group (of individuals from other place-based sites that have not implemented the income management policy).</w:t>
      </w:r>
    </w:p>
    <w:p w:rsidR="0088587E" w:rsidRPr="00DA7345" w:rsidRDefault="0088587E" w:rsidP="007F294D">
      <w:pPr>
        <w:pStyle w:val="Bullet1"/>
      </w:pPr>
      <w:r w:rsidRPr="00DA7345">
        <w:t>Findings w</w:t>
      </w:r>
      <w:r w:rsidR="008478FB">
        <w:t>ould</w:t>
      </w:r>
      <w:r w:rsidRPr="00DA7345">
        <w:t xml:space="preserve"> be based on:</w:t>
      </w:r>
    </w:p>
    <w:p w:rsidR="0088587E" w:rsidRPr="00DA7345" w:rsidRDefault="0088587E" w:rsidP="007F294D">
      <w:pPr>
        <w:pStyle w:val="Bullet2"/>
      </w:pPr>
      <w:r w:rsidRPr="00DA7345">
        <w:t xml:space="preserve">administrative data from </w:t>
      </w:r>
      <w:r w:rsidR="005E4D54">
        <w:t>DHS</w:t>
      </w:r>
      <w:r w:rsidRPr="00DA7345">
        <w:t xml:space="preserve">, Money Management Service Providers and State </w:t>
      </w:r>
      <w:r w:rsidR="008478FB">
        <w:t>g</w:t>
      </w:r>
      <w:r w:rsidRPr="00DA7345">
        <w:t>overnments (including child protection and housing authorities)</w:t>
      </w:r>
      <w:r w:rsidR="007F294D">
        <w:t>;</w:t>
      </w:r>
      <w:r w:rsidRPr="00DA7345">
        <w:t xml:space="preserve"> and</w:t>
      </w:r>
    </w:p>
    <w:p w:rsidR="0088587E" w:rsidRPr="00DA7345" w:rsidRDefault="0088587E" w:rsidP="007F294D">
      <w:pPr>
        <w:pStyle w:val="Bullet2"/>
      </w:pPr>
      <w:proofErr w:type="gramStart"/>
      <w:r w:rsidRPr="00DA7345">
        <w:t>survey-based</w:t>
      </w:r>
      <w:proofErr w:type="gramEnd"/>
      <w:r w:rsidRPr="00DA7345">
        <w:t xml:space="preserve"> data and in-depth interviews from employees from the above agencies, from people subject to income management and from people in the comparison group.</w:t>
      </w:r>
    </w:p>
    <w:p w:rsidR="0088587E" w:rsidRPr="00DA7345" w:rsidRDefault="0088587E" w:rsidP="007F294D">
      <w:pPr>
        <w:pStyle w:val="BodyText"/>
      </w:pPr>
      <w:r w:rsidRPr="00DA7345">
        <w:t>The evaluation will not analyse broader BAFW outcomes, nor will it analyse the effectiveness of any of the other place-based initiatives also being implemented in the five locations in addition to income management. It will, however, be looking at how these other initiatives impact on the effectiveness of income management and whether any outcomes (intended and unintended) have resulted due to the interaction of the suite of initiatives.</w:t>
      </w:r>
    </w:p>
    <w:p w:rsidR="009501AE" w:rsidRDefault="009501AE" w:rsidP="009501AE">
      <w:pPr>
        <w:pStyle w:val="Heading2"/>
      </w:pPr>
      <w:bookmarkStart w:id="118" w:name="_Toc342495234"/>
      <w:r>
        <w:t>Evaluation overview</w:t>
      </w:r>
      <w:bookmarkEnd w:id="118"/>
    </w:p>
    <w:p w:rsidR="00B90654" w:rsidRDefault="006A0DD1" w:rsidP="00B90654">
      <w:pPr>
        <w:pStyle w:val="BodyText"/>
      </w:pPr>
      <w:r w:rsidRPr="00A270AA">
        <w:t xml:space="preserve">An overview of </w:t>
      </w:r>
      <w:r>
        <w:t>the proposed</w:t>
      </w:r>
      <w:r w:rsidRPr="00A270AA">
        <w:t xml:space="preserve"> evaluation methodology can be seen in </w:t>
      </w:r>
      <w:r w:rsidR="00D71A6F">
        <w:fldChar w:fldCharType="begin"/>
      </w:r>
      <w:r>
        <w:instrText xml:space="preserve"> REF _Ref317523539 \r \h </w:instrText>
      </w:r>
      <w:r w:rsidR="00D71A6F">
        <w:fldChar w:fldCharType="separate"/>
      </w:r>
      <w:r w:rsidR="003C7E97">
        <w:t>Figure 4.1</w:t>
      </w:r>
      <w:r w:rsidR="00D71A6F">
        <w:fldChar w:fldCharType="end"/>
      </w:r>
      <w:r>
        <w:t xml:space="preserve">.  Individual methodologies are discussed in chapter </w:t>
      </w:r>
      <w:r w:rsidR="00D71A6F">
        <w:fldChar w:fldCharType="begin"/>
      </w:r>
      <w:r>
        <w:instrText xml:space="preserve"> REF _Ref322004037 \r \h </w:instrText>
      </w:r>
      <w:r w:rsidR="00D71A6F">
        <w:fldChar w:fldCharType="separate"/>
      </w:r>
      <w:r w:rsidR="003C7E97">
        <w:t>5</w:t>
      </w:r>
      <w:r w:rsidR="00D71A6F">
        <w:fldChar w:fldCharType="end"/>
      </w:r>
      <w:r>
        <w:t xml:space="preserve">.  </w:t>
      </w:r>
      <w:r w:rsidR="00A54B58">
        <w:t>Consistent with the specified requirements, t</w:t>
      </w:r>
      <w:r w:rsidR="00B90654">
        <w:t xml:space="preserve">he key elements </w:t>
      </w:r>
      <w:r>
        <w:t xml:space="preserve">of the adopted approach to the evaluation </w:t>
      </w:r>
      <w:r w:rsidR="00B90654">
        <w:t>are:</w:t>
      </w:r>
    </w:p>
    <w:p w:rsidR="006A0DD1" w:rsidRPr="00B90654" w:rsidRDefault="006A0DD1" w:rsidP="006A0DD1">
      <w:pPr>
        <w:pStyle w:val="Bullet1"/>
      </w:pPr>
      <w:r>
        <w:t>Comparison of PBIM trial sites with sites</w:t>
      </w:r>
      <w:r w:rsidR="00CC4029">
        <w:t xml:space="preserve"> that have similar characteristics to the trial sites but where</w:t>
      </w:r>
      <w:r>
        <w:t xml:space="preserve"> PBIM</w:t>
      </w:r>
      <w:r w:rsidR="00CC4029">
        <w:t xml:space="preserve"> has not been implemented</w:t>
      </w:r>
      <w:r w:rsidR="00EA17D3">
        <w:t>;</w:t>
      </w:r>
      <w:r>
        <w:t xml:space="preserve"> </w:t>
      </w:r>
    </w:p>
    <w:p w:rsidR="00B90654" w:rsidRDefault="00B90654" w:rsidP="00B90654">
      <w:pPr>
        <w:pStyle w:val="Bullet1"/>
      </w:pPr>
      <w:r>
        <w:t xml:space="preserve">Collection of baseline data </w:t>
      </w:r>
      <w:r w:rsidR="006A0DD1">
        <w:t>as soon as</w:t>
      </w:r>
      <w:r>
        <w:t xml:space="preserve"> PBIM has commenced</w:t>
      </w:r>
      <w:r w:rsidR="003D250B">
        <w:t xml:space="preserve"> (which constitutes the baseline fieldwork)</w:t>
      </w:r>
      <w:r>
        <w:t>, followed by further waves of data collection in subsequent years</w:t>
      </w:r>
      <w:r w:rsidR="00EA17D3">
        <w:t>; and</w:t>
      </w:r>
    </w:p>
    <w:p w:rsidR="00EA17D3" w:rsidRDefault="00EA17D3" w:rsidP="00B90654">
      <w:pPr>
        <w:pStyle w:val="Bullet1"/>
      </w:pPr>
      <w:r>
        <w:t>Sourcing and synthesis of a range of secondary data sources to understand the community level impacts of PBIM.</w:t>
      </w:r>
    </w:p>
    <w:p w:rsidR="006A0DD1" w:rsidRDefault="006A0DD1" w:rsidP="006A0DD1">
      <w:pPr>
        <w:pStyle w:val="BodyText"/>
      </w:pPr>
      <w:r>
        <w:lastRenderedPageBreak/>
        <w:t xml:space="preserve">The evaluation questions and </w:t>
      </w:r>
      <w:r w:rsidR="00935C4C">
        <w:t>selected</w:t>
      </w:r>
      <w:r>
        <w:t xml:space="preserve"> characteristics of the trial and comparison sites are discussed below. </w:t>
      </w:r>
    </w:p>
    <w:p w:rsidR="009501AE" w:rsidRDefault="009501AE" w:rsidP="009501AE">
      <w:pPr>
        <w:pStyle w:val="CaptionFigure"/>
      </w:pPr>
      <w:bookmarkStart w:id="119" w:name="_Ref317523539"/>
      <w:bookmarkStart w:id="120" w:name="_Toc342495271"/>
      <w:r>
        <w:t>: Overview of methodolog</w:t>
      </w:r>
      <w:bookmarkEnd w:id="119"/>
      <w:r w:rsidR="002A2998">
        <w:t>y</w:t>
      </w:r>
      <w:bookmarkEnd w:id="120"/>
    </w:p>
    <w:p w:rsidR="003079A7" w:rsidRDefault="008112F0" w:rsidP="000E6CAF">
      <w:pPr>
        <w:pStyle w:val="BodyText"/>
        <w:ind w:hanging="709"/>
      </w:pPr>
      <w:r>
        <w:object w:dxaOrig="10543" w:dyaOrig="10713">
          <v:shape id="_x0000_i1028" type="#_x0000_t75" alt="Figure 4.1: Overview of methodology" style="width:462pt;height:469.5pt" o:ole="">
            <v:imagedata r:id="rId35" o:title=""/>
          </v:shape>
          <o:OLEObject Type="Embed" ProgID="Visio.Drawing.11" ShapeID="_x0000_i1028" DrawAspect="Content" ObjectID="_1428501679" r:id="rId36"/>
        </w:object>
      </w:r>
    </w:p>
    <w:p w:rsidR="003079A7" w:rsidRDefault="003079A7" w:rsidP="003079A7">
      <w:pPr>
        <w:pStyle w:val="BodyText"/>
      </w:pPr>
      <w:r>
        <w:t xml:space="preserve">A </w:t>
      </w:r>
      <w:r w:rsidR="00C70668">
        <w:t xml:space="preserve">more detailed </w:t>
      </w:r>
      <w:r>
        <w:t xml:space="preserve">overview of the timings for the fieldwork periods and each of the component methodologies can be seen in </w:t>
      </w:r>
      <w:r w:rsidR="00D71A6F">
        <w:fldChar w:fldCharType="begin"/>
      </w:r>
      <w:r>
        <w:instrText xml:space="preserve"> REF _Ref322447490 \r \h </w:instrText>
      </w:r>
      <w:r w:rsidR="00D71A6F">
        <w:fldChar w:fldCharType="separate"/>
      </w:r>
      <w:r w:rsidR="003C7E97">
        <w:t>Table 4.1</w:t>
      </w:r>
      <w:r w:rsidR="00D71A6F">
        <w:fldChar w:fldCharType="end"/>
      </w:r>
      <w:r>
        <w:t xml:space="preserve"> below.</w:t>
      </w:r>
      <w:r w:rsidR="00C70668">
        <w:t xml:space="preserve"> This includes meetings of the Advisory Group (as described in Section </w:t>
      </w:r>
      <w:r w:rsidR="00D71A6F">
        <w:fldChar w:fldCharType="begin"/>
      </w:r>
      <w:r w:rsidR="00C70668">
        <w:instrText xml:space="preserve"> REF _Ref322453075 \r \h </w:instrText>
      </w:r>
      <w:r w:rsidR="00D71A6F">
        <w:fldChar w:fldCharType="separate"/>
      </w:r>
      <w:r w:rsidR="003C7E97">
        <w:t>1.1</w:t>
      </w:r>
      <w:r w:rsidR="00D71A6F">
        <w:fldChar w:fldCharType="end"/>
      </w:r>
      <w:r w:rsidR="00C70668">
        <w:t>), and the range of primary and secondary data collection methodologies.</w:t>
      </w:r>
    </w:p>
    <w:p w:rsidR="00C70668" w:rsidRDefault="00C70668" w:rsidP="003079A7">
      <w:pPr>
        <w:pStyle w:val="BodyText"/>
        <w:sectPr w:rsidR="00C70668" w:rsidSect="003A3BB6">
          <w:headerReference w:type="even" r:id="rId37"/>
          <w:footerReference w:type="even" r:id="rId38"/>
          <w:footerReference w:type="default" r:id="rId39"/>
          <w:headerReference w:type="first" r:id="rId40"/>
          <w:footerReference w:type="first" r:id="rId41"/>
          <w:pgSz w:w="11906" w:h="16838" w:code="9"/>
          <w:pgMar w:top="1361" w:right="849" w:bottom="1134" w:left="2552" w:header="340" w:footer="720" w:gutter="0"/>
          <w:cols w:space="720"/>
          <w:docGrid w:linePitch="360"/>
        </w:sectPr>
      </w:pPr>
    </w:p>
    <w:p w:rsidR="0042583C" w:rsidRDefault="003079A7" w:rsidP="003079A7">
      <w:pPr>
        <w:pStyle w:val="CaptionTable"/>
        <w:rPr>
          <w:noProof/>
          <w:lang w:eastAsia="en-AU"/>
        </w:rPr>
      </w:pPr>
      <w:bookmarkStart w:id="121" w:name="_Ref322447490"/>
      <w:bookmarkStart w:id="122" w:name="_Toc342495256"/>
      <w:r>
        <w:rPr>
          <w:noProof/>
          <w:lang w:eastAsia="en-AU"/>
        </w:rPr>
        <w:lastRenderedPageBreak/>
        <w:t>: Overview of timing of fieldwork and component methodologies</w:t>
      </w:r>
      <w:bookmarkEnd w:id="121"/>
      <w:bookmarkEnd w:id="122"/>
    </w:p>
    <w:p w:rsidR="007A7049" w:rsidRDefault="009F62B7" w:rsidP="007E7467">
      <w:pPr>
        <w:pStyle w:val="BodyText"/>
        <w:jc w:val="center"/>
        <w:rPr>
          <w:lang w:eastAsia="en-AU"/>
        </w:rPr>
      </w:pPr>
      <w:r w:rsidRPr="009F62B7">
        <w:rPr>
          <w:noProof/>
          <w:lang w:eastAsia="en-AU"/>
        </w:rPr>
        <w:drawing>
          <wp:inline distT="0" distB="0" distL="0" distR="0" wp14:anchorId="7F467F99" wp14:editId="4E9A0CF6">
            <wp:extent cx="7394276" cy="6228000"/>
            <wp:effectExtent l="0" t="0" r="0" b="1905"/>
            <wp:docPr id="3" name="Picture 3" title="Table 4.1 Overview of timing of fieldwork and component method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94276" cy="6228000"/>
                    </a:xfrm>
                    <a:prstGeom prst="rect">
                      <a:avLst/>
                    </a:prstGeom>
                    <a:noFill/>
                    <a:ln>
                      <a:noFill/>
                    </a:ln>
                  </pic:spPr>
                </pic:pic>
              </a:graphicData>
            </a:graphic>
          </wp:inline>
        </w:drawing>
      </w:r>
    </w:p>
    <w:p w:rsidR="007A7049" w:rsidRPr="007A7049" w:rsidRDefault="007A7049" w:rsidP="007A7049">
      <w:pPr>
        <w:pStyle w:val="BodyText"/>
        <w:rPr>
          <w:lang w:eastAsia="en-AU"/>
        </w:rPr>
        <w:sectPr w:rsidR="007A7049" w:rsidRPr="007A7049" w:rsidSect="007C06EC">
          <w:pgSz w:w="16838" w:h="11906" w:orient="landscape" w:code="9"/>
          <w:pgMar w:top="232" w:right="284" w:bottom="284" w:left="232" w:header="170" w:footer="113" w:gutter="0"/>
          <w:cols w:space="720"/>
          <w:docGrid w:linePitch="360"/>
        </w:sectPr>
      </w:pPr>
    </w:p>
    <w:p w:rsidR="00466626" w:rsidRPr="00202247" w:rsidRDefault="00466626" w:rsidP="00466626">
      <w:pPr>
        <w:pStyle w:val="Heading2"/>
      </w:pPr>
      <w:bookmarkStart w:id="123" w:name="_Toc323131713"/>
      <w:bookmarkStart w:id="124" w:name="_Toc342495235"/>
      <w:r>
        <w:lastRenderedPageBreak/>
        <w:t>Evaluation questions</w:t>
      </w:r>
      <w:bookmarkEnd w:id="123"/>
      <w:bookmarkEnd w:id="124"/>
    </w:p>
    <w:p w:rsidR="00466626" w:rsidRPr="0049350B" w:rsidRDefault="00466626" w:rsidP="00466626">
      <w:pPr>
        <w:pStyle w:val="Heading3"/>
        <w:rPr>
          <w:lang w:eastAsia="en-AU"/>
        </w:rPr>
      </w:pPr>
      <w:r w:rsidRPr="0049350B">
        <w:rPr>
          <w:lang w:eastAsia="en-AU"/>
        </w:rPr>
        <w:t>Outcome evaluation questions</w:t>
      </w:r>
    </w:p>
    <w:p w:rsidR="00466626" w:rsidRPr="0049350B" w:rsidRDefault="00466626" w:rsidP="00466626">
      <w:pPr>
        <w:pStyle w:val="NumberedList"/>
        <w:rPr>
          <w:lang w:eastAsia="en-AU"/>
        </w:rPr>
      </w:pPr>
      <w:r w:rsidRPr="0049350B">
        <w:rPr>
          <w:lang w:eastAsia="en-AU"/>
        </w:rPr>
        <w:t>What are the short, medium and (where possible) longer-term impacts of income management on individuals, their families (particularly their children) and communities? Consider unintended consequences, positive and negative.</w:t>
      </w:r>
    </w:p>
    <w:p w:rsidR="00466626" w:rsidRPr="0049350B" w:rsidRDefault="00466626" w:rsidP="00466626">
      <w:pPr>
        <w:pStyle w:val="NumberedList"/>
        <w:rPr>
          <w:lang w:eastAsia="en-AU"/>
        </w:rPr>
      </w:pPr>
      <w:r w:rsidRPr="0049350B">
        <w:rPr>
          <w:lang w:eastAsia="en-AU"/>
        </w:rPr>
        <w:t xml:space="preserve">How do these effects differ for the various </w:t>
      </w:r>
      <w:r w:rsidR="00037695">
        <w:rPr>
          <w:lang w:eastAsia="en-AU"/>
        </w:rPr>
        <w:t>measure</w:t>
      </w:r>
      <w:r w:rsidRPr="0049350B">
        <w:rPr>
          <w:lang w:eastAsia="en-AU"/>
        </w:rPr>
        <w:t xml:space="preserve">s of the project? </w:t>
      </w:r>
    </w:p>
    <w:p w:rsidR="00466626" w:rsidRPr="0049350B" w:rsidRDefault="00466626" w:rsidP="00466626">
      <w:pPr>
        <w:pStyle w:val="NumberedList"/>
        <w:rPr>
          <w:lang w:eastAsia="en-AU"/>
        </w:rPr>
      </w:pPr>
      <w:r w:rsidRPr="0049350B">
        <w:rPr>
          <w:lang w:eastAsia="en-AU"/>
        </w:rPr>
        <w:t xml:space="preserve">Have there been changes in spending patterns, food, alcohol, gambling, </w:t>
      </w:r>
      <w:proofErr w:type="gramStart"/>
      <w:r w:rsidRPr="0049350B">
        <w:rPr>
          <w:lang w:eastAsia="en-AU"/>
        </w:rPr>
        <w:t>pornography</w:t>
      </w:r>
      <w:proofErr w:type="gramEnd"/>
      <w:r w:rsidRPr="0049350B">
        <w:rPr>
          <w:lang w:eastAsia="en-AU"/>
        </w:rPr>
        <w:t xml:space="preserve"> and tobacco consumption? </w:t>
      </w:r>
    </w:p>
    <w:p w:rsidR="00466626" w:rsidRPr="00806457" w:rsidRDefault="00466626" w:rsidP="00466626">
      <w:pPr>
        <w:pStyle w:val="NumberedList"/>
        <w:rPr>
          <w:lang w:eastAsia="en-AU"/>
        </w:rPr>
      </w:pPr>
      <w:r w:rsidRPr="00806457">
        <w:rPr>
          <w:lang w:eastAsia="en-AU"/>
        </w:rPr>
        <w:t>Has place-based income mana</w:t>
      </w:r>
      <w:r w:rsidR="00CC2DC4">
        <w:rPr>
          <w:lang w:eastAsia="en-AU"/>
        </w:rPr>
        <w:t>gement contributed to changes to</w:t>
      </w:r>
      <w:r w:rsidRPr="00806457">
        <w:rPr>
          <w:lang w:eastAsia="en-AU"/>
        </w:rPr>
        <w:t xml:space="preserve"> financial management, child wellbeing, alcohol abuse, housing and homelessness, violence and </w:t>
      </w:r>
      <w:r w:rsidR="00CC2DC4">
        <w:rPr>
          <w:lang w:eastAsia="en-AU"/>
        </w:rPr>
        <w:t xml:space="preserve">child </w:t>
      </w:r>
      <w:r w:rsidRPr="00806457">
        <w:rPr>
          <w:lang w:eastAsia="en-AU"/>
        </w:rPr>
        <w:t xml:space="preserve">neglect? </w:t>
      </w:r>
    </w:p>
    <w:p w:rsidR="00466626" w:rsidRPr="0049350B" w:rsidRDefault="00466626" w:rsidP="00466626">
      <w:pPr>
        <w:pStyle w:val="NumberedList"/>
        <w:rPr>
          <w:lang w:eastAsia="en-AU"/>
        </w:rPr>
      </w:pPr>
      <w:r w:rsidRPr="0049350B">
        <w:rPr>
          <w:lang w:eastAsia="en-AU"/>
        </w:rPr>
        <w:t xml:space="preserve">What impact has the Matched Savings Payment had on </w:t>
      </w:r>
      <w:r>
        <w:rPr>
          <w:lang w:eastAsia="en-AU"/>
        </w:rPr>
        <w:t>customer</w:t>
      </w:r>
      <w:r w:rsidRPr="0049350B">
        <w:rPr>
          <w:lang w:eastAsia="en-AU"/>
        </w:rPr>
        <w:t>s’ ability to manage their money, including savings?</w:t>
      </w:r>
    </w:p>
    <w:p w:rsidR="00466626" w:rsidRPr="0049350B" w:rsidRDefault="00466626" w:rsidP="00466626">
      <w:pPr>
        <w:pStyle w:val="NumberedList"/>
        <w:rPr>
          <w:lang w:eastAsia="en-AU"/>
        </w:rPr>
      </w:pPr>
      <w:r w:rsidRPr="0049350B">
        <w:rPr>
          <w:lang w:eastAsia="en-AU"/>
        </w:rPr>
        <w:t xml:space="preserve">Do the three </w:t>
      </w:r>
      <w:r w:rsidR="00037695">
        <w:rPr>
          <w:lang w:eastAsia="en-AU"/>
        </w:rPr>
        <w:t>measure</w:t>
      </w:r>
      <w:r w:rsidRPr="0049350B">
        <w:rPr>
          <w:lang w:eastAsia="en-AU"/>
        </w:rPr>
        <w:t xml:space="preserve">s achieve appropriate outcomes (based on the aims of each </w:t>
      </w:r>
      <w:r w:rsidR="00037695">
        <w:rPr>
          <w:lang w:eastAsia="en-AU"/>
        </w:rPr>
        <w:t>measure</w:t>
      </w:r>
      <w:r w:rsidRPr="0049350B">
        <w:rPr>
          <w:lang w:eastAsia="en-AU"/>
        </w:rPr>
        <w:t xml:space="preserve"> and of income management) for their participants? </w:t>
      </w:r>
    </w:p>
    <w:p w:rsidR="00466626" w:rsidRPr="0049350B" w:rsidRDefault="00466626" w:rsidP="00466626">
      <w:pPr>
        <w:pStyle w:val="NumberedList"/>
        <w:rPr>
          <w:lang w:eastAsia="en-AU"/>
        </w:rPr>
      </w:pPr>
      <w:r w:rsidRPr="0049350B">
        <w:rPr>
          <w:lang w:eastAsia="en-AU"/>
        </w:rPr>
        <w:t>Are there synergies or complementarities between income management and other place-based measures?</w:t>
      </w:r>
    </w:p>
    <w:p w:rsidR="00466626" w:rsidRPr="00BD7820" w:rsidRDefault="00466626" w:rsidP="00466626">
      <w:pPr>
        <w:pStyle w:val="NumberedList"/>
        <w:rPr>
          <w:lang w:eastAsia="en-AU"/>
        </w:rPr>
      </w:pPr>
      <w:r w:rsidRPr="00466626">
        <w:rPr>
          <w:lang w:eastAsia="en-AU"/>
        </w:rPr>
        <w:t xml:space="preserve">Has the outcome of income management differed across different groups, for example, women, Indigenous people and people from culturally and linguistically diverse backgrounds? Consider also – if sufficient data is available — location, age, </w:t>
      </w:r>
      <w:r w:rsidRPr="00BD7820">
        <w:rPr>
          <w:lang w:eastAsia="en-AU"/>
        </w:rPr>
        <w:t>educational status, work status, type of payment, length of time on income support, and family composition.</w:t>
      </w:r>
    </w:p>
    <w:p w:rsidR="00466626" w:rsidRPr="00BD7820" w:rsidRDefault="00466626" w:rsidP="00466626">
      <w:pPr>
        <w:pStyle w:val="NumberedList"/>
        <w:rPr>
          <w:lang w:eastAsia="en-AU"/>
        </w:rPr>
      </w:pPr>
      <w:bookmarkStart w:id="125" w:name="RANGE!C12"/>
      <w:r w:rsidRPr="00BD7820">
        <w:rPr>
          <w:lang w:eastAsia="en-AU"/>
        </w:rPr>
        <w:t xml:space="preserve">Is there a stigma attached to income management and/or the BasicsCard </w:t>
      </w:r>
      <w:r w:rsidR="00BD7820" w:rsidRPr="00BD7820">
        <w:rPr>
          <w:lang w:eastAsia="en-AU"/>
        </w:rPr>
        <w:t>(</w:t>
      </w:r>
      <w:r w:rsidRPr="00BD7820">
        <w:rPr>
          <w:lang w:eastAsia="en-AU"/>
        </w:rPr>
        <w:t>in the view of people on income management and merchants</w:t>
      </w:r>
      <w:bookmarkEnd w:id="125"/>
      <w:r w:rsidR="00BD7820" w:rsidRPr="00BD7820">
        <w:rPr>
          <w:lang w:eastAsia="en-AU"/>
        </w:rPr>
        <w:t>)?</w:t>
      </w:r>
    </w:p>
    <w:p w:rsidR="00466626" w:rsidRPr="0049350B" w:rsidRDefault="00466626" w:rsidP="00466626">
      <w:pPr>
        <w:pStyle w:val="Heading3"/>
        <w:rPr>
          <w:lang w:eastAsia="en-AU"/>
        </w:rPr>
      </w:pPr>
      <w:r w:rsidRPr="0049350B">
        <w:rPr>
          <w:lang w:eastAsia="en-AU"/>
        </w:rPr>
        <w:t>Process evaluation questions</w:t>
      </w:r>
    </w:p>
    <w:p w:rsidR="00466626" w:rsidRPr="0049350B" w:rsidRDefault="00466626" w:rsidP="00466626">
      <w:pPr>
        <w:pStyle w:val="NumberedList"/>
        <w:numPr>
          <w:ilvl w:val="0"/>
          <w:numId w:val="15"/>
        </w:numPr>
        <w:rPr>
          <w:lang w:eastAsia="en-AU"/>
        </w:rPr>
      </w:pPr>
      <w:bookmarkStart w:id="126" w:name="RANGE!C15"/>
      <w:r w:rsidRPr="0049350B">
        <w:rPr>
          <w:lang w:eastAsia="en-AU"/>
        </w:rPr>
        <w:t>How effectively has place-based income management been administered and implemented? What are the regional/jurisdictional variations (if any)?</w:t>
      </w:r>
      <w:bookmarkEnd w:id="126"/>
    </w:p>
    <w:p w:rsidR="00466626" w:rsidRPr="00466626" w:rsidRDefault="00466626" w:rsidP="00466626">
      <w:pPr>
        <w:pStyle w:val="NumberedList"/>
        <w:rPr>
          <w:lang w:eastAsia="en-AU"/>
        </w:rPr>
      </w:pPr>
      <w:r w:rsidRPr="0049350B">
        <w:rPr>
          <w:lang w:eastAsia="en-AU"/>
        </w:rPr>
        <w:t>How efficient</w:t>
      </w:r>
      <w:r>
        <w:rPr>
          <w:lang w:eastAsia="en-AU"/>
        </w:rPr>
        <w:t>ly</w:t>
      </w:r>
      <w:r w:rsidRPr="0049350B">
        <w:rPr>
          <w:lang w:eastAsia="en-AU"/>
        </w:rPr>
        <w:t xml:space="preserve"> has place-based income management been administered and </w:t>
      </w:r>
      <w:r w:rsidRPr="00466626">
        <w:rPr>
          <w:lang w:eastAsia="en-AU"/>
        </w:rPr>
        <w:t>implemented?</w:t>
      </w:r>
    </w:p>
    <w:p w:rsidR="00466626" w:rsidRPr="00466626" w:rsidRDefault="00466626" w:rsidP="00466626">
      <w:pPr>
        <w:pStyle w:val="NumberedList"/>
        <w:rPr>
          <w:lang w:eastAsia="en-AU"/>
        </w:rPr>
      </w:pPr>
      <w:r w:rsidRPr="00466626">
        <w:rPr>
          <w:lang w:eastAsia="en-AU"/>
        </w:rPr>
        <w:t>What are the characteristics of those on place based income management? How do the characteristics of PBIM customers compare with the eligibility criteria for placement on PBIM?</w:t>
      </w:r>
    </w:p>
    <w:p w:rsidR="00466626" w:rsidRPr="0049350B" w:rsidRDefault="00466626" w:rsidP="00466626">
      <w:pPr>
        <w:pStyle w:val="NumberedList"/>
        <w:rPr>
          <w:lang w:eastAsia="en-AU"/>
        </w:rPr>
      </w:pPr>
      <w:r w:rsidRPr="0049350B">
        <w:rPr>
          <w:lang w:eastAsia="en-AU"/>
        </w:rPr>
        <w:t>What has been the effect of the introduction of place-based income management on service providers?</w:t>
      </w:r>
    </w:p>
    <w:p w:rsidR="00466626" w:rsidRDefault="00466626" w:rsidP="00466626">
      <w:pPr>
        <w:pStyle w:val="NumberedList"/>
        <w:rPr>
          <w:lang w:eastAsia="en-AU"/>
        </w:rPr>
      </w:pPr>
      <w:r w:rsidRPr="0049350B">
        <w:rPr>
          <w:lang w:eastAsia="en-AU"/>
        </w:rPr>
        <w:t xml:space="preserve">What is the level of take-up of Financial Management </w:t>
      </w:r>
      <w:r w:rsidR="00F225FA">
        <w:rPr>
          <w:lang w:eastAsia="en-AU"/>
        </w:rPr>
        <w:t>Program</w:t>
      </w:r>
      <w:r w:rsidRPr="0049350B">
        <w:rPr>
          <w:lang w:eastAsia="en-AU"/>
        </w:rPr>
        <w:t xml:space="preserve"> Services</w:t>
      </w:r>
      <w:r>
        <w:rPr>
          <w:lang w:eastAsia="en-AU"/>
        </w:rPr>
        <w:t>?</w:t>
      </w:r>
    </w:p>
    <w:p w:rsidR="00466626" w:rsidRPr="0049350B" w:rsidRDefault="00466626" w:rsidP="00466626">
      <w:pPr>
        <w:pStyle w:val="NumberedList"/>
        <w:rPr>
          <w:lang w:eastAsia="en-AU"/>
        </w:rPr>
      </w:pPr>
      <w:r>
        <w:rPr>
          <w:lang w:eastAsia="en-AU"/>
        </w:rPr>
        <w:t>What is the level of take-up of other relevant support services (e.g.</w:t>
      </w:r>
      <w:r w:rsidRPr="0049350B">
        <w:rPr>
          <w:lang w:eastAsia="en-AU"/>
        </w:rPr>
        <w:t xml:space="preserve"> Communities for Children</w:t>
      </w:r>
      <w:r>
        <w:rPr>
          <w:lang w:eastAsia="en-AU"/>
        </w:rPr>
        <w:t>)</w:t>
      </w:r>
      <w:r w:rsidRPr="0049350B">
        <w:rPr>
          <w:lang w:eastAsia="en-AU"/>
        </w:rPr>
        <w:t>?</w:t>
      </w:r>
    </w:p>
    <w:p w:rsidR="00466626" w:rsidRPr="0049350B" w:rsidRDefault="00466626" w:rsidP="00466626">
      <w:pPr>
        <w:pStyle w:val="NumberedList"/>
        <w:rPr>
          <w:lang w:eastAsia="en-AU"/>
        </w:rPr>
      </w:pPr>
      <w:r w:rsidRPr="0049350B">
        <w:rPr>
          <w:lang w:eastAsia="en-AU"/>
        </w:rPr>
        <w:t xml:space="preserve">What is the profile of people on the different income management </w:t>
      </w:r>
      <w:r w:rsidR="00037695">
        <w:rPr>
          <w:lang w:eastAsia="en-AU"/>
        </w:rPr>
        <w:t>measures</w:t>
      </w:r>
      <w:r w:rsidRPr="0049350B">
        <w:rPr>
          <w:lang w:eastAsia="en-AU"/>
        </w:rPr>
        <w:t xml:space="preserve">? </w:t>
      </w:r>
    </w:p>
    <w:p w:rsidR="00466626" w:rsidRPr="0049350B" w:rsidRDefault="00466626" w:rsidP="00466626">
      <w:pPr>
        <w:pStyle w:val="NumberedList"/>
        <w:rPr>
          <w:lang w:eastAsia="en-AU"/>
        </w:rPr>
      </w:pPr>
      <w:r w:rsidRPr="0049350B">
        <w:rPr>
          <w:lang w:eastAsia="en-AU"/>
        </w:rPr>
        <w:t xml:space="preserve">Have there been any initial process 'teething issues' that need to be addressed? </w:t>
      </w:r>
    </w:p>
    <w:p w:rsidR="00466626" w:rsidRPr="0049350B" w:rsidRDefault="00466626" w:rsidP="00466626">
      <w:pPr>
        <w:pStyle w:val="NumberedList"/>
        <w:rPr>
          <w:lang w:eastAsia="en-AU"/>
        </w:rPr>
      </w:pPr>
      <w:r w:rsidRPr="0049350B">
        <w:rPr>
          <w:lang w:eastAsia="en-AU"/>
        </w:rPr>
        <w:t>What are the views of participants in the place-based income management model and their families on the implementation of the project? </w:t>
      </w:r>
    </w:p>
    <w:p w:rsidR="00466626" w:rsidRPr="0049350B" w:rsidRDefault="00466626" w:rsidP="00466626">
      <w:pPr>
        <w:pStyle w:val="NumberedList"/>
        <w:rPr>
          <w:lang w:eastAsia="en-AU"/>
        </w:rPr>
      </w:pPr>
      <w:r w:rsidRPr="0049350B">
        <w:rPr>
          <w:lang w:eastAsia="en-AU"/>
        </w:rPr>
        <w:lastRenderedPageBreak/>
        <w:t>Has the measure been implemented in a non-discriminatory manner?</w:t>
      </w:r>
    </w:p>
    <w:p w:rsidR="00466626" w:rsidRPr="0049350B" w:rsidRDefault="00466626" w:rsidP="00466626">
      <w:pPr>
        <w:pStyle w:val="Heading3"/>
        <w:rPr>
          <w:lang w:eastAsia="en-AU"/>
        </w:rPr>
      </w:pPr>
      <w:r w:rsidRPr="0049350B">
        <w:rPr>
          <w:lang w:eastAsia="en-AU"/>
        </w:rPr>
        <w:t xml:space="preserve">Child protection </w:t>
      </w:r>
      <w:r w:rsidR="00037695">
        <w:rPr>
          <w:lang w:eastAsia="en-AU"/>
        </w:rPr>
        <w:t>measure</w:t>
      </w:r>
    </w:p>
    <w:p w:rsidR="00466626" w:rsidRPr="0049350B" w:rsidRDefault="00466626" w:rsidP="00466626">
      <w:pPr>
        <w:pStyle w:val="NumberedList"/>
        <w:numPr>
          <w:ilvl w:val="0"/>
          <w:numId w:val="15"/>
        </w:numPr>
        <w:rPr>
          <w:lang w:eastAsia="en-AU"/>
        </w:rPr>
      </w:pPr>
      <w:r w:rsidRPr="0049350B">
        <w:rPr>
          <w:lang w:eastAsia="en-AU"/>
        </w:rPr>
        <w:t xml:space="preserve">What has been the impact of income management on child neglect/abuse? </w:t>
      </w:r>
    </w:p>
    <w:p w:rsidR="00466626" w:rsidRPr="0049350B" w:rsidRDefault="00466626" w:rsidP="00466626">
      <w:pPr>
        <w:pStyle w:val="NumberedList"/>
        <w:rPr>
          <w:lang w:eastAsia="en-AU"/>
        </w:rPr>
      </w:pPr>
      <w:r w:rsidRPr="0049350B">
        <w:rPr>
          <w:lang w:eastAsia="en-AU"/>
        </w:rPr>
        <w:t xml:space="preserve">What has been the impact on child physical and mental wellbeing in those families referred to </w:t>
      </w:r>
      <w:r w:rsidR="00840FEB">
        <w:rPr>
          <w:lang w:eastAsia="en-AU"/>
        </w:rPr>
        <w:t>child protection services</w:t>
      </w:r>
      <w:r w:rsidRPr="0049350B">
        <w:rPr>
          <w:lang w:eastAsia="en-AU"/>
        </w:rPr>
        <w:t xml:space="preserve">? </w:t>
      </w:r>
    </w:p>
    <w:p w:rsidR="00466626" w:rsidRPr="0049350B" w:rsidRDefault="00466626" w:rsidP="00466626">
      <w:pPr>
        <w:pStyle w:val="NumberedList"/>
        <w:rPr>
          <w:lang w:eastAsia="en-AU"/>
        </w:rPr>
      </w:pPr>
      <w:r w:rsidRPr="0049350B">
        <w:rPr>
          <w:lang w:eastAsia="en-AU"/>
        </w:rPr>
        <w:t xml:space="preserve">What are the barriers and facilitating factors for child protection workers to use income management as a casework tool? </w:t>
      </w:r>
    </w:p>
    <w:p w:rsidR="00466626" w:rsidRDefault="00466626" w:rsidP="00466626">
      <w:pPr>
        <w:pStyle w:val="NumberedList"/>
        <w:rPr>
          <w:lang w:eastAsia="en-AU"/>
        </w:rPr>
      </w:pPr>
      <w:r w:rsidRPr="0049350B">
        <w:rPr>
          <w:lang w:eastAsia="en-AU"/>
        </w:rPr>
        <w:t>Has there been referral to, and use of, Family Support Services, including</w:t>
      </w:r>
      <w:r>
        <w:rPr>
          <w:lang w:eastAsia="en-AU"/>
        </w:rPr>
        <w:t xml:space="preserve"> Commonwealth and State Government funded services</w:t>
      </w:r>
      <w:r w:rsidRPr="0049350B">
        <w:rPr>
          <w:lang w:eastAsia="en-AU"/>
        </w:rPr>
        <w:t xml:space="preserve">, by families income managed under </w:t>
      </w:r>
      <w:r w:rsidR="00840FEB">
        <w:rPr>
          <w:lang w:eastAsia="en-AU"/>
        </w:rPr>
        <w:t>child protection services</w:t>
      </w:r>
      <w:r w:rsidRPr="0049350B">
        <w:rPr>
          <w:lang w:eastAsia="en-AU"/>
        </w:rPr>
        <w:t>?</w:t>
      </w:r>
    </w:p>
    <w:p w:rsidR="00466626" w:rsidRPr="0049350B" w:rsidRDefault="00466626" w:rsidP="00466626">
      <w:pPr>
        <w:pStyle w:val="NumberedList"/>
        <w:rPr>
          <w:lang w:eastAsia="en-AU"/>
        </w:rPr>
      </w:pPr>
      <w:r w:rsidRPr="0049350B">
        <w:rPr>
          <w:lang w:eastAsia="en-AU"/>
        </w:rPr>
        <w:t xml:space="preserve">What (if any) service delivery gaps have impacted on the usefulness of the </w:t>
      </w:r>
      <w:r w:rsidR="00840FEB">
        <w:rPr>
          <w:lang w:eastAsia="en-AU"/>
        </w:rPr>
        <w:t>child protection</w:t>
      </w:r>
      <w:r w:rsidR="00A71AD8">
        <w:rPr>
          <w:lang w:eastAsia="en-AU"/>
        </w:rPr>
        <w:t xml:space="preserve"> services</w:t>
      </w:r>
      <w:r w:rsidRPr="0049350B">
        <w:rPr>
          <w:lang w:eastAsia="en-AU"/>
        </w:rPr>
        <w:t>?</w:t>
      </w:r>
    </w:p>
    <w:p w:rsidR="00466626" w:rsidRPr="0049350B" w:rsidRDefault="00466626" w:rsidP="00466626">
      <w:pPr>
        <w:pStyle w:val="Heading3"/>
        <w:rPr>
          <w:lang w:eastAsia="en-AU"/>
        </w:rPr>
      </w:pPr>
      <w:r w:rsidRPr="0049350B">
        <w:rPr>
          <w:lang w:eastAsia="en-AU"/>
        </w:rPr>
        <w:t xml:space="preserve">Vulnerable </w:t>
      </w:r>
      <w:r w:rsidR="00037695">
        <w:rPr>
          <w:lang w:eastAsia="en-AU"/>
        </w:rPr>
        <w:t>measure</w:t>
      </w:r>
    </w:p>
    <w:p w:rsidR="00466626" w:rsidRPr="0049350B" w:rsidRDefault="00466626" w:rsidP="00466626">
      <w:pPr>
        <w:pStyle w:val="NumberedList"/>
        <w:numPr>
          <w:ilvl w:val="0"/>
          <w:numId w:val="15"/>
        </w:numPr>
        <w:rPr>
          <w:lang w:eastAsia="en-AU"/>
        </w:rPr>
      </w:pPr>
      <w:r w:rsidRPr="0049350B">
        <w:rPr>
          <w:lang w:eastAsia="en-AU"/>
        </w:rPr>
        <w:t>Are vulnerab</w:t>
      </w:r>
      <w:r>
        <w:rPr>
          <w:lang w:eastAsia="en-AU"/>
        </w:rPr>
        <w:t xml:space="preserve">le people appropriately </w:t>
      </w:r>
      <w:r w:rsidR="00426788">
        <w:rPr>
          <w:lang w:eastAsia="en-AU"/>
        </w:rPr>
        <w:t>selected</w:t>
      </w:r>
      <w:r w:rsidR="00426788" w:rsidRPr="0049350B">
        <w:rPr>
          <w:lang w:eastAsia="en-AU"/>
        </w:rPr>
        <w:t xml:space="preserve"> </w:t>
      </w:r>
      <w:r w:rsidRPr="0049350B">
        <w:rPr>
          <w:lang w:eastAsia="en-AU"/>
        </w:rPr>
        <w:t xml:space="preserve">by this measure? </w:t>
      </w:r>
    </w:p>
    <w:p w:rsidR="00466626" w:rsidRPr="0049350B" w:rsidRDefault="00466626" w:rsidP="00466626">
      <w:pPr>
        <w:pStyle w:val="NumberedList"/>
        <w:rPr>
          <w:lang w:eastAsia="en-AU"/>
        </w:rPr>
      </w:pPr>
      <w:r w:rsidRPr="0049350B">
        <w:rPr>
          <w:lang w:eastAsia="en-AU"/>
        </w:rPr>
        <w:t xml:space="preserve">How does income management impact on the vulnerability of individuals? </w:t>
      </w:r>
    </w:p>
    <w:p w:rsidR="00466626" w:rsidRPr="0049350B" w:rsidRDefault="00466626" w:rsidP="00466626">
      <w:pPr>
        <w:pStyle w:val="NumberedList"/>
        <w:rPr>
          <w:lang w:eastAsia="en-AU"/>
        </w:rPr>
      </w:pPr>
      <w:r w:rsidRPr="0049350B">
        <w:rPr>
          <w:lang w:eastAsia="en-AU"/>
        </w:rPr>
        <w:t>Has income management had an impact on addressing homelessness and housing security?</w:t>
      </w:r>
    </w:p>
    <w:p w:rsidR="00466626" w:rsidRPr="0049350B" w:rsidRDefault="00466626" w:rsidP="00466626">
      <w:pPr>
        <w:pStyle w:val="NumberedList"/>
        <w:rPr>
          <w:lang w:eastAsia="en-AU"/>
        </w:rPr>
      </w:pPr>
      <w:r w:rsidRPr="0049350B">
        <w:rPr>
          <w:lang w:eastAsia="en-AU"/>
        </w:rPr>
        <w:t>Has income management had an impact on addressing financial crisis and financial exploitation?</w:t>
      </w:r>
    </w:p>
    <w:p w:rsidR="00466626" w:rsidRPr="0049350B" w:rsidRDefault="00466626" w:rsidP="00466626">
      <w:pPr>
        <w:pStyle w:val="NumberedList"/>
        <w:rPr>
          <w:lang w:eastAsia="en-AU"/>
        </w:rPr>
      </w:pPr>
      <w:r w:rsidRPr="0049350B">
        <w:rPr>
          <w:lang w:eastAsia="en-AU"/>
        </w:rPr>
        <w:t>Has income management made people less willing to disclose their problems to social workers for fear of being placed on income management?</w:t>
      </w:r>
    </w:p>
    <w:p w:rsidR="00466626" w:rsidRPr="0049350B" w:rsidRDefault="00466626" w:rsidP="00466626">
      <w:pPr>
        <w:pStyle w:val="Heading3"/>
        <w:rPr>
          <w:lang w:eastAsia="en-AU"/>
        </w:rPr>
      </w:pPr>
      <w:r w:rsidRPr="0049350B">
        <w:rPr>
          <w:lang w:eastAsia="en-AU"/>
        </w:rPr>
        <w:t xml:space="preserve">Voluntary </w:t>
      </w:r>
      <w:r w:rsidR="00037695">
        <w:rPr>
          <w:lang w:eastAsia="en-AU"/>
        </w:rPr>
        <w:t>measure</w:t>
      </w:r>
    </w:p>
    <w:p w:rsidR="00466626" w:rsidRPr="0049350B" w:rsidRDefault="00466626" w:rsidP="00466626">
      <w:pPr>
        <w:pStyle w:val="NumberedList"/>
        <w:numPr>
          <w:ilvl w:val="0"/>
          <w:numId w:val="15"/>
        </w:numPr>
        <w:rPr>
          <w:lang w:eastAsia="en-AU"/>
        </w:rPr>
      </w:pPr>
      <w:r w:rsidRPr="0049350B">
        <w:rPr>
          <w:lang w:eastAsia="en-AU"/>
        </w:rPr>
        <w:t xml:space="preserve">Have people who volunteered for income management been able to make an informed choice, by properly understanding terms and conditions and the voluntary nature of the measure? </w:t>
      </w:r>
    </w:p>
    <w:p w:rsidR="00466626" w:rsidRPr="0049350B" w:rsidRDefault="00466626" w:rsidP="00466626">
      <w:pPr>
        <w:pStyle w:val="NumberedList"/>
        <w:rPr>
          <w:lang w:eastAsia="en-AU"/>
        </w:rPr>
      </w:pPr>
      <w:r w:rsidRPr="0049350B">
        <w:rPr>
          <w:lang w:eastAsia="en-AU"/>
        </w:rPr>
        <w:t xml:space="preserve">How long do voluntary income management recipients stay on the measure? </w:t>
      </w:r>
    </w:p>
    <w:p w:rsidR="00466626" w:rsidRPr="0049350B" w:rsidRDefault="00466626" w:rsidP="00466626">
      <w:pPr>
        <w:pStyle w:val="NumberedList"/>
        <w:rPr>
          <w:lang w:eastAsia="en-AU"/>
        </w:rPr>
      </w:pPr>
      <w:r w:rsidRPr="0049350B">
        <w:rPr>
          <w:lang w:eastAsia="en-AU"/>
        </w:rPr>
        <w:t>What are the key motivations for people who voluntarily access income management, and why do they stop?</w:t>
      </w:r>
    </w:p>
    <w:p w:rsidR="00466626" w:rsidRPr="0049350B" w:rsidRDefault="00466626" w:rsidP="00466626">
      <w:pPr>
        <w:pStyle w:val="NumberedList"/>
        <w:rPr>
          <w:lang w:eastAsia="en-AU"/>
        </w:rPr>
      </w:pPr>
      <w:r w:rsidRPr="0049350B">
        <w:rPr>
          <w:lang w:eastAsia="en-AU"/>
        </w:rPr>
        <w:t>What impact has the Voluntary Income Management Incentive Payment had on take-up and retention rates of VIM?</w:t>
      </w:r>
    </w:p>
    <w:p w:rsidR="006A0DD1" w:rsidRDefault="006A0DD1" w:rsidP="006A0DD1">
      <w:pPr>
        <w:pStyle w:val="Heading2"/>
      </w:pPr>
      <w:bookmarkStart w:id="127" w:name="_Toc342495236"/>
      <w:r>
        <w:t>Trial and comparator sites</w:t>
      </w:r>
      <w:bookmarkEnd w:id="127"/>
    </w:p>
    <w:p w:rsidR="006A0DD1" w:rsidRDefault="006A0DD1" w:rsidP="006A0DD1">
      <w:pPr>
        <w:pStyle w:val="BodyText"/>
      </w:pPr>
      <w:r>
        <w:t xml:space="preserve">The evaluation </w:t>
      </w:r>
      <w:r w:rsidR="00F51096">
        <w:t>has a national perspective, comparing</w:t>
      </w:r>
      <w:r>
        <w:t xml:space="preserve"> five trial sites and </w:t>
      </w:r>
      <w:r w:rsidR="006971E1">
        <w:t>five</w:t>
      </w:r>
      <w:r>
        <w:t xml:space="preserve"> </w:t>
      </w:r>
      <w:r w:rsidR="006B0C92">
        <w:t xml:space="preserve">comparison </w:t>
      </w:r>
      <w:r>
        <w:t>sites</w:t>
      </w:r>
      <w:r w:rsidR="00F51096">
        <w:t xml:space="preserve"> without PBIM</w:t>
      </w:r>
      <w:r>
        <w:t>.</w:t>
      </w:r>
      <w:r w:rsidR="00AB1662" w:rsidRPr="00AB1662">
        <w:t xml:space="preserve"> </w:t>
      </w:r>
      <w:r w:rsidR="00AB1662">
        <w:t xml:space="preserve">Selected characteristics of the populations of the trial and comparison sites are summarised in </w:t>
      </w:r>
      <w:r w:rsidR="00D71A6F">
        <w:fldChar w:fldCharType="begin"/>
      </w:r>
      <w:r w:rsidR="00AB1662">
        <w:instrText xml:space="preserve"> REF _Ref321838639 \r \h </w:instrText>
      </w:r>
      <w:r w:rsidR="00D71A6F">
        <w:fldChar w:fldCharType="separate"/>
      </w:r>
      <w:r w:rsidR="003C7E97">
        <w:t>Table 4.2</w:t>
      </w:r>
      <w:r w:rsidR="00D71A6F">
        <w:fldChar w:fldCharType="end"/>
      </w:r>
      <w:r w:rsidR="00AB1662">
        <w:t>.</w:t>
      </w:r>
      <w:r w:rsidR="006B0C92">
        <w:t xml:space="preserve"> </w:t>
      </w:r>
    </w:p>
    <w:p w:rsidR="006A0DD1" w:rsidRDefault="006A0DD1" w:rsidP="006A0DD1">
      <w:pPr>
        <w:pStyle w:val="BodyText"/>
      </w:pPr>
    </w:p>
    <w:p w:rsidR="00F26CCF" w:rsidRDefault="00F26CCF" w:rsidP="006A0DD1">
      <w:pPr>
        <w:pStyle w:val="BodyText"/>
        <w:sectPr w:rsidR="00F26CCF" w:rsidSect="007257C4">
          <w:pgSz w:w="11906" w:h="16838" w:code="9"/>
          <w:pgMar w:top="2268" w:right="1134" w:bottom="1134" w:left="2552" w:header="720" w:footer="720" w:gutter="0"/>
          <w:cols w:space="720"/>
          <w:docGrid w:linePitch="360"/>
        </w:sectPr>
      </w:pPr>
    </w:p>
    <w:p w:rsidR="006A0DD1" w:rsidRPr="009F0F5B" w:rsidRDefault="006A0DD1" w:rsidP="006A0DD1">
      <w:pPr>
        <w:pStyle w:val="CaptionTable"/>
      </w:pPr>
      <w:bookmarkStart w:id="128" w:name="_Ref321838639"/>
      <w:bookmarkStart w:id="129" w:name="_Toc342495257"/>
      <w:r w:rsidRPr="009F0F5B">
        <w:lastRenderedPageBreak/>
        <w:t>: Characteristics of the populations of trial and comparator sites</w:t>
      </w:r>
      <w:bookmarkEnd w:id="128"/>
      <w:bookmarkEnd w:id="129"/>
    </w:p>
    <w:tbl>
      <w:tblPr>
        <w:tblStyle w:val="TableAEGrey"/>
        <w:tblW w:w="5000" w:type="pct"/>
        <w:tblLook w:val="04A0" w:firstRow="1" w:lastRow="0" w:firstColumn="1" w:lastColumn="0" w:noHBand="0" w:noVBand="1"/>
        <w:tblCaption w:val="Table 4.2: Characteristics of the populations of trial and comparator sites"/>
      </w:tblPr>
      <w:tblGrid>
        <w:gridCol w:w="1964"/>
        <w:gridCol w:w="1461"/>
        <w:gridCol w:w="1461"/>
        <w:gridCol w:w="1461"/>
        <w:gridCol w:w="1461"/>
        <w:gridCol w:w="1461"/>
        <w:gridCol w:w="1461"/>
        <w:gridCol w:w="1461"/>
        <w:gridCol w:w="1461"/>
      </w:tblGrid>
      <w:tr w:rsidR="00B71F5F" w:rsidTr="008112F0">
        <w:trPr>
          <w:cnfStyle w:val="100000000000" w:firstRow="1" w:lastRow="0" w:firstColumn="0" w:lastColumn="0" w:oddVBand="0" w:evenVBand="0" w:oddHBand="0" w:evenHBand="0" w:firstRowFirstColumn="0" w:firstRowLastColumn="0" w:lastRowFirstColumn="0" w:lastRowLastColumn="0"/>
          <w:tblHeader/>
        </w:trPr>
        <w:tc>
          <w:tcPr>
            <w:tcW w:w="719" w:type="pct"/>
          </w:tcPr>
          <w:p w:rsidR="003D2433" w:rsidRDefault="003D2433" w:rsidP="00B32A9B">
            <w:pPr>
              <w:pStyle w:val="TableHeadingCentre"/>
            </w:pPr>
            <w:r>
              <w:t>Site</w:t>
            </w:r>
          </w:p>
        </w:tc>
        <w:tc>
          <w:tcPr>
            <w:tcW w:w="535" w:type="pct"/>
          </w:tcPr>
          <w:p w:rsidR="003D2433" w:rsidRDefault="003D2433" w:rsidP="00B32A9B">
            <w:pPr>
              <w:pStyle w:val="TableHeadingCentre"/>
            </w:pPr>
            <w:r>
              <w:t>Total population</w:t>
            </w:r>
            <w:r>
              <w:br/>
              <w:t>2010</w:t>
            </w:r>
            <w:r>
              <w:br/>
              <w:t>(a)</w:t>
            </w:r>
          </w:p>
        </w:tc>
        <w:tc>
          <w:tcPr>
            <w:tcW w:w="535" w:type="pct"/>
          </w:tcPr>
          <w:p w:rsidR="003D2433" w:rsidRDefault="003D2433" w:rsidP="00B32A9B">
            <w:pPr>
              <w:pStyle w:val="TableHeadingCentre"/>
            </w:pPr>
            <w:r>
              <w:t xml:space="preserve">% </w:t>
            </w:r>
            <w:r w:rsidR="00B32A9B">
              <w:t>F</w:t>
            </w:r>
            <w:r>
              <w:t>emale</w:t>
            </w:r>
            <w:r>
              <w:br/>
              <w:t>2010</w:t>
            </w:r>
            <w:r>
              <w:br/>
              <w:t>(a)</w:t>
            </w:r>
          </w:p>
        </w:tc>
        <w:tc>
          <w:tcPr>
            <w:tcW w:w="535" w:type="pct"/>
          </w:tcPr>
          <w:p w:rsidR="003D2433" w:rsidRDefault="003D2433" w:rsidP="00B32A9B">
            <w:pPr>
              <w:pStyle w:val="TableHeadingCentre"/>
            </w:pPr>
            <w:r>
              <w:t>% Indigenous</w:t>
            </w:r>
            <w:r>
              <w:br/>
              <w:t>2010</w:t>
            </w:r>
            <w:r>
              <w:br/>
              <w:t>(b)</w:t>
            </w:r>
          </w:p>
        </w:tc>
        <w:tc>
          <w:tcPr>
            <w:tcW w:w="535" w:type="pct"/>
          </w:tcPr>
          <w:p w:rsidR="003D2433" w:rsidRPr="003D2433" w:rsidRDefault="003D2433" w:rsidP="00B32A9B">
            <w:pPr>
              <w:pStyle w:val="TableHeadingCentre"/>
            </w:pPr>
            <w:r w:rsidRPr="003D2433">
              <w:t>% Born overseas</w:t>
            </w:r>
            <w:r>
              <w:br/>
              <w:t>2006</w:t>
            </w:r>
            <w:r>
              <w:br/>
              <w:t>(c)</w:t>
            </w:r>
          </w:p>
        </w:tc>
        <w:tc>
          <w:tcPr>
            <w:tcW w:w="535" w:type="pct"/>
          </w:tcPr>
          <w:p w:rsidR="003D2433" w:rsidRPr="003D2433" w:rsidRDefault="00B32A9B" w:rsidP="00B32A9B">
            <w:pPr>
              <w:pStyle w:val="TableHeadingCentre"/>
            </w:pPr>
            <w:r>
              <w:t>% Speak l</w:t>
            </w:r>
            <w:r w:rsidR="003D2433" w:rsidRPr="003D2433">
              <w:t xml:space="preserve">anguage other than </w:t>
            </w:r>
            <w:r>
              <w:t>E</w:t>
            </w:r>
            <w:r w:rsidR="003D2433" w:rsidRPr="003D2433">
              <w:t>nglish at home</w:t>
            </w:r>
            <w:r w:rsidR="003D2433">
              <w:br/>
              <w:t>2006</w:t>
            </w:r>
            <w:r w:rsidR="003D2433">
              <w:br/>
              <w:t>(c)</w:t>
            </w:r>
          </w:p>
        </w:tc>
        <w:tc>
          <w:tcPr>
            <w:tcW w:w="535" w:type="pct"/>
          </w:tcPr>
          <w:p w:rsidR="003D2433" w:rsidRPr="003D2433" w:rsidRDefault="003D2433" w:rsidP="00B32A9B">
            <w:pPr>
              <w:pStyle w:val="TableHeadingCentre"/>
            </w:pPr>
            <w:r w:rsidRPr="003D2433">
              <w:t xml:space="preserve">% Poor proficiency in </w:t>
            </w:r>
            <w:r>
              <w:t>English</w:t>
            </w:r>
            <w:r>
              <w:br/>
              <w:t>2006</w:t>
            </w:r>
            <w:r>
              <w:br/>
              <w:t>(c)</w:t>
            </w:r>
          </w:p>
        </w:tc>
        <w:tc>
          <w:tcPr>
            <w:tcW w:w="535" w:type="pct"/>
          </w:tcPr>
          <w:p w:rsidR="003D2433" w:rsidRPr="00AD299B" w:rsidRDefault="003D2433" w:rsidP="00B32A9B">
            <w:pPr>
              <w:pStyle w:val="TableHeadingCentre"/>
            </w:pPr>
            <w:r w:rsidRPr="00AD299B">
              <w:t xml:space="preserve">% </w:t>
            </w:r>
            <w:r w:rsidR="00B32A9B">
              <w:t>W</w:t>
            </w:r>
            <w:r w:rsidR="00EA1FA2" w:rsidRPr="00AD299B">
              <w:t xml:space="preserve">orking age population </w:t>
            </w:r>
            <w:r w:rsidRPr="00AD299B">
              <w:t>dependent on income support</w:t>
            </w:r>
            <w:r w:rsidR="00EA1FA2" w:rsidRPr="00AD299B">
              <w:br/>
              <w:t>2012</w:t>
            </w:r>
            <w:r w:rsidR="00EA1FA2" w:rsidRPr="00AD299B">
              <w:br/>
              <w:t>(d)</w:t>
            </w:r>
          </w:p>
        </w:tc>
        <w:tc>
          <w:tcPr>
            <w:tcW w:w="535" w:type="pct"/>
          </w:tcPr>
          <w:p w:rsidR="003D2433" w:rsidRPr="00AD299B" w:rsidRDefault="003D2433" w:rsidP="00B32A9B">
            <w:pPr>
              <w:pStyle w:val="TableHeadingCentre"/>
            </w:pPr>
            <w:r w:rsidRPr="00AD299B">
              <w:t xml:space="preserve">% </w:t>
            </w:r>
            <w:r w:rsidR="00B32A9B">
              <w:t>W</w:t>
            </w:r>
            <w:r w:rsidR="00B71F5F" w:rsidRPr="00AD299B">
              <w:t xml:space="preserve">orkforce </w:t>
            </w:r>
            <w:r w:rsidRPr="00AD299B">
              <w:t>unemployed</w:t>
            </w:r>
            <w:r w:rsidR="00AD299B">
              <w:br/>
            </w:r>
            <w:r w:rsidR="00B32A9B">
              <w:t>2012</w:t>
            </w:r>
            <w:r w:rsidR="00B32A9B">
              <w:br/>
            </w:r>
            <w:r w:rsidR="00AD299B">
              <w:t>(d)</w:t>
            </w:r>
          </w:p>
        </w:tc>
      </w:tr>
      <w:tr w:rsidR="00B71F5F" w:rsidTr="00AD299B">
        <w:tc>
          <w:tcPr>
            <w:tcW w:w="719" w:type="pct"/>
          </w:tcPr>
          <w:p w:rsidR="00F26CCF" w:rsidRPr="00202247" w:rsidRDefault="00F26CCF" w:rsidP="001D06FC">
            <w:pPr>
              <w:pStyle w:val="TableHeadingLeft"/>
            </w:pPr>
            <w:r>
              <w:t>Trial</w:t>
            </w:r>
          </w:p>
        </w:tc>
        <w:tc>
          <w:tcPr>
            <w:tcW w:w="535" w:type="pct"/>
          </w:tcPr>
          <w:p w:rsidR="00F26CCF" w:rsidRDefault="00F26CCF" w:rsidP="001D06FC">
            <w:pPr>
              <w:pStyle w:val="TableHeadingLeft"/>
            </w:pPr>
          </w:p>
        </w:tc>
        <w:tc>
          <w:tcPr>
            <w:tcW w:w="535" w:type="pct"/>
          </w:tcPr>
          <w:p w:rsidR="00F26CCF" w:rsidRDefault="00F26CCF" w:rsidP="001D06FC">
            <w:pPr>
              <w:pStyle w:val="TableHeadingLeft"/>
              <w:rPr>
                <w:color w:val="000000"/>
              </w:rPr>
            </w:pPr>
          </w:p>
        </w:tc>
        <w:tc>
          <w:tcPr>
            <w:tcW w:w="535" w:type="pct"/>
          </w:tcPr>
          <w:p w:rsidR="00F26CCF" w:rsidRPr="009F0F5B" w:rsidRDefault="00F26CCF" w:rsidP="001D06FC">
            <w:pPr>
              <w:pStyle w:val="TableHeadingLeft"/>
              <w:rPr>
                <w:color w:val="000000"/>
              </w:rPr>
            </w:pPr>
          </w:p>
        </w:tc>
        <w:tc>
          <w:tcPr>
            <w:tcW w:w="535" w:type="pct"/>
          </w:tcPr>
          <w:p w:rsidR="00F26CCF" w:rsidRPr="001D06FC" w:rsidRDefault="00F26CCF" w:rsidP="001D06FC">
            <w:pPr>
              <w:pStyle w:val="TableHeadingLeft"/>
              <w:rPr>
                <w:color w:val="000000"/>
                <w:highlight w:val="yellow"/>
              </w:rPr>
            </w:pPr>
          </w:p>
        </w:tc>
        <w:tc>
          <w:tcPr>
            <w:tcW w:w="535" w:type="pct"/>
          </w:tcPr>
          <w:p w:rsidR="00F26CCF" w:rsidRPr="001D06FC" w:rsidRDefault="00F26CCF" w:rsidP="001D06FC">
            <w:pPr>
              <w:pStyle w:val="TableHeadingLeft"/>
              <w:rPr>
                <w:color w:val="000000"/>
                <w:highlight w:val="yellow"/>
              </w:rPr>
            </w:pPr>
          </w:p>
        </w:tc>
        <w:tc>
          <w:tcPr>
            <w:tcW w:w="535" w:type="pct"/>
          </w:tcPr>
          <w:p w:rsidR="00F26CCF" w:rsidRPr="001D06FC" w:rsidRDefault="00F26CCF" w:rsidP="001D06FC">
            <w:pPr>
              <w:pStyle w:val="TableHeadingLeft"/>
              <w:rPr>
                <w:color w:val="000000"/>
                <w:highlight w:val="yellow"/>
              </w:rPr>
            </w:pPr>
          </w:p>
        </w:tc>
        <w:tc>
          <w:tcPr>
            <w:tcW w:w="535" w:type="pct"/>
          </w:tcPr>
          <w:p w:rsidR="00F26CCF" w:rsidRPr="00AD299B" w:rsidRDefault="00F26CCF" w:rsidP="001D06FC">
            <w:pPr>
              <w:pStyle w:val="TableHeadingLeft"/>
              <w:rPr>
                <w:color w:val="000000"/>
              </w:rPr>
            </w:pPr>
          </w:p>
        </w:tc>
        <w:tc>
          <w:tcPr>
            <w:tcW w:w="535" w:type="pct"/>
          </w:tcPr>
          <w:p w:rsidR="00F26CCF" w:rsidRPr="00AD299B" w:rsidRDefault="00F26CCF" w:rsidP="001D06FC">
            <w:pPr>
              <w:pStyle w:val="TableHeadingLeft"/>
              <w:rPr>
                <w:color w:val="000000"/>
              </w:rPr>
            </w:pPr>
          </w:p>
        </w:tc>
      </w:tr>
      <w:tr w:rsidR="00B71F5F" w:rsidTr="00AD299B">
        <w:tc>
          <w:tcPr>
            <w:tcW w:w="719" w:type="pct"/>
          </w:tcPr>
          <w:p w:rsidR="00F26CCF" w:rsidRDefault="00F26CCF" w:rsidP="001D06FC">
            <w:pPr>
              <w:pStyle w:val="TabletextLeft"/>
            </w:pPr>
            <w:r w:rsidRPr="00202247">
              <w:t>Logan</w:t>
            </w:r>
          </w:p>
        </w:tc>
        <w:tc>
          <w:tcPr>
            <w:tcW w:w="535" w:type="pct"/>
          </w:tcPr>
          <w:p w:rsidR="00F26CCF" w:rsidRDefault="00F26CCF" w:rsidP="009F0F5B">
            <w:pPr>
              <w:pStyle w:val="TabletextRight"/>
              <w:jc w:val="center"/>
            </w:pPr>
            <w:r>
              <w:t>282,673</w:t>
            </w:r>
          </w:p>
        </w:tc>
        <w:tc>
          <w:tcPr>
            <w:tcW w:w="535" w:type="pct"/>
          </w:tcPr>
          <w:p w:rsidR="00F26CCF" w:rsidRDefault="00F26CCF" w:rsidP="009F0F5B">
            <w:pPr>
              <w:pStyle w:val="TabletextRight"/>
              <w:jc w:val="center"/>
            </w:pPr>
            <w:r>
              <w:rPr>
                <w:color w:val="000000"/>
              </w:rPr>
              <w:t>50.0</w:t>
            </w:r>
          </w:p>
        </w:tc>
        <w:tc>
          <w:tcPr>
            <w:tcW w:w="535" w:type="pct"/>
          </w:tcPr>
          <w:p w:rsidR="00F26CCF" w:rsidRPr="009F0F5B" w:rsidRDefault="00F26CCF" w:rsidP="009F0F5B">
            <w:pPr>
              <w:pStyle w:val="TabletextRight"/>
              <w:jc w:val="center"/>
              <w:rPr>
                <w:color w:val="000000"/>
              </w:rPr>
            </w:pPr>
            <w:r w:rsidRPr="009F0F5B">
              <w:rPr>
                <w:color w:val="000000"/>
              </w:rPr>
              <w:t>2.7</w:t>
            </w:r>
          </w:p>
        </w:tc>
        <w:tc>
          <w:tcPr>
            <w:tcW w:w="535" w:type="pct"/>
            <w:vAlign w:val="bottom"/>
          </w:tcPr>
          <w:p w:rsidR="00F26CCF" w:rsidRPr="00F26CCF" w:rsidRDefault="00F26CCF" w:rsidP="00F26CCF">
            <w:pPr>
              <w:pStyle w:val="TabletextRight"/>
              <w:jc w:val="center"/>
              <w:rPr>
                <w:color w:val="000000"/>
              </w:rPr>
            </w:pPr>
            <w:r w:rsidRPr="00F26CCF">
              <w:rPr>
                <w:color w:val="000000"/>
              </w:rPr>
              <w:t>27.2</w:t>
            </w:r>
          </w:p>
        </w:tc>
        <w:tc>
          <w:tcPr>
            <w:tcW w:w="535" w:type="pct"/>
            <w:vAlign w:val="bottom"/>
          </w:tcPr>
          <w:p w:rsidR="00F26CCF" w:rsidRPr="00F26CCF" w:rsidRDefault="00F26CCF" w:rsidP="00F26CCF">
            <w:pPr>
              <w:pStyle w:val="TabletextRight"/>
              <w:jc w:val="center"/>
              <w:rPr>
                <w:color w:val="000000"/>
              </w:rPr>
            </w:pPr>
            <w:r w:rsidRPr="00F26CCF">
              <w:rPr>
                <w:color w:val="000000"/>
              </w:rPr>
              <w:t>13.0</w:t>
            </w:r>
          </w:p>
        </w:tc>
        <w:tc>
          <w:tcPr>
            <w:tcW w:w="535" w:type="pct"/>
            <w:vAlign w:val="bottom"/>
          </w:tcPr>
          <w:p w:rsidR="00F26CCF" w:rsidRPr="00F26CCF" w:rsidRDefault="00F26CCF" w:rsidP="00F26CCF">
            <w:pPr>
              <w:pStyle w:val="TabletextRight"/>
              <w:jc w:val="center"/>
              <w:rPr>
                <w:color w:val="000000"/>
              </w:rPr>
            </w:pPr>
            <w:r w:rsidRPr="00F26CCF">
              <w:rPr>
                <w:color w:val="000000"/>
              </w:rPr>
              <w:t>1.7</w:t>
            </w:r>
          </w:p>
        </w:tc>
        <w:tc>
          <w:tcPr>
            <w:tcW w:w="535" w:type="pct"/>
          </w:tcPr>
          <w:p w:rsidR="00F26CCF" w:rsidRPr="00AD299B" w:rsidRDefault="000124A4" w:rsidP="009F0F5B">
            <w:pPr>
              <w:pStyle w:val="TabletextRight"/>
              <w:jc w:val="center"/>
              <w:rPr>
                <w:color w:val="000000"/>
              </w:rPr>
            </w:pPr>
            <w:r w:rsidRPr="00AD299B">
              <w:rPr>
                <w:color w:val="000000"/>
              </w:rPr>
              <w:t>16.5</w:t>
            </w:r>
          </w:p>
        </w:tc>
        <w:tc>
          <w:tcPr>
            <w:tcW w:w="535" w:type="pct"/>
          </w:tcPr>
          <w:p w:rsidR="00F26CCF" w:rsidRPr="00AD299B" w:rsidRDefault="000124A4" w:rsidP="009F0F5B">
            <w:pPr>
              <w:pStyle w:val="TabletextRight"/>
              <w:jc w:val="center"/>
              <w:rPr>
                <w:color w:val="000000"/>
              </w:rPr>
            </w:pPr>
            <w:r w:rsidRPr="00AD299B">
              <w:rPr>
                <w:color w:val="000000"/>
              </w:rPr>
              <w:t>8.4</w:t>
            </w:r>
          </w:p>
        </w:tc>
      </w:tr>
      <w:tr w:rsidR="00B71F5F" w:rsidTr="00AD299B">
        <w:tc>
          <w:tcPr>
            <w:tcW w:w="719" w:type="pct"/>
          </w:tcPr>
          <w:p w:rsidR="00F26CCF" w:rsidRDefault="00F26CCF" w:rsidP="001D06FC">
            <w:pPr>
              <w:pStyle w:val="TabletextLeft"/>
            </w:pPr>
            <w:r w:rsidRPr="00202247">
              <w:t>Rockhampton</w:t>
            </w:r>
          </w:p>
        </w:tc>
        <w:tc>
          <w:tcPr>
            <w:tcW w:w="535" w:type="pct"/>
          </w:tcPr>
          <w:p w:rsidR="00F26CCF" w:rsidRDefault="00F26CCF" w:rsidP="009F0F5B">
            <w:pPr>
              <w:pStyle w:val="TabletextRight"/>
              <w:jc w:val="center"/>
            </w:pPr>
            <w:r>
              <w:t>115,526</w:t>
            </w:r>
          </w:p>
        </w:tc>
        <w:tc>
          <w:tcPr>
            <w:tcW w:w="535" w:type="pct"/>
          </w:tcPr>
          <w:p w:rsidR="00F26CCF" w:rsidRDefault="00F26CCF" w:rsidP="009F0F5B">
            <w:pPr>
              <w:pStyle w:val="TabletextRight"/>
              <w:jc w:val="center"/>
            </w:pPr>
            <w:r>
              <w:rPr>
                <w:color w:val="000000"/>
              </w:rPr>
              <w:t>49.5</w:t>
            </w:r>
          </w:p>
        </w:tc>
        <w:tc>
          <w:tcPr>
            <w:tcW w:w="535" w:type="pct"/>
          </w:tcPr>
          <w:p w:rsidR="00F26CCF" w:rsidRPr="009F0F5B" w:rsidRDefault="00F26CCF" w:rsidP="009F0F5B">
            <w:pPr>
              <w:pStyle w:val="TabletextRight"/>
              <w:jc w:val="center"/>
              <w:rPr>
                <w:color w:val="000000"/>
              </w:rPr>
            </w:pPr>
            <w:r w:rsidRPr="009F0F5B">
              <w:rPr>
                <w:color w:val="000000"/>
              </w:rPr>
              <w:t>6.3</w:t>
            </w:r>
          </w:p>
        </w:tc>
        <w:tc>
          <w:tcPr>
            <w:tcW w:w="535" w:type="pct"/>
            <w:vAlign w:val="bottom"/>
          </w:tcPr>
          <w:p w:rsidR="00F26CCF" w:rsidRPr="00F26CCF" w:rsidRDefault="00F26CCF" w:rsidP="00F26CCF">
            <w:pPr>
              <w:pStyle w:val="TabletextRight"/>
              <w:jc w:val="center"/>
              <w:rPr>
                <w:color w:val="000000"/>
              </w:rPr>
            </w:pPr>
            <w:r w:rsidRPr="00F26CCF">
              <w:rPr>
                <w:color w:val="000000"/>
              </w:rPr>
              <w:t>7.4</w:t>
            </w:r>
          </w:p>
        </w:tc>
        <w:tc>
          <w:tcPr>
            <w:tcW w:w="535" w:type="pct"/>
            <w:vAlign w:val="bottom"/>
          </w:tcPr>
          <w:p w:rsidR="00F26CCF" w:rsidRPr="00F26CCF" w:rsidRDefault="00F26CCF" w:rsidP="00F26CCF">
            <w:pPr>
              <w:pStyle w:val="TabletextRight"/>
              <w:jc w:val="center"/>
              <w:rPr>
                <w:color w:val="000000"/>
              </w:rPr>
            </w:pPr>
            <w:r w:rsidRPr="00F26CCF">
              <w:rPr>
                <w:color w:val="000000"/>
              </w:rPr>
              <w:t>3.3</w:t>
            </w:r>
          </w:p>
        </w:tc>
        <w:tc>
          <w:tcPr>
            <w:tcW w:w="535" w:type="pct"/>
            <w:vAlign w:val="bottom"/>
          </w:tcPr>
          <w:p w:rsidR="00F26CCF" w:rsidRPr="00F26CCF" w:rsidRDefault="00F26CCF" w:rsidP="00F26CCF">
            <w:pPr>
              <w:pStyle w:val="TabletextRight"/>
              <w:jc w:val="center"/>
              <w:rPr>
                <w:color w:val="000000"/>
              </w:rPr>
            </w:pPr>
            <w:r w:rsidRPr="00F26CCF">
              <w:rPr>
                <w:color w:val="000000"/>
              </w:rPr>
              <w:t>0.4</w:t>
            </w:r>
          </w:p>
        </w:tc>
        <w:tc>
          <w:tcPr>
            <w:tcW w:w="535" w:type="pct"/>
          </w:tcPr>
          <w:p w:rsidR="00F26CCF" w:rsidRPr="00AD299B" w:rsidRDefault="0058444E" w:rsidP="009F0F5B">
            <w:pPr>
              <w:pStyle w:val="TabletextRight"/>
              <w:jc w:val="center"/>
              <w:rPr>
                <w:color w:val="000000"/>
              </w:rPr>
            </w:pPr>
            <w:r w:rsidRPr="00AD299B">
              <w:rPr>
                <w:color w:val="000000"/>
              </w:rPr>
              <w:t>15.4</w:t>
            </w:r>
          </w:p>
        </w:tc>
        <w:tc>
          <w:tcPr>
            <w:tcW w:w="535" w:type="pct"/>
          </w:tcPr>
          <w:p w:rsidR="00F26CCF" w:rsidRPr="00AD299B" w:rsidRDefault="0058444E" w:rsidP="009F0F5B">
            <w:pPr>
              <w:pStyle w:val="TabletextRight"/>
              <w:jc w:val="center"/>
              <w:rPr>
                <w:color w:val="000000"/>
              </w:rPr>
            </w:pPr>
            <w:r w:rsidRPr="00AD299B">
              <w:rPr>
                <w:color w:val="000000"/>
              </w:rPr>
              <w:t>7.2</w:t>
            </w:r>
          </w:p>
        </w:tc>
      </w:tr>
      <w:tr w:rsidR="00B71F5F" w:rsidTr="00A04595">
        <w:tc>
          <w:tcPr>
            <w:tcW w:w="719" w:type="pct"/>
          </w:tcPr>
          <w:p w:rsidR="00F26CCF" w:rsidRPr="009F0F5B" w:rsidRDefault="00F26CCF" w:rsidP="001D06FC">
            <w:pPr>
              <w:pStyle w:val="TabletextLeft"/>
            </w:pPr>
            <w:r w:rsidRPr="009F0F5B">
              <w:t>Bankstown</w:t>
            </w:r>
          </w:p>
        </w:tc>
        <w:tc>
          <w:tcPr>
            <w:tcW w:w="535" w:type="pct"/>
          </w:tcPr>
          <w:p w:rsidR="00F26CCF" w:rsidRPr="009F0F5B" w:rsidRDefault="00F26CCF" w:rsidP="009F0F5B">
            <w:pPr>
              <w:pStyle w:val="TabletextRight"/>
              <w:jc w:val="center"/>
            </w:pPr>
            <w:r w:rsidRPr="009F0F5B">
              <w:t>188,814</w:t>
            </w:r>
          </w:p>
        </w:tc>
        <w:tc>
          <w:tcPr>
            <w:tcW w:w="535" w:type="pct"/>
          </w:tcPr>
          <w:p w:rsidR="00F26CCF" w:rsidRPr="009F0F5B" w:rsidRDefault="003D2433" w:rsidP="009F0F5B">
            <w:pPr>
              <w:pStyle w:val="TabletextRight"/>
              <w:jc w:val="center"/>
            </w:pPr>
            <w:r>
              <w:t>50.6</w:t>
            </w:r>
          </w:p>
        </w:tc>
        <w:tc>
          <w:tcPr>
            <w:tcW w:w="535" w:type="pct"/>
          </w:tcPr>
          <w:p w:rsidR="00F26CCF" w:rsidRPr="009F0F5B" w:rsidRDefault="003D2433" w:rsidP="009F0F5B">
            <w:pPr>
              <w:pStyle w:val="TabletextRight"/>
              <w:jc w:val="center"/>
              <w:rPr>
                <w:color w:val="000000"/>
              </w:rPr>
            </w:pPr>
            <w:r>
              <w:rPr>
                <w:color w:val="000000"/>
              </w:rPr>
              <w:t>0.7</w:t>
            </w:r>
          </w:p>
        </w:tc>
        <w:tc>
          <w:tcPr>
            <w:tcW w:w="535" w:type="pct"/>
            <w:vAlign w:val="bottom"/>
          </w:tcPr>
          <w:p w:rsidR="00F26CCF" w:rsidRPr="00F26CCF" w:rsidRDefault="00F26CCF" w:rsidP="00F26CCF">
            <w:pPr>
              <w:pStyle w:val="TabletextRight"/>
              <w:jc w:val="center"/>
              <w:rPr>
                <w:color w:val="000000"/>
              </w:rPr>
            </w:pPr>
            <w:r w:rsidRPr="00F26CCF">
              <w:rPr>
                <w:color w:val="000000"/>
              </w:rPr>
              <w:t>38.7</w:t>
            </w:r>
          </w:p>
        </w:tc>
        <w:tc>
          <w:tcPr>
            <w:tcW w:w="535" w:type="pct"/>
            <w:vAlign w:val="bottom"/>
          </w:tcPr>
          <w:p w:rsidR="00F26CCF" w:rsidRPr="00F26CCF" w:rsidRDefault="00F26CCF" w:rsidP="00F26CCF">
            <w:pPr>
              <w:pStyle w:val="TabletextRight"/>
              <w:jc w:val="center"/>
              <w:rPr>
                <w:color w:val="000000"/>
              </w:rPr>
            </w:pPr>
            <w:r w:rsidRPr="00F26CCF">
              <w:rPr>
                <w:color w:val="000000"/>
              </w:rPr>
              <w:t>53.7</w:t>
            </w:r>
          </w:p>
        </w:tc>
        <w:tc>
          <w:tcPr>
            <w:tcW w:w="535" w:type="pct"/>
            <w:vAlign w:val="bottom"/>
          </w:tcPr>
          <w:p w:rsidR="00F26CCF" w:rsidRPr="00F26CCF" w:rsidRDefault="00F26CCF" w:rsidP="00F26CCF">
            <w:pPr>
              <w:pStyle w:val="TabletextRight"/>
              <w:jc w:val="center"/>
              <w:rPr>
                <w:color w:val="000000"/>
              </w:rPr>
            </w:pPr>
            <w:r w:rsidRPr="00F26CCF">
              <w:rPr>
                <w:color w:val="000000"/>
              </w:rPr>
              <w:t>9.0</w:t>
            </w:r>
          </w:p>
        </w:tc>
        <w:tc>
          <w:tcPr>
            <w:tcW w:w="535" w:type="pct"/>
            <w:shd w:val="clear" w:color="auto" w:fill="auto"/>
          </w:tcPr>
          <w:p w:rsidR="00F26CCF" w:rsidRPr="00AD299B" w:rsidRDefault="00EA1FA2" w:rsidP="00EA1FA2">
            <w:pPr>
              <w:pStyle w:val="TabletextRight"/>
              <w:jc w:val="center"/>
              <w:rPr>
                <w:color w:val="000000"/>
              </w:rPr>
            </w:pPr>
            <w:r w:rsidRPr="00A04595">
              <w:rPr>
                <w:color w:val="000000"/>
              </w:rPr>
              <w:t>1</w:t>
            </w:r>
            <w:r w:rsidR="004176FD" w:rsidRPr="00A04595">
              <w:rPr>
                <w:color w:val="000000"/>
              </w:rPr>
              <w:t>5.</w:t>
            </w:r>
            <w:r w:rsidR="00A04595">
              <w:rPr>
                <w:color w:val="000000"/>
              </w:rPr>
              <w:t>9</w:t>
            </w:r>
          </w:p>
        </w:tc>
        <w:tc>
          <w:tcPr>
            <w:tcW w:w="535" w:type="pct"/>
          </w:tcPr>
          <w:p w:rsidR="00F26CCF" w:rsidRPr="00AD299B" w:rsidRDefault="00EA1FA2" w:rsidP="009F0F5B">
            <w:pPr>
              <w:pStyle w:val="TabletextRight"/>
              <w:jc w:val="center"/>
              <w:rPr>
                <w:color w:val="000000"/>
              </w:rPr>
            </w:pPr>
            <w:r w:rsidRPr="00AD299B">
              <w:rPr>
                <w:color w:val="000000"/>
              </w:rPr>
              <w:t>8.1</w:t>
            </w:r>
          </w:p>
        </w:tc>
      </w:tr>
      <w:tr w:rsidR="00B71F5F" w:rsidTr="00AD299B">
        <w:tc>
          <w:tcPr>
            <w:tcW w:w="719" w:type="pct"/>
          </w:tcPr>
          <w:p w:rsidR="00F26CCF" w:rsidRDefault="00F26CCF" w:rsidP="001D06FC">
            <w:pPr>
              <w:pStyle w:val="TabletextLeft"/>
            </w:pPr>
            <w:r w:rsidRPr="00202247">
              <w:t>Greater Shepparton</w:t>
            </w:r>
          </w:p>
        </w:tc>
        <w:tc>
          <w:tcPr>
            <w:tcW w:w="535" w:type="pct"/>
          </w:tcPr>
          <w:p w:rsidR="00F26CCF" w:rsidRDefault="00F26CCF" w:rsidP="009F0F5B">
            <w:pPr>
              <w:pStyle w:val="TabletextRight"/>
              <w:jc w:val="center"/>
            </w:pPr>
            <w:r>
              <w:rPr>
                <w:color w:val="000000"/>
              </w:rPr>
              <w:t>63,335</w:t>
            </w:r>
          </w:p>
        </w:tc>
        <w:tc>
          <w:tcPr>
            <w:tcW w:w="535" w:type="pct"/>
          </w:tcPr>
          <w:p w:rsidR="00F26CCF" w:rsidRDefault="00F26CCF" w:rsidP="009F0F5B">
            <w:pPr>
              <w:pStyle w:val="TabletextRight"/>
              <w:jc w:val="center"/>
            </w:pPr>
            <w:r>
              <w:rPr>
                <w:color w:val="000000"/>
              </w:rPr>
              <w:t>50.4</w:t>
            </w:r>
          </w:p>
        </w:tc>
        <w:tc>
          <w:tcPr>
            <w:tcW w:w="535" w:type="pct"/>
          </w:tcPr>
          <w:p w:rsidR="00F26CCF" w:rsidRPr="009F0F5B" w:rsidRDefault="00F26CCF" w:rsidP="009F0F5B">
            <w:pPr>
              <w:pStyle w:val="TabletextRight"/>
              <w:jc w:val="center"/>
              <w:rPr>
                <w:color w:val="000000"/>
              </w:rPr>
            </w:pPr>
            <w:r w:rsidRPr="009F0F5B">
              <w:rPr>
                <w:color w:val="000000"/>
              </w:rPr>
              <w:t>3.2</w:t>
            </w:r>
          </w:p>
        </w:tc>
        <w:tc>
          <w:tcPr>
            <w:tcW w:w="535" w:type="pct"/>
            <w:vAlign w:val="bottom"/>
          </w:tcPr>
          <w:p w:rsidR="00F26CCF" w:rsidRPr="00F26CCF" w:rsidRDefault="00F26CCF" w:rsidP="00F26CCF">
            <w:pPr>
              <w:pStyle w:val="TabletextRight"/>
              <w:jc w:val="center"/>
              <w:rPr>
                <w:color w:val="000000"/>
              </w:rPr>
            </w:pPr>
            <w:r w:rsidRPr="00F26CCF">
              <w:rPr>
                <w:color w:val="000000"/>
              </w:rPr>
              <w:t>11.7</w:t>
            </w:r>
          </w:p>
        </w:tc>
        <w:tc>
          <w:tcPr>
            <w:tcW w:w="535" w:type="pct"/>
            <w:vAlign w:val="bottom"/>
          </w:tcPr>
          <w:p w:rsidR="00F26CCF" w:rsidRPr="00F26CCF" w:rsidRDefault="00F26CCF" w:rsidP="00F26CCF">
            <w:pPr>
              <w:pStyle w:val="TabletextRight"/>
              <w:jc w:val="center"/>
              <w:rPr>
                <w:color w:val="000000"/>
              </w:rPr>
            </w:pPr>
            <w:r w:rsidRPr="00F26CCF">
              <w:rPr>
                <w:color w:val="000000"/>
              </w:rPr>
              <w:t>10.4</w:t>
            </w:r>
          </w:p>
        </w:tc>
        <w:tc>
          <w:tcPr>
            <w:tcW w:w="535" w:type="pct"/>
            <w:vAlign w:val="bottom"/>
          </w:tcPr>
          <w:p w:rsidR="00F26CCF" w:rsidRPr="00F26CCF" w:rsidRDefault="00F26CCF" w:rsidP="00F26CCF">
            <w:pPr>
              <w:pStyle w:val="TabletextRight"/>
              <w:jc w:val="center"/>
              <w:rPr>
                <w:color w:val="000000"/>
              </w:rPr>
            </w:pPr>
            <w:r w:rsidRPr="00F26CCF">
              <w:rPr>
                <w:color w:val="000000"/>
              </w:rPr>
              <w:t>1.9</w:t>
            </w:r>
          </w:p>
        </w:tc>
        <w:tc>
          <w:tcPr>
            <w:tcW w:w="535" w:type="pct"/>
          </w:tcPr>
          <w:p w:rsidR="00F26CCF" w:rsidRPr="00AD299B" w:rsidRDefault="00AD299B" w:rsidP="009F0F5B">
            <w:pPr>
              <w:pStyle w:val="TabletextRight"/>
              <w:jc w:val="center"/>
              <w:rPr>
                <w:color w:val="000000"/>
              </w:rPr>
            </w:pPr>
            <w:r w:rsidRPr="00AD299B">
              <w:rPr>
                <w:color w:val="000000"/>
              </w:rPr>
              <w:t>18.3</w:t>
            </w:r>
          </w:p>
        </w:tc>
        <w:tc>
          <w:tcPr>
            <w:tcW w:w="535" w:type="pct"/>
          </w:tcPr>
          <w:p w:rsidR="00F26CCF" w:rsidRPr="00AD299B" w:rsidRDefault="00AD299B" w:rsidP="009F0F5B">
            <w:pPr>
              <w:pStyle w:val="TabletextRight"/>
              <w:jc w:val="center"/>
              <w:rPr>
                <w:color w:val="000000"/>
              </w:rPr>
            </w:pPr>
            <w:r w:rsidRPr="00AD299B">
              <w:rPr>
                <w:color w:val="000000"/>
              </w:rPr>
              <w:t>8.7</w:t>
            </w:r>
          </w:p>
        </w:tc>
      </w:tr>
      <w:tr w:rsidR="00B71F5F" w:rsidTr="00AD299B">
        <w:tc>
          <w:tcPr>
            <w:tcW w:w="719" w:type="pct"/>
          </w:tcPr>
          <w:p w:rsidR="00F26CCF" w:rsidRDefault="00F26CCF" w:rsidP="001D06FC">
            <w:pPr>
              <w:pStyle w:val="TabletextLeft"/>
            </w:pPr>
            <w:proofErr w:type="spellStart"/>
            <w:r w:rsidRPr="00202247">
              <w:t>Playford</w:t>
            </w:r>
            <w:proofErr w:type="spellEnd"/>
          </w:p>
        </w:tc>
        <w:tc>
          <w:tcPr>
            <w:tcW w:w="535" w:type="pct"/>
          </w:tcPr>
          <w:p w:rsidR="00F26CCF" w:rsidRDefault="00F26CCF" w:rsidP="009F0F5B">
            <w:pPr>
              <w:pStyle w:val="TabletextRight"/>
              <w:jc w:val="center"/>
            </w:pPr>
            <w:r>
              <w:t>79,850</w:t>
            </w:r>
          </w:p>
        </w:tc>
        <w:tc>
          <w:tcPr>
            <w:tcW w:w="535" w:type="pct"/>
          </w:tcPr>
          <w:p w:rsidR="00F26CCF" w:rsidRDefault="00F26CCF" w:rsidP="009F0F5B">
            <w:pPr>
              <w:pStyle w:val="TabletextRight"/>
              <w:jc w:val="center"/>
            </w:pPr>
            <w:r>
              <w:rPr>
                <w:color w:val="000000"/>
              </w:rPr>
              <w:t>50.3</w:t>
            </w:r>
          </w:p>
        </w:tc>
        <w:tc>
          <w:tcPr>
            <w:tcW w:w="535" w:type="pct"/>
          </w:tcPr>
          <w:p w:rsidR="00F26CCF" w:rsidRPr="009F0F5B" w:rsidRDefault="00F26CCF" w:rsidP="009F0F5B">
            <w:pPr>
              <w:pStyle w:val="TabletextRight"/>
              <w:jc w:val="center"/>
              <w:rPr>
                <w:color w:val="000000"/>
              </w:rPr>
            </w:pPr>
            <w:r w:rsidRPr="009F0F5B">
              <w:rPr>
                <w:color w:val="000000"/>
              </w:rPr>
              <w:t>2.7</w:t>
            </w:r>
          </w:p>
        </w:tc>
        <w:tc>
          <w:tcPr>
            <w:tcW w:w="535" w:type="pct"/>
            <w:vAlign w:val="bottom"/>
          </w:tcPr>
          <w:p w:rsidR="00F26CCF" w:rsidRPr="00F26CCF" w:rsidRDefault="00F26CCF" w:rsidP="00F26CCF">
            <w:pPr>
              <w:pStyle w:val="TabletextRight"/>
              <w:jc w:val="center"/>
              <w:rPr>
                <w:color w:val="000000"/>
              </w:rPr>
            </w:pPr>
            <w:r w:rsidRPr="00F26CCF">
              <w:rPr>
                <w:color w:val="000000"/>
              </w:rPr>
              <w:t>23.9</w:t>
            </w:r>
          </w:p>
        </w:tc>
        <w:tc>
          <w:tcPr>
            <w:tcW w:w="535" w:type="pct"/>
            <w:vAlign w:val="bottom"/>
          </w:tcPr>
          <w:p w:rsidR="00F26CCF" w:rsidRPr="00F26CCF" w:rsidRDefault="00F26CCF" w:rsidP="00F26CCF">
            <w:pPr>
              <w:pStyle w:val="TabletextRight"/>
              <w:jc w:val="center"/>
              <w:rPr>
                <w:color w:val="000000"/>
              </w:rPr>
            </w:pPr>
            <w:r w:rsidRPr="00F26CCF">
              <w:rPr>
                <w:color w:val="000000"/>
              </w:rPr>
              <w:t>7.2</w:t>
            </w:r>
          </w:p>
        </w:tc>
        <w:tc>
          <w:tcPr>
            <w:tcW w:w="535" w:type="pct"/>
            <w:vAlign w:val="bottom"/>
          </w:tcPr>
          <w:p w:rsidR="00F26CCF" w:rsidRPr="00F26CCF" w:rsidRDefault="00F26CCF" w:rsidP="00F26CCF">
            <w:pPr>
              <w:pStyle w:val="TabletextRight"/>
              <w:jc w:val="center"/>
              <w:rPr>
                <w:color w:val="000000"/>
              </w:rPr>
            </w:pPr>
            <w:r w:rsidRPr="00F26CCF">
              <w:rPr>
                <w:color w:val="000000"/>
              </w:rPr>
              <w:t>1.1</w:t>
            </w:r>
          </w:p>
        </w:tc>
        <w:tc>
          <w:tcPr>
            <w:tcW w:w="535" w:type="pct"/>
          </w:tcPr>
          <w:p w:rsidR="00F26CCF" w:rsidRPr="00AD299B" w:rsidRDefault="000124A4" w:rsidP="009F0F5B">
            <w:pPr>
              <w:pStyle w:val="TabletextRight"/>
              <w:jc w:val="center"/>
              <w:rPr>
                <w:color w:val="000000"/>
              </w:rPr>
            </w:pPr>
            <w:r w:rsidRPr="00AD299B">
              <w:rPr>
                <w:color w:val="000000"/>
              </w:rPr>
              <w:t>28.3</w:t>
            </w:r>
          </w:p>
        </w:tc>
        <w:tc>
          <w:tcPr>
            <w:tcW w:w="535" w:type="pct"/>
          </w:tcPr>
          <w:p w:rsidR="00F26CCF" w:rsidRPr="00AD299B" w:rsidRDefault="000124A4" w:rsidP="009F0F5B">
            <w:pPr>
              <w:pStyle w:val="TabletextRight"/>
              <w:jc w:val="center"/>
              <w:rPr>
                <w:color w:val="000000"/>
              </w:rPr>
            </w:pPr>
            <w:r w:rsidRPr="00AD299B">
              <w:rPr>
                <w:color w:val="000000"/>
              </w:rPr>
              <w:t>14.2</w:t>
            </w:r>
          </w:p>
        </w:tc>
      </w:tr>
      <w:tr w:rsidR="00B71F5F" w:rsidTr="00AD299B">
        <w:tc>
          <w:tcPr>
            <w:tcW w:w="719" w:type="pct"/>
          </w:tcPr>
          <w:p w:rsidR="00F26CCF" w:rsidRPr="00202247" w:rsidRDefault="00F26CCF" w:rsidP="001D06FC">
            <w:pPr>
              <w:pStyle w:val="TableHeadingLeft"/>
            </w:pPr>
            <w:r>
              <w:t>Comparison</w:t>
            </w:r>
          </w:p>
        </w:tc>
        <w:tc>
          <w:tcPr>
            <w:tcW w:w="535" w:type="pct"/>
          </w:tcPr>
          <w:p w:rsidR="00F26CCF" w:rsidRDefault="00F26CCF" w:rsidP="001D06FC">
            <w:pPr>
              <w:pStyle w:val="TableHeadingLeft"/>
            </w:pPr>
          </w:p>
        </w:tc>
        <w:tc>
          <w:tcPr>
            <w:tcW w:w="535" w:type="pct"/>
          </w:tcPr>
          <w:p w:rsidR="00F26CCF" w:rsidRDefault="00F26CCF" w:rsidP="001D06FC">
            <w:pPr>
              <w:pStyle w:val="TableHeadingLeft"/>
              <w:rPr>
                <w:color w:val="000000"/>
              </w:rPr>
            </w:pPr>
          </w:p>
        </w:tc>
        <w:tc>
          <w:tcPr>
            <w:tcW w:w="535" w:type="pct"/>
          </w:tcPr>
          <w:p w:rsidR="00F26CCF" w:rsidRPr="009F0F5B" w:rsidRDefault="00F26CCF" w:rsidP="001D06FC">
            <w:pPr>
              <w:pStyle w:val="TableHeadingLeft"/>
              <w:rPr>
                <w:color w:val="000000"/>
              </w:rPr>
            </w:pPr>
          </w:p>
        </w:tc>
        <w:tc>
          <w:tcPr>
            <w:tcW w:w="535" w:type="pct"/>
            <w:vAlign w:val="bottom"/>
          </w:tcPr>
          <w:p w:rsidR="00F26CCF" w:rsidRPr="00F26CCF" w:rsidRDefault="00F26CCF" w:rsidP="00F26CCF">
            <w:pPr>
              <w:pStyle w:val="TabletextRight"/>
              <w:jc w:val="center"/>
              <w:rPr>
                <w:color w:val="000000"/>
              </w:rPr>
            </w:pPr>
          </w:p>
        </w:tc>
        <w:tc>
          <w:tcPr>
            <w:tcW w:w="535" w:type="pct"/>
            <w:vAlign w:val="bottom"/>
          </w:tcPr>
          <w:p w:rsidR="00F26CCF" w:rsidRPr="00F26CCF" w:rsidRDefault="00F26CCF" w:rsidP="00F26CCF">
            <w:pPr>
              <w:pStyle w:val="TabletextRight"/>
              <w:jc w:val="center"/>
              <w:rPr>
                <w:color w:val="000000"/>
              </w:rPr>
            </w:pPr>
          </w:p>
        </w:tc>
        <w:tc>
          <w:tcPr>
            <w:tcW w:w="535" w:type="pct"/>
            <w:vAlign w:val="bottom"/>
          </w:tcPr>
          <w:p w:rsidR="00F26CCF" w:rsidRPr="00F26CCF" w:rsidRDefault="00F26CCF" w:rsidP="00F26CCF">
            <w:pPr>
              <w:pStyle w:val="TabletextRight"/>
              <w:jc w:val="center"/>
              <w:rPr>
                <w:color w:val="000000"/>
              </w:rPr>
            </w:pPr>
          </w:p>
        </w:tc>
        <w:tc>
          <w:tcPr>
            <w:tcW w:w="535" w:type="pct"/>
          </w:tcPr>
          <w:p w:rsidR="00F26CCF" w:rsidRPr="00AD299B" w:rsidRDefault="00F26CCF" w:rsidP="001D06FC">
            <w:pPr>
              <w:pStyle w:val="TableHeadingLeft"/>
              <w:rPr>
                <w:color w:val="000000"/>
              </w:rPr>
            </w:pPr>
          </w:p>
        </w:tc>
        <w:tc>
          <w:tcPr>
            <w:tcW w:w="535" w:type="pct"/>
          </w:tcPr>
          <w:p w:rsidR="00F26CCF" w:rsidRPr="00AD299B" w:rsidRDefault="00F26CCF" w:rsidP="001D06FC">
            <w:pPr>
              <w:pStyle w:val="TableHeadingLeft"/>
              <w:rPr>
                <w:color w:val="000000"/>
              </w:rPr>
            </w:pPr>
          </w:p>
        </w:tc>
      </w:tr>
      <w:tr w:rsidR="00B71F5F" w:rsidTr="00AD299B">
        <w:tc>
          <w:tcPr>
            <w:tcW w:w="719" w:type="pct"/>
          </w:tcPr>
          <w:p w:rsidR="00F26CCF" w:rsidRDefault="00F26CCF" w:rsidP="001D06FC">
            <w:pPr>
              <w:pStyle w:val="TabletextLeft"/>
            </w:pPr>
            <w:r w:rsidRPr="00202247">
              <w:t>Hume</w:t>
            </w:r>
          </w:p>
        </w:tc>
        <w:tc>
          <w:tcPr>
            <w:tcW w:w="535" w:type="pct"/>
          </w:tcPr>
          <w:p w:rsidR="00F26CCF" w:rsidRDefault="00F26CCF" w:rsidP="009F0F5B">
            <w:pPr>
              <w:pStyle w:val="TabletextRight"/>
              <w:jc w:val="center"/>
            </w:pPr>
            <w:r>
              <w:t>171,996</w:t>
            </w:r>
          </w:p>
        </w:tc>
        <w:tc>
          <w:tcPr>
            <w:tcW w:w="535" w:type="pct"/>
          </w:tcPr>
          <w:p w:rsidR="00F26CCF" w:rsidRDefault="00F26CCF" w:rsidP="009F0F5B">
            <w:pPr>
              <w:pStyle w:val="TabletextRight"/>
              <w:jc w:val="center"/>
            </w:pPr>
            <w:r>
              <w:rPr>
                <w:color w:val="000000"/>
              </w:rPr>
              <w:t>50.0</w:t>
            </w:r>
          </w:p>
        </w:tc>
        <w:tc>
          <w:tcPr>
            <w:tcW w:w="535" w:type="pct"/>
          </w:tcPr>
          <w:p w:rsidR="00F26CCF" w:rsidRPr="009F0F5B" w:rsidRDefault="00F26CCF" w:rsidP="009F0F5B">
            <w:pPr>
              <w:pStyle w:val="TabletextRight"/>
              <w:jc w:val="center"/>
              <w:rPr>
                <w:color w:val="000000"/>
              </w:rPr>
            </w:pPr>
            <w:r w:rsidRPr="009F0F5B">
              <w:rPr>
                <w:color w:val="000000"/>
              </w:rPr>
              <w:t>0.6</w:t>
            </w:r>
          </w:p>
        </w:tc>
        <w:tc>
          <w:tcPr>
            <w:tcW w:w="535" w:type="pct"/>
            <w:vAlign w:val="bottom"/>
          </w:tcPr>
          <w:p w:rsidR="00F26CCF" w:rsidRPr="00F26CCF" w:rsidRDefault="00F26CCF" w:rsidP="00F26CCF">
            <w:pPr>
              <w:pStyle w:val="TabletextRight"/>
              <w:jc w:val="center"/>
              <w:rPr>
                <w:color w:val="000000"/>
              </w:rPr>
            </w:pPr>
            <w:r w:rsidRPr="00F26CCF">
              <w:rPr>
                <w:color w:val="000000"/>
              </w:rPr>
              <w:t>31.4</w:t>
            </w:r>
          </w:p>
        </w:tc>
        <w:tc>
          <w:tcPr>
            <w:tcW w:w="535" w:type="pct"/>
            <w:vAlign w:val="bottom"/>
          </w:tcPr>
          <w:p w:rsidR="00F26CCF" w:rsidRPr="00F26CCF" w:rsidRDefault="00F26CCF" w:rsidP="00F26CCF">
            <w:pPr>
              <w:pStyle w:val="TabletextRight"/>
              <w:jc w:val="center"/>
              <w:rPr>
                <w:color w:val="000000"/>
              </w:rPr>
            </w:pPr>
            <w:r w:rsidRPr="00F26CCF">
              <w:rPr>
                <w:color w:val="000000"/>
              </w:rPr>
              <w:t>38.3</w:t>
            </w:r>
          </w:p>
        </w:tc>
        <w:tc>
          <w:tcPr>
            <w:tcW w:w="535" w:type="pct"/>
            <w:vAlign w:val="bottom"/>
          </w:tcPr>
          <w:p w:rsidR="00F26CCF" w:rsidRPr="00F26CCF" w:rsidRDefault="00F26CCF" w:rsidP="00F26CCF">
            <w:pPr>
              <w:pStyle w:val="TabletextRight"/>
              <w:jc w:val="center"/>
              <w:rPr>
                <w:color w:val="000000"/>
              </w:rPr>
            </w:pPr>
            <w:r w:rsidRPr="00F26CCF">
              <w:rPr>
                <w:color w:val="000000"/>
              </w:rPr>
              <w:t>5.7</w:t>
            </w:r>
          </w:p>
        </w:tc>
        <w:tc>
          <w:tcPr>
            <w:tcW w:w="535" w:type="pct"/>
          </w:tcPr>
          <w:p w:rsidR="00F26CCF" w:rsidRPr="00AD299B" w:rsidRDefault="000124A4" w:rsidP="009F0F5B">
            <w:pPr>
              <w:pStyle w:val="TabletextRight"/>
              <w:jc w:val="center"/>
              <w:rPr>
                <w:color w:val="000000"/>
              </w:rPr>
            </w:pPr>
            <w:r w:rsidRPr="00AD299B">
              <w:rPr>
                <w:color w:val="000000"/>
              </w:rPr>
              <w:t>17.1</w:t>
            </w:r>
          </w:p>
        </w:tc>
        <w:tc>
          <w:tcPr>
            <w:tcW w:w="535" w:type="pct"/>
          </w:tcPr>
          <w:p w:rsidR="00F26CCF" w:rsidRPr="00AD299B" w:rsidRDefault="000124A4" w:rsidP="009F0F5B">
            <w:pPr>
              <w:pStyle w:val="TabletextRight"/>
              <w:jc w:val="center"/>
              <w:rPr>
                <w:color w:val="000000"/>
              </w:rPr>
            </w:pPr>
            <w:r w:rsidRPr="00AD299B">
              <w:rPr>
                <w:color w:val="000000"/>
              </w:rPr>
              <w:t>8.8</w:t>
            </w:r>
          </w:p>
        </w:tc>
      </w:tr>
      <w:tr w:rsidR="00B71F5F" w:rsidTr="00AD299B">
        <w:tc>
          <w:tcPr>
            <w:tcW w:w="719" w:type="pct"/>
          </w:tcPr>
          <w:p w:rsidR="00F26CCF" w:rsidRDefault="00F26CCF" w:rsidP="001D06FC">
            <w:pPr>
              <w:pStyle w:val="TabletextLeft"/>
            </w:pPr>
            <w:r w:rsidRPr="00202247">
              <w:t>Burnie</w:t>
            </w:r>
          </w:p>
        </w:tc>
        <w:tc>
          <w:tcPr>
            <w:tcW w:w="535" w:type="pct"/>
          </w:tcPr>
          <w:p w:rsidR="00F26CCF" w:rsidRDefault="00F26CCF" w:rsidP="009F0F5B">
            <w:pPr>
              <w:pStyle w:val="TabletextRight"/>
              <w:jc w:val="center"/>
            </w:pPr>
            <w:r>
              <w:t>19,892</w:t>
            </w:r>
          </w:p>
        </w:tc>
        <w:tc>
          <w:tcPr>
            <w:tcW w:w="535" w:type="pct"/>
          </w:tcPr>
          <w:p w:rsidR="00F26CCF" w:rsidRDefault="00F26CCF" w:rsidP="009F0F5B">
            <w:pPr>
              <w:pStyle w:val="TabletextRight"/>
              <w:jc w:val="center"/>
            </w:pPr>
            <w:r>
              <w:rPr>
                <w:color w:val="000000"/>
              </w:rPr>
              <w:t>51.4</w:t>
            </w:r>
          </w:p>
        </w:tc>
        <w:tc>
          <w:tcPr>
            <w:tcW w:w="535" w:type="pct"/>
          </w:tcPr>
          <w:p w:rsidR="00F26CCF" w:rsidRPr="009F0F5B" w:rsidRDefault="00F26CCF" w:rsidP="009F0F5B">
            <w:pPr>
              <w:pStyle w:val="TabletextRight"/>
              <w:jc w:val="center"/>
              <w:rPr>
                <w:color w:val="000000"/>
              </w:rPr>
            </w:pPr>
            <w:r w:rsidRPr="009F0F5B">
              <w:rPr>
                <w:color w:val="000000"/>
              </w:rPr>
              <w:t>4.6</w:t>
            </w:r>
          </w:p>
        </w:tc>
        <w:tc>
          <w:tcPr>
            <w:tcW w:w="535" w:type="pct"/>
            <w:vAlign w:val="bottom"/>
          </w:tcPr>
          <w:p w:rsidR="00F26CCF" w:rsidRPr="00F26CCF" w:rsidRDefault="00F26CCF" w:rsidP="00F26CCF">
            <w:pPr>
              <w:pStyle w:val="TabletextRight"/>
              <w:jc w:val="center"/>
              <w:rPr>
                <w:color w:val="000000"/>
              </w:rPr>
            </w:pPr>
            <w:r w:rsidRPr="00F26CCF">
              <w:rPr>
                <w:color w:val="000000"/>
              </w:rPr>
              <w:t>8.4</w:t>
            </w:r>
          </w:p>
        </w:tc>
        <w:tc>
          <w:tcPr>
            <w:tcW w:w="535" w:type="pct"/>
            <w:vAlign w:val="bottom"/>
          </w:tcPr>
          <w:p w:rsidR="00F26CCF" w:rsidRPr="00F26CCF" w:rsidRDefault="00F26CCF" w:rsidP="00F26CCF">
            <w:pPr>
              <w:pStyle w:val="TabletextRight"/>
              <w:jc w:val="center"/>
              <w:rPr>
                <w:color w:val="000000"/>
              </w:rPr>
            </w:pPr>
            <w:r w:rsidRPr="00F26CCF">
              <w:rPr>
                <w:color w:val="000000"/>
              </w:rPr>
              <w:t>2.2</w:t>
            </w:r>
          </w:p>
        </w:tc>
        <w:tc>
          <w:tcPr>
            <w:tcW w:w="535" w:type="pct"/>
            <w:vAlign w:val="bottom"/>
          </w:tcPr>
          <w:p w:rsidR="00F26CCF" w:rsidRPr="00F26CCF" w:rsidRDefault="00F26CCF" w:rsidP="00F26CCF">
            <w:pPr>
              <w:pStyle w:val="TabletextRight"/>
              <w:jc w:val="center"/>
              <w:rPr>
                <w:color w:val="000000"/>
              </w:rPr>
            </w:pPr>
            <w:r w:rsidRPr="00F26CCF">
              <w:rPr>
                <w:color w:val="000000"/>
              </w:rPr>
              <w:t>0.2</w:t>
            </w:r>
          </w:p>
        </w:tc>
        <w:tc>
          <w:tcPr>
            <w:tcW w:w="535" w:type="pct"/>
          </w:tcPr>
          <w:p w:rsidR="00F26CCF" w:rsidRPr="00AD299B" w:rsidRDefault="000124A4" w:rsidP="009F0F5B">
            <w:pPr>
              <w:pStyle w:val="TabletextRight"/>
              <w:jc w:val="center"/>
              <w:rPr>
                <w:color w:val="000000"/>
              </w:rPr>
            </w:pPr>
            <w:r w:rsidRPr="00AD299B">
              <w:rPr>
                <w:color w:val="000000"/>
              </w:rPr>
              <w:t>22.5</w:t>
            </w:r>
          </w:p>
        </w:tc>
        <w:tc>
          <w:tcPr>
            <w:tcW w:w="535" w:type="pct"/>
          </w:tcPr>
          <w:p w:rsidR="00F26CCF" w:rsidRPr="00AD299B" w:rsidRDefault="000124A4" w:rsidP="009F0F5B">
            <w:pPr>
              <w:pStyle w:val="TabletextRight"/>
              <w:jc w:val="center"/>
              <w:rPr>
                <w:color w:val="000000"/>
              </w:rPr>
            </w:pPr>
            <w:r w:rsidRPr="00AD299B">
              <w:rPr>
                <w:color w:val="000000"/>
              </w:rPr>
              <w:t>9.3</w:t>
            </w:r>
          </w:p>
        </w:tc>
      </w:tr>
      <w:tr w:rsidR="00B71F5F" w:rsidTr="00AD299B">
        <w:tc>
          <w:tcPr>
            <w:tcW w:w="719" w:type="pct"/>
          </w:tcPr>
          <w:p w:rsidR="00F26CCF" w:rsidRDefault="00F26CCF" w:rsidP="001D06FC">
            <w:pPr>
              <w:pStyle w:val="TabletextLeft"/>
            </w:pPr>
            <w:r w:rsidRPr="00202247">
              <w:t>Wyong</w:t>
            </w:r>
          </w:p>
        </w:tc>
        <w:tc>
          <w:tcPr>
            <w:tcW w:w="535" w:type="pct"/>
          </w:tcPr>
          <w:p w:rsidR="00F26CCF" w:rsidRDefault="00F26CCF" w:rsidP="009F0F5B">
            <w:pPr>
              <w:pStyle w:val="TabletextRight"/>
              <w:jc w:val="center"/>
            </w:pPr>
            <w:r>
              <w:t>151,527</w:t>
            </w:r>
          </w:p>
        </w:tc>
        <w:tc>
          <w:tcPr>
            <w:tcW w:w="535" w:type="pct"/>
          </w:tcPr>
          <w:p w:rsidR="00F26CCF" w:rsidRDefault="00F26CCF" w:rsidP="009F0F5B">
            <w:pPr>
              <w:pStyle w:val="TabletextRight"/>
              <w:jc w:val="center"/>
            </w:pPr>
            <w:r>
              <w:rPr>
                <w:color w:val="000000"/>
              </w:rPr>
              <w:t>51.9</w:t>
            </w:r>
          </w:p>
        </w:tc>
        <w:tc>
          <w:tcPr>
            <w:tcW w:w="535" w:type="pct"/>
          </w:tcPr>
          <w:p w:rsidR="00F26CCF" w:rsidRPr="009F0F5B" w:rsidRDefault="00F26CCF" w:rsidP="009F0F5B">
            <w:pPr>
              <w:pStyle w:val="TabletextRight"/>
              <w:jc w:val="center"/>
              <w:rPr>
                <w:color w:val="000000"/>
              </w:rPr>
            </w:pPr>
            <w:r w:rsidRPr="009F0F5B">
              <w:rPr>
                <w:color w:val="000000"/>
              </w:rPr>
              <w:t>2.8</w:t>
            </w:r>
          </w:p>
        </w:tc>
        <w:tc>
          <w:tcPr>
            <w:tcW w:w="535" w:type="pct"/>
            <w:vAlign w:val="bottom"/>
          </w:tcPr>
          <w:p w:rsidR="00F26CCF" w:rsidRPr="00C31FF3" w:rsidRDefault="00F26CCF" w:rsidP="00F26CCF">
            <w:pPr>
              <w:pStyle w:val="TabletextRight"/>
              <w:jc w:val="center"/>
              <w:rPr>
                <w:color w:val="000000"/>
              </w:rPr>
            </w:pPr>
            <w:r w:rsidRPr="00C31FF3">
              <w:rPr>
                <w:color w:val="000000"/>
              </w:rPr>
              <w:t>12.7</w:t>
            </w:r>
          </w:p>
        </w:tc>
        <w:tc>
          <w:tcPr>
            <w:tcW w:w="535" w:type="pct"/>
            <w:vAlign w:val="bottom"/>
          </w:tcPr>
          <w:p w:rsidR="00F26CCF" w:rsidRPr="00F26CCF" w:rsidRDefault="00F26CCF" w:rsidP="00F26CCF">
            <w:pPr>
              <w:pStyle w:val="TabletextRight"/>
              <w:jc w:val="center"/>
              <w:rPr>
                <w:color w:val="000000"/>
              </w:rPr>
            </w:pPr>
            <w:r w:rsidRPr="00F26CCF">
              <w:rPr>
                <w:color w:val="000000"/>
              </w:rPr>
              <w:t>3.7</w:t>
            </w:r>
          </w:p>
        </w:tc>
        <w:tc>
          <w:tcPr>
            <w:tcW w:w="535" w:type="pct"/>
            <w:vAlign w:val="bottom"/>
          </w:tcPr>
          <w:p w:rsidR="00F26CCF" w:rsidRPr="00F26CCF" w:rsidRDefault="00F26CCF" w:rsidP="00F26CCF">
            <w:pPr>
              <w:pStyle w:val="TabletextRight"/>
              <w:jc w:val="center"/>
              <w:rPr>
                <w:color w:val="000000"/>
              </w:rPr>
            </w:pPr>
            <w:r w:rsidRPr="00F26CCF">
              <w:rPr>
                <w:color w:val="000000"/>
              </w:rPr>
              <w:t>0.3</w:t>
            </w:r>
          </w:p>
        </w:tc>
        <w:tc>
          <w:tcPr>
            <w:tcW w:w="535" w:type="pct"/>
          </w:tcPr>
          <w:p w:rsidR="00F26CCF" w:rsidRPr="00AD299B" w:rsidRDefault="000124A4" w:rsidP="009F0F5B">
            <w:pPr>
              <w:pStyle w:val="TabletextRight"/>
              <w:jc w:val="center"/>
              <w:rPr>
                <w:color w:val="000000"/>
              </w:rPr>
            </w:pPr>
            <w:r w:rsidRPr="00AD299B">
              <w:rPr>
                <w:color w:val="000000"/>
              </w:rPr>
              <w:t>19.9</w:t>
            </w:r>
          </w:p>
        </w:tc>
        <w:tc>
          <w:tcPr>
            <w:tcW w:w="535" w:type="pct"/>
          </w:tcPr>
          <w:p w:rsidR="00F26CCF" w:rsidRPr="00AD299B" w:rsidRDefault="000124A4" w:rsidP="009F0F5B">
            <w:pPr>
              <w:pStyle w:val="TabletextRight"/>
              <w:jc w:val="center"/>
              <w:rPr>
                <w:color w:val="000000"/>
              </w:rPr>
            </w:pPr>
            <w:r w:rsidRPr="00AD299B">
              <w:rPr>
                <w:color w:val="000000"/>
              </w:rPr>
              <w:t>6.6</w:t>
            </w:r>
          </w:p>
        </w:tc>
      </w:tr>
      <w:tr w:rsidR="00B71F5F" w:rsidTr="00AD299B">
        <w:tc>
          <w:tcPr>
            <w:tcW w:w="719" w:type="pct"/>
          </w:tcPr>
          <w:p w:rsidR="00F26CCF" w:rsidRDefault="00F26CCF" w:rsidP="001D06FC">
            <w:pPr>
              <w:pStyle w:val="TabletextLeft"/>
            </w:pPr>
            <w:r w:rsidRPr="00202247">
              <w:t>Shellharbour</w:t>
            </w:r>
          </w:p>
        </w:tc>
        <w:tc>
          <w:tcPr>
            <w:tcW w:w="535" w:type="pct"/>
          </w:tcPr>
          <w:p w:rsidR="00F26CCF" w:rsidRDefault="00F26CCF" w:rsidP="009F0F5B">
            <w:pPr>
              <w:pStyle w:val="TabletextRight"/>
              <w:jc w:val="center"/>
            </w:pPr>
            <w:r>
              <w:rPr>
                <w:color w:val="000000"/>
              </w:rPr>
              <w:t>67,797</w:t>
            </w:r>
          </w:p>
        </w:tc>
        <w:tc>
          <w:tcPr>
            <w:tcW w:w="535" w:type="pct"/>
          </w:tcPr>
          <w:p w:rsidR="00F26CCF" w:rsidRDefault="00F26CCF" w:rsidP="009F0F5B">
            <w:pPr>
              <w:pStyle w:val="TabletextRight"/>
              <w:jc w:val="center"/>
            </w:pPr>
            <w:r>
              <w:rPr>
                <w:color w:val="000000"/>
              </w:rPr>
              <w:t>50.6</w:t>
            </w:r>
          </w:p>
        </w:tc>
        <w:tc>
          <w:tcPr>
            <w:tcW w:w="535" w:type="pct"/>
          </w:tcPr>
          <w:p w:rsidR="00F26CCF" w:rsidRPr="009F0F5B" w:rsidRDefault="00F26CCF" w:rsidP="009F0F5B">
            <w:pPr>
              <w:pStyle w:val="TabletextRight"/>
              <w:jc w:val="center"/>
              <w:rPr>
                <w:color w:val="000000"/>
              </w:rPr>
            </w:pPr>
            <w:r w:rsidRPr="009F0F5B">
              <w:rPr>
                <w:color w:val="000000"/>
              </w:rPr>
              <w:t>2.3</w:t>
            </w:r>
          </w:p>
        </w:tc>
        <w:tc>
          <w:tcPr>
            <w:tcW w:w="535" w:type="pct"/>
            <w:vAlign w:val="bottom"/>
          </w:tcPr>
          <w:p w:rsidR="00F26CCF" w:rsidRPr="00C31FF3" w:rsidRDefault="00F26CCF" w:rsidP="00F26CCF">
            <w:pPr>
              <w:pStyle w:val="TabletextRight"/>
              <w:jc w:val="center"/>
              <w:rPr>
                <w:color w:val="000000"/>
              </w:rPr>
            </w:pPr>
            <w:r w:rsidRPr="00C31FF3">
              <w:rPr>
                <w:color w:val="000000"/>
              </w:rPr>
              <w:t>19.5</w:t>
            </w:r>
          </w:p>
        </w:tc>
        <w:tc>
          <w:tcPr>
            <w:tcW w:w="535" w:type="pct"/>
            <w:vAlign w:val="bottom"/>
          </w:tcPr>
          <w:p w:rsidR="00F26CCF" w:rsidRPr="00C31FF3" w:rsidRDefault="00F26CCF" w:rsidP="00F26CCF">
            <w:pPr>
              <w:pStyle w:val="TabletextRight"/>
              <w:jc w:val="center"/>
              <w:rPr>
                <w:color w:val="000000"/>
              </w:rPr>
            </w:pPr>
            <w:r w:rsidRPr="00C31FF3">
              <w:rPr>
                <w:color w:val="000000"/>
              </w:rPr>
              <w:t>11.3</w:t>
            </w:r>
          </w:p>
        </w:tc>
        <w:tc>
          <w:tcPr>
            <w:tcW w:w="535" w:type="pct"/>
            <w:vAlign w:val="bottom"/>
          </w:tcPr>
          <w:p w:rsidR="00F26CCF" w:rsidRPr="00F26CCF" w:rsidRDefault="00F26CCF" w:rsidP="00F26CCF">
            <w:pPr>
              <w:pStyle w:val="TabletextRight"/>
              <w:jc w:val="center"/>
              <w:rPr>
                <w:color w:val="000000"/>
              </w:rPr>
            </w:pPr>
            <w:r w:rsidRPr="00F26CCF">
              <w:rPr>
                <w:color w:val="000000"/>
              </w:rPr>
              <w:t>1.5</w:t>
            </w:r>
          </w:p>
        </w:tc>
        <w:tc>
          <w:tcPr>
            <w:tcW w:w="535" w:type="pct"/>
          </w:tcPr>
          <w:p w:rsidR="00F26CCF" w:rsidRPr="00AD299B" w:rsidRDefault="00AD299B" w:rsidP="009F0F5B">
            <w:pPr>
              <w:pStyle w:val="TabletextRight"/>
              <w:jc w:val="center"/>
              <w:rPr>
                <w:color w:val="000000"/>
              </w:rPr>
            </w:pPr>
            <w:r w:rsidRPr="00AD299B">
              <w:rPr>
                <w:color w:val="000000"/>
              </w:rPr>
              <w:t>15.6</w:t>
            </w:r>
          </w:p>
        </w:tc>
        <w:tc>
          <w:tcPr>
            <w:tcW w:w="535" w:type="pct"/>
          </w:tcPr>
          <w:p w:rsidR="00F26CCF" w:rsidRPr="00AD299B" w:rsidRDefault="00AD299B" w:rsidP="009F0F5B">
            <w:pPr>
              <w:pStyle w:val="TabletextRight"/>
              <w:jc w:val="center"/>
              <w:rPr>
                <w:color w:val="000000"/>
              </w:rPr>
            </w:pPr>
            <w:r w:rsidRPr="00AD299B">
              <w:rPr>
                <w:color w:val="000000"/>
              </w:rPr>
              <w:t>7.4</w:t>
            </w:r>
          </w:p>
        </w:tc>
      </w:tr>
      <w:tr w:rsidR="00A53802" w:rsidTr="00AD299B">
        <w:tc>
          <w:tcPr>
            <w:tcW w:w="719" w:type="pct"/>
          </w:tcPr>
          <w:p w:rsidR="00A53802" w:rsidRPr="00202247" w:rsidRDefault="00A53802" w:rsidP="001D06FC">
            <w:pPr>
              <w:pStyle w:val="TabletextLeft"/>
            </w:pPr>
            <w:r>
              <w:t>Canterbury</w:t>
            </w:r>
          </w:p>
        </w:tc>
        <w:tc>
          <w:tcPr>
            <w:tcW w:w="535" w:type="pct"/>
          </w:tcPr>
          <w:p w:rsidR="00A53802" w:rsidRPr="00C31FF3" w:rsidRDefault="00C31FF3" w:rsidP="009F0F5B">
            <w:pPr>
              <w:pStyle w:val="TabletextRight"/>
              <w:jc w:val="center"/>
              <w:rPr>
                <w:color w:val="000000"/>
              </w:rPr>
            </w:pPr>
            <w:r w:rsidRPr="00C31FF3">
              <w:rPr>
                <w:color w:val="000000"/>
              </w:rPr>
              <w:t>129,963</w:t>
            </w:r>
          </w:p>
        </w:tc>
        <w:tc>
          <w:tcPr>
            <w:tcW w:w="535" w:type="pct"/>
          </w:tcPr>
          <w:p w:rsidR="00A53802" w:rsidRPr="00C31FF3" w:rsidRDefault="00286F90" w:rsidP="009F0F5B">
            <w:pPr>
              <w:pStyle w:val="TabletextRight"/>
              <w:jc w:val="center"/>
              <w:rPr>
                <w:color w:val="000000"/>
              </w:rPr>
            </w:pPr>
            <w:r>
              <w:rPr>
                <w:color w:val="000000"/>
              </w:rPr>
              <w:t>49.7</w:t>
            </w:r>
          </w:p>
        </w:tc>
        <w:tc>
          <w:tcPr>
            <w:tcW w:w="535" w:type="pct"/>
          </w:tcPr>
          <w:p w:rsidR="00A53802" w:rsidRPr="00C31FF3" w:rsidRDefault="00A53802" w:rsidP="009F0F5B">
            <w:pPr>
              <w:pStyle w:val="TabletextRight"/>
              <w:jc w:val="center"/>
              <w:rPr>
                <w:color w:val="000000"/>
              </w:rPr>
            </w:pPr>
            <w:r w:rsidRPr="00C31FF3">
              <w:rPr>
                <w:color w:val="000000"/>
              </w:rPr>
              <w:t>0.6</w:t>
            </w:r>
          </w:p>
        </w:tc>
        <w:tc>
          <w:tcPr>
            <w:tcW w:w="535" w:type="pct"/>
            <w:vAlign w:val="bottom"/>
          </w:tcPr>
          <w:p w:rsidR="00A53802" w:rsidRPr="00C31FF3" w:rsidRDefault="00C31FF3" w:rsidP="00F26CCF">
            <w:pPr>
              <w:pStyle w:val="TabletextRight"/>
              <w:jc w:val="center"/>
              <w:rPr>
                <w:color w:val="000000"/>
              </w:rPr>
            </w:pPr>
            <w:r w:rsidRPr="00C31FF3">
              <w:rPr>
                <w:color w:val="000000"/>
              </w:rPr>
              <w:t>46.9</w:t>
            </w:r>
          </w:p>
        </w:tc>
        <w:tc>
          <w:tcPr>
            <w:tcW w:w="535" w:type="pct"/>
            <w:vAlign w:val="bottom"/>
          </w:tcPr>
          <w:p w:rsidR="00A53802" w:rsidRPr="00C31FF3" w:rsidRDefault="00C31FF3" w:rsidP="00F26CCF">
            <w:pPr>
              <w:pStyle w:val="TabletextRight"/>
              <w:jc w:val="center"/>
              <w:rPr>
                <w:color w:val="000000"/>
              </w:rPr>
            </w:pPr>
            <w:r w:rsidRPr="00C31FF3">
              <w:rPr>
                <w:color w:val="000000"/>
              </w:rPr>
              <w:t>69.9</w:t>
            </w:r>
          </w:p>
        </w:tc>
        <w:tc>
          <w:tcPr>
            <w:tcW w:w="535" w:type="pct"/>
            <w:vAlign w:val="bottom"/>
          </w:tcPr>
          <w:p w:rsidR="00A53802" w:rsidRPr="00C31FF3" w:rsidRDefault="00B85369" w:rsidP="00F26CCF">
            <w:pPr>
              <w:pStyle w:val="TabletextRight"/>
              <w:jc w:val="center"/>
              <w:rPr>
                <w:color w:val="000000"/>
                <w:highlight w:val="yellow"/>
              </w:rPr>
            </w:pPr>
            <w:r w:rsidRPr="00B85369">
              <w:rPr>
                <w:color w:val="000000"/>
              </w:rPr>
              <w:t>26</w:t>
            </w:r>
            <w:r>
              <w:rPr>
                <w:color w:val="000000"/>
              </w:rPr>
              <w:t>.0</w:t>
            </w:r>
          </w:p>
        </w:tc>
        <w:tc>
          <w:tcPr>
            <w:tcW w:w="535" w:type="pct"/>
          </w:tcPr>
          <w:p w:rsidR="00A53802" w:rsidRPr="00A04595" w:rsidRDefault="004A3170" w:rsidP="009F0F5B">
            <w:pPr>
              <w:pStyle w:val="TabletextRight"/>
              <w:jc w:val="center"/>
              <w:rPr>
                <w:color w:val="000000"/>
              </w:rPr>
            </w:pPr>
            <w:r w:rsidRPr="00A04595">
              <w:rPr>
                <w:color w:val="000000"/>
              </w:rPr>
              <w:t>1</w:t>
            </w:r>
            <w:r w:rsidR="004176FD" w:rsidRPr="00A04595">
              <w:rPr>
                <w:color w:val="000000"/>
              </w:rPr>
              <w:t>5.2</w:t>
            </w:r>
            <w:r w:rsidRPr="00A04595">
              <w:rPr>
                <w:color w:val="000000"/>
                <w:vertAlign w:val="superscript"/>
              </w:rPr>
              <w:t>(e)</w:t>
            </w:r>
          </w:p>
        </w:tc>
        <w:tc>
          <w:tcPr>
            <w:tcW w:w="535" w:type="pct"/>
          </w:tcPr>
          <w:p w:rsidR="00A53802" w:rsidRPr="00A04595" w:rsidRDefault="00EC5B39" w:rsidP="009F0F5B">
            <w:pPr>
              <w:pStyle w:val="TabletextRight"/>
              <w:jc w:val="center"/>
              <w:rPr>
                <w:color w:val="000000"/>
              </w:rPr>
            </w:pPr>
            <w:r w:rsidRPr="00A04595">
              <w:rPr>
                <w:color w:val="000000"/>
              </w:rPr>
              <w:t>7.9</w:t>
            </w:r>
          </w:p>
        </w:tc>
      </w:tr>
    </w:tbl>
    <w:p w:rsidR="003D2433" w:rsidRPr="003D2433" w:rsidRDefault="003D2433" w:rsidP="003D2433">
      <w:pPr>
        <w:pStyle w:val="TableNote"/>
        <w:rPr>
          <w:rFonts w:ascii="Arial" w:hAnsi="Arial" w:cs="Arial"/>
          <w:sz w:val="16"/>
          <w:szCs w:val="16"/>
          <w:lang w:eastAsia="en-AU"/>
        </w:rPr>
      </w:pPr>
      <w:r w:rsidRPr="003D2433">
        <w:t>Source</w:t>
      </w:r>
      <w:r>
        <w:t>s</w:t>
      </w:r>
      <w:r w:rsidRPr="003D2433">
        <w:t xml:space="preserve">:  </w:t>
      </w:r>
      <w:r>
        <w:t xml:space="preserve">(a) </w:t>
      </w:r>
      <w:r w:rsidRPr="003D2433">
        <w:t xml:space="preserve">ABS 3235.0 </w:t>
      </w:r>
      <w:proofErr w:type="gramStart"/>
      <w:r w:rsidRPr="003D2433">
        <w:t>Population</w:t>
      </w:r>
      <w:proofErr w:type="gramEnd"/>
      <w:r w:rsidRPr="003D2433">
        <w:t xml:space="preserve"> by Age and Sex, Regions of Australia; Estimated Resident Population 30 June 2010</w:t>
      </w:r>
      <w:r>
        <w:t xml:space="preserve">. (b) </w:t>
      </w:r>
      <w:r w:rsidRPr="003D2433">
        <w:t>ABS Census 2006 projected to ERP 2010</w:t>
      </w:r>
      <w:r>
        <w:t xml:space="preserve"> (c) </w:t>
      </w:r>
      <w:r w:rsidRPr="003D2433">
        <w:rPr>
          <w:rFonts w:ascii="Arial" w:hAnsi="Arial" w:cs="Arial"/>
          <w:sz w:val="16"/>
          <w:szCs w:val="16"/>
          <w:lang w:eastAsia="en-AU"/>
        </w:rPr>
        <w:t>ABS Census 2006 (Basic Community Profile)</w:t>
      </w:r>
      <w:r w:rsidR="00EA1FA2">
        <w:rPr>
          <w:rFonts w:ascii="Arial" w:hAnsi="Arial" w:cs="Arial"/>
          <w:sz w:val="16"/>
          <w:szCs w:val="16"/>
          <w:lang w:eastAsia="en-AU"/>
        </w:rPr>
        <w:t xml:space="preserve"> (d) BAFW Service Maps and background information prep</w:t>
      </w:r>
      <w:r w:rsidR="004A3170">
        <w:rPr>
          <w:rFonts w:ascii="Arial" w:hAnsi="Arial" w:cs="Arial"/>
          <w:sz w:val="16"/>
          <w:szCs w:val="16"/>
          <w:lang w:eastAsia="en-AU"/>
        </w:rPr>
        <w:t xml:space="preserve">ared by the GALs, February 2012 (e) The proportion of those on income support for Canterbury is sourced from the Priority Areas Keep Australia Working Regional Employment Plan 2010, which reports a single rate for the Canterbury-Bankstown and South Western Sydney priority employment </w:t>
      </w:r>
      <w:r w:rsidR="00A04595">
        <w:rPr>
          <w:rFonts w:ascii="Arial" w:hAnsi="Arial" w:cs="Arial"/>
          <w:sz w:val="16"/>
          <w:szCs w:val="16"/>
          <w:lang w:eastAsia="en-AU"/>
        </w:rPr>
        <w:t>area</w:t>
      </w:r>
      <w:r w:rsidR="004A3170">
        <w:rPr>
          <w:rFonts w:ascii="Arial" w:hAnsi="Arial" w:cs="Arial"/>
          <w:sz w:val="16"/>
          <w:szCs w:val="16"/>
          <w:lang w:eastAsia="en-AU"/>
        </w:rPr>
        <w:t>.</w:t>
      </w:r>
    </w:p>
    <w:p w:rsidR="00F26CCF" w:rsidRDefault="00F26CCF"/>
    <w:p w:rsidR="00F26CCF" w:rsidRDefault="00F26CCF">
      <w:pPr>
        <w:sectPr w:rsidR="00F26CCF" w:rsidSect="00F26CCF">
          <w:pgSz w:w="16838" w:h="11906" w:orient="landscape" w:code="9"/>
          <w:pgMar w:top="2552" w:right="2268" w:bottom="1134" w:left="1134" w:header="720" w:footer="720" w:gutter="0"/>
          <w:cols w:space="720"/>
          <w:docGrid w:linePitch="360"/>
        </w:sectPr>
      </w:pPr>
    </w:p>
    <w:p w:rsidR="00854AD5" w:rsidRDefault="00854AD5" w:rsidP="00854AD5">
      <w:pPr>
        <w:pStyle w:val="Heading1"/>
        <w:ind w:left="0" w:hanging="567"/>
      </w:pPr>
      <w:bookmarkStart w:id="130" w:name="_Ref322004037"/>
      <w:bookmarkStart w:id="131" w:name="_Toc342495237"/>
      <w:r>
        <w:lastRenderedPageBreak/>
        <w:t>Methodology</w:t>
      </w:r>
      <w:bookmarkEnd w:id="130"/>
      <w:bookmarkEnd w:id="131"/>
    </w:p>
    <w:p w:rsidR="002478D6" w:rsidRDefault="009501AE" w:rsidP="002478D6">
      <w:pPr>
        <w:pStyle w:val="BodyText"/>
      </w:pPr>
      <w:r>
        <w:t xml:space="preserve">Individual </w:t>
      </w:r>
      <w:r w:rsidR="00B525FC">
        <w:t xml:space="preserve">components of the evaluation </w:t>
      </w:r>
      <w:r>
        <w:t>methodolog</w:t>
      </w:r>
      <w:r w:rsidR="00B525FC">
        <w:t>y</w:t>
      </w:r>
      <w:r>
        <w:t xml:space="preserve"> are</w:t>
      </w:r>
      <w:r w:rsidR="00F54E78">
        <w:t xml:space="preserve"> discussed in this chapter.  As required for the project,</w:t>
      </w:r>
      <w:r w:rsidR="002478D6">
        <w:t xml:space="preserve"> </w:t>
      </w:r>
      <w:r w:rsidR="00B525FC">
        <w:t xml:space="preserve">the </w:t>
      </w:r>
      <w:r w:rsidR="002478D6">
        <w:t>methodolog</w:t>
      </w:r>
      <w:r w:rsidR="00B525FC">
        <w:t>y</w:t>
      </w:r>
      <w:r w:rsidR="002478D6">
        <w:t xml:space="preserve"> </w:t>
      </w:r>
      <w:r w:rsidR="00F54E78">
        <w:t>ha</w:t>
      </w:r>
      <w:r w:rsidR="00B525FC">
        <w:t>s</w:t>
      </w:r>
      <w:r w:rsidR="00F54E78">
        <w:t xml:space="preserve"> been </w:t>
      </w:r>
      <w:r w:rsidR="002478D6">
        <w:t xml:space="preserve">aligned where possible with the evaluation of </w:t>
      </w:r>
      <w:r w:rsidR="0012519F">
        <w:t>NIM</w:t>
      </w:r>
      <w:r w:rsidR="002478D6">
        <w:t xml:space="preserve"> being undertaken in the Northern Territory. </w:t>
      </w:r>
    </w:p>
    <w:p w:rsidR="002478D6" w:rsidRDefault="00796924" w:rsidP="00796924">
      <w:pPr>
        <w:pStyle w:val="Heading2"/>
      </w:pPr>
      <w:bookmarkStart w:id="132" w:name="_Toc342495238"/>
      <w:r>
        <w:t>L</w:t>
      </w:r>
      <w:r w:rsidR="002478D6" w:rsidRPr="003C4F99">
        <w:t>iterat</w:t>
      </w:r>
      <w:r w:rsidR="002478D6">
        <w:t>ure scan</w:t>
      </w:r>
      <w:bookmarkEnd w:id="132"/>
      <w:r w:rsidR="002478D6">
        <w:t xml:space="preserve"> </w:t>
      </w:r>
    </w:p>
    <w:p w:rsidR="003E2E48" w:rsidRDefault="00D81033" w:rsidP="00D81033">
      <w:pPr>
        <w:pStyle w:val="BodyText"/>
      </w:pPr>
      <w:r>
        <w:t>A literature scan was conducted to assist with the development of the evaluation framework.  The findings of the scan are in</w:t>
      </w:r>
      <w:r w:rsidR="007F6286">
        <w:t xml:space="preserve"> </w:t>
      </w:r>
      <w:r w:rsidR="00D71A6F">
        <w:fldChar w:fldCharType="begin"/>
      </w:r>
      <w:r w:rsidR="007F6286">
        <w:instrText xml:space="preserve"> REF _Ref322086370 \r \h </w:instrText>
      </w:r>
      <w:r w:rsidR="00D71A6F">
        <w:fldChar w:fldCharType="separate"/>
      </w:r>
      <w:r w:rsidR="003C7E97">
        <w:t>Appendix B</w:t>
      </w:r>
      <w:r w:rsidR="00D71A6F">
        <w:fldChar w:fldCharType="end"/>
      </w:r>
      <w:r w:rsidR="007F6286">
        <w:t xml:space="preserve">. </w:t>
      </w:r>
      <w:r>
        <w:t xml:space="preserve"> </w:t>
      </w:r>
      <w:r w:rsidR="007F6286">
        <w:t>The search strategy is documented in</w:t>
      </w:r>
      <w:r w:rsidR="003E2E48">
        <w:t xml:space="preserve"> </w:t>
      </w:r>
      <w:r w:rsidR="00D71A6F">
        <w:fldChar w:fldCharType="begin"/>
      </w:r>
      <w:r w:rsidR="003E2E48">
        <w:instrText xml:space="preserve"> REF _Ref322536784 \r \h </w:instrText>
      </w:r>
      <w:r w:rsidR="00D71A6F">
        <w:fldChar w:fldCharType="separate"/>
      </w:r>
      <w:r w:rsidR="003C7E97">
        <w:t>Appendix A</w:t>
      </w:r>
      <w:r w:rsidR="00D71A6F">
        <w:fldChar w:fldCharType="end"/>
      </w:r>
      <w:r>
        <w:t xml:space="preserve">.  </w:t>
      </w:r>
      <w:r w:rsidR="007F6286">
        <w:t xml:space="preserve">Similar to the </w:t>
      </w:r>
      <w:r w:rsidR="00B525FC">
        <w:t xml:space="preserve">Northern Territory (NT) NIM </w:t>
      </w:r>
      <w:r w:rsidR="007F6286">
        <w:t>evaluation literature review, t</w:t>
      </w:r>
      <w:r w:rsidR="007F6286" w:rsidRPr="00C67C5F">
        <w:t xml:space="preserve">he </w:t>
      </w:r>
      <w:r w:rsidR="007F6286">
        <w:t xml:space="preserve">scan for this project was exploratory in nature.  </w:t>
      </w:r>
    </w:p>
    <w:p w:rsidR="003E2E48" w:rsidRDefault="003E2E48" w:rsidP="003E2E48">
      <w:pPr>
        <w:pStyle w:val="BodyText"/>
      </w:pPr>
      <w:r>
        <w:t>The aims of the literature scan included to:</w:t>
      </w:r>
    </w:p>
    <w:p w:rsidR="003E2E48" w:rsidRDefault="003E2E48" w:rsidP="003E2E48">
      <w:pPr>
        <w:pStyle w:val="Bullet1"/>
      </w:pPr>
      <w:r>
        <w:t xml:space="preserve">update the literature review conducted for the evaluation of the </w:t>
      </w:r>
      <w:r w:rsidR="0012519F">
        <w:t xml:space="preserve">NT NIM framework </w:t>
      </w:r>
      <w:r>
        <w:t xml:space="preserve"> (consistent with the brief for this project);</w:t>
      </w:r>
    </w:p>
    <w:p w:rsidR="003E2E48" w:rsidRDefault="003E2E48" w:rsidP="003E2E48">
      <w:pPr>
        <w:pStyle w:val="Bullet1"/>
      </w:pPr>
      <w:r>
        <w:t>provide an overview of the findings of evaluations of income management programs in Australia;</w:t>
      </w:r>
    </w:p>
    <w:p w:rsidR="003E2E48" w:rsidRDefault="003E2E48" w:rsidP="003E2E48">
      <w:pPr>
        <w:pStyle w:val="Bullet1"/>
      </w:pPr>
      <w:r>
        <w:t>ensure an understanding of the range of potential outcomes expected from income management programs (facilitating our understanding of the logic underlying such initiatives as well as any unintended consequences);</w:t>
      </w:r>
    </w:p>
    <w:p w:rsidR="003E2E48" w:rsidRDefault="003E2E48" w:rsidP="003E2E48">
      <w:pPr>
        <w:pStyle w:val="Bullet1"/>
      </w:pPr>
      <w:r>
        <w:t>describe the approach to evaluating income management programs;</w:t>
      </w:r>
    </w:p>
    <w:p w:rsidR="003E2E48" w:rsidRDefault="003E2E48" w:rsidP="003E2E48">
      <w:pPr>
        <w:pStyle w:val="Bullet1"/>
      </w:pPr>
      <w:r>
        <w:t>describe outcome metrics used to measure the performance of income management programs; and</w:t>
      </w:r>
    </w:p>
    <w:p w:rsidR="003E2E48" w:rsidRDefault="003E2E48" w:rsidP="003E2E48">
      <w:pPr>
        <w:pStyle w:val="Bullet1"/>
      </w:pPr>
      <w:proofErr w:type="gramStart"/>
      <w:r>
        <w:t>reflect</w:t>
      </w:r>
      <w:proofErr w:type="gramEnd"/>
      <w:r>
        <w:t xml:space="preserve"> on the evaluation design and analytical methods used to evaluate income management programs to provide an evidence base for establishing a robust and defensible evaluation methodology for this project.</w:t>
      </w:r>
    </w:p>
    <w:p w:rsidR="003248BD" w:rsidRDefault="003248BD" w:rsidP="003248BD">
      <w:pPr>
        <w:pStyle w:val="BodyText"/>
      </w:pPr>
      <w:r>
        <w:t>FaHCSIA requested that the literature scan also reflect on the implications of behavioural economics for the success of IM initiatives.</w:t>
      </w:r>
    </w:p>
    <w:p w:rsidR="00115B00" w:rsidRDefault="00115B00" w:rsidP="00115B00">
      <w:pPr>
        <w:pStyle w:val="Heading2"/>
      </w:pPr>
      <w:bookmarkStart w:id="133" w:name="_Toc342495239"/>
      <w:r>
        <w:t xml:space="preserve">Longitudinal survey of </w:t>
      </w:r>
      <w:r w:rsidR="00487890">
        <w:t>customer</w:t>
      </w:r>
      <w:r>
        <w:t>s</w:t>
      </w:r>
      <w:bookmarkEnd w:id="133"/>
    </w:p>
    <w:p w:rsidR="0069353B" w:rsidRDefault="005566C6" w:rsidP="0069353B">
      <w:pPr>
        <w:pStyle w:val="BodyText"/>
      </w:pPr>
      <w:r>
        <w:t>A l</w:t>
      </w:r>
      <w:r w:rsidR="0069353B" w:rsidRPr="00383DA5">
        <w:t xml:space="preserve">ongitudinal telephone survey of </w:t>
      </w:r>
      <w:r w:rsidR="00487890">
        <w:t>customer</w:t>
      </w:r>
      <w:r w:rsidR="0069353B" w:rsidRPr="00383DA5">
        <w:t>s</w:t>
      </w:r>
      <w:r w:rsidR="0069353B">
        <w:t xml:space="preserve"> will be undertaken over a 3 year period (2012-2014), in both the trial and the comparison sites. This intent of this survey is capture the immediate and more sustained impacts of income management on </w:t>
      </w:r>
      <w:r w:rsidR="00487890">
        <w:t>customer</w:t>
      </w:r>
      <w:r w:rsidR="0069353B">
        <w:t xml:space="preserve">s’ lives. It will include follow up </w:t>
      </w:r>
      <w:r w:rsidR="00487890">
        <w:t>customer</w:t>
      </w:r>
      <w:r w:rsidR="0069353B">
        <w:t xml:space="preserve">s who are no longer on income management so that the enduring and time-sensitive impacts of this program can be understood.  </w:t>
      </w:r>
    </w:p>
    <w:p w:rsidR="00115B00" w:rsidRPr="00115B00" w:rsidRDefault="0069353B" w:rsidP="0069353B">
      <w:pPr>
        <w:pStyle w:val="BodyText"/>
      </w:pPr>
      <w:r>
        <w:t xml:space="preserve">The longitudinal survey has been designed using the </w:t>
      </w:r>
      <w:r w:rsidR="00487890">
        <w:t>customer</w:t>
      </w:r>
      <w:r>
        <w:t xml:space="preserve"> survey for the NT evaluation of New Income Management (NIM) as a reference point, to ensure a good degree of comparability across these evaluation sites, as requested by Fa</w:t>
      </w:r>
      <w:r w:rsidR="005566C6">
        <w:t>H</w:t>
      </w:r>
      <w:r>
        <w:t xml:space="preserve">CSIA. </w:t>
      </w:r>
      <w:r w:rsidR="00931293">
        <w:t>Relevant questions have also been drawn from the previous evaluation in WA and the NT.</w:t>
      </w:r>
      <w:r>
        <w:t xml:space="preserve"> However adjustments and modifications have be</w:t>
      </w:r>
      <w:r w:rsidR="005566C6">
        <w:t>en</w:t>
      </w:r>
      <w:r>
        <w:t xml:space="preserve"> made to ensure the survey’s validity and </w:t>
      </w:r>
      <w:r>
        <w:lastRenderedPageBreak/>
        <w:t xml:space="preserve">appropriateness for the broader range of population groups and settings that are </w:t>
      </w:r>
      <w:r w:rsidR="004C1A9B">
        <w:t>the focus</w:t>
      </w:r>
      <w:r>
        <w:t xml:space="preserve"> </w:t>
      </w:r>
      <w:r w:rsidR="004C1A9B">
        <w:t>of</w:t>
      </w:r>
      <w:r>
        <w:t xml:space="preserve"> the current evaluation, and to address differences in evaluation questions across the two evaluation programs. The survey questions have been designed to enable measurement of the key short and medium term outcomes of income management as </w:t>
      </w:r>
      <w:r w:rsidRPr="00115B00">
        <w:t xml:space="preserve">articulated in the program logic maps, and to enable relevant evaluation questions to be addressed. </w:t>
      </w:r>
      <w:r w:rsidR="00115B00" w:rsidRPr="00115B00">
        <w:t xml:space="preserve">Some of the key areas to be assessed through the </w:t>
      </w:r>
      <w:r w:rsidR="00487890">
        <w:t>customer</w:t>
      </w:r>
      <w:r w:rsidR="00115B00" w:rsidRPr="00115B00">
        <w:t xml:space="preserve"> longitudinal survey include:</w:t>
      </w:r>
    </w:p>
    <w:p w:rsidR="00115B00" w:rsidRDefault="00487890" w:rsidP="00115B00">
      <w:pPr>
        <w:pStyle w:val="Bullet1"/>
      </w:pPr>
      <w:r>
        <w:t>Customer</w:t>
      </w:r>
      <w:r w:rsidR="00115B00">
        <w:t>s’ experiences of financial stress and financial exploitation;</w:t>
      </w:r>
    </w:p>
    <w:p w:rsidR="00115B00" w:rsidRDefault="00487890" w:rsidP="00115B00">
      <w:pPr>
        <w:pStyle w:val="Bullet1"/>
      </w:pPr>
      <w:r>
        <w:t>Customer</w:t>
      </w:r>
      <w:r w:rsidR="00115B00">
        <w:t>s’ experiences of housing stability;</w:t>
      </w:r>
    </w:p>
    <w:p w:rsidR="00115B00" w:rsidRDefault="00487890" w:rsidP="00115B00">
      <w:pPr>
        <w:pStyle w:val="Bullet1"/>
      </w:pPr>
      <w:r>
        <w:t>Customer</w:t>
      </w:r>
      <w:r w:rsidR="00115B00">
        <w:t>s’ perceptions of their children’s wellbeing and engagement with education; and</w:t>
      </w:r>
    </w:p>
    <w:p w:rsidR="00115B00" w:rsidRPr="00115B00" w:rsidRDefault="00487890" w:rsidP="00115B00">
      <w:pPr>
        <w:pStyle w:val="Bullet1"/>
      </w:pPr>
      <w:r>
        <w:t>Customer</w:t>
      </w:r>
      <w:r w:rsidR="00985CDE">
        <w:t>s’</w:t>
      </w:r>
      <w:r w:rsidR="00115B00">
        <w:t xml:space="preserve"> confidence managing their money.</w:t>
      </w:r>
    </w:p>
    <w:p w:rsidR="0069353B" w:rsidRDefault="0069353B" w:rsidP="0069353B">
      <w:pPr>
        <w:pStyle w:val="BodyText"/>
      </w:pPr>
      <w:r>
        <w:t xml:space="preserve">The baseline survey will seek to capture information on </w:t>
      </w:r>
      <w:r w:rsidR="00487890">
        <w:t>customer</w:t>
      </w:r>
      <w:r>
        <w:t>s’ experiences in the previous six months, in order to allow comparisons between the comparison and trial sit</w:t>
      </w:r>
      <w:r w:rsidR="00E356ED">
        <w:t>e participants in terms of key</w:t>
      </w:r>
      <w:r>
        <w:t xml:space="preserve"> pre-existing characteristics. Though </w:t>
      </w:r>
      <w:r w:rsidR="00487890">
        <w:t>customer</w:t>
      </w:r>
      <w:r>
        <w:t xml:space="preserve">s in the trial sites will be recruited once they have been placed on income management, they will be contacted within </w:t>
      </w:r>
      <w:r w:rsidR="005566C6">
        <w:t>three</w:t>
      </w:r>
      <w:r>
        <w:t xml:space="preserve"> weeks of their placement on income management, to ensure that the effects of recall bias are minimised. </w:t>
      </w:r>
    </w:p>
    <w:p w:rsidR="0069353B" w:rsidRDefault="0069353B" w:rsidP="0069353B">
      <w:pPr>
        <w:pStyle w:val="BodyText"/>
      </w:pPr>
      <w:r>
        <w:t xml:space="preserve">There is some risk that </w:t>
      </w:r>
      <w:r w:rsidR="00487890">
        <w:t>participant</w:t>
      </w:r>
      <w:r>
        <w:t xml:space="preserve">s in the trial sites may be reluctant to speak openly and honestly about their experiences of financial stress, housing stability and issues related to their child/children’s wellbeing, once they have been placed onto an income management measure. We will attempt to address this by emphasising the independent nature of the evaluation, the confidentiality and privacy of their individual responses, and by advising them that the information they provide us will not impact in anyway of the service or the </w:t>
      </w:r>
      <w:r w:rsidR="005E4D54">
        <w:t>Income Support Payments</w:t>
      </w:r>
      <w:r>
        <w:t xml:space="preserve"> they receive from </w:t>
      </w:r>
      <w:r w:rsidR="005E4D54">
        <w:t>DHS</w:t>
      </w:r>
      <w:r w:rsidR="00931293">
        <w:t>.</w:t>
      </w:r>
    </w:p>
    <w:p w:rsidR="0069353B" w:rsidRDefault="0069353B" w:rsidP="0069353B">
      <w:pPr>
        <w:pStyle w:val="Heading3"/>
      </w:pPr>
      <w:r>
        <w:t>Recruitment</w:t>
      </w:r>
    </w:p>
    <w:p w:rsidR="0069353B" w:rsidRDefault="0069353B" w:rsidP="0069353B">
      <w:pPr>
        <w:pStyle w:val="Heading4"/>
      </w:pPr>
      <w:bookmarkStart w:id="134" w:name="_Ref321989174"/>
      <w:r>
        <w:t>Trial sites</w:t>
      </w:r>
      <w:bookmarkEnd w:id="134"/>
    </w:p>
    <w:p w:rsidR="00E97C01" w:rsidRDefault="00487890" w:rsidP="0069353B">
      <w:pPr>
        <w:pStyle w:val="BodyText"/>
      </w:pPr>
      <w:r>
        <w:t>Customer</w:t>
      </w:r>
      <w:r w:rsidR="0069353B">
        <w:t xml:space="preserve">s will be recruited in July </w:t>
      </w:r>
      <w:r w:rsidR="00E97C01">
        <w:t xml:space="preserve">2012 </w:t>
      </w:r>
      <w:r w:rsidR="0069353B">
        <w:t xml:space="preserve">to </w:t>
      </w:r>
      <w:r w:rsidR="00E97C01">
        <w:t>June</w:t>
      </w:r>
      <w:r w:rsidR="0069353B">
        <w:t xml:space="preserve"> 201</w:t>
      </w:r>
      <w:r w:rsidR="00E97C01">
        <w:t>3</w:t>
      </w:r>
      <w:r w:rsidR="0069353B">
        <w:t xml:space="preserve"> using an opt-out consent strategy. </w:t>
      </w:r>
      <w:r w:rsidR="00E97C01">
        <w:t>This baseline period has been extended from the original period to enable recruitment of a larger number of customers to the longitudinal survey, due to lower than expected referral rates to the PBIM measures. Clients will be followed up at 6 months following their baseline interview to capture the short term impacts of the PBIM measures, and then again at 18 months following their baseline interview, to capture any sustained impacts of income management. Customers will be following up for this final interview regardless of whether they remain on or have subsequently exited from a PBIM measure.</w:t>
      </w:r>
    </w:p>
    <w:p w:rsidR="0069353B" w:rsidRDefault="0069353B" w:rsidP="0069353B">
      <w:pPr>
        <w:pStyle w:val="BodyText"/>
      </w:pPr>
      <w:r>
        <w:t xml:space="preserve">As part of standard practice, DHS ask all Centrelink </w:t>
      </w:r>
      <w:r w:rsidR="00487890">
        <w:t>customer</w:t>
      </w:r>
      <w:r>
        <w:t xml:space="preserve">s if they would be willing to participate in evaluation or research activities. Those who decline are flagged in the Centrelink </w:t>
      </w:r>
      <w:r w:rsidR="00487890">
        <w:t>customer</w:t>
      </w:r>
      <w:r>
        <w:t xml:space="preserve"> </w:t>
      </w:r>
      <w:r w:rsidR="005E4D54">
        <w:t>records</w:t>
      </w:r>
      <w:r>
        <w:t xml:space="preserve"> and are excluded from any sampling frame for future research and evaluation activities. Additionally, when </w:t>
      </w:r>
      <w:r w:rsidR="00487890">
        <w:t>customer</w:t>
      </w:r>
      <w:r>
        <w:t xml:space="preserve">s are placed on income management, as part of the privacy and confidentiality agreement, they are advised that their information may be provided to FaHCSIA for research and evaluation purposes. </w:t>
      </w:r>
    </w:p>
    <w:p w:rsidR="0069353B" w:rsidRDefault="0069353B" w:rsidP="0069353B">
      <w:pPr>
        <w:pStyle w:val="BodyText"/>
      </w:pPr>
      <w:r>
        <w:lastRenderedPageBreak/>
        <w:t xml:space="preserve">The Social Research Centre (SRC) would receive weekly batches of </w:t>
      </w:r>
      <w:r w:rsidR="00487890">
        <w:t>customer</w:t>
      </w:r>
      <w:r>
        <w:t xml:space="preserve"> contact details from DHS for those who have been placed on income management in the previous week. These </w:t>
      </w:r>
      <w:r w:rsidR="00487890">
        <w:t>customer</w:t>
      </w:r>
      <w:r>
        <w:t>s would then be sent an approach letter which would:</w:t>
      </w:r>
    </w:p>
    <w:p w:rsidR="0069353B" w:rsidRPr="003D30AF" w:rsidRDefault="0069353B" w:rsidP="0069353B">
      <w:pPr>
        <w:pStyle w:val="Bullet1"/>
      </w:pPr>
      <w:r>
        <w:t>describe</w:t>
      </w:r>
      <w:r w:rsidRPr="003D30AF">
        <w:t xml:space="preserve"> the broad intent of the evaluation, the nature of participation that is being requested of them, the focus of the survey and about what the data they provide would be used for and how it would be reported; </w:t>
      </w:r>
    </w:p>
    <w:p w:rsidR="0069353B" w:rsidRPr="003D30AF" w:rsidRDefault="0069353B" w:rsidP="0069353B">
      <w:pPr>
        <w:pStyle w:val="Bullet1"/>
      </w:pPr>
      <w:r>
        <w:t>advise</w:t>
      </w:r>
      <w:r w:rsidRPr="003D30AF">
        <w:t xml:space="preserve"> them that a member of the evaluation team will contact them in the near future to ask if they would be willing to participate in a survey;  </w:t>
      </w:r>
    </w:p>
    <w:p w:rsidR="0069353B" w:rsidRPr="003D30AF" w:rsidRDefault="0069353B" w:rsidP="0069353B">
      <w:pPr>
        <w:pStyle w:val="Bullet1"/>
      </w:pPr>
      <w:r w:rsidRPr="003D30AF">
        <w:t>provide them with a 1800 number to call if they have questions or that they can use to notify the evaluation team that they do not wish to be contacted; and</w:t>
      </w:r>
    </w:p>
    <w:p w:rsidR="0069353B" w:rsidRPr="003D30AF" w:rsidRDefault="0069353B" w:rsidP="0069353B">
      <w:pPr>
        <w:pStyle w:val="Bullet1"/>
      </w:pPr>
      <w:proofErr w:type="gramStart"/>
      <w:r w:rsidRPr="003D30AF">
        <w:t>the</w:t>
      </w:r>
      <w:proofErr w:type="gramEnd"/>
      <w:r w:rsidRPr="003D30AF">
        <w:t xml:space="preserve"> information will also make clear that </w:t>
      </w:r>
      <w:r w:rsidR="00487890">
        <w:t>customer</w:t>
      </w:r>
      <w:r w:rsidRPr="003D30AF">
        <w:t xml:space="preserve">s are free not to participate, or to withdraw from the evaluation at </w:t>
      </w:r>
      <w:r w:rsidR="0027588F" w:rsidRPr="003D30AF">
        <w:t>any time</w:t>
      </w:r>
      <w:r w:rsidRPr="003D30AF">
        <w:t xml:space="preserve">.  Importantly, </w:t>
      </w:r>
      <w:r w:rsidR="00487890">
        <w:t>customer</w:t>
      </w:r>
      <w:r w:rsidRPr="003D30AF">
        <w:t xml:space="preserve">s would be advised that non-participation or withdrawal would have no adverse effects on the services they receive from </w:t>
      </w:r>
      <w:r w:rsidR="005E4D54">
        <w:t>DHS</w:t>
      </w:r>
      <w:r w:rsidR="00462B50">
        <w:t xml:space="preserve"> (</w:t>
      </w:r>
      <w:r w:rsidRPr="003D30AF">
        <w:t xml:space="preserve">including their </w:t>
      </w:r>
      <w:r w:rsidR="005E4D54">
        <w:t>Income Support Payments</w:t>
      </w:r>
      <w:r w:rsidR="00462B50">
        <w:t>) or any other government services</w:t>
      </w:r>
      <w:r w:rsidRPr="003D30AF">
        <w:t xml:space="preserve">. </w:t>
      </w:r>
    </w:p>
    <w:p w:rsidR="0069353B" w:rsidRPr="003D30AF" w:rsidRDefault="0069353B" w:rsidP="0069353B">
      <w:pPr>
        <w:pStyle w:val="BodyText"/>
      </w:pPr>
      <w:r>
        <w:t>SRC would then call</w:t>
      </w:r>
      <w:r w:rsidRPr="003D30AF">
        <w:t xml:space="preserve"> </w:t>
      </w:r>
      <w:r w:rsidR="00487890">
        <w:t>customer</w:t>
      </w:r>
      <w:r w:rsidRPr="003D30AF">
        <w:t xml:space="preserve">s and ask if they would be willing to participate in a survey of their experiences of income management. </w:t>
      </w:r>
      <w:r w:rsidR="00487890">
        <w:t>Customer</w:t>
      </w:r>
      <w:r w:rsidRPr="003D30AF">
        <w:t xml:space="preserve">s would again be informed of the nature of participation and the focus of the survey, and informed that they could withdraw at </w:t>
      </w:r>
      <w:r w:rsidR="0027588F" w:rsidRPr="003D30AF">
        <w:t>any time</w:t>
      </w:r>
      <w:r w:rsidRPr="003D30AF">
        <w:t>.</w:t>
      </w:r>
    </w:p>
    <w:p w:rsidR="0069353B" w:rsidRDefault="0069353B" w:rsidP="0069353B">
      <w:pPr>
        <w:pStyle w:val="BodyText"/>
      </w:pPr>
      <w:r>
        <w:t xml:space="preserve">Participants in the longitudinal survey will be sent a letter with a small tangible reminder (e.g.  </w:t>
      </w:r>
      <w:proofErr w:type="gramStart"/>
      <w:r>
        <w:t>fridge</w:t>
      </w:r>
      <w:proofErr w:type="gramEnd"/>
      <w:r>
        <w:t xml:space="preserve"> magnet) in the intervening period between fieldwork waves to maintain contact and encourage continued participation in the evaluation. </w:t>
      </w:r>
    </w:p>
    <w:p w:rsidR="0069353B" w:rsidRDefault="0069353B" w:rsidP="0069353B">
      <w:pPr>
        <w:pStyle w:val="BodyText"/>
      </w:pPr>
      <w:r w:rsidRPr="003D30AF">
        <w:t xml:space="preserve">At the end of the survey </w:t>
      </w:r>
      <w:r w:rsidR="00F1735A">
        <w:t>participants</w:t>
      </w:r>
      <w:r w:rsidRPr="003D30AF">
        <w:t xml:space="preserve"> would be asked if they would be willing to</w:t>
      </w:r>
      <w:r>
        <w:t xml:space="preserve"> be re-contacted in about one year’s</w:t>
      </w:r>
      <w:r w:rsidRPr="003D30AF">
        <w:t xml:space="preserve"> time to check in on how they are going. If they agree, they would be asked to provide a</w:t>
      </w:r>
      <w:r>
        <w:t>n additional contact person who the</w:t>
      </w:r>
      <w:r w:rsidRPr="003D30AF">
        <w:t xml:space="preserve"> S</w:t>
      </w:r>
      <w:r>
        <w:t xml:space="preserve">ocial </w:t>
      </w:r>
      <w:r w:rsidRPr="003D30AF">
        <w:t>R</w:t>
      </w:r>
      <w:r>
        <w:t xml:space="preserve">esearch </w:t>
      </w:r>
      <w:r w:rsidRPr="003D30AF">
        <w:t>C</w:t>
      </w:r>
      <w:r>
        <w:t>entre</w:t>
      </w:r>
      <w:r w:rsidRPr="003D30AF">
        <w:t xml:space="preserve"> may contact if they are unable to get hold of the </w:t>
      </w:r>
      <w:r w:rsidR="00487890">
        <w:t>customer</w:t>
      </w:r>
      <w:r w:rsidRPr="003D30AF">
        <w:t xml:space="preserve"> via the contact details already provided. The </w:t>
      </w:r>
      <w:r w:rsidR="00487890">
        <w:t>customer</w:t>
      </w:r>
      <w:r w:rsidRPr="003D30AF">
        <w:t xml:space="preserve"> would also be asked for any alternative phone numbers or email addresses on which they might be contacted.</w:t>
      </w:r>
      <w:r>
        <w:t xml:space="preserve"> This will assist us to locate </w:t>
      </w:r>
      <w:r w:rsidR="00487890">
        <w:t>customer</w:t>
      </w:r>
      <w:r>
        <w:t xml:space="preserve">s who may be highly mobile between fieldwork waves, and will minimise loss to follow up. </w:t>
      </w:r>
    </w:p>
    <w:p w:rsidR="0069353B" w:rsidRDefault="0069353B" w:rsidP="0069353B">
      <w:pPr>
        <w:pStyle w:val="Heading4"/>
      </w:pPr>
      <w:r>
        <w:t>Comparison sites</w:t>
      </w:r>
    </w:p>
    <w:p w:rsidR="00BC493F" w:rsidRDefault="0069353B" w:rsidP="0069353B">
      <w:pPr>
        <w:pStyle w:val="BodyText"/>
      </w:pPr>
      <w:r>
        <w:t xml:space="preserve">To recruit longitudinal survey participants in the comparison sites, a very similar process will be followed, however as </w:t>
      </w:r>
      <w:r w:rsidR="00487890">
        <w:t>customer</w:t>
      </w:r>
      <w:r>
        <w:t xml:space="preserve">s won’t be on income management the process for identifying the </w:t>
      </w:r>
      <w:r w:rsidR="00487890">
        <w:t>customer</w:t>
      </w:r>
      <w:r>
        <w:t xml:space="preserve"> sample will differ somewhat. We would request that DHS extract </w:t>
      </w:r>
      <w:r w:rsidR="00487890">
        <w:t>customer</w:t>
      </w:r>
      <w:r>
        <w:t xml:space="preserve"> contact details for those who are on relevant welfare </w:t>
      </w:r>
      <w:r w:rsidR="005E4D54">
        <w:t>Income Support Payments</w:t>
      </w:r>
      <w:r>
        <w:t xml:space="preserve"> in the comparison </w:t>
      </w:r>
      <w:r w:rsidRPr="00931293">
        <w:t xml:space="preserve">sites (i.e. those who are on trigger </w:t>
      </w:r>
      <w:r w:rsidR="005E4D54">
        <w:t>Income Support Payments</w:t>
      </w:r>
      <w:r w:rsidRPr="00931293">
        <w:t xml:space="preserve"> for </w:t>
      </w:r>
      <w:r w:rsidR="00931293" w:rsidRPr="00931293">
        <w:t xml:space="preserve">income management, see Section </w:t>
      </w:r>
      <w:r w:rsidR="000E486C">
        <w:fldChar w:fldCharType="begin"/>
      </w:r>
      <w:r w:rsidR="000E486C">
        <w:instrText xml:space="preserve"> REF _Ref322452493 \r \h  \* MERGEFORMAT </w:instrText>
      </w:r>
      <w:r w:rsidR="000E486C">
        <w:fldChar w:fldCharType="separate"/>
      </w:r>
      <w:r w:rsidR="003C7E97">
        <w:t>2.2.1</w:t>
      </w:r>
      <w:r w:rsidR="000E486C">
        <w:fldChar w:fldCharType="end"/>
      </w:r>
      <w:r w:rsidRPr="00931293">
        <w:t xml:space="preserve">).  </w:t>
      </w:r>
      <w:r w:rsidR="00BC493F">
        <w:t>These customers would be surveyed at the same time points as the trial site customers, i.e. at baseline, at 6 months, and again at 18 months.</w:t>
      </w:r>
    </w:p>
    <w:p w:rsidR="0069353B" w:rsidRDefault="0069353B" w:rsidP="0069353B">
      <w:pPr>
        <w:pStyle w:val="BodyText"/>
      </w:pPr>
      <w:r w:rsidRPr="00931293">
        <w:t xml:space="preserve">A random sample (which may be stratified according to key </w:t>
      </w:r>
      <w:r w:rsidR="00487890">
        <w:t>customer</w:t>
      </w:r>
      <w:r w:rsidRPr="00931293">
        <w:t xml:space="preserve"> characteristics) of these </w:t>
      </w:r>
      <w:r w:rsidR="00487890">
        <w:t>customer</w:t>
      </w:r>
      <w:r w:rsidRPr="00931293">
        <w:t>s would be selected, and an approach letter would be sent to them. The approach letter would:</w:t>
      </w:r>
    </w:p>
    <w:p w:rsidR="0069353B" w:rsidRPr="003D30AF" w:rsidRDefault="0069353B" w:rsidP="0069353B">
      <w:pPr>
        <w:pStyle w:val="Bullet1"/>
      </w:pPr>
      <w:r>
        <w:t>describe</w:t>
      </w:r>
      <w:r w:rsidRPr="003D30AF">
        <w:t xml:space="preserve"> the broad intent of the evaluation, the nature of participation that is being requested of them, the focus of the survey and about what the data they provide would be used for and how it would be reported; </w:t>
      </w:r>
    </w:p>
    <w:p w:rsidR="0069353B" w:rsidRPr="003D30AF" w:rsidRDefault="0069353B" w:rsidP="0069353B">
      <w:pPr>
        <w:pStyle w:val="Bullet1"/>
      </w:pPr>
      <w:r>
        <w:lastRenderedPageBreak/>
        <w:t>advise</w:t>
      </w:r>
      <w:r w:rsidRPr="003D30AF">
        <w:t xml:space="preserve"> them that a member of the evaluation team will contact them in the near future to ask if they would be willing to participate in a survey;  </w:t>
      </w:r>
    </w:p>
    <w:p w:rsidR="0069353B" w:rsidRPr="003D30AF" w:rsidRDefault="0069353B" w:rsidP="0069353B">
      <w:pPr>
        <w:pStyle w:val="Bullet1"/>
      </w:pPr>
      <w:r w:rsidRPr="003D30AF">
        <w:t>provide them with a 1800 number to call if they have questions or that they can use to notify the evaluation team that they do not wish to be contacted; and</w:t>
      </w:r>
    </w:p>
    <w:p w:rsidR="0069353B" w:rsidRPr="003D30AF" w:rsidRDefault="0069353B" w:rsidP="0069353B">
      <w:pPr>
        <w:pStyle w:val="Bullet1"/>
      </w:pPr>
      <w:proofErr w:type="gramStart"/>
      <w:r w:rsidRPr="003D30AF">
        <w:t>the</w:t>
      </w:r>
      <w:proofErr w:type="gramEnd"/>
      <w:r w:rsidRPr="003D30AF">
        <w:t xml:space="preserve"> information will also make clear that </w:t>
      </w:r>
      <w:r w:rsidR="00487890">
        <w:t>customer</w:t>
      </w:r>
      <w:r w:rsidRPr="003D30AF">
        <w:t xml:space="preserve">s are free not to participate, or to withdraw from the evaluation at </w:t>
      </w:r>
      <w:r w:rsidR="0027588F" w:rsidRPr="003D30AF">
        <w:t>any time</w:t>
      </w:r>
      <w:r w:rsidRPr="003D30AF">
        <w:t xml:space="preserve">.  Importantly, </w:t>
      </w:r>
      <w:r w:rsidR="00487890">
        <w:t>customer</w:t>
      </w:r>
      <w:r w:rsidRPr="003D30AF">
        <w:t xml:space="preserve">s would be advised that non-participation or withdrawal would have no adverse effects on the services they receive from </w:t>
      </w:r>
      <w:r w:rsidR="005E4D54">
        <w:t>DHS</w:t>
      </w:r>
      <w:r w:rsidRPr="003D30AF">
        <w:t xml:space="preserve"> </w:t>
      </w:r>
      <w:r w:rsidR="00462B50">
        <w:t>(</w:t>
      </w:r>
      <w:r w:rsidRPr="003D30AF">
        <w:t xml:space="preserve">including their </w:t>
      </w:r>
      <w:r w:rsidR="005E4D54">
        <w:t>Income Support Payments</w:t>
      </w:r>
      <w:r w:rsidR="00462B50">
        <w:t>) or any other government services</w:t>
      </w:r>
      <w:r w:rsidRPr="003D30AF">
        <w:t xml:space="preserve">. </w:t>
      </w:r>
    </w:p>
    <w:p w:rsidR="0069353B" w:rsidRPr="003D30AF" w:rsidRDefault="0069353B" w:rsidP="0069353B">
      <w:pPr>
        <w:pStyle w:val="BodyText"/>
      </w:pPr>
      <w:r w:rsidRPr="00812E63">
        <w:t xml:space="preserve">The letter would request their participation in a survey about the experiences of </w:t>
      </w:r>
      <w:r w:rsidR="005E4D54">
        <w:t>DHS</w:t>
      </w:r>
      <w:r w:rsidRPr="00812E63">
        <w:t xml:space="preserve"> </w:t>
      </w:r>
      <w:r w:rsidR="00487890">
        <w:t>customer</w:t>
      </w:r>
      <w:r w:rsidRPr="00812E63">
        <w:t xml:space="preserve">s. </w:t>
      </w:r>
      <w:r>
        <w:t>I</w:t>
      </w:r>
      <w:r w:rsidRPr="00812E63">
        <w:t>ncome management</w:t>
      </w:r>
      <w:r>
        <w:t xml:space="preserve"> would not be mentioned</w:t>
      </w:r>
      <w:r w:rsidRPr="00812E63">
        <w:t>, as this may create confusion for participants</w:t>
      </w:r>
      <w:r w:rsidR="005566C6">
        <w:t xml:space="preserve">. </w:t>
      </w:r>
      <w:r w:rsidRPr="00812E63">
        <w:t xml:space="preserve"> </w:t>
      </w:r>
      <w:r w:rsidR="005566C6">
        <w:t>I</w:t>
      </w:r>
      <w:r w:rsidRPr="00812E63">
        <w:t>nstead refer</w:t>
      </w:r>
      <w:r>
        <w:t>ence would be made</w:t>
      </w:r>
      <w:r w:rsidRPr="00812E63">
        <w:t xml:space="preserve"> to the survey being part of a broader evaluation of </w:t>
      </w:r>
      <w:r w:rsidR="005E4D54">
        <w:t>DHS</w:t>
      </w:r>
      <w:r w:rsidRPr="00812E63">
        <w:t xml:space="preserve"> programs, </w:t>
      </w:r>
      <w:r>
        <w:t>and</w:t>
      </w:r>
      <w:r w:rsidRPr="00812E63">
        <w:t xml:space="preserve"> a means of understanding </w:t>
      </w:r>
      <w:r w:rsidR="005E4D54">
        <w:t>DHS</w:t>
      </w:r>
      <w:r w:rsidRPr="00812E63">
        <w:t xml:space="preserve"> </w:t>
      </w:r>
      <w:r w:rsidR="00487890">
        <w:t>customer</w:t>
      </w:r>
      <w:r w:rsidRPr="00812E63">
        <w:t>s</w:t>
      </w:r>
      <w:r w:rsidR="00606316">
        <w:t>’</w:t>
      </w:r>
      <w:r w:rsidRPr="00812E63">
        <w:t xml:space="preserve"> experiences.</w:t>
      </w:r>
      <w:r w:rsidR="00606316">
        <w:t xml:space="preserve"> </w:t>
      </w:r>
      <w:r w:rsidRPr="00812E63">
        <w:t xml:space="preserve"> The subsequent recruitment strategy would be identical to that described for participants in the trials sites, as outlined in Section </w:t>
      </w:r>
      <w:r w:rsidR="000E486C">
        <w:fldChar w:fldCharType="begin"/>
      </w:r>
      <w:r w:rsidR="000E486C">
        <w:instrText xml:space="preserve"> REF _Ref321989174 \r \h  \* MERGEFORMAT </w:instrText>
      </w:r>
      <w:r w:rsidR="000E486C">
        <w:fldChar w:fldCharType="separate"/>
      </w:r>
      <w:r w:rsidR="003C7E97">
        <w:t>5.2.1.1</w:t>
      </w:r>
      <w:r w:rsidR="000E486C">
        <w:fldChar w:fldCharType="end"/>
      </w:r>
      <w:r w:rsidRPr="00812E63">
        <w:t>.</w:t>
      </w:r>
    </w:p>
    <w:p w:rsidR="0069353B" w:rsidRDefault="0069353B" w:rsidP="0069353B">
      <w:pPr>
        <w:pStyle w:val="Heading3"/>
      </w:pPr>
      <w:r>
        <w:t>Sample size</w:t>
      </w:r>
    </w:p>
    <w:p w:rsidR="0069353B" w:rsidRDefault="0069353B" w:rsidP="0069353B">
      <w:pPr>
        <w:pStyle w:val="BodyText"/>
      </w:pPr>
      <w:r>
        <w:t xml:space="preserve">The longitudinal </w:t>
      </w:r>
      <w:r w:rsidR="00487890">
        <w:t>customer</w:t>
      </w:r>
      <w:r>
        <w:t xml:space="preserve"> survey</w:t>
      </w:r>
      <w:r w:rsidR="00555320">
        <w:t xml:space="preserve"> originally</w:t>
      </w:r>
      <w:r>
        <w:t xml:space="preserve"> aim</w:t>
      </w:r>
      <w:r w:rsidR="00555320">
        <w:t>ed</w:t>
      </w:r>
      <w:r>
        <w:t xml:space="preserve"> to achieve a sample of 150 </w:t>
      </w:r>
      <w:r w:rsidR="00487890">
        <w:t>participants in</w:t>
      </w:r>
      <w:r>
        <w:t xml:space="preserve"> each site by the end the final fieldwork wave, which w</w:t>
      </w:r>
      <w:r w:rsidR="00555320">
        <w:t>ould have</w:t>
      </w:r>
      <w:r>
        <w:t xml:space="preserve"> require</w:t>
      </w:r>
      <w:r w:rsidR="00555320">
        <w:t>d</w:t>
      </w:r>
      <w:r>
        <w:t xml:space="preserve"> an initial sample of approximately 485 in each site. </w:t>
      </w:r>
      <w:proofErr w:type="gramStart"/>
      <w:r w:rsidR="00C10F17">
        <w:t>This</w:t>
      </w:r>
      <w:r>
        <w:t xml:space="preserve"> assumed an initial recruitment rate of 55%, and recontact</w:t>
      </w:r>
      <w:proofErr w:type="gramEnd"/>
      <w:r>
        <w:t xml:space="preserve"> rates of 75% at each of the follow up fieldwork waves</w:t>
      </w:r>
      <w:r w:rsidR="00555320">
        <w:t>, and were</w:t>
      </w:r>
      <w:r>
        <w:t xml:space="preserve"> based on SRC’s experience in recruitment and retention of similar </w:t>
      </w:r>
      <w:r w:rsidR="004C1A9B">
        <w:t xml:space="preserve">socio-demographic </w:t>
      </w:r>
      <w:r>
        <w:t>groups in previous longitudinal survey work.</w:t>
      </w:r>
      <w:r w:rsidR="00555320">
        <w:t xml:space="preserve"> However, as referrals to the PBIM measures have been slower than expected, the baseline period has been extended by </w:t>
      </w:r>
      <w:r w:rsidR="00730F11">
        <w:t xml:space="preserve">a further </w:t>
      </w:r>
      <w:r w:rsidR="00555320">
        <w:t xml:space="preserve">6 months to capture as large a sample as possible.  Though initial recruitment rates have been better than anticipated, it is unlikely that the original sample targets will be met if referral rates remain stable. </w:t>
      </w:r>
    </w:p>
    <w:p w:rsidR="0069353B" w:rsidRDefault="0069353B" w:rsidP="0069353B">
      <w:pPr>
        <w:pStyle w:val="BodyText"/>
      </w:pPr>
      <w:r>
        <w:t>The baseline fieldwork in the trial sites will run between</w:t>
      </w:r>
      <w:r w:rsidR="00C10F17">
        <w:t xml:space="preserve"> </w:t>
      </w:r>
      <w:r>
        <w:t>July</w:t>
      </w:r>
      <w:r w:rsidR="006339F3">
        <w:t xml:space="preserve"> 2012</w:t>
      </w:r>
      <w:r>
        <w:t xml:space="preserve"> </w:t>
      </w:r>
      <w:r w:rsidR="00C10F17">
        <w:t xml:space="preserve">and </w:t>
      </w:r>
      <w:r w:rsidR="006339F3">
        <w:t>June</w:t>
      </w:r>
      <w:r>
        <w:t xml:space="preserve"> 201</w:t>
      </w:r>
      <w:r w:rsidR="006339F3">
        <w:t>3.</w:t>
      </w:r>
      <w:r>
        <w:t xml:space="preserve"> </w:t>
      </w:r>
      <w:r w:rsidR="006339F3">
        <w:t>C</w:t>
      </w:r>
      <w:r>
        <w:t>omparison</w:t>
      </w:r>
      <w:r w:rsidR="006339F3">
        <w:t xml:space="preserve"> site</w:t>
      </w:r>
      <w:r>
        <w:t xml:space="preserve"> recruitment will run </w:t>
      </w:r>
      <w:r w:rsidR="006339F3">
        <w:t xml:space="preserve">over the same period. </w:t>
      </w:r>
      <w:r>
        <w:t xml:space="preserve"> </w:t>
      </w:r>
    </w:p>
    <w:p w:rsidR="0069353B" w:rsidRDefault="00672912" w:rsidP="0069353B">
      <w:pPr>
        <w:pStyle w:val="BodyText"/>
      </w:pPr>
      <w:r>
        <w:t>We noted originally that i</w:t>
      </w:r>
      <w:r w:rsidR="0069353B">
        <w:t xml:space="preserve">f there </w:t>
      </w:r>
      <w:r>
        <w:t>were</w:t>
      </w:r>
      <w:r w:rsidR="0069353B">
        <w:t xml:space="preserve"> considerable lags in implementation of income management</w:t>
      </w:r>
      <w:r w:rsidR="006339F3">
        <w:t xml:space="preserve"> or in implementation of referral pathways</w:t>
      </w:r>
      <w:r w:rsidR="0069353B">
        <w:t xml:space="preserve"> across the trial sites, this may impact on the ability to recruit a sufficient sample for the longitudinal </w:t>
      </w:r>
      <w:r w:rsidR="00487890">
        <w:t>customer</w:t>
      </w:r>
      <w:r w:rsidR="0069353B">
        <w:t xml:space="preserve"> survey. </w:t>
      </w:r>
      <w:r>
        <w:t xml:space="preserve">As planned, the </w:t>
      </w:r>
      <w:r w:rsidR="0069353B">
        <w:t xml:space="preserve">available sample and </w:t>
      </w:r>
      <w:r>
        <w:t xml:space="preserve">the </w:t>
      </w:r>
      <w:r w:rsidR="0069353B">
        <w:t xml:space="preserve">recruitment rates </w:t>
      </w:r>
      <w:r>
        <w:t>were</w:t>
      </w:r>
      <w:r w:rsidR="0069353B">
        <w:t xml:space="preserve"> reviewed in September 2012</w:t>
      </w:r>
      <w:r>
        <w:t>, and it was noted that the referral rates for the PBIM measures were lower than expected, and despite higher than expected recruitment rates</w:t>
      </w:r>
      <w:r w:rsidR="00696208">
        <w:t xml:space="preserve"> to the longitudinal survey, this had resulted in a</w:t>
      </w:r>
      <w:r>
        <w:t xml:space="preserve"> sample size</w:t>
      </w:r>
      <w:r w:rsidR="00696208">
        <w:t xml:space="preserve"> which was considerably lower than expected</w:t>
      </w:r>
      <w:r>
        <w:t>. In consultation with FaHCSIA and the SRC it was decided that it would be useful to extend the baseline recruitment period to ensure that a reasonable sample size for the longitudinal survey could be obtained.</w:t>
      </w:r>
    </w:p>
    <w:p w:rsidR="0069353B" w:rsidRPr="009A0D8A" w:rsidRDefault="0069353B" w:rsidP="0069353B">
      <w:pPr>
        <w:pStyle w:val="Heading2"/>
      </w:pPr>
      <w:bookmarkStart w:id="135" w:name="_Toc321835696"/>
      <w:bookmarkStart w:id="136" w:name="_Toc342495240"/>
      <w:r>
        <w:t xml:space="preserve">Face to face interviews with </w:t>
      </w:r>
      <w:r w:rsidR="00487890">
        <w:t>customer</w:t>
      </w:r>
      <w:r>
        <w:t>s</w:t>
      </w:r>
      <w:bookmarkEnd w:id="135"/>
      <w:bookmarkEnd w:id="136"/>
    </w:p>
    <w:p w:rsidR="00985CDE" w:rsidRDefault="0069353B" w:rsidP="0069353B">
      <w:pPr>
        <w:pStyle w:val="BodyText"/>
      </w:pPr>
      <w:r w:rsidRPr="00221F26">
        <w:t xml:space="preserve">In-depth face to face interviews </w:t>
      </w:r>
      <w:r w:rsidR="009C2C8F">
        <w:t>will</w:t>
      </w:r>
      <w:r w:rsidRPr="00221F26">
        <w:t xml:space="preserve"> be undertaken with a sample of income management </w:t>
      </w:r>
      <w:r w:rsidR="00487890">
        <w:t>customer</w:t>
      </w:r>
      <w:r w:rsidRPr="00221F26">
        <w:t xml:space="preserve">s, and where possible with two other family or household members, to gain a more detailed understanding of the impact of income management of </w:t>
      </w:r>
      <w:r w:rsidR="00487890">
        <w:t>customer</w:t>
      </w:r>
      <w:r w:rsidRPr="00221F26">
        <w:t xml:space="preserve">’s day to </w:t>
      </w:r>
      <w:r w:rsidRPr="00221F26">
        <w:lastRenderedPageBreak/>
        <w:t xml:space="preserve">day lives, and the lives of their families or household unit. </w:t>
      </w:r>
      <w:r w:rsidR="00985CDE">
        <w:t>The in-depth interviews would attempt to capture:</w:t>
      </w:r>
    </w:p>
    <w:p w:rsidR="00985CDE" w:rsidRDefault="00985CDE" w:rsidP="00985CDE">
      <w:pPr>
        <w:pStyle w:val="Bullet1"/>
      </w:pPr>
      <w:r>
        <w:t>The experience of income management on the household unit;</w:t>
      </w:r>
    </w:p>
    <w:p w:rsidR="00985CDE" w:rsidRDefault="00985CDE" w:rsidP="00985CDE">
      <w:pPr>
        <w:pStyle w:val="Bullet1"/>
      </w:pPr>
      <w:r>
        <w:t xml:space="preserve">Any unintended consequences of income management on </w:t>
      </w:r>
      <w:r w:rsidR="00487890">
        <w:t>customer</w:t>
      </w:r>
      <w:r>
        <w:t>s;</w:t>
      </w:r>
    </w:p>
    <w:p w:rsidR="00985CDE" w:rsidRDefault="00985CDE" w:rsidP="00985CDE">
      <w:pPr>
        <w:pStyle w:val="Bullet1"/>
      </w:pPr>
      <w:r>
        <w:t xml:space="preserve">What </w:t>
      </w:r>
      <w:r w:rsidR="00487890">
        <w:t>customer</w:t>
      </w:r>
      <w:r>
        <w:t>s have found helpful and unhelpful about income management; and</w:t>
      </w:r>
    </w:p>
    <w:p w:rsidR="00985CDE" w:rsidRDefault="00985CDE" w:rsidP="00985CDE">
      <w:pPr>
        <w:pStyle w:val="Bullet1"/>
      </w:pPr>
      <w:r>
        <w:t>Any issues that have arise</w:t>
      </w:r>
      <w:r w:rsidR="00606316">
        <w:t>n</w:t>
      </w:r>
      <w:r>
        <w:t xml:space="preserve"> with the use of BasicsCards or other </w:t>
      </w:r>
      <w:r w:rsidR="008F386A">
        <w:t xml:space="preserve">income </w:t>
      </w:r>
      <w:r>
        <w:t>allocation processes</w:t>
      </w:r>
      <w:r w:rsidR="008F386A">
        <w:t xml:space="preserve"> (including accessibility of BasicsCard merchants)</w:t>
      </w:r>
      <w:r>
        <w:t>.</w:t>
      </w:r>
    </w:p>
    <w:p w:rsidR="0069353B" w:rsidRPr="00221F26" w:rsidRDefault="0069353B" w:rsidP="0069353B">
      <w:pPr>
        <w:pStyle w:val="BodyText"/>
      </w:pPr>
      <w:r w:rsidRPr="00221F26">
        <w:t xml:space="preserve">These interviews </w:t>
      </w:r>
      <w:r w:rsidR="009C2C8F">
        <w:t xml:space="preserve">will </w:t>
      </w:r>
      <w:r w:rsidRPr="00221F26">
        <w:t xml:space="preserve">be undertaken with 10 </w:t>
      </w:r>
      <w:r w:rsidR="00487890">
        <w:t>customer</w:t>
      </w:r>
      <w:r w:rsidRPr="00221F26">
        <w:t>s, and up to two family or household members, in each of the trial sites in 2013 and 2014 (leading to a sample of</w:t>
      </w:r>
      <w:r w:rsidR="00A66EC7">
        <w:t xml:space="preserve"> at least</w:t>
      </w:r>
      <w:r w:rsidRPr="00221F26">
        <w:t xml:space="preserve"> 50 </w:t>
      </w:r>
      <w:r w:rsidR="00A66EC7">
        <w:t>interviews</w:t>
      </w:r>
      <w:r w:rsidRPr="00221F26">
        <w:t xml:space="preserve"> at each wave)</w:t>
      </w:r>
      <w:r>
        <w:t>. T</w:t>
      </w:r>
      <w:r w:rsidRPr="00221F26">
        <w:t xml:space="preserve">he </w:t>
      </w:r>
      <w:r w:rsidR="00487890">
        <w:t>customer</w:t>
      </w:r>
      <w:r>
        <w:t xml:space="preserve"> </w:t>
      </w:r>
      <w:r w:rsidRPr="00221F26">
        <w:t xml:space="preserve">sample </w:t>
      </w:r>
      <w:r w:rsidR="009C2C8F">
        <w:t>will</w:t>
      </w:r>
      <w:r w:rsidRPr="00221F26">
        <w:t xml:space="preserve"> be cross-sectional at each wave, rather than interviewing the same cohort of </w:t>
      </w:r>
      <w:r w:rsidR="00487890">
        <w:t>customer</w:t>
      </w:r>
      <w:r w:rsidRPr="00221F26">
        <w:t>s over the two fieldwork waves.</w:t>
      </w:r>
    </w:p>
    <w:p w:rsidR="0069353B" w:rsidRPr="00221F26" w:rsidRDefault="0069353B" w:rsidP="0069353B">
      <w:pPr>
        <w:pStyle w:val="BodyText"/>
      </w:pPr>
      <w:r w:rsidRPr="00221F26">
        <w:t xml:space="preserve">These interviews will allow the impact of income management on </w:t>
      </w:r>
      <w:r w:rsidR="00487890">
        <w:t>customer</w:t>
      </w:r>
      <w:r w:rsidRPr="00221F26">
        <w:t>s to be explored in g</w:t>
      </w:r>
      <w:r>
        <w:t>reater depth than is permitted</w:t>
      </w:r>
      <w:r w:rsidRPr="00221F26">
        <w:t xml:space="preserve"> through </w:t>
      </w:r>
      <w:r>
        <w:t xml:space="preserve">structured </w:t>
      </w:r>
      <w:r w:rsidRPr="00221F26">
        <w:t>telephone surveys, and will also enable the views and experiences of family and other household members to be elicited.  The interviews would be conducted with family and household members at their place of residence or another appropriate setting of their choosing.  Where family or household members are not available on the day, follow up telephone interviews will be considered.</w:t>
      </w:r>
    </w:p>
    <w:p w:rsidR="0069353B" w:rsidRPr="00221F26" w:rsidRDefault="0069353B" w:rsidP="0069353B">
      <w:pPr>
        <w:pStyle w:val="BodyText"/>
      </w:pPr>
      <w:r w:rsidRPr="00221F26">
        <w:t xml:space="preserve">These family and household interviews </w:t>
      </w:r>
      <w:r w:rsidR="009C2C8F">
        <w:t>will</w:t>
      </w:r>
      <w:r w:rsidRPr="00221F26">
        <w:t xml:space="preserve"> be conducted with </w:t>
      </w:r>
      <w:r w:rsidR="00487890">
        <w:t>customer</w:t>
      </w:r>
      <w:r w:rsidRPr="00221F26">
        <w:t xml:space="preserve">s who had been on income management for a minimum of 6 months, including those who have recently been taken off the measure.  We </w:t>
      </w:r>
      <w:r w:rsidR="009C2C8F">
        <w:t>will</w:t>
      </w:r>
      <w:r w:rsidRPr="00221F26">
        <w:t xml:space="preserve"> attempt to get a mix of </w:t>
      </w:r>
      <w:r w:rsidR="00487890">
        <w:t>customer</w:t>
      </w:r>
      <w:r w:rsidRPr="00221F26">
        <w:t xml:space="preserve">s from each of the income management </w:t>
      </w:r>
      <w:r w:rsidR="00037695">
        <w:t>measure</w:t>
      </w:r>
      <w:r w:rsidRPr="00221F26">
        <w:t xml:space="preserve">s to understand the unique impacts of each of these on households and families, but this will be dependent on being able to ascertain information on the PBIM measure that </w:t>
      </w:r>
      <w:r w:rsidR="00487890">
        <w:t>customer</w:t>
      </w:r>
      <w:r w:rsidRPr="00221F26">
        <w:t xml:space="preserve">s are on from DHS, and on </w:t>
      </w:r>
      <w:r w:rsidR="00487890">
        <w:t>customer</w:t>
      </w:r>
      <w:r w:rsidRPr="00221F26">
        <w:t>’s across the measures being equally willing to participate in the interviews.</w:t>
      </w:r>
    </w:p>
    <w:p w:rsidR="0069353B" w:rsidRDefault="0069353B" w:rsidP="0069353B">
      <w:pPr>
        <w:pStyle w:val="BodyText"/>
      </w:pPr>
      <w:r w:rsidRPr="00221F26">
        <w:t xml:space="preserve">Incentives </w:t>
      </w:r>
      <w:r w:rsidR="009C2C8F">
        <w:t>will</w:t>
      </w:r>
      <w:r w:rsidRPr="00221F26">
        <w:t xml:space="preserve"> be offered to the family or household following participation in each interview to compensate them for the time they have surrendered for the interviews. The incentives will be structured so as to encourage participation of the family or household member in the interviews, </w:t>
      </w:r>
      <w:proofErr w:type="gramStart"/>
      <w:r w:rsidRPr="00221F26">
        <w:t>who</w:t>
      </w:r>
      <w:proofErr w:type="gramEnd"/>
      <w:r w:rsidRPr="00221F26">
        <w:t xml:space="preserve"> may otherwise be quite difficult to engage, e.g. $40 if it is just the </w:t>
      </w:r>
      <w:r w:rsidR="00487890">
        <w:t>customer</w:t>
      </w:r>
      <w:r w:rsidRPr="00221F26">
        <w:t>, or $80 if two other family or household members participate (note: the exact split of incentives is yet to be determined). This would be sent to them shortly after they completed the interview.</w:t>
      </w:r>
      <w:r w:rsidRPr="003D30AF">
        <w:t xml:space="preserve"> </w:t>
      </w:r>
    </w:p>
    <w:p w:rsidR="0069353B" w:rsidRPr="003D30AF" w:rsidRDefault="0069353B" w:rsidP="0069353B">
      <w:pPr>
        <w:pStyle w:val="Heading3"/>
      </w:pPr>
      <w:r>
        <w:t>Recruitment</w:t>
      </w:r>
    </w:p>
    <w:p w:rsidR="0069353B" w:rsidRDefault="0069353B" w:rsidP="0069353B">
      <w:pPr>
        <w:pStyle w:val="BodyText"/>
      </w:pPr>
      <w:r>
        <w:t xml:space="preserve">As part of standard practice, </w:t>
      </w:r>
      <w:r w:rsidRPr="003D30AF">
        <w:t xml:space="preserve">DHS ask </w:t>
      </w:r>
      <w:r>
        <w:t xml:space="preserve">all </w:t>
      </w:r>
      <w:r w:rsidRPr="003D30AF">
        <w:t xml:space="preserve">Centrelink </w:t>
      </w:r>
      <w:r w:rsidR="00487890">
        <w:t>customer</w:t>
      </w:r>
      <w:r w:rsidRPr="003D30AF">
        <w:t xml:space="preserve">s if they would be willing to participate in research or evaluation activities. </w:t>
      </w:r>
      <w:r w:rsidR="00487890">
        <w:t>Customer</w:t>
      </w:r>
      <w:r w:rsidRPr="003D30AF">
        <w:t xml:space="preserve">s who decline are flagged in the Centrelink </w:t>
      </w:r>
      <w:r w:rsidR="00F1735A">
        <w:t>customer records</w:t>
      </w:r>
      <w:r w:rsidRPr="003D30AF">
        <w:t xml:space="preserve">. These </w:t>
      </w:r>
      <w:r w:rsidR="00487890">
        <w:t>customer</w:t>
      </w:r>
      <w:r w:rsidRPr="003D30AF">
        <w:t xml:space="preserve">s are then removed from any future sampling frame generated for research and evaluation activities. </w:t>
      </w:r>
    </w:p>
    <w:p w:rsidR="0069353B" w:rsidRDefault="0069353B" w:rsidP="0069353B">
      <w:pPr>
        <w:pStyle w:val="BodyText"/>
      </w:pPr>
      <w:r>
        <w:t xml:space="preserve">Additionally when </w:t>
      </w:r>
      <w:r w:rsidR="00487890">
        <w:t>customer</w:t>
      </w:r>
      <w:r>
        <w:t xml:space="preserve">s are placed on income management as part of the privacy and confidentiality agreement </w:t>
      </w:r>
      <w:r w:rsidR="00487890">
        <w:t>customer</w:t>
      </w:r>
      <w:r>
        <w:t xml:space="preserve">s are advised that their information may be provided to FaHCSIA for research and evaluation purposes. </w:t>
      </w:r>
    </w:p>
    <w:p w:rsidR="0069353B" w:rsidRDefault="0069353B" w:rsidP="0069353B">
      <w:pPr>
        <w:pStyle w:val="BodyText"/>
      </w:pPr>
      <w:r>
        <w:t xml:space="preserve">We would request </w:t>
      </w:r>
      <w:r w:rsidRPr="003D30AF">
        <w:t xml:space="preserve">DHS </w:t>
      </w:r>
      <w:r>
        <w:t>to</w:t>
      </w:r>
      <w:r w:rsidRPr="003D30AF">
        <w:t xml:space="preserve"> </w:t>
      </w:r>
      <w:r>
        <w:t xml:space="preserve">extract </w:t>
      </w:r>
      <w:r w:rsidRPr="003D30AF">
        <w:t xml:space="preserve">a </w:t>
      </w:r>
      <w:r>
        <w:t xml:space="preserve">sample of </w:t>
      </w:r>
      <w:r w:rsidR="00487890">
        <w:t>customer</w:t>
      </w:r>
      <w:r>
        <w:t xml:space="preserve">s </w:t>
      </w:r>
      <w:r w:rsidRPr="003D30AF">
        <w:t xml:space="preserve">who have been on income management for a minimum of </w:t>
      </w:r>
      <w:r w:rsidR="00AF28DC">
        <w:t>six</w:t>
      </w:r>
      <w:r w:rsidRPr="003D30AF">
        <w:t xml:space="preserve"> months. This would include those have recently been </w:t>
      </w:r>
      <w:r w:rsidRPr="003D30AF">
        <w:lastRenderedPageBreak/>
        <w:t xml:space="preserve">exited from income management. </w:t>
      </w:r>
      <w:r>
        <w:t>We</w:t>
      </w:r>
      <w:r w:rsidRPr="003D30AF">
        <w:t xml:space="preserve"> would </w:t>
      </w:r>
      <w:r>
        <w:t xml:space="preserve">request that the </w:t>
      </w:r>
      <w:r w:rsidR="00487890">
        <w:t>customer</w:t>
      </w:r>
      <w:r>
        <w:t xml:space="preserve">s included in the sample are </w:t>
      </w:r>
      <w:r w:rsidRPr="003D30AF">
        <w:t xml:space="preserve">limited to </w:t>
      </w:r>
      <w:r>
        <w:t>those</w:t>
      </w:r>
      <w:r w:rsidRPr="003D30AF">
        <w:t xml:space="preserve"> who live with ot</w:t>
      </w:r>
      <w:r>
        <w:t>her (adult) family members</w:t>
      </w:r>
      <w:r w:rsidRPr="003D30AF">
        <w:t xml:space="preserve">. </w:t>
      </w:r>
      <w:r w:rsidR="00487890">
        <w:t>Customer</w:t>
      </w:r>
      <w:r>
        <w:t xml:space="preserve"> contact details would then be sent securely to the Social Research Centre.</w:t>
      </w:r>
    </w:p>
    <w:p w:rsidR="0069353B" w:rsidRDefault="0069353B" w:rsidP="0069353B">
      <w:pPr>
        <w:pStyle w:val="BodyText"/>
      </w:pPr>
      <w:r w:rsidRPr="003D30AF">
        <w:t xml:space="preserve">This sample of </w:t>
      </w:r>
      <w:r w:rsidR="00487890">
        <w:t>customer</w:t>
      </w:r>
      <w:r w:rsidRPr="003D30AF">
        <w:t>s would then be sent a letter</w:t>
      </w:r>
      <w:r>
        <w:t xml:space="preserve"> from the Social Research Centre (co-branded with Deloitte)</w:t>
      </w:r>
      <w:r w:rsidRPr="003D30AF">
        <w:t xml:space="preserve"> informing them that they had been randomly selected to participate in a survey about the experiences of </w:t>
      </w:r>
      <w:r w:rsidR="005E4D54">
        <w:t>DHS</w:t>
      </w:r>
      <w:r w:rsidRPr="003D30AF">
        <w:t xml:space="preserve"> </w:t>
      </w:r>
      <w:r w:rsidR="00487890">
        <w:t>customer</w:t>
      </w:r>
      <w:r w:rsidRPr="003D30AF">
        <w:t>s. The letter would advise them that a member of the evaluation team would contact them in the near future to ask if they would be wi</w:t>
      </w:r>
      <w:r>
        <w:t>lling to participate in an interview</w:t>
      </w:r>
      <w:r w:rsidRPr="003D30AF">
        <w:t xml:space="preserve"> about the experiences of </w:t>
      </w:r>
      <w:r w:rsidR="005E4D54">
        <w:t>DHS</w:t>
      </w:r>
      <w:r w:rsidRPr="003D30AF">
        <w:t xml:space="preserve"> </w:t>
      </w:r>
      <w:r w:rsidR="00487890">
        <w:t>customer</w:t>
      </w:r>
      <w:r w:rsidRPr="003D30AF">
        <w:t>s. The letter would</w:t>
      </w:r>
      <w:r>
        <w:t xml:space="preserve"> (in plain English):</w:t>
      </w:r>
      <w:r w:rsidRPr="007B37DE">
        <w:t xml:space="preserve"> </w:t>
      </w:r>
    </w:p>
    <w:p w:rsidR="0069353B" w:rsidRPr="003D30AF" w:rsidRDefault="0069353B" w:rsidP="0069353B">
      <w:pPr>
        <w:pStyle w:val="Bullet1"/>
      </w:pPr>
      <w:r>
        <w:t>describe</w:t>
      </w:r>
      <w:r w:rsidRPr="003D30AF">
        <w:t xml:space="preserve"> the broad intent of the evaluation, the nature of participation that is being requested </w:t>
      </w:r>
      <w:r>
        <w:t>of them, the focus of the interviews</w:t>
      </w:r>
      <w:r w:rsidRPr="003D30AF">
        <w:t xml:space="preserve"> and about what the data they provide would be used for and how it would be reported; </w:t>
      </w:r>
    </w:p>
    <w:p w:rsidR="0069353B" w:rsidRPr="003D30AF" w:rsidRDefault="0069353B" w:rsidP="0069353B">
      <w:pPr>
        <w:pStyle w:val="Bullet1"/>
      </w:pPr>
      <w:r>
        <w:t>advise</w:t>
      </w:r>
      <w:r w:rsidRPr="003D30AF">
        <w:t xml:space="preserve"> them that a member of the evaluation team will contact them in the near future to ask if they would be wi</w:t>
      </w:r>
      <w:r>
        <w:t>lling to participate in a face to face</w:t>
      </w:r>
      <w:r w:rsidRPr="003D30AF">
        <w:t xml:space="preserve">;  </w:t>
      </w:r>
    </w:p>
    <w:p w:rsidR="0069353B" w:rsidRPr="003D30AF" w:rsidRDefault="0069353B" w:rsidP="0069353B">
      <w:pPr>
        <w:pStyle w:val="Bullet1"/>
      </w:pPr>
      <w:r w:rsidRPr="003D30AF">
        <w:t>provide them with a 1800 number to call if they have questions or that they can use to notify the evaluation team that they do not wish to be contacted; and</w:t>
      </w:r>
    </w:p>
    <w:p w:rsidR="0069353B" w:rsidRPr="00BF56D1" w:rsidRDefault="0069353B" w:rsidP="0069353B">
      <w:pPr>
        <w:pStyle w:val="Bullet1"/>
      </w:pPr>
      <w:proofErr w:type="gramStart"/>
      <w:r w:rsidRPr="003D30AF">
        <w:t>the</w:t>
      </w:r>
      <w:proofErr w:type="gramEnd"/>
      <w:r w:rsidRPr="003D30AF">
        <w:t xml:space="preserve"> information will also make clear that </w:t>
      </w:r>
      <w:r w:rsidR="00487890">
        <w:t>customer</w:t>
      </w:r>
      <w:r w:rsidRPr="003D30AF">
        <w:t xml:space="preserve">s are free not to participate, or to withdraw from the evaluation at </w:t>
      </w:r>
      <w:r w:rsidR="0027588F" w:rsidRPr="003D30AF">
        <w:t>any time</w:t>
      </w:r>
      <w:r w:rsidRPr="003D30AF">
        <w:t xml:space="preserve">.  Importantly, </w:t>
      </w:r>
      <w:r w:rsidR="00487890">
        <w:t>customer</w:t>
      </w:r>
      <w:r w:rsidRPr="003D30AF">
        <w:t xml:space="preserve">s would be advised that non-participation or withdrawal would have no adverse effects on the services they receive from </w:t>
      </w:r>
      <w:r w:rsidR="005E4D54">
        <w:t>DHS</w:t>
      </w:r>
      <w:r w:rsidRPr="003D30AF">
        <w:t xml:space="preserve"> </w:t>
      </w:r>
      <w:r w:rsidR="00462B50">
        <w:t>(</w:t>
      </w:r>
      <w:r w:rsidRPr="003D30AF">
        <w:t xml:space="preserve">including their </w:t>
      </w:r>
      <w:r w:rsidR="005E4D54">
        <w:t>Income Support Payments</w:t>
      </w:r>
      <w:r w:rsidR="00462B50">
        <w:t>), or any other government services</w:t>
      </w:r>
      <w:r w:rsidRPr="003D30AF">
        <w:t xml:space="preserve">. </w:t>
      </w:r>
    </w:p>
    <w:p w:rsidR="0069353B" w:rsidRPr="003D30AF" w:rsidRDefault="0069353B" w:rsidP="0069353B">
      <w:pPr>
        <w:pStyle w:val="BodyText"/>
      </w:pPr>
      <w:r w:rsidRPr="003D30AF">
        <w:t xml:space="preserve">An interviewer from SRC would then contact the </w:t>
      </w:r>
      <w:r w:rsidR="00487890">
        <w:t>customer</w:t>
      </w:r>
      <w:r w:rsidRPr="003D30AF">
        <w:t xml:space="preserve"> and ask if they would be willing to participate in a face to face interview about their experiences of income management. They would also be informed that SRC is seeking to interview two of the </w:t>
      </w:r>
      <w:r w:rsidR="00487890">
        <w:t>customer</w:t>
      </w:r>
      <w:r w:rsidRPr="003D30AF">
        <w:t xml:space="preserve">’s </w:t>
      </w:r>
      <w:r>
        <w:t xml:space="preserve">adult </w:t>
      </w:r>
      <w:r w:rsidRPr="003D30AF">
        <w:t xml:space="preserve">family members or other members of the household to gain an in-depth understanding of income management on the lives of </w:t>
      </w:r>
      <w:r w:rsidR="00487890">
        <w:t>customer</w:t>
      </w:r>
      <w:r w:rsidRPr="003D30AF">
        <w:t xml:space="preserve">s and those around them.  </w:t>
      </w:r>
      <w:r w:rsidR="00487890">
        <w:t>Customer</w:t>
      </w:r>
      <w:r w:rsidRPr="003D30AF">
        <w:t xml:space="preserve">s would be informed that they and their family members or </w:t>
      </w:r>
      <w:r>
        <w:t>household members</w:t>
      </w:r>
      <w:r w:rsidRPr="003D30AF">
        <w:t xml:space="preserve"> are free to not participate, </w:t>
      </w:r>
      <w:r>
        <w:t>that their decision to participate</w:t>
      </w:r>
      <w:r w:rsidRPr="003D30AF">
        <w:t xml:space="preserve"> will not affect the service they receive from </w:t>
      </w:r>
      <w:r w:rsidR="005E4D54">
        <w:t>DHS</w:t>
      </w:r>
      <w:r w:rsidRPr="003D30AF">
        <w:t xml:space="preserve">, and that if they agree to participate they can choose to withdraw at </w:t>
      </w:r>
      <w:r w:rsidR="0027588F" w:rsidRPr="003D30AF">
        <w:t>any time</w:t>
      </w:r>
      <w:r w:rsidRPr="003D30AF">
        <w:t>.</w:t>
      </w:r>
    </w:p>
    <w:p w:rsidR="0069353B" w:rsidRPr="003D30AF" w:rsidRDefault="00520CD5" w:rsidP="0069353B">
      <w:pPr>
        <w:pStyle w:val="BodyText"/>
      </w:pPr>
      <w:proofErr w:type="gramStart"/>
      <w:r>
        <w:t>Customer</w:t>
      </w:r>
      <w:r w:rsidR="0069353B">
        <w:t>s</w:t>
      </w:r>
      <w:proofErr w:type="gramEnd"/>
      <w:r w:rsidR="0069353B">
        <w:t xml:space="preserve"> who agree to participate, </w:t>
      </w:r>
      <w:r w:rsidR="0069353B" w:rsidRPr="003D30AF">
        <w:t xml:space="preserve">would be asked to nominate two other </w:t>
      </w:r>
      <w:r w:rsidR="0069353B">
        <w:t xml:space="preserve">adult </w:t>
      </w:r>
      <w:r w:rsidR="0069353B" w:rsidRPr="003D30AF">
        <w:t>family or household members who could also be interviewed and to provide their contact details so that they could also be invited to participate. SRC would then contact these nominated people and seek their consent to participate. The nominated participants would also be informed that their participation is entirely voluntary and that they could withdraw at any time.</w:t>
      </w:r>
    </w:p>
    <w:p w:rsidR="0069353B" w:rsidRPr="00796924" w:rsidRDefault="0069353B" w:rsidP="0069353B">
      <w:pPr>
        <w:pStyle w:val="Heading2"/>
      </w:pPr>
      <w:bookmarkStart w:id="137" w:name="_Toc321835697"/>
      <w:bookmarkStart w:id="138" w:name="_Toc342495241"/>
      <w:r>
        <w:t>Online surveys</w:t>
      </w:r>
      <w:bookmarkEnd w:id="137"/>
      <w:bookmarkEnd w:id="138"/>
    </w:p>
    <w:p w:rsidR="0069353B" w:rsidRDefault="005E4D54" w:rsidP="0069353B">
      <w:pPr>
        <w:pStyle w:val="Heading3"/>
      </w:pPr>
      <w:r>
        <w:t>DHS</w:t>
      </w:r>
      <w:r w:rsidR="0069353B">
        <w:t xml:space="preserve"> staff survey</w:t>
      </w:r>
    </w:p>
    <w:p w:rsidR="000916D1" w:rsidRDefault="0069353B" w:rsidP="0069353B">
      <w:pPr>
        <w:pStyle w:val="BodyText"/>
      </w:pPr>
      <w:r>
        <w:t xml:space="preserve">The experiences of </w:t>
      </w:r>
      <w:r w:rsidR="005E4D54">
        <w:t>DHS</w:t>
      </w:r>
      <w:r>
        <w:t xml:space="preserve"> staff involved in service delivery of income management will be captured thr</w:t>
      </w:r>
      <w:r w:rsidR="000916D1">
        <w:t>ough an online survey in 201</w:t>
      </w:r>
      <w:r w:rsidR="009674B1">
        <w:t>3</w:t>
      </w:r>
      <w:r>
        <w:t xml:space="preserve"> and again in 2014. This</w:t>
      </w:r>
      <w:r w:rsidR="000916D1">
        <w:t xml:space="preserve"> first wave of the </w:t>
      </w:r>
      <w:r>
        <w:t>survey will</w:t>
      </w:r>
      <w:r w:rsidR="000916D1">
        <w:t xml:space="preserve"> be more focussed on issues related to the process of implementation, while the survey in 2014 will be focussed on the assessment of the impact of income management</w:t>
      </w:r>
      <w:r w:rsidR="009C2C8F">
        <w:t xml:space="preserve"> </w:t>
      </w:r>
      <w:r w:rsidR="000916D1">
        <w:t xml:space="preserve">on </w:t>
      </w:r>
      <w:r w:rsidR="00520CD5">
        <w:t>customer</w:t>
      </w:r>
      <w:r w:rsidR="000916D1">
        <w:t xml:space="preserve"> outcomes. </w:t>
      </w:r>
    </w:p>
    <w:p w:rsidR="0069353B" w:rsidRDefault="000916D1" w:rsidP="0069353B">
      <w:pPr>
        <w:pStyle w:val="BodyText"/>
      </w:pPr>
      <w:r>
        <w:lastRenderedPageBreak/>
        <w:t xml:space="preserve">Some of </w:t>
      </w:r>
      <w:r w:rsidR="00AF28DC">
        <w:t xml:space="preserve">the </w:t>
      </w:r>
      <w:r>
        <w:t>themes that will be covered in the online surveys will include</w:t>
      </w:r>
      <w:r w:rsidR="0069353B">
        <w:t>:</w:t>
      </w:r>
    </w:p>
    <w:p w:rsidR="0069353B" w:rsidRDefault="0069353B" w:rsidP="0069353B">
      <w:pPr>
        <w:pStyle w:val="Bullet1"/>
      </w:pPr>
      <w:r>
        <w:t>any barriers or facilitators to implementation;</w:t>
      </w:r>
    </w:p>
    <w:p w:rsidR="0069353B" w:rsidRDefault="0069353B" w:rsidP="0069353B">
      <w:pPr>
        <w:pStyle w:val="Bullet1"/>
      </w:pPr>
      <w:r>
        <w:t>the perceived impact of PBIM;</w:t>
      </w:r>
    </w:p>
    <w:p w:rsidR="0069353B" w:rsidRDefault="0069353B" w:rsidP="0069353B">
      <w:pPr>
        <w:pStyle w:val="Bullet1"/>
      </w:pPr>
      <w:r>
        <w:t>any differences in implementation or impact across the measures:</w:t>
      </w:r>
    </w:p>
    <w:p w:rsidR="000916D1" w:rsidRDefault="0069353B" w:rsidP="0069353B">
      <w:pPr>
        <w:pStyle w:val="Bullet1"/>
      </w:pPr>
      <w:r>
        <w:t>the interaction between income management and related services (</w:t>
      </w:r>
      <w:r w:rsidR="0027588F">
        <w:t>e.g.</w:t>
      </w:r>
      <w:r>
        <w:t xml:space="preserve"> financial counselling and money management); </w:t>
      </w:r>
    </w:p>
    <w:p w:rsidR="0069353B" w:rsidRDefault="000916D1" w:rsidP="0069353B">
      <w:pPr>
        <w:pStyle w:val="Bullet1"/>
      </w:pPr>
      <w:r>
        <w:t xml:space="preserve">the perceived impact of income management on </w:t>
      </w:r>
      <w:r w:rsidR="00520CD5">
        <w:t>customer</w:t>
      </w:r>
      <w:r>
        <w:t xml:space="preserve"> outcomes; </w:t>
      </w:r>
      <w:r w:rsidR="0069353B">
        <w:t>and</w:t>
      </w:r>
    </w:p>
    <w:p w:rsidR="0069353B" w:rsidRDefault="0069353B" w:rsidP="0069353B">
      <w:pPr>
        <w:pStyle w:val="Bullet1"/>
      </w:pPr>
      <w:proofErr w:type="gramStart"/>
      <w:r>
        <w:t>views</w:t>
      </w:r>
      <w:proofErr w:type="gramEnd"/>
      <w:r>
        <w:t xml:space="preserve"> on how implementation might be improved.</w:t>
      </w:r>
    </w:p>
    <w:p w:rsidR="0069353B" w:rsidRDefault="0069353B" w:rsidP="0069353B">
      <w:pPr>
        <w:pStyle w:val="BodyText"/>
      </w:pPr>
      <w:r>
        <w:t xml:space="preserve">This online survey would be piloted with a small number of </w:t>
      </w:r>
      <w:r w:rsidR="005E4D54">
        <w:t>DHS</w:t>
      </w:r>
      <w:r w:rsidR="000916D1">
        <w:t xml:space="preserve"> staff in 2012</w:t>
      </w:r>
      <w:r>
        <w:t>, before being fielded more broadly with relevant staff</w:t>
      </w:r>
      <w:r w:rsidRPr="006268B7">
        <w:t xml:space="preserve"> </w:t>
      </w:r>
      <w:r>
        <w:t xml:space="preserve">involved in service delivery to income management </w:t>
      </w:r>
      <w:r w:rsidR="00520CD5">
        <w:t>customer</w:t>
      </w:r>
      <w:r>
        <w:t xml:space="preserve">s. </w:t>
      </w:r>
    </w:p>
    <w:p w:rsidR="0069353B" w:rsidRDefault="000916D1" w:rsidP="0069353B">
      <w:pPr>
        <w:pStyle w:val="BodyText"/>
      </w:pPr>
      <w:r>
        <w:t xml:space="preserve">In identifying the relevant </w:t>
      </w:r>
      <w:r w:rsidR="005E4D54">
        <w:t>DHS</w:t>
      </w:r>
      <w:r>
        <w:t xml:space="preserve"> staff target population for the survey</w:t>
      </w:r>
      <w:r w:rsidR="00AF28DC">
        <w:t>,</w:t>
      </w:r>
      <w:r>
        <w:t xml:space="preserve"> c</w:t>
      </w:r>
      <w:r w:rsidR="0069353B">
        <w:t>on</w:t>
      </w:r>
      <w:r>
        <w:t xml:space="preserve">sideration will be given to the respective roles of </w:t>
      </w:r>
      <w:r w:rsidR="005E4D54">
        <w:t>DHS</w:t>
      </w:r>
      <w:r w:rsidR="0069353B">
        <w:t xml:space="preserve"> Social Workers and Customer Service Officers</w:t>
      </w:r>
      <w:r>
        <w:t xml:space="preserve"> in the delivery of income management</w:t>
      </w:r>
      <w:r w:rsidR="0069353B">
        <w:t>.</w:t>
      </w:r>
    </w:p>
    <w:p w:rsidR="0069353B" w:rsidRDefault="0069353B" w:rsidP="0069353B">
      <w:pPr>
        <w:pStyle w:val="Heading3"/>
      </w:pPr>
      <w:r>
        <w:t>Money Management and Financial Counselling staff survey</w:t>
      </w:r>
    </w:p>
    <w:p w:rsidR="00B06F9C" w:rsidRDefault="0069353B" w:rsidP="0069353B">
      <w:pPr>
        <w:pStyle w:val="BodyText"/>
      </w:pPr>
      <w:r w:rsidRPr="00B06F9C">
        <w:t xml:space="preserve">An online survey of Money Management and Financial Counselling </w:t>
      </w:r>
      <w:r w:rsidR="00B06F9C" w:rsidRPr="00B06F9C">
        <w:t>staff will be undertaken in 201</w:t>
      </w:r>
      <w:r w:rsidR="009674B1">
        <w:t>3</w:t>
      </w:r>
      <w:r w:rsidR="00B06F9C" w:rsidRPr="00B06F9C">
        <w:t xml:space="preserve"> and 2014. The initial survey in 201</w:t>
      </w:r>
      <w:r w:rsidR="009674B1">
        <w:t>3</w:t>
      </w:r>
      <w:r w:rsidR="00B06F9C" w:rsidRPr="00B06F9C">
        <w:t xml:space="preserve"> will be focussed on the assessment of any issues related to implementation, while the survey in 2014 will be focussed on understanding what outcomes may have been achieved for </w:t>
      </w:r>
      <w:r w:rsidR="00520CD5">
        <w:t>customer</w:t>
      </w:r>
      <w:r w:rsidR="00B06F9C" w:rsidRPr="00B06F9C">
        <w:t>s.</w:t>
      </w:r>
    </w:p>
    <w:p w:rsidR="0069353B" w:rsidRDefault="00B06F9C" w:rsidP="0069353B">
      <w:pPr>
        <w:pStyle w:val="BodyText"/>
      </w:pPr>
      <w:r>
        <w:t xml:space="preserve">The themes that will </w:t>
      </w:r>
      <w:r w:rsidR="00FB0D24">
        <w:t xml:space="preserve">be </w:t>
      </w:r>
      <w:r>
        <w:t>canvassed in the 2012 survey include</w:t>
      </w:r>
      <w:r w:rsidR="0069353B">
        <w:t>:</w:t>
      </w:r>
    </w:p>
    <w:p w:rsidR="0069353B" w:rsidRDefault="0069353B" w:rsidP="0069353B">
      <w:pPr>
        <w:pStyle w:val="Bullet1"/>
      </w:pPr>
      <w:r>
        <w:t xml:space="preserve">The degree to which income management </w:t>
      </w:r>
      <w:r w:rsidR="00520CD5">
        <w:t>customer</w:t>
      </w:r>
      <w:r>
        <w:t>s have engaged with these services;</w:t>
      </w:r>
    </w:p>
    <w:p w:rsidR="0069353B" w:rsidRDefault="0069353B" w:rsidP="0069353B">
      <w:pPr>
        <w:pStyle w:val="Bullet1"/>
      </w:pPr>
      <w:r>
        <w:t xml:space="preserve">Perceptions as to the impact of the financial counselling and money management courses on outcomes for </w:t>
      </w:r>
      <w:r w:rsidR="00520CD5">
        <w:t>customer</w:t>
      </w:r>
      <w:r>
        <w:t>s;</w:t>
      </w:r>
    </w:p>
    <w:p w:rsidR="0069353B" w:rsidRDefault="0069353B" w:rsidP="0069353B">
      <w:pPr>
        <w:pStyle w:val="Bullet1"/>
      </w:pPr>
      <w:r>
        <w:t xml:space="preserve">Any improvements which could be made to the process of engaging or referring income management </w:t>
      </w:r>
      <w:r w:rsidR="00520CD5">
        <w:t>customer</w:t>
      </w:r>
      <w:r>
        <w:t>s to these services;</w:t>
      </w:r>
      <w:r w:rsidR="0008610C">
        <w:t xml:space="preserve"> and</w:t>
      </w:r>
    </w:p>
    <w:p w:rsidR="0069353B" w:rsidRDefault="0069353B" w:rsidP="0069353B">
      <w:pPr>
        <w:pStyle w:val="Bullet1"/>
      </w:pPr>
      <w:r>
        <w:t xml:space="preserve">Whether existing courses and services </w:t>
      </w:r>
      <w:r w:rsidR="004C1A9B">
        <w:t xml:space="preserve">are </w:t>
      </w:r>
      <w:r>
        <w:t xml:space="preserve">well targeted to the needs of income management </w:t>
      </w:r>
      <w:r w:rsidR="00520CD5">
        <w:t>customer</w:t>
      </w:r>
      <w:r>
        <w:t>s.</w:t>
      </w:r>
    </w:p>
    <w:p w:rsidR="0069353B" w:rsidRDefault="0069353B" w:rsidP="0069353B">
      <w:pPr>
        <w:pStyle w:val="BodyText"/>
      </w:pPr>
      <w:r>
        <w:t>The online survey would be piloted with a small number of money management and counselling staff</w:t>
      </w:r>
      <w:r w:rsidR="00975D2E">
        <w:t xml:space="preserve"> in 2012</w:t>
      </w:r>
      <w:r>
        <w:t xml:space="preserve">, before being fielded more broadly with relevant staff who have had contact with </w:t>
      </w:r>
      <w:r w:rsidR="00520CD5">
        <w:t>customer</w:t>
      </w:r>
      <w:r>
        <w:t>s on income management.</w:t>
      </w:r>
    </w:p>
    <w:p w:rsidR="0069353B" w:rsidRPr="007C7BA7" w:rsidRDefault="0069353B" w:rsidP="0069353B">
      <w:pPr>
        <w:pStyle w:val="Heading3"/>
      </w:pPr>
      <w:r>
        <w:t>BasicsCard Merchants survey</w:t>
      </w:r>
    </w:p>
    <w:p w:rsidR="00975D2E" w:rsidRDefault="0069353B" w:rsidP="0069353B">
      <w:pPr>
        <w:pStyle w:val="BodyText"/>
      </w:pPr>
      <w:r w:rsidRPr="00931293">
        <w:t>An online survey of merchants accepting Basic</w:t>
      </w:r>
      <w:r w:rsidR="00975D2E" w:rsidRPr="00931293">
        <w:t xml:space="preserve">sCards </w:t>
      </w:r>
      <w:r w:rsidR="009C2C8F">
        <w:t>will</w:t>
      </w:r>
      <w:r w:rsidR="00975D2E" w:rsidRPr="00931293">
        <w:t xml:space="preserve"> be undertaken in 201</w:t>
      </w:r>
      <w:r w:rsidR="009674B1">
        <w:t>3</w:t>
      </w:r>
      <w:r w:rsidR="00975D2E" w:rsidRPr="00931293">
        <w:t xml:space="preserve"> and 201</w:t>
      </w:r>
      <w:r w:rsidR="009674B1">
        <w:t>4</w:t>
      </w:r>
      <w:r w:rsidRPr="00931293">
        <w:t>,</w:t>
      </w:r>
      <w:r w:rsidR="00975D2E" w:rsidRPr="00931293">
        <w:t xml:space="preserve"> to examine the issues related to the process of implementation of the BasicsCards and any early issues that are arising.</w:t>
      </w:r>
      <w:r>
        <w:t xml:space="preserve"> </w:t>
      </w:r>
      <w:r w:rsidR="00975D2E">
        <w:t xml:space="preserve"> </w:t>
      </w:r>
    </w:p>
    <w:p w:rsidR="0069353B" w:rsidRDefault="00975D2E" w:rsidP="0069353B">
      <w:pPr>
        <w:pStyle w:val="BodyText"/>
      </w:pPr>
      <w:r>
        <w:t xml:space="preserve">The survey </w:t>
      </w:r>
      <w:r w:rsidR="009C2C8F">
        <w:t>will</w:t>
      </w:r>
      <w:r w:rsidR="0069353B">
        <w:t xml:space="preserve"> address the following issues:</w:t>
      </w:r>
    </w:p>
    <w:p w:rsidR="0069353B" w:rsidRDefault="0069353B" w:rsidP="0069353B">
      <w:pPr>
        <w:pStyle w:val="Bullet1"/>
      </w:pPr>
      <w:r>
        <w:t>Any notable changes in purchasing of household necessities and excluded goods;</w:t>
      </w:r>
    </w:p>
    <w:p w:rsidR="0069353B" w:rsidRDefault="0069353B" w:rsidP="0069353B">
      <w:pPr>
        <w:pStyle w:val="Bullet1"/>
      </w:pPr>
      <w:r>
        <w:t>Whether BasicsCard holders are managed any differently to other customers and if so in what ways;</w:t>
      </w:r>
    </w:p>
    <w:p w:rsidR="0069353B" w:rsidRDefault="0069353B" w:rsidP="0069353B">
      <w:pPr>
        <w:pStyle w:val="Bullet1"/>
      </w:pPr>
      <w:r>
        <w:lastRenderedPageBreak/>
        <w:t>Any perceived impacts on store costs or revenue related to the use of BasicsCards;</w:t>
      </w:r>
    </w:p>
    <w:p w:rsidR="0069353B" w:rsidRDefault="0069353B" w:rsidP="0069353B">
      <w:pPr>
        <w:pStyle w:val="BodyText"/>
      </w:pPr>
      <w:r>
        <w:t xml:space="preserve">This online survey </w:t>
      </w:r>
      <w:r w:rsidR="009C2C8F">
        <w:t>will</w:t>
      </w:r>
      <w:r>
        <w:t xml:space="preserve"> be piloted with a small number of merchants who accept Basic</w:t>
      </w:r>
      <w:r w:rsidR="00AF28DC">
        <w:t>s</w:t>
      </w:r>
      <w:r>
        <w:t>Cards in the place based income management sites, before being fielded more broadly with these merchants.</w:t>
      </w:r>
    </w:p>
    <w:p w:rsidR="0069353B" w:rsidRDefault="0069353B" w:rsidP="0069353B">
      <w:pPr>
        <w:pStyle w:val="Heading2"/>
      </w:pPr>
      <w:bookmarkStart w:id="139" w:name="_Toc321835698"/>
      <w:bookmarkStart w:id="140" w:name="_Toc342495242"/>
      <w:r>
        <w:t>Stakeholder interviews and focus groups</w:t>
      </w:r>
      <w:bookmarkEnd w:id="139"/>
      <w:bookmarkEnd w:id="140"/>
    </w:p>
    <w:p w:rsidR="007E5C19" w:rsidRDefault="009674B1" w:rsidP="007E5C19">
      <w:pPr>
        <w:pStyle w:val="Heading3"/>
      </w:pPr>
      <w:r>
        <w:t>Consultation with child protection workers</w:t>
      </w:r>
    </w:p>
    <w:p w:rsidR="0069353B" w:rsidRDefault="009674B1" w:rsidP="0069353B">
      <w:pPr>
        <w:pStyle w:val="BodyText"/>
      </w:pPr>
      <w:r>
        <w:t>Focus groups and/or interviews</w:t>
      </w:r>
      <w:r w:rsidR="0069353B">
        <w:t xml:space="preserve"> will be undertaken with </w:t>
      </w:r>
      <w:r w:rsidR="001A7242">
        <w:t xml:space="preserve">Child Protection staff </w:t>
      </w:r>
      <w:r w:rsidR="0069353B">
        <w:t xml:space="preserve">in each PBIM site </w:t>
      </w:r>
      <w:r w:rsidR="003A3BB6">
        <w:t>in 2012</w:t>
      </w:r>
      <w:r w:rsidR="0069353B">
        <w:t xml:space="preserve"> and 2014.  The purpose of these </w:t>
      </w:r>
      <w:r>
        <w:t xml:space="preserve">consultations </w:t>
      </w:r>
      <w:r w:rsidR="009C2C8F">
        <w:t>will</w:t>
      </w:r>
      <w:r w:rsidR="0069353B">
        <w:t xml:space="preserve"> be:</w:t>
      </w:r>
    </w:p>
    <w:p w:rsidR="008F386A" w:rsidRDefault="0069353B" w:rsidP="008F386A">
      <w:pPr>
        <w:pStyle w:val="Bullet1"/>
      </w:pPr>
      <w:r>
        <w:t>to gain insights into</w:t>
      </w:r>
      <w:r w:rsidR="001A7242">
        <w:t xml:space="preserve"> how income management is viewed as a tool by child protection staff</w:t>
      </w:r>
      <w:r>
        <w:t>;</w:t>
      </w:r>
    </w:p>
    <w:p w:rsidR="0069353B" w:rsidRDefault="0069353B" w:rsidP="001A7242">
      <w:pPr>
        <w:pStyle w:val="Bullet1"/>
      </w:pPr>
      <w:r>
        <w:t xml:space="preserve">to understand some of the </w:t>
      </w:r>
      <w:r w:rsidR="00520CD5">
        <w:t>customer</w:t>
      </w:r>
      <w:r>
        <w:t>s issues that may be emerging</w:t>
      </w:r>
      <w:r w:rsidR="001A7242">
        <w:t xml:space="preserve"> for the CPIM </w:t>
      </w:r>
      <w:r w:rsidR="00520CD5">
        <w:t>customer</w:t>
      </w:r>
      <w:r w:rsidR="001A7242">
        <w:t>s</w:t>
      </w:r>
      <w:r>
        <w:t xml:space="preserve">; and </w:t>
      </w:r>
    </w:p>
    <w:p w:rsidR="0069353B" w:rsidRDefault="0069353B" w:rsidP="0069353B">
      <w:pPr>
        <w:pStyle w:val="Bullet1"/>
      </w:pPr>
      <w:proofErr w:type="gramStart"/>
      <w:r>
        <w:t>to</w:t>
      </w:r>
      <w:proofErr w:type="gramEnd"/>
      <w:r>
        <w:t xml:space="preserve"> gather views on potential improvements to implementation.</w:t>
      </w:r>
    </w:p>
    <w:p w:rsidR="007E5C19" w:rsidRDefault="007E5C19" w:rsidP="007E5C19">
      <w:pPr>
        <w:pStyle w:val="Heading3"/>
      </w:pPr>
      <w:r>
        <w:t>Focus groups</w:t>
      </w:r>
      <w:r w:rsidR="009674B1">
        <w:t xml:space="preserve"> with DHS staff and other stakeholders</w:t>
      </w:r>
    </w:p>
    <w:p w:rsidR="0069353B" w:rsidRDefault="009674B1" w:rsidP="0069353B">
      <w:pPr>
        <w:pStyle w:val="BodyText"/>
      </w:pPr>
      <w:r>
        <w:t>F</w:t>
      </w:r>
      <w:r w:rsidR="0069353B">
        <w:t xml:space="preserve">ocus groups will be conducted in each of the sites </w:t>
      </w:r>
      <w:r>
        <w:t>in 2012 and 2014.  W</w:t>
      </w:r>
      <w:r w:rsidR="0069353B">
        <w:t>e would seek to include key community and departmental stakeholders in these groups, including:</w:t>
      </w:r>
    </w:p>
    <w:p w:rsidR="009674B1" w:rsidRDefault="009674B1" w:rsidP="009674B1">
      <w:pPr>
        <w:pStyle w:val="Bullet1"/>
      </w:pPr>
      <w:r>
        <w:t>Centrelink staff;</w:t>
      </w:r>
    </w:p>
    <w:p w:rsidR="0069353B" w:rsidRPr="00147F6D" w:rsidRDefault="0069353B" w:rsidP="0069353B">
      <w:pPr>
        <w:pStyle w:val="Bullet1"/>
      </w:pPr>
      <w:r w:rsidRPr="00147F6D">
        <w:t>public housing authorities;</w:t>
      </w:r>
    </w:p>
    <w:p w:rsidR="00147F6D" w:rsidRPr="00147F6D" w:rsidRDefault="007B70C0" w:rsidP="0069353B">
      <w:pPr>
        <w:pStyle w:val="Bullet1"/>
      </w:pPr>
      <w:r>
        <w:t xml:space="preserve">DHS </w:t>
      </w:r>
      <w:r w:rsidR="00147F6D" w:rsidRPr="00147F6D">
        <w:t xml:space="preserve">Zone Income Management Coordinators; </w:t>
      </w:r>
    </w:p>
    <w:p w:rsidR="0069353B" w:rsidRPr="00147F6D" w:rsidRDefault="007B70C0" w:rsidP="00147F6D">
      <w:pPr>
        <w:pStyle w:val="Bullet1"/>
      </w:pPr>
      <w:r>
        <w:t xml:space="preserve">DHS </w:t>
      </w:r>
      <w:r w:rsidR="000916D1" w:rsidRPr="00147F6D">
        <w:t>Government Action Leaders (GALs</w:t>
      </w:r>
      <w:r w:rsidR="0069353B" w:rsidRPr="00147F6D">
        <w:t>)</w:t>
      </w:r>
      <w:r w:rsidR="00147F6D" w:rsidRPr="00147F6D">
        <w:t xml:space="preserve"> and </w:t>
      </w:r>
      <w:r>
        <w:t xml:space="preserve">BAFW </w:t>
      </w:r>
      <w:r w:rsidR="00147F6D" w:rsidRPr="00147F6D">
        <w:t>Community Action Leaders (CALs)</w:t>
      </w:r>
      <w:r w:rsidR="0069353B" w:rsidRPr="00147F6D">
        <w:t xml:space="preserve"> involved in the implementation</w:t>
      </w:r>
      <w:r w:rsidR="00147F6D" w:rsidRPr="00147F6D">
        <w:t xml:space="preserve"> of the Better Futures, Local Solutions</w:t>
      </w:r>
      <w:r w:rsidR="0069353B" w:rsidRPr="00147F6D">
        <w:t xml:space="preserve">; and </w:t>
      </w:r>
    </w:p>
    <w:p w:rsidR="0069353B" w:rsidRPr="00147F6D" w:rsidRDefault="0069353B" w:rsidP="0069353B">
      <w:pPr>
        <w:pStyle w:val="Bullet1"/>
      </w:pPr>
      <w:r w:rsidRPr="00147F6D">
        <w:t xml:space="preserve">Community and non-government organisations who may have contact with income management </w:t>
      </w:r>
      <w:r w:rsidR="00520CD5">
        <w:t>customer</w:t>
      </w:r>
      <w:r w:rsidRPr="00147F6D">
        <w:t>s, for example through the Communities for Children program.</w:t>
      </w:r>
    </w:p>
    <w:p w:rsidR="007E5C19" w:rsidRDefault="008F386A" w:rsidP="0069353B">
      <w:pPr>
        <w:pStyle w:val="BodyText"/>
      </w:pPr>
      <w:r>
        <w:t>The focus group</w:t>
      </w:r>
      <w:r w:rsidR="00C70668">
        <w:t>s</w:t>
      </w:r>
      <w:r>
        <w:t xml:space="preserve"> </w:t>
      </w:r>
      <w:r w:rsidR="009C2C8F">
        <w:t>will</w:t>
      </w:r>
      <w:r>
        <w:t xml:space="preserve"> </w:t>
      </w:r>
      <w:r w:rsidR="007E5C19">
        <w:t>attempt to capture:</w:t>
      </w:r>
    </w:p>
    <w:p w:rsidR="007E5C19" w:rsidRDefault="008F386A" w:rsidP="007E5C19">
      <w:pPr>
        <w:pStyle w:val="Bullet1"/>
      </w:pPr>
      <w:r>
        <w:t xml:space="preserve">the impacts of the local mix of services on </w:t>
      </w:r>
      <w:r w:rsidR="00520CD5">
        <w:t>customer</w:t>
      </w:r>
      <w:r>
        <w:t xml:space="preserve"> outcomes</w:t>
      </w:r>
      <w:r w:rsidR="001118BD">
        <w:t>;</w:t>
      </w:r>
      <w:r>
        <w:t xml:space="preserve"> </w:t>
      </w:r>
    </w:p>
    <w:p w:rsidR="007E5C19" w:rsidRDefault="008F386A" w:rsidP="007E5C19">
      <w:pPr>
        <w:pStyle w:val="Bullet1"/>
      </w:pPr>
      <w:r>
        <w:t xml:space="preserve">the interaction between </w:t>
      </w:r>
      <w:r w:rsidR="007E5C19">
        <w:t xml:space="preserve">income management and </w:t>
      </w:r>
      <w:r>
        <w:t>local services</w:t>
      </w:r>
      <w:r w:rsidR="007E5C19">
        <w:t xml:space="preserve"> for vulnerable families and how this might impact of </w:t>
      </w:r>
      <w:r w:rsidR="00520CD5">
        <w:t>customer</w:t>
      </w:r>
      <w:r w:rsidR="007E5C19">
        <w:t xml:space="preserve"> outcomes; </w:t>
      </w:r>
      <w:r>
        <w:t xml:space="preserve"> </w:t>
      </w:r>
    </w:p>
    <w:p w:rsidR="001118BD" w:rsidRDefault="008F386A" w:rsidP="001118BD">
      <w:pPr>
        <w:pStyle w:val="Bullet1"/>
      </w:pPr>
      <w:r>
        <w:t>how community support or concern</w:t>
      </w:r>
      <w:r w:rsidR="00536A88">
        <w:t xml:space="preserve"> (such as anti-income management campaigns)</w:t>
      </w:r>
      <w:r>
        <w:t xml:space="preserve"> may be influencing implementation </w:t>
      </w:r>
      <w:r w:rsidR="007E5C19">
        <w:t>and impact of income management; and</w:t>
      </w:r>
    </w:p>
    <w:p w:rsidR="008F386A" w:rsidRDefault="00AF28DC" w:rsidP="001118BD">
      <w:pPr>
        <w:pStyle w:val="Bullet1"/>
      </w:pPr>
      <w:proofErr w:type="gramStart"/>
      <w:r>
        <w:t>a</w:t>
      </w:r>
      <w:r w:rsidR="001118BD">
        <w:t>ny</w:t>
      </w:r>
      <w:proofErr w:type="gramEnd"/>
      <w:r w:rsidR="001118BD">
        <w:t xml:space="preserve"> local factors, including demography and the cultural mix of the welfare recipient population, which might influence the success of income management.</w:t>
      </w:r>
      <w:r w:rsidR="008F386A">
        <w:t xml:space="preserve"> </w:t>
      </w:r>
    </w:p>
    <w:p w:rsidR="0069353B" w:rsidRDefault="008F386A" w:rsidP="0069353B">
      <w:pPr>
        <w:pStyle w:val="BodyText"/>
      </w:pPr>
      <w:r>
        <w:t>The</w:t>
      </w:r>
      <w:r w:rsidR="0069353B">
        <w:t xml:space="preserve"> list</w:t>
      </w:r>
      <w:r>
        <w:t xml:space="preserve"> of stakeholders</w:t>
      </w:r>
      <w:r w:rsidR="0069353B">
        <w:t xml:space="preserve"> may be modified over time to ensure that the views and experiences of the most relevant community members and departmental staff can be included over the course of the evaluation.</w:t>
      </w:r>
    </w:p>
    <w:p w:rsidR="006644E8" w:rsidRDefault="006644E8" w:rsidP="006644E8">
      <w:pPr>
        <w:pStyle w:val="Heading2"/>
      </w:pPr>
      <w:bookmarkStart w:id="141" w:name="_Toc342495243"/>
      <w:r>
        <w:lastRenderedPageBreak/>
        <w:t>Child protection case file analysis</w:t>
      </w:r>
      <w:bookmarkEnd w:id="141"/>
    </w:p>
    <w:p w:rsidR="008137DA" w:rsidRDefault="006644E8" w:rsidP="001036CF">
      <w:pPr>
        <w:pStyle w:val="BodyText"/>
      </w:pPr>
      <w:r>
        <w:t xml:space="preserve">Noting that the </w:t>
      </w:r>
      <w:r w:rsidR="008137DA">
        <w:t xml:space="preserve">initial </w:t>
      </w:r>
      <w:r>
        <w:t xml:space="preserve">numbers of Centrelink customers being referred to CPIM </w:t>
      </w:r>
      <w:r w:rsidR="008137DA">
        <w:t>has proven</w:t>
      </w:r>
      <w:r>
        <w:t xml:space="preserve"> to be </w:t>
      </w:r>
      <w:r w:rsidR="008137DA">
        <w:t xml:space="preserve">considerably </w:t>
      </w:r>
      <w:r>
        <w:t>small</w:t>
      </w:r>
      <w:r w:rsidR="008137DA">
        <w:t>er than expected</w:t>
      </w:r>
      <w:r>
        <w:t xml:space="preserve">, the possibility of in-depth analysis of </w:t>
      </w:r>
      <w:r w:rsidR="008137DA">
        <w:t>the</w:t>
      </w:r>
      <w:r>
        <w:t xml:space="preserve"> child protection case files </w:t>
      </w:r>
      <w:r w:rsidR="00F85503">
        <w:t>of</w:t>
      </w:r>
      <w:r w:rsidR="008137DA">
        <w:t xml:space="preserve"> customers</w:t>
      </w:r>
      <w:r w:rsidR="00F85503">
        <w:t xml:space="preserve"> referred to CPIM</w:t>
      </w:r>
      <w:r w:rsidR="008137DA">
        <w:t xml:space="preserve"> </w:t>
      </w:r>
      <w:r>
        <w:t>will be considered</w:t>
      </w:r>
      <w:r w:rsidR="003A3BB6">
        <w:t xml:space="preserve"> as part of the evaluation methodology</w:t>
      </w:r>
      <w:r>
        <w:t>.</w:t>
      </w:r>
      <w:r w:rsidR="008137DA">
        <w:t xml:space="preserve"> Th</w:t>
      </w:r>
      <w:r w:rsidR="00F85503">
        <w:t>e purpose of this</w:t>
      </w:r>
      <w:r w:rsidR="008137DA">
        <w:t xml:space="preserve"> case file analysis would be to determine the impact of CPIM on</w:t>
      </w:r>
      <w:r w:rsidR="00F85503">
        <w:t xml:space="preserve"> outcomes such as</w:t>
      </w:r>
      <w:r w:rsidR="008137DA">
        <w:t xml:space="preserve"> reunifications, documented child neglect, and </w:t>
      </w:r>
      <w:r w:rsidR="00F85503">
        <w:t xml:space="preserve">the length of </w:t>
      </w:r>
      <w:r w:rsidR="008137DA">
        <w:t xml:space="preserve">engagement of these families with child protection services. </w:t>
      </w:r>
    </w:p>
    <w:p w:rsidR="008137DA" w:rsidRDefault="008137DA" w:rsidP="001036CF">
      <w:pPr>
        <w:pStyle w:val="BodyText"/>
      </w:pPr>
      <w:r>
        <w:t xml:space="preserve">This approach was not </w:t>
      </w:r>
      <w:r w:rsidR="00605534">
        <w:t xml:space="preserve">considered as </w:t>
      </w:r>
      <w:r>
        <w:t>part of the original evaluation approach, which had assumed a larger number of customers being referred to CPIM and therefore had a greater focus on the use of administrative child protection data. Hence</w:t>
      </w:r>
      <w:r w:rsidR="00255A72">
        <w:t>,</w:t>
      </w:r>
      <w:r>
        <w:t xml:space="preserve"> it should be noted that the use of child protection case file analysis has not yet been subject to ethics approval. Once a methodology for the case file analysis has been agreed, this component of the evaluation will be subject to ethics approval via submission as an amendment to the current ethics application.  </w:t>
      </w:r>
    </w:p>
    <w:p w:rsidR="006644E8" w:rsidRDefault="008137DA" w:rsidP="001036CF">
      <w:pPr>
        <w:pStyle w:val="BodyText"/>
      </w:pPr>
      <w:r>
        <w:t xml:space="preserve">The approach to child protection case file analysis will also need to be agreed with jurisdictions, </w:t>
      </w:r>
      <w:r w:rsidR="00F85503">
        <w:t>including</w:t>
      </w:r>
      <w:r>
        <w:t xml:space="preserve"> the best means of accessing case file information.  This may involve examining both electronic and hard copy file information for </w:t>
      </w:r>
      <w:r w:rsidR="00696208">
        <w:t xml:space="preserve">CPIM </w:t>
      </w:r>
      <w:r>
        <w:t>customers. We will also consider seeking consent from CPIM customers to access their case files as part of the longitudinal tele</w:t>
      </w:r>
      <w:r w:rsidR="003A3BB6">
        <w:t>phone survey of PBIM customers, noting that this may have an impact of the willingness of these clients to be involved in an ongoing way with the survey.</w:t>
      </w:r>
    </w:p>
    <w:p w:rsidR="008137DA" w:rsidRPr="006644E8" w:rsidRDefault="008137DA" w:rsidP="001036CF">
      <w:pPr>
        <w:pStyle w:val="BodyText"/>
      </w:pPr>
      <w:r>
        <w:t xml:space="preserve">Given the </w:t>
      </w:r>
      <w:r w:rsidR="00F85503">
        <w:t>types</w:t>
      </w:r>
      <w:r>
        <w:t xml:space="preserve"> of outcomes we would like to explore in the case file analysis (i.</w:t>
      </w:r>
      <w:r w:rsidR="00DC189F">
        <w:t>e. reunifications, documented</w:t>
      </w:r>
      <w:r>
        <w:t xml:space="preserve"> child neglect, length of engagement with child protection services), we would need to undertake the case file analysis </w:t>
      </w:r>
      <w:r w:rsidR="00F72E59">
        <w:t>towards</w:t>
      </w:r>
      <w:r w:rsidR="00685938">
        <w:t xml:space="preserve"> the end of the evaluation period, to enable sufficient time post</w:t>
      </w:r>
      <w:r w:rsidR="00DC189F">
        <w:t>-</w:t>
      </w:r>
      <w:r w:rsidR="00685938">
        <w:t xml:space="preserve">referral to CPIM to accrue. At this stage we anticipate undertaking the child protection case file analysis at the end of 2014. </w:t>
      </w:r>
      <w:r>
        <w:t xml:space="preserve"> </w:t>
      </w:r>
    </w:p>
    <w:p w:rsidR="00796924" w:rsidRDefault="00796924" w:rsidP="00796924">
      <w:pPr>
        <w:pStyle w:val="Heading2"/>
      </w:pPr>
      <w:bookmarkStart w:id="142" w:name="_Toc342495244"/>
      <w:r>
        <w:t>Analysis of secondary data</w:t>
      </w:r>
      <w:bookmarkEnd w:id="142"/>
    </w:p>
    <w:p w:rsidR="00174C03" w:rsidRDefault="00174C03" w:rsidP="00174C03">
      <w:pPr>
        <w:pStyle w:val="BodyText"/>
      </w:pPr>
      <w:r>
        <w:t>The analysis of secondary data, principally administrative data, is a key component of the mixed-methods approach to the evaluation.  Analysing data generated as part of the Income Management process and related processes provides a critical underpinning in evaluating Income Management itself and in validating stated perceptions and outcomes from participants involved in the program.</w:t>
      </w:r>
    </w:p>
    <w:p w:rsidR="00174C03" w:rsidRDefault="00174C03" w:rsidP="00174C03">
      <w:pPr>
        <w:pStyle w:val="Heading3"/>
      </w:pPr>
      <w:r>
        <w:t>Measurements derived from secondary data for evaluating PBIM</w:t>
      </w:r>
    </w:p>
    <w:p w:rsidR="00174C03" w:rsidRDefault="00174C03" w:rsidP="00174C03">
      <w:pPr>
        <w:pStyle w:val="BodyText"/>
      </w:pPr>
      <w:r>
        <w:t xml:space="preserve">The evaluation is framed around specific questions which address (i) PBIM processes and (ii) PBIM outcomes.  The </w:t>
      </w:r>
      <w:r w:rsidRPr="003D10F6">
        <w:rPr>
          <w:i/>
        </w:rPr>
        <w:t>Process Evaluation</w:t>
      </w:r>
      <w:r>
        <w:t xml:space="preserve"> is about implementing the program and corresponds to the activities and outputs section of the program logic.  The </w:t>
      </w:r>
      <w:r w:rsidRPr="004C11CF">
        <w:rPr>
          <w:i/>
        </w:rPr>
        <w:t>Outcome Evaluation</w:t>
      </w:r>
      <w:r>
        <w:t xml:space="preserve"> relates to the short term and medium term components of the program logic.</w:t>
      </w:r>
    </w:p>
    <w:p w:rsidR="00246D57" w:rsidRDefault="00A232B5" w:rsidP="00174C03">
      <w:pPr>
        <w:pStyle w:val="BodyText"/>
      </w:pPr>
      <w:r>
        <w:rPr>
          <w:rStyle w:val="Boldword"/>
          <w:color w:val="17365D" w:themeColor="text2" w:themeShade="BF"/>
        </w:rPr>
        <w:t>A</w:t>
      </w:r>
      <w:r w:rsidR="00F5687E">
        <w:rPr>
          <w:rStyle w:val="Boldword"/>
          <w:color w:val="17365D" w:themeColor="text2" w:themeShade="BF"/>
        </w:rPr>
        <w:t>n extensive number</w:t>
      </w:r>
      <w:r>
        <w:rPr>
          <w:rStyle w:val="Boldword"/>
          <w:color w:val="17365D" w:themeColor="text2" w:themeShade="BF"/>
        </w:rPr>
        <w:t xml:space="preserve"> of</w:t>
      </w:r>
      <w:r w:rsidR="00246D57" w:rsidRPr="00246D57">
        <w:rPr>
          <w:rStyle w:val="Boldword"/>
          <w:color w:val="17365D" w:themeColor="text2" w:themeShade="BF"/>
        </w:rPr>
        <w:t xml:space="preserve"> secondary data sources and data items </w:t>
      </w:r>
      <w:r>
        <w:rPr>
          <w:rStyle w:val="Boldword"/>
          <w:color w:val="17365D" w:themeColor="text2" w:themeShade="BF"/>
        </w:rPr>
        <w:t xml:space="preserve">are being considered for evaluating the program.  Those which will </w:t>
      </w:r>
      <w:r w:rsidR="00246D57" w:rsidRPr="00246D57">
        <w:rPr>
          <w:rStyle w:val="Boldword"/>
          <w:color w:val="17365D" w:themeColor="text2" w:themeShade="BF"/>
        </w:rPr>
        <w:t xml:space="preserve">ultimately </w:t>
      </w:r>
      <w:r>
        <w:rPr>
          <w:rStyle w:val="Boldword"/>
          <w:color w:val="17365D" w:themeColor="text2" w:themeShade="BF"/>
        </w:rPr>
        <w:t xml:space="preserve">be </w:t>
      </w:r>
      <w:r w:rsidR="00246D57" w:rsidRPr="00246D57">
        <w:rPr>
          <w:rStyle w:val="Boldword"/>
          <w:color w:val="17365D" w:themeColor="text2" w:themeShade="BF"/>
        </w:rPr>
        <w:t xml:space="preserve">used </w:t>
      </w:r>
      <w:r>
        <w:rPr>
          <w:rStyle w:val="Boldword"/>
          <w:color w:val="17365D" w:themeColor="text2" w:themeShade="BF"/>
        </w:rPr>
        <w:t>are</w:t>
      </w:r>
      <w:r w:rsidR="00246D57" w:rsidRPr="00246D57">
        <w:rPr>
          <w:rStyle w:val="Boldword"/>
          <w:color w:val="17365D" w:themeColor="text2" w:themeShade="BF"/>
        </w:rPr>
        <w:t xml:space="preserve"> yet to be finalised a</w:t>
      </w:r>
      <w:r>
        <w:rPr>
          <w:rStyle w:val="Boldword"/>
          <w:color w:val="17365D" w:themeColor="text2" w:themeShade="BF"/>
        </w:rPr>
        <w:t xml:space="preserve">s </w:t>
      </w:r>
      <w:r>
        <w:rPr>
          <w:rStyle w:val="Boldword"/>
          <w:color w:val="17365D" w:themeColor="text2" w:themeShade="BF"/>
        </w:rPr>
        <w:lastRenderedPageBreak/>
        <w:t>they</w:t>
      </w:r>
      <w:r w:rsidR="00246D57" w:rsidRPr="00246D57">
        <w:rPr>
          <w:rStyle w:val="Boldword"/>
          <w:color w:val="17365D" w:themeColor="text2" w:themeShade="BF"/>
        </w:rPr>
        <w:t xml:space="preserve"> </w:t>
      </w:r>
      <w:r w:rsidR="00F5687E">
        <w:rPr>
          <w:rStyle w:val="Boldword"/>
          <w:color w:val="17365D" w:themeColor="text2" w:themeShade="BF"/>
        </w:rPr>
        <w:t>require detailed</w:t>
      </w:r>
      <w:r w:rsidR="00246D57" w:rsidRPr="00246D57">
        <w:rPr>
          <w:rStyle w:val="Boldword"/>
          <w:color w:val="17365D" w:themeColor="text2" w:themeShade="BF"/>
        </w:rPr>
        <w:t xml:space="preserve"> assessment regarding their utility for addressing PBIM evaluation questions and further discussions with jurisdictions regarding access.</w:t>
      </w:r>
    </w:p>
    <w:p w:rsidR="00174C03" w:rsidRDefault="00174C03" w:rsidP="00174C03">
      <w:pPr>
        <w:pStyle w:val="BodyText"/>
      </w:pPr>
      <w:r>
        <w:t xml:space="preserve">While the </w:t>
      </w:r>
      <w:r w:rsidR="006406A8">
        <w:t>possible</w:t>
      </w:r>
      <w:r>
        <w:t xml:space="preserve"> measurement</w:t>
      </w:r>
      <w:r w:rsidR="003A3BB6">
        <w:t>s derived from secondary data are</w:t>
      </w:r>
      <w:r>
        <w:t xml:space="preserve"> extensive</w:t>
      </w:r>
      <w:r w:rsidR="003A3BB6">
        <w:t>,</w:t>
      </w:r>
      <w:r>
        <w:t xml:space="preserve"> it should be emphasised that the analysis of secondary data is only a part of the evaluation.  The analysis of primary data complements the analysis of secondary data and fills any gaps which cannot be addressed by the secondary data.</w:t>
      </w:r>
    </w:p>
    <w:p w:rsidR="00174C03" w:rsidRDefault="00174C03" w:rsidP="00174C03">
      <w:pPr>
        <w:pStyle w:val="BodyText"/>
      </w:pPr>
      <w:r>
        <w:t xml:space="preserve">Secondary data measurements used in the </w:t>
      </w:r>
      <w:r w:rsidRPr="003B4488">
        <w:rPr>
          <w:i/>
        </w:rPr>
        <w:t>Process Evaluation</w:t>
      </w:r>
      <w:r>
        <w:t xml:space="preserve"> focus on</w:t>
      </w:r>
      <w:r w:rsidR="006406A8">
        <w:t xml:space="preserve"> issues such as</w:t>
      </w:r>
      <w:r>
        <w:t>:</w:t>
      </w:r>
    </w:p>
    <w:p w:rsidR="00174C03" w:rsidRDefault="00174C03" w:rsidP="00174C03">
      <w:pPr>
        <w:pStyle w:val="Bullet1"/>
      </w:pPr>
      <w:r>
        <w:t>Participation in PBIM and various components of the program.</w:t>
      </w:r>
    </w:p>
    <w:p w:rsidR="00174C03" w:rsidRDefault="00174C03" w:rsidP="00174C03">
      <w:pPr>
        <w:pStyle w:val="Bullet1"/>
      </w:pPr>
      <w:r>
        <w:t xml:space="preserve">Time to respond to </w:t>
      </w:r>
      <w:r w:rsidR="00520CD5">
        <w:t>customer</w:t>
      </w:r>
      <w:r>
        <w:t xml:space="preserve"> needs.</w:t>
      </w:r>
    </w:p>
    <w:p w:rsidR="00174C03" w:rsidRDefault="00174C03" w:rsidP="00174C03">
      <w:pPr>
        <w:pStyle w:val="Bullet1"/>
      </w:pPr>
      <w:r>
        <w:t>The number and type of services and resources available  (e.g. merchants, money management workers, case workers)</w:t>
      </w:r>
    </w:p>
    <w:p w:rsidR="00174C03" w:rsidRPr="00EF6FE9" w:rsidRDefault="00174C03" w:rsidP="00174C03">
      <w:pPr>
        <w:pStyle w:val="BodyText"/>
      </w:pPr>
      <w:r>
        <w:t>The measurements almost entirely relate to the tri</w:t>
      </w:r>
      <w:r w:rsidR="00301D0D">
        <w:t>a</w:t>
      </w:r>
      <w:r>
        <w:t xml:space="preserve">l sites only, as income management is only implemented in the trial LGAs.  A few of the measurements </w:t>
      </w:r>
      <w:r w:rsidR="005E39DA">
        <w:t>may</w:t>
      </w:r>
      <w:r>
        <w:t xml:space="preserve"> involve the comparison sites </w:t>
      </w:r>
      <w:r w:rsidR="005E39DA">
        <w:t>if</w:t>
      </w:r>
      <w:r>
        <w:t xml:space="preserve"> the activities they measure are present at the trial and comparison sites.  A comparative measure can be provided for these factors.</w:t>
      </w:r>
    </w:p>
    <w:p w:rsidR="00174C03" w:rsidRDefault="004956E7" w:rsidP="00174C03">
      <w:pPr>
        <w:pStyle w:val="BodyText"/>
      </w:pPr>
      <w:r>
        <w:t>Most</w:t>
      </w:r>
      <w:r w:rsidR="00174C03">
        <w:t xml:space="preserve"> measurements from the secondary data for the </w:t>
      </w:r>
      <w:r w:rsidR="00174C03" w:rsidRPr="00A514C5">
        <w:rPr>
          <w:i/>
        </w:rPr>
        <w:t>Outcome Evaluation</w:t>
      </w:r>
      <w:r w:rsidR="00174C03">
        <w:t xml:space="preserve"> are </w:t>
      </w:r>
      <w:r>
        <w:t xml:space="preserve">likely </w:t>
      </w:r>
      <w:proofErr w:type="gramStart"/>
      <w:r>
        <w:t>to  be</w:t>
      </w:r>
      <w:proofErr w:type="gramEnd"/>
      <w:r w:rsidR="00174C03">
        <w:t xml:space="preserve"> in terms of trends.  A successful outcome should relate to positive changes in behaviour which should be reflected in an improvement in a related measurement.  The secondary data measurements for the </w:t>
      </w:r>
      <w:r w:rsidR="00174C03" w:rsidRPr="00182383">
        <w:rPr>
          <w:i/>
        </w:rPr>
        <w:t>Outcome Evaluation</w:t>
      </w:r>
      <w:r w:rsidR="00174C03">
        <w:t xml:space="preserve"> can be summarised as follows:</w:t>
      </w:r>
    </w:p>
    <w:p w:rsidR="00174C03" w:rsidRDefault="00520CD5" w:rsidP="00174C03">
      <w:pPr>
        <w:pStyle w:val="Bullet1"/>
      </w:pPr>
      <w:r>
        <w:t>Customer</w:t>
      </w:r>
      <w:r w:rsidR="00174C03">
        <w:t>’s engagement with PBIM</w:t>
      </w:r>
      <w:r w:rsidR="00301D0D">
        <w:t xml:space="preserve"> (</w:t>
      </w:r>
      <w:r w:rsidR="004956E7">
        <w:t xml:space="preserve">e.g. </w:t>
      </w:r>
      <w:r w:rsidR="00301D0D">
        <w:t xml:space="preserve">how long they stay on </w:t>
      </w:r>
      <w:r w:rsidR="004956E7">
        <w:t>PBIM)</w:t>
      </w:r>
      <w:r w:rsidR="00174C03">
        <w:t>.</w:t>
      </w:r>
    </w:p>
    <w:p w:rsidR="00174C03" w:rsidRDefault="00174C03" w:rsidP="00174C03">
      <w:pPr>
        <w:pStyle w:val="Bullet1"/>
      </w:pPr>
      <w:r>
        <w:t>Engagement with the financial components of PBIM (</w:t>
      </w:r>
      <w:r w:rsidR="004956E7">
        <w:t xml:space="preserve">e.g. PBIM </w:t>
      </w:r>
      <w:r>
        <w:t>account balance).</w:t>
      </w:r>
    </w:p>
    <w:p w:rsidR="004956E7" w:rsidRDefault="004956E7">
      <w:pPr>
        <w:pStyle w:val="Bullet1"/>
      </w:pPr>
      <w:r>
        <w:t>Expenditure patterns of PBIM customers.</w:t>
      </w:r>
    </w:p>
    <w:p w:rsidR="004956E7" w:rsidRDefault="004956E7" w:rsidP="00174C03">
      <w:pPr>
        <w:pStyle w:val="Bullet1"/>
      </w:pPr>
      <w:r>
        <w:t>Life status statistics as can be provided by Commonwealth and State agencies.</w:t>
      </w:r>
    </w:p>
    <w:p w:rsidR="00174C03" w:rsidRDefault="00174C03" w:rsidP="00174C03">
      <w:pPr>
        <w:pStyle w:val="BodyText"/>
      </w:pPr>
      <w:r>
        <w:t xml:space="preserve">Most of these measurements </w:t>
      </w:r>
      <w:r w:rsidR="004956E7">
        <w:t xml:space="preserve">should </w:t>
      </w:r>
      <w:r>
        <w:t xml:space="preserve">relate to both the trial and comparison sites.  Those measurements which involve engagement with PBIM processes </w:t>
      </w:r>
      <w:r w:rsidR="004956E7">
        <w:t xml:space="preserve">will </w:t>
      </w:r>
      <w:r>
        <w:t>only relate to the trial sites.</w:t>
      </w:r>
    </w:p>
    <w:p w:rsidR="00174C03" w:rsidRDefault="00174C03" w:rsidP="00174C03">
      <w:pPr>
        <w:pStyle w:val="BodyText"/>
      </w:pPr>
      <w:r>
        <w:t>In analysing the effects of PBIM on the different measurements the variation across site will be taken into account and where relevant the trial and comparison sites compared.  Appropriate statistical tests will be conducted as required.  These could be a comparison of means, a fixed effects model or a test on distributions.</w:t>
      </w:r>
    </w:p>
    <w:p w:rsidR="00174C03" w:rsidRDefault="00174C03" w:rsidP="00174C03">
      <w:pPr>
        <w:pStyle w:val="BodyText"/>
      </w:pPr>
      <w:r>
        <w:t xml:space="preserve">The three PBIM measures have different referral paths, exit paths and purpose, thus they require separate evaluations even though many of the evaluation questions are common to all measures.  </w:t>
      </w:r>
    </w:p>
    <w:p w:rsidR="00174C03" w:rsidRDefault="00174C03" w:rsidP="00174C03">
      <w:pPr>
        <w:pStyle w:val="BodyText"/>
      </w:pPr>
      <w:r>
        <w:t>While the three PBIM measures have different primary constituents the activities within each PBIM measure is consistent across all sites and the goals are the same across all sites.  Consequently the evaluation has been commissioned from a national perspective.  The use of multiple trial and comparison sites is to provide variation for the evaluation and to assist in separating the effects of PBIM from other external effects rather than to analyse differences by site.  As differences across site will be taken into account in the analyses those factors where a site performs significantly differently from other sites will be identified.  As a result profiles of site specific differences can be collated.</w:t>
      </w:r>
    </w:p>
    <w:p w:rsidR="00174C03" w:rsidRDefault="00174C03" w:rsidP="00174C03">
      <w:pPr>
        <w:pStyle w:val="BodyText"/>
      </w:pPr>
      <w:r>
        <w:lastRenderedPageBreak/>
        <w:t>The process and outcome components of the program are evaluated separately.  However, note that implementation of PBIM has a direct effect on the effectiveness of the outcomes.  If the services delivering PBIM are not available, delayed or only partly available the desired outcomes cannot be achieved to their maximum and the likelihood of any desired outcome is heavily reduced.</w:t>
      </w:r>
    </w:p>
    <w:p w:rsidR="00174C03" w:rsidRPr="002C2077" w:rsidRDefault="00174C03" w:rsidP="00174C03">
      <w:pPr>
        <w:pStyle w:val="Heading3"/>
      </w:pPr>
      <w:r>
        <w:t xml:space="preserve">Evaluating </w:t>
      </w:r>
      <w:r w:rsidR="004C1A9B">
        <w:t>eligible</w:t>
      </w:r>
      <w:r w:rsidRPr="002C2077">
        <w:t xml:space="preserve"> </w:t>
      </w:r>
      <w:r>
        <w:t>populations and c</w:t>
      </w:r>
      <w:r w:rsidRPr="002C2077">
        <w:t>ommunities</w:t>
      </w:r>
    </w:p>
    <w:p w:rsidR="00174C03" w:rsidRDefault="00174C03" w:rsidP="00174C03">
      <w:pPr>
        <w:pStyle w:val="BodyText"/>
      </w:pPr>
      <w:r>
        <w:t xml:space="preserve">The evaluation considers the effect of PBIM on both individuals and families and on communities.  In terms of secondary data the evaluation of individuals and families relates to data associated with people on PBIM.  The effectiveness of PBIM on communities and the effective targeting of communities will be evaluated by analysing key indicators at a local area of geography (Statistical Area </w:t>
      </w:r>
      <w:r w:rsidR="00123CF7">
        <w:t xml:space="preserve">Level </w:t>
      </w:r>
      <w:r>
        <w:t xml:space="preserve">1).  </w:t>
      </w:r>
    </w:p>
    <w:p w:rsidR="00174C03" w:rsidRDefault="00174C03" w:rsidP="00174C03">
      <w:pPr>
        <w:pStyle w:val="BodyText"/>
      </w:pPr>
      <w:r>
        <w:t>PBIM is a program designed to assist particular segments of the population.  The Local Government Areas selected for the evaluation have been selected based on the prevalence of the target population within these areas.  However the size of the target populations within the LGAs is relatively small making it difficult to measure any effect on these populations at a total LGA level.  Localised populations are more likely to have concentrations of the target populations as people with similar needs tend to live within close proximity to one another.  Thus the effects of PBIM may be relevant and observable in some local geograph</w:t>
      </w:r>
      <w:r w:rsidR="00123CF7">
        <w:t>y</w:t>
      </w:r>
      <w:r>
        <w:t xml:space="preserve"> but not others.  Localised data will be required for both the trial and comparison sites.  </w:t>
      </w:r>
    </w:p>
    <w:p w:rsidR="00174C03" w:rsidRDefault="00174C03" w:rsidP="00174C03">
      <w:pPr>
        <w:pStyle w:val="BodyText"/>
      </w:pPr>
      <w:r>
        <w:t>This is an important facet of the evaluation and for it to be realised it is important that the secondary data can be resolved to a local area of geography.</w:t>
      </w:r>
    </w:p>
    <w:p w:rsidR="00174C03" w:rsidRPr="002C2077" w:rsidRDefault="00174C03" w:rsidP="00174C03">
      <w:pPr>
        <w:pStyle w:val="Heading3"/>
      </w:pPr>
      <w:r>
        <w:t>Data sources</w:t>
      </w:r>
    </w:p>
    <w:p w:rsidR="00513E4D" w:rsidRDefault="00513E4D" w:rsidP="00513E4D">
      <w:pPr>
        <w:pStyle w:val="BodyText"/>
      </w:pPr>
      <w:r>
        <w:rPr>
          <w:rStyle w:val="Boldword"/>
          <w:color w:val="17365D" w:themeColor="text2" w:themeShade="BF"/>
        </w:rPr>
        <w:t>As noted earlier, t</w:t>
      </w:r>
      <w:r w:rsidRPr="00246D57">
        <w:rPr>
          <w:rStyle w:val="Boldword"/>
          <w:color w:val="17365D" w:themeColor="text2" w:themeShade="BF"/>
        </w:rPr>
        <w:t>he secondary data sources and data items ultimately used in the evaluation have yet to be finalised and are subject to further assessment regarding their utility for addressing PBIM evaluation questions and further discussions with jurisdictions regarding access.</w:t>
      </w:r>
    </w:p>
    <w:p w:rsidR="00174C03" w:rsidRDefault="00627AF2" w:rsidP="00174C03">
      <w:pPr>
        <w:pStyle w:val="BodyText"/>
      </w:pPr>
      <w:r>
        <w:t>Data sources examined for potential inclusion in the evaluation include</w:t>
      </w:r>
      <w:r w:rsidR="00174C03">
        <w:t>:</w:t>
      </w:r>
    </w:p>
    <w:p w:rsidR="00174C03" w:rsidRDefault="005E4D54" w:rsidP="00174C03">
      <w:pPr>
        <w:pStyle w:val="Bullet1"/>
      </w:pPr>
      <w:r>
        <w:t>DHS</w:t>
      </w:r>
      <w:r w:rsidR="00174C03">
        <w:t xml:space="preserve"> administrative data which is a source of a number of key data sets namely,</w:t>
      </w:r>
    </w:p>
    <w:p w:rsidR="00174C03" w:rsidRDefault="00174C03" w:rsidP="00AF28DC">
      <w:pPr>
        <w:pStyle w:val="Bullet2"/>
      </w:pPr>
      <w:r>
        <w:t>Centrelink customer records of customers in the trial and comparison sites.</w:t>
      </w:r>
    </w:p>
    <w:p w:rsidR="00174C03" w:rsidRDefault="00174C03" w:rsidP="00AF28DC">
      <w:pPr>
        <w:pStyle w:val="Bullet2"/>
      </w:pPr>
      <w:r>
        <w:t>PBIM administrative data of persons on PBIM in the trial sites.</w:t>
      </w:r>
    </w:p>
    <w:p w:rsidR="00174C03" w:rsidRDefault="00174C03" w:rsidP="00AF28DC">
      <w:pPr>
        <w:pStyle w:val="Bullet2"/>
      </w:pPr>
      <w:r>
        <w:t xml:space="preserve">Income Management Account data of PBIM </w:t>
      </w:r>
      <w:r w:rsidR="00520CD5">
        <w:t>customer</w:t>
      </w:r>
      <w:r>
        <w:t>s in the trial sites.</w:t>
      </w:r>
    </w:p>
    <w:p w:rsidR="00174C03" w:rsidRDefault="00174C03" w:rsidP="00AF28DC">
      <w:pPr>
        <w:pStyle w:val="Bullet2"/>
      </w:pPr>
      <w:r>
        <w:t xml:space="preserve">Expenditure transaction data of PBIM </w:t>
      </w:r>
      <w:r w:rsidR="00520CD5">
        <w:t>customer</w:t>
      </w:r>
      <w:r>
        <w:t>s in the trial sites.</w:t>
      </w:r>
    </w:p>
    <w:p w:rsidR="00174C03" w:rsidRDefault="00174C03" w:rsidP="00AF28DC">
      <w:pPr>
        <w:pStyle w:val="Bullet2"/>
      </w:pPr>
      <w:r>
        <w:t xml:space="preserve">BasicsCard transaction data of PBIM </w:t>
      </w:r>
      <w:r w:rsidR="00520CD5">
        <w:t>customer</w:t>
      </w:r>
      <w:r>
        <w:t>s in the trial sites.</w:t>
      </w:r>
    </w:p>
    <w:p w:rsidR="00174C03" w:rsidRDefault="00174C03" w:rsidP="00AF28DC">
      <w:pPr>
        <w:pStyle w:val="Bullet2"/>
      </w:pPr>
      <w:r>
        <w:t>Merchant participation records.</w:t>
      </w:r>
    </w:p>
    <w:p w:rsidR="00174C03" w:rsidRDefault="00174C03" w:rsidP="00AF28DC">
      <w:pPr>
        <w:pStyle w:val="Bullet2"/>
      </w:pPr>
      <w:r>
        <w:t xml:space="preserve">PBIM service usage data for </w:t>
      </w:r>
      <w:r w:rsidR="00520CD5">
        <w:t>customer</w:t>
      </w:r>
      <w:r>
        <w:t>s in the trial sites.</w:t>
      </w:r>
    </w:p>
    <w:p w:rsidR="00174C03" w:rsidRDefault="00174C03" w:rsidP="00174C03">
      <w:pPr>
        <w:pStyle w:val="Bullet1"/>
      </w:pPr>
      <w:r>
        <w:t>Merchant provided BasicsCard data.</w:t>
      </w:r>
    </w:p>
    <w:p w:rsidR="00174C03" w:rsidRDefault="00174C03" w:rsidP="00174C03">
      <w:pPr>
        <w:pStyle w:val="Bullet1"/>
      </w:pPr>
      <w:r>
        <w:t>Medicare unit record data of persons in the trial and comparison sites.</w:t>
      </w:r>
    </w:p>
    <w:p w:rsidR="00174C03" w:rsidRDefault="00174C03" w:rsidP="00174C03">
      <w:pPr>
        <w:pStyle w:val="Bullet1"/>
      </w:pPr>
      <w:r w:rsidRPr="000D2710">
        <w:t xml:space="preserve">FaHCSIA </w:t>
      </w:r>
      <w:r>
        <w:t>f</w:t>
      </w:r>
      <w:r w:rsidRPr="00AB4E98">
        <w:t xml:space="preserve">inancial management program </w:t>
      </w:r>
      <w:r>
        <w:t>(FMP) data for the trial and comparison sites.</w:t>
      </w:r>
    </w:p>
    <w:p w:rsidR="00174C03" w:rsidRDefault="00174C03" w:rsidP="00174C03">
      <w:pPr>
        <w:pStyle w:val="Bullet1"/>
      </w:pPr>
      <w:r w:rsidRPr="000D2710">
        <w:t xml:space="preserve">FaHCSIA </w:t>
      </w:r>
      <w:r w:rsidRPr="004A2527">
        <w:rPr>
          <w:i/>
        </w:rPr>
        <w:t>Communities for Children</w:t>
      </w:r>
      <w:r>
        <w:t xml:space="preserve"> performance reports.</w:t>
      </w:r>
    </w:p>
    <w:p w:rsidR="00174C03" w:rsidRDefault="00174C03" w:rsidP="00174C03">
      <w:pPr>
        <w:pStyle w:val="Bullet1"/>
      </w:pPr>
      <w:r>
        <w:lastRenderedPageBreak/>
        <w:t>Child protection data from State child protection authorities for the trial and comparison sites</w:t>
      </w:r>
      <w:r w:rsidR="00123CF7">
        <w:t>.</w:t>
      </w:r>
    </w:p>
    <w:p w:rsidR="00174C03" w:rsidRDefault="00174C03" w:rsidP="00174C03">
      <w:pPr>
        <w:pStyle w:val="Bullet1"/>
      </w:pPr>
      <w:r>
        <w:t>Primary and secondary school education records from State education departments for the trial and comparison sites.</w:t>
      </w:r>
    </w:p>
    <w:p w:rsidR="00174C03" w:rsidRDefault="00174C03" w:rsidP="00174C03">
      <w:pPr>
        <w:pStyle w:val="Bullet1"/>
      </w:pPr>
      <w:r>
        <w:t>Housing data from State housing authorities for the trial and comparison sites.</w:t>
      </w:r>
    </w:p>
    <w:p w:rsidR="00174C03" w:rsidRDefault="00174C03" w:rsidP="00174C03">
      <w:pPr>
        <w:pStyle w:val="Bullet1"/>
      </w:pPr>
      <w:r>
        <w:t>Homelessness data from the AIHW-SHS data collection for the trial and comparison sites.</w:t>
      </w:r>
    </w:p>
    <w:p w:rsidR="00174C03" w:rsidRDefault="00174C03" w:rsidP="00174C03">
      <w:pPr>
        <w:pStyle w:val="Bullet1"/>
      </w:pPr>
      <w:r>
        <w:t>ABS population data for the trial and comparison LGAs.</w:t>
      </w:r>
    </w:p>
    <w:p w:rsidR="00174C03" w:rsidRDefault="00174C03" w:rsidP="00174C03">
      <w:pPr>
        <w:pStyle w:val="Bullet1"/>
      </w:pPr>
      <w:r>
        <w:t>Resourcing related data sources.</w:t>
      </w:r>
    </w:p>
    <w:p w:rsidR="00174C03" w:rsidRDefault="00174C03" w:rsidP="00174C03">
      <w:pPr>
        <w:pStyle w:val="BodyText"/>
      </w:pPr>
      <w:r>
        <w:t xml:space="preserve">A number of these data sources </w:t>
      </w:r>
      <w:r w:rsidR="00627AF2">
        <w:t>have been assessed and found not to be appropriate or feasible for inclusion in the analysis for various reasons</w:t>
      </w:r>
      <w:r>
        <w:t>.</w:t>
      </w:r>
      <w:r w:rsidR="00627AF2">
        <w:t xml:space="preserve">  For example, t</w:t>
      </w:r>
      <w:r>
        <w:t xml:space="preserve">o be effective in evaluating PBIM on its target population the secondary data need to be sufficiently granular to relate to different types of individuals, the different factors which might affect their behaviour and the local communities.  </w:t>
      </w:r>
    </w:p>
    <w:p w:rsidR="00174C03" w:rsidRDefault="00174C03" w:rsidP="00174C03">
      <w:pPr>
        <w:pStyle w:val="BodyText"/>
      </w:pPr>
      <w:r>
        <w:t xml:space="preserve">A number of potential data sources were unable to be used as the data were not granular enough (the data were only available for the general population not the target population and/or were only available for the total LGA) or the measurement statistic was not sensitive enough (too few people were measured by the statistic and/or the intrinsic variation in the statistic was more than any change which could be attributable to people on PBIM).  </w:t>
      </w:r>
    </w:p>
    <w:p w:rsidR="00174C03" w:rsidRDefault="00174C03" w:rsidP="00174C03">
      <w:pPr>
        <w:pStyle w:val="BodyText"/>
      </w:pPr>
      <w:r>
        <w:t xml:space="preserve">Secondary data considered but excluded for reasons such as these include: crime statistics, drug and alcohol treatment data, deaths, ABS labour statistics, </w:t>
      </w:r>
      <w:r w:rsidR="00627AF2">
        <w:t xml:space="preserve">education data </w:t>
      </w:r>
      <w:r>
        <w:t>ACARA (</w:t>
      </w:r>
      <w:r w:rsidRPr="00EC28D2">
        <w:t>Australian Curriculum, Ass</w:t>
      </w:r>
      <w:r>
        <w:t>essment and Reporting Authority) education data</w:t>
      </w:r>
      <w:r w:rsidR="00627AF2">
        <w:t xml:space="preserve"> and health data (e.g. Medicare)</w:t>
      </w:r>
      <w:r>
        <w:t>.</w:t>
      </w:r>
    </w:p>
    <w:p w:rsidR="00174C03" w:rsidRPr="000B674B" w:rsidRDefault="00174C03" w:rsidP="00174C03">
      <w:pPr>
        <w:pStyle w:val="Heading3"/>
      </w:pPr>
      <w:r w:rsidRPr="000B674B">
        <w:t>Timing of secondary data sets</w:t>
      </w:r>
    </w:p>
    <w:p w:rsidR="00174C03" w:rsidRDefault="00174C03" w:rsidP="00174C03">
      <w:pPr>
        <w:pStyle w:val="BodyText"/>
      </w:pPr>
      <w:r>
        <w:t>There will be two analyses of secondary data.  The first will relate to the Short Term Outcomes and will include data up until the 3</w:t>
      </w:r>
      <w:r w:rsidR="00123CF7">
        <w:t>0</w:t>
      </w:r>
      <w:r>
        <w:t xml:space="preserve"> </w:t>
      </w:r>
      <w:r w:rsidR="00123CF7">
        <w:t>June</w:t>
      </w:r>
      <w:r>
        <w:t xml:space="preserve"> 2013.  The second will relate to the Medium Term Outcomes and will include data up until 3</w:t>
      </w:r>
      <w:r w:rsidR="00123CF7">
        <w:t>0</w:t>
      </w:r>
      <w:r>
        <w:t xml:space="preserve"> </w:t>
      </w:r>
      <w:r w:rsidR="00123CF7">
        <w:t>June</w:t>
      </w:r>
      <w:r>
        <w:t xml:space="preserve"> 2014.  PBIM begins 1 July 2012 and it is expected that around twelve months data would be required to provide an initial assessment</w:t>
      </w:r>
      <w:r w:rsidR="00AF28DC">
        <w:t>,</w:t>
      </w:r>
      <w:r>
        <w:t xml:space="preserve"> given that Income Management is for a minimum of 13 weeks with a desired participation of 6 to 12 months.  Specific time periods for the different data sets may vary slightly and will be provided with the individual data requirements.</w:t>
      </w:r>
    </w:p>
    <w:p w:rsidR="00174C03" w:rsidRDefault="00174C03" w:rsidP="00174C03">
      <w:pPr>
        <w:pStyle w:val="BodyText"/>
      </w:pPr>
      <w:r>
        <w:t xml:space="preserve">It is sufficient for data </w:t>
      </w:r>
      <w:r w:rsidR="00F9353E">
        <w:t xml:space="preserve">being analysed </w:t>
      </w:r>
      <w:r>
        <w:t xml:space="preserve">to be provided once per year. </w:t>
      </w:r>
      <w:r w:rsidR="00F9353E">
        <w:t xml:space="preserve"> </w:t>
      </w:r>
      <w:r w:rsidR="00123CF7">
        <w:t xml:space="preserve">To provide sufficient time </w:t>
      </w:r>
      <w:r>
        <w:t>for data delivery it is expected that the data would be provided by 30 September 2013 and 30 September 2014.  This allows time for data validation, processing and analysis.  If the occasional data set requires more time for delivery this could be managed.  If the delivery time is too tight for many data sets the data time period over which data were extracted would need to be changed.</w:t>
      </w:r>
    </w:p>
    <w:p w:rsidR="00F9353E" w:rsidRDefault="00F9353E" w:rsidP="00174C03">
      <w:pPr>
        <w:pStyle w:val="BodyText"/>
      </w:pPr>
      <w:r>
        <w:t>While the annual data is sufficient for analysis, data will also be requested for up until March each year, to be delivered in June, to minimise the risk of data not being able to be delivered when required for analysis.</w:t>
      </w:r>
    </w:p>
    <w:p w:rsidR="00123CF7" w:rsidRDefault="00174C03" w:rsidP="00174C03">
      <w:pPr>
        <w:pStyle w:val="BodyText"/>
      </w:pPr>
      <w:r>
        <w:lastRenderedPageBreak/>
        <w:t xml:space="preserve">Data from each source will also need to be provided in September 2012 as samples from which to develop the systems for loading, cleaning, validating and deriving the required measurements for the evaluation.  This is a critical stage in the evaluation process.  It will ensure that the data required exist, that they can be provided in a suitable format and that the systems are in place for efficient processing and delivery.  </w:t>
      </w:r>
    </w:p>
    <w:p w:rsidR="00174C03" w:rsidRPr="000B674B" w:rsidRDefault="00174C03" w:rsidP="00174C03">
      <w:pPr>
        <w:pStyle w:val="Heading3"/>
      </w:pPr>
      <w:bookmarkStart w:id="143" w:name="_Ref322549066"/>
      <w:r w:rsidRPr="000B674B">
        <w:t>Sampling from secondary data sets</w:t>
      </w:r>
      <w:bookmarkEnd w:id="143"/>
    </w:p>
    <w:p w:rsidR="00174C03" w:rsidRDefault="00174C03" w:rsidP="00174C03">
      <w:pPr>
        <w:pStyle w:val="BodyText"/>
      </w:pPr>
      <w:r>
        <w:t xml:space="preserve">The analysis of secondary data for the evaluation is derived from a number of data sources and PBIM is a program which relates to a particular population.  It is estimated that the proportion of the general population of the trial LGAs which may go on PBIM might be around </w:t>
      </w:r>
      <w:r w:rsidR="00AF28DC">
        <w:t>1%</w:t>
      </w:r>
      <w:r>
        <w:t>.  Any change in behaviour by these people is unlikely to be observed at the total LGA level.</w:t>
      </w:r>
    </w:p>
    <w:p w:rsidR="00174C03" w:rsidRDefault="00174C03" w:rsidP="00174C03">
      <w:pPr>
        <w:pStyle w:val="BodyText"/>
      </w:pPr>
      <w:r>
        <w:t xml:space="preserve">Privacy issues and the sensitivity of the data required for evaluation preclude linking data from the different data sources. Thus the evaluation measurements from the secondary data sources need to be suitably granular and aligned to the targeted population if effects from PBIM are to be measureable.  </w:t>
      </w:r>
    </w:p>
    <w:p w:rsidR="00174C03" w:rsidRDefault="00174C03" w:rsidP="00174C03">
      <w:pPr>
        <w:pStyle w:val="BodyText"/>
      </w:pPr>
      <w:r>
        <w:t xml:space="preserve">A way of sampling data from these sources which would protect </w:t>
      </w:r>
      <w:r w:rsidR="00520CD5">
        <w:t>customer</w:t>
      </w:r>
      <w:r>
        <w:t xml:space="preserve"> privacy while allowing alignment with the Income Management population is to use the addresses of people receiving possible trigger </w:t>
      </w:r>
      <w:r w:rsidR="005E4D54">
        <w:t>Income Support Payments</w:t>
      </w:r>
      <w:r>
        <w:t xml:space="preserve"> in each LGA to provide a sampling frame for the secondary data sources.  </w:t>
      </w:r>
      <w:r w:rsidR="00301D0D">
        <w:t>Th</w:t>
      </w:r>
      <w:r w:rsidR="008563C3">
        <w:t>e</w:t>
      </w:r>
      <w:r>
        <w:t xml:space="preserve"> approach </w:t>
      </w:r>
      <w:r w:rsidR="00301D0D">
        <w:t>would involve drawing a</w:t>
      </w:r>
      <w:r w:rsidR="003A3BB6">
        <w:t xml:space="preserve"> list of addresses by LGA </w:t>
      </w:r>
      <w:r>
        <w:t xml:space="preserve">from the </w:t>
      </w:r>
      <w:r w:rsidR="005E4D54">
        <w:t>DHS</w:t>
      </w:r>
      <w:r>
        <w:t xml:space="preserve"> data base.  No other data items other than address would be drawn.  These lists would then be provided to the other agencies for selecting the relevant records from their datasets.  The data returned from the agencies would be totally unidentified (if a unit record file) or aggregated if required.</w:t>
      </w:r>
    </w:p>
    <w:p w:rsidR="00174C03" w:rsidRDefault="00174C03" w:rsidP="00174C03">
      <w:pPr>
        <w:pStyle w:val="BodyText"/>
      </w:pPr>
      <w:r>
        <w:t xml:space="preserve">This method of sampling would provide no details across agencies.  The only information known by the agencies is that someone in the households on the list is a welfare recipient.  The individual in the household and type of welfare would not be known.  Providing details of this kind is common practice when selecting people for surveys.  A number of address lists may be provided for each LGA if sub-populations are required for the evaluation.  Sub-populations could be people on the different PBIM measures, particular demographic segments or a random group designed to mask the presence of a PBIM address list.  Any sub-population would consist of a sufficient number of addresses (for example </w:t>
      </w:r>
      <w:r w:rsidR="00D32AAF">
        <w:t>3</w:t>
      </w:r>
      <w:r>
        <w:t>0) to ensure no one person could be identified.</w:t>
      </w:r>
    </w:p>
    <w:p w:rsidR="00174C03" w:rsidRDefault="00174C03" w:rsidP="00174C03">
      <w:pPr>
        <w:pStyle w:val="BodyText"/>
      </w:pPr>
      <w:r>
        <w:t>The criticality of data being related to SA1 was mentioned previously. If secondary data sources do not have this field associated with their data the address lists provided could include the SA1 which could be appended to the secondary data provided.  If this action was undertaken each SA1 would need to contain at least three addresses.</w:t>
      </w:r>
    </w:p>
    <w:p w:rsidR="00174C03" w:rsidRDefault="00174C03" w:rsidP="00174C03">
      <w:pPr>
        <w:pStyle w:val="BodyText"/>
      </w:pPr>
      <w:r>
        <w:t>Th</w:t>
      </w:r>
      <w:r w:rsidR="00F9353E">
        <w:t>is is an</w:t>
      </w:r>
      <w:r>
        <w:t xml:space="preserve"> importan</w:t>
      </w:r>
      <w:r w:rsidR="00F9353E">
        <w:t>t</w:t>
      </w:r>
      <w:r>
        <w:t xml:space="preserve"> procedure </w:t>
      </w:r>
      <w:r w:rsidR="001E7BEE">
        <w:t xml:space="preserve">if </w:t>
      </w:r>
      <w:r>
        <w:t>suitabl</w:t>
      </w:r>
      <w:r w:rsidR="00F9353E">
        <w:t>y granular</w:t>
      </w:r>
      <w:r>
        <w:t xml:space="preserve"> data </w:t>
      </w:r>
      <w:r w:rsidR="001E7BEE">
        <w:t xml:space="preserve">is </w:t>
      </w:r>
      <w:r w:rsidR="00F9353E">
        <w:t xml:space="preserve">to be obtained </w:t>
      </w:r>
      <w:r>
        <w:t>while maintaining complete anonymity.</w:t>
      </w:r>
    </w:p>
    <w:p w:rsidR="00854AD5" w:rsidRDefault="00442C72" w:rsidP="009F3807">
      <w:pPr>
        <w:pStyle w:val="Heading1"/>
        <w:ind w:left="0" w:hanging="567"/>
      </w:pPr>
      <w:bookmarkStart w:id="144" w:name="_Toc342495245"/>
      <w:r>
        <w:lastRenderedPageBreak/>
        <w:t>S</w:t>
      </w:r>
      <w:r w:rsidR="00854AD5">
        <w:t>trengths</w:t>
      </w:r>
      <w:r>
        <w:t>, weaknesses, caveats</w:t>
      </w:r>
      <w:r w:rsidR="00854AD5">
        <w:t xml:space="preserve"> and </w:t>
      </w:r>
      <w:r>
        <w:t>considerations</w:t>
      </w:r>
      <w:bookmarkEnd w:id="144"/>
    </w:p>
    <w:p w:rsidR="001347FD" w:rsidRPr="004C1FB6" w:rsidRDefault="001347FD" w:rsidP="00D20D0B">
      <w:pPr>
        <w:pStyle w:val="BodyText"/>
      </w:pPr>
      <w:r w:rsidRPr="004C1FB6">
        <w:t xml:space="preserve">The methodological approach and the data collected </w:t>
      </w:r>
      <w:r w:rsidR="004C1FB6" w:rsidRPr="004C1FB6">
        <w:t>have been</w:t>
      </w:r>
      <w:r w:rsidRPr="004C1FB6">
        <w:t xml:space="preserve"> tailored to assess the outcomes of place-based income management for individuals, families and communities subject to the three different </w:t>
      </w:r>
      <w:r w:rsidR="00037695">
        <w:t>measure</w:t>
      </w:r>
      <w:r w:rsidRPr="004C1FB6">
        <w:t>s, with respect to:</w:t>
      </w:r>
    </w:p>
    <w:p w:rsidR="001347FD" w:rsidRPr="004C1FB6" w:rsidRDefault="001347FD" w:rsidP="00D20D0B">
      <w:pPr>
        <w:pStyle w:val="Bullet1"/>
      </w:pPr>
      <w:r w:rsidRPr="004C1FB6">
        <w:t xml:space="preserve">the different characteristics of the target populations </w:t>
      </w:r>
    </w:p>
    <w:p w:rsidR="001347FD" w:rsidRPr="004C1FB6" w:rsidRDefault="001347FD" w:rsidP="00D20D0B">
      <w:pPr>
        <w:pStyle w:val="Bullet1"/>
      </w:pPr>
      <w:r w:rsidRPr="004C1FB6">
        <w:t xml:space="preserve">the (highly variable) number of participants on each of the </w:t>
      </w:r>
      <w:r w:rsidR="00037695">
        <w:t>measure</w:t>
      </w:r>
      <w:r w:rsidRPr="004C1FB6">
        <w:t xml:space="preserve">s </w:t>
      </w:r>
    </w:p>
    <w:p w:rsidR="001347FD" w:rsidRPr="004C1FB6" w:rsidRDefault="001347FD" w:rsidP="00D20D0B">
      <w:pPr>
        <w:pStyle w:val="Bullet1"/>
      </w:pPr>
      <w:r w:rsidRPr="004C1FB6">
        <w:t xml:space="preserve">the challenges in engaging and recruiting participants from the different </w:t>
      </w:r>
      <w:r w:rsidR="00037695">
        <w:t>measure</w:t>
      </w:r>
      <w:r w:rsidRPr="004C1FB6">
        <w:t>s</w:t>
      </w:r>
    </w:p>
    <w:p w:rsidR="001347FD" w:rsidRPr="004C1FB6" w:rsidRDefault="001347FD" w:rsidP="00D20D0B">
      <w:pPr>
        <w:pStyle w:val="Bullet1"/>
      </w:pPr>
      <w:r w:rsidRPr="004C1FB6">
        <w:t xml:space="preserve">the extent to which participants in the different </w:t>
      </w:r>
      <w:r w:rsidR="00037695">
        <w:t>measure</w:t>
      </w:r>
      <w:r w:rsidRPr="004C1FB6">
        <w:t xml:space="preserve">s move on, off, or between the </w:t>
      </w:r>
      <w:r w:rsidR="00037695">
        <w:t>measure</w:t>
      </w:r>
      <w:r w:rsidRPr="004C1FB6">
        <w:t>s</w:t>
      </w:r>
      <w:r w:rsidR="00963F7A">
        <w:t>; and</w:t>
      </w:r>
      <w:r w:rsidRPr="004C1FB6">
        <w:t xml:space="preserve"> </w:t>
      </w:r>
    </w:p>
    <w:p w:rsidR="001347FD" w:rsidRPr="004C1FB6" w:rsidRDefault="001347FD" w:rsidP="00D20D0B">
      <w:pPr>
        <w:pStyle w:val="Bullet1"/>
      </w:pPr>
      <w:proofErr w:type="gramStart"/>
      <w:r w:rsidRPr="004C1FB6">
        <w:t>the</w:t>
      </w:r>
      <w:proofErr w:type="gramEnd"/>
      <w:r w:rsidRPr="004C1FB6">
        <w:t xml:space="preserve"> extent to which the impacts/outcomes within the three </w:t>
      </w:r>
      <w:r w:rsidR="00037695">
        <w:t>measure</w:t>
      </w:r>
      <w:r w:rsidRPr="004C1FB6">
        <w:t>s can be measured within the time available for the evaluation.</w:t>
      </w:r>
    </w:p>
    <w:p w:rsidR="009F3807" w:rsidRPr="004C1FB6" w:rsidRDefault="009F3807" w:rsidP="009F3807">
      <w:pPr>
        <w:pStyle w:val="Heading2"/>
      </w:pPr>
      <w:bookmarkStart w:id="145" w:name="_Toc342495246"/>
      <w:r w:rsidRPr="004C1FB6">
        <w:t>Attribution</w:t>
      </w:r>
      <w:bookmarkEnd w:id="145"/>
    </w:p>
    <w:p w:rsidR="0069353B" w:rsidRDefault="0069353B" w:rsidP="00706BDE">
      <w:pPr>
        <w:pStyle w:val="BodyText"/>
      </w:pPr>
      <w:r>
        <w:t xml:space="preserve">The BAFW evaluation strategy and the NT NIM evaluation strategy both highlighted the challenges associated with attributing evaluation findings to </w:t>
      </w:r>
      <w:r w:rsidR="00B53F4D">
        <w:t xml:space="preserve">a </w:t>
      </w:r>
      <w:r>
        <w:t xml:space="preserve">specific initiative. While the use of quasi-experimental design (with data drawn from “control” </w:t>
      </w:r>
      <w:r w:rsidR="006971E1">
        <w:t xml:space="preserve">(comparison) </w:t>
      </w:r>
      <w:r>
        <w:t xml:space="preserve">sites along with the trial sites) will assist to some degree with teasing out the influence of in particular other BAFW programs (which are common across the </w:t>
      </w:r>
      <w:r w:rsidR="006971E1">
        <w:t>comparison</w:t>
      </w:r>
      <w:r>
        <w:t xml:space="preserve"> and trial sites), initiatives or site-specific factors on the intended outcomes of PBIM, it will not entirely resolve the challenges in attribution. Additionally, analytic techniques can be applied to control for the influence of known alternative explanatory factors which may have a bearing on the intended outcomes of the PBIM.  Unknown alternative explanatory factors will remain a potential confounding influence on inference of attribution to the program.</w:t>
      </w:r>
    </w:p>
    <w:p w:rsidR="0069353B" w:rsidRDefault="0069353B" w:rsidP="009C2C8F">
      <w:pPr>
        <w:pStyle w:val="BodyText"/>
      </w:pPr>
      <w:r>
        <w:t>This challenge become</w:t>
      </w:r>
      <w:r w:rsidR="0037470F">
        <w:t>s</w:t>
      </w:r>
      <w:r>
        <w:t xml:space="preserve"> more pronounced when attempting to detect changes in indicators of disadvantage</w:t>
      </w:r>
      <w:r w:rsidRPr="0076530B">
        <w:t xml:space="preserve"> </w:t>
      </w:r>
      <w:r>
        <w:t xml:space="preserve">at a community level, based on the impact of income management on individuals within that community, depending on the geographic definition of community and the granularity of the data available to measure changes in indicators of disadvantage. </w:t>
      </w:r>
      <w:r w:rsidR="00D71A6F">
        <w:fldChar w:fldCharType="begin"/>
      </w:r>
      <w:r>
        <w:instrText xml:space="preserve"> REF _Ref322065809 \r \h </w:instrText>
      </w:r>
      <w:r w:rsidR="00D71A6F">
        <w:fldChar w:fldCharType="separate"/>
      </w:r>
      <w:r w:rsidR="003C7E97">
        <w:t>Figure 6.1</w:t>
      </w:r>
      <w:r w:rsidR="00D71A6F">
        <w:fldChar w:fldCharType="end"/>
      </w:r>
      <w:r>
        <w:t xml:space="preserve"> articulates the challenge of using data defined by LGA to detect community level </w:t>
      </w:r>
      <w:r w:rsidRPr="0042167F">
        <w:t xml:space="preserve">changes in the evaluation of PBIM. </w:t>
      </w:r>
      <w:r w:rsidR="007E7467" w:rsidRPr="0042167F">
        <w:t>W</w:t>
      </w:r>
      <w:r w:rsidRPr="0042167F">
        <w:t>e would in the first instance seek to acquire secondary data at a more granular level to assist the analysis of community level change, such as Census Collection District (CCD)</w:t>
      </w:r>
      <w:r w:rsidR="00D20D0B" w:rsidRPr="0042167F">
        <w:t xml:space="preserve"> or Statistical Area 1 (SA1)</w:t>
      </w:r>
      <w:r w:rsidRPr="0042167F">
        <w:t>.</w:t>
      </w:r>
      <w:r w:rsidR="00761FBF" w:rsidRPr="0042167F">
        <w:t xml:space="preserve"> However we note that even with more granular data</w:t>
      </w:r>
      <w:r w:rsidR="00E60925" w:rsidRPr="0042167F">
        <w:t>, low numbers of</w:t>
      </w:r>
      <w:r w:rsidR="00761FBF" w:rsidRPr="0042167F">
        <w:t xml:space="preserve"> income management </w:t>
      </w:r>
      <w:r w:rsidR="00E60925" w:rsidRPr="0042167F">
        <w:t xml:space="preserve">customers </w:t>
      </w:r>
      <w:r w:rsidR="00761FBF" w:rsidRPr="0042167F">
        <w:t xml:space="preserve">and/or </w:t>
      </w:r>
      <w:r w:rsidR="00E60925" w:rsidRPr="0042167F">
        <w:t xml:space="preserve">the geographic dispersion of </w:t>
      </w:r>
      <w:r w:rsidR="00761FBF" w:rsidRPr="0042167F">
        <w:t xml:space="preserve">customers on income management </w:t>
      </w:r>
      <w:r w:rsidR="00E60925" w:rsidRPr="0042167F">
        <w:t>in a particular LGA may minimise or mitigate any</w:t>
      </w:r>
      <w:r w:rsidR="00761FBF" w:rsidRPr="0042167F">
        <w:t xml:space="preserve"> community level effects.</w:t>
      </w:r>
    </w:p>
    <w:p w:rsidR="004D317F" w:rsidRDefault="004D317F">
      <w:pPr>
        <w:rPr>
          <w:b/>
          <w:bCs/>
          <w:color w:val="002776"/>
          <w:szCs w:val="22"/>
        </w:rPr>
      </w:pPr>
      <w:bookmarkStart w:id="146" w:name="_Ref322065809"/>
      <w:bookmarkStart w:id="147" w:name="_Toc342495272"/>
      <w:r>
        <w:br w:type="page"/>
      </w:r>
    </w:p>
    <w:p w:rsidR="0069353B" w:rsidRDefault="00D20D0B" w:rsidP="0069353B">
      <w:pPr>
        <w:pStyle w:val="CaptionFigure"/>
        <w:pageBreakBefore/>
      </w:pPr>
      <w:r>
        <w:lastRenderedPageBreak/>
        <w:t>:</w:t>
      </w:r>
      <w:r w:rsidR="0069353B">
        <w:t xml:space="preserve"> Detecting community level changes</w:t>
      </w:r>
      <w:bookmarkEnd w:id="146"/>
      <w:bookmarkEnd w:id="147"/>
    </w:p>
    <w:tbl>
      <w:tblPr>
        <w:tblStyle w:val="TableAETotals"/>
        <w:tblW w:w="0" w:type="auto"/>
        <w:tblLook w:val="0000" w:firstRow="0" w:lastRow="0" w:firstColumn="0" w:lastColumn="0" w:noHBand="0" w:noVBand="0"/>
        <w:tblCaption w:val="Figure 6.1: Detecting community level changes"/>
      </w:tblPr>
      <w:tblGrid>
        <w:gridCol w:w="8235"/>
      </w:tblGrid>
      <w:tr w:rsidR="00F56FC9" w:rsidTr="00E16704">
        <w:trPr>
          <w:trHeight w:val="3357"/>
          <w:tblHeader/>
        </w:trPr>
        <w:tc>
          <w:tcPr>
            <w:tcW w:w="8235" w:type="dxa"/>
          </w:tcPr>
          <w:p w:rsidR="00F56FC9" w:rsidRDefault="00F56FC9" w:rsidP="00F56FC9">
            <w:pPr>
              <w:pStyle w:val="BodyText"/>
              <w:spacing w:before="0"/>
              <w:rPr>
                <w:sz w:val="20"/>
              </w:rPr>
            </w:pPr>
            <w:r w:rsidRPr="00FB72A3">
              <w:rPr>
                <w:sz w:val="20"/>
              </w:rPr>
              <w:t>The proposed size of the target participants in the programme for each community is 1000.  Although this is large enough to analyse individual trends, it may be too small to produce statistically significant results at the community level. To achieve a 95% confidence level (at +- 2% confidence interval), the following number of participants for each community (based on the 2010 Census, ABS) is:</w:t>
            </w:r>
          </w:p>
          <w:p w:rsidR="00F56FC9" w:rsidRPr="00FB72A3" w:rsidRDefault="00F56FC9" w:rsidP="00F56FC9">
            <w:pPr>
              <w:pStyle w:val="BodyText"/>
              <w:spacing w:before="0"/>
              <w:rPr>
                <w:sz w:val="20"/>
              </w:rPr>
            </w:pPr>
          </w:p>
          <w:p w:rsidR="00F56FC9" w:rsidRPr="00FB72A3" w:rsidRDefault="00F56FC9" w:rsidP="00F56FC9">
            <w:pPr>
              <w:pStyle w:val="BodyText"/>
              <w:numPr>
                <w:ilvl w:val="0"/>
                <w:numId w:val="21"/>
              </w:numPr>
              <w:spacing w:before="0"/>
              <w:ind w:left="714" w:hanging="357"/>
              <w:rPr>
                <w:sz w:val="20"/>
              </w:rPr>
            </w:pPr>
            <w:r w:rsidRPr="00FB72A3">
              <w:rPr>
                <w:sz w:val="20"/>
              </w:rPr>
              <w:t>Logan, QLD (population 283,673)</w:t>
            </w:r>
            <w:r w:rsidRPr="00FB72A3">
              <w:rPr>
                <w:sz w:val="20"/>
              </w:rPr>
              <w:tab/>
            </w:r>
            <w:r w:rsidRPr="00FB72A3">
              <w:rPr>
                <w:sz w:val="20"/>
              </w:rPr>
              <w:tab/>
            </w:r>
            <w:r w:rsidRPr="00FB72A3">
              <w:rPr>
                <w:sz w:val="20"/>
              </w:rPr>
              <w:tab/>
              <w:t>2381</w:t>
            </w:r>
          </w:p>
          <w:p w:rsidR="00F56FC9" w:rsidRPr="00FB72A3" w:rsidRDefault="00F56FC9" w:rsidP="00F56FC9">
            <w:pPr>
              <w:pStyle w:val="BodyText"/>
              <w:numPr>
                <w:ilvl w:val="0"/>
                <w:numId w:val="21"/>
              </w:numPr>
              <w:spacing w:before="0"/>
              <w:ind w:left="714" w:hanging="357"/>
              <w:rPr>
                <w:sz w:val="20"/>
              </w:rPr>
            </w:pPr>
            <w:r w:rsidRPr="00FB72A3">
              <w:rPr>
                <w:sz w:val="20"/>
              </w:rPr>
              <w:t>Rockham</w:t>
            </w:r>
            <w:r w:rsidR="00EE257C">
              <w:rPr>
                <w:sz w:val="20"/>
              </w:rPr>
              <w:t>pton, QLD (population 115,526)</w:t>
            </w:r>
            <w:r w:rsidR="00EE257C">
              <w:rPr>
                <w:sz w:val="20"/>
              </w:rPr>
              <w:tab/>
            </w:r>
            <w:r w:rsidRPr="00FB72A3">
              <w:rPr>
                <w:sz w:val="20"/>
              </w:rPr>
              <w:t>2352</w:t>
            </w:r>
          </w:p>
          <w:p w:rsidR="00F56FC9" w:rsidRPr="00FB72A3" w:rsidRDefault="00F56FC9" w:rsidP="00F56FC9">
            <w:pPr>
              <w:pStyle w:val="BodyText"/>
              <w:numPr>
                <w:ilvl w:val="0"/>
                <w:numId w:val="21"/>
              </w:numPr>
              <w:spacing w:before="0"/>
              <w:ind w:left="714" w:hanging="357"/>
              <w:rPr>
                <w:sz w:val="20"/>
              </w:rPr>
            </w:pPr>
            <w:r w:rsidRPr="00FB72A3">
              <w:rPr>
                <w:sz w:val="20"/>
              </w:rPr>
              <w:t>Bankstown, NSW (population 188,814)</w:t>
            </w:r>
            <w:r w:rsidRPr="00FB72A3">
              <w:rPr>
                <w:sz w:val="20"/>
              </w:rPr>
              <w:tab/>
            </w:r>
            <w:r w:rsidRPr="00FB72A3">
              <w:rPr>
                <w:sz w:val="20"/>
              </w:rPr>
              <w:tab/>
              <w:t>2371</w:t>
            </w:r>
          </w:p>
          <w:p w:rsidR="00F56FC9" w:rsidRPr="00FB72A3" w:rsidRDefault="00F56FC9" w:rsidP="00F56FC9">
            <w:pPr>
              <w:pStyle w:val="BodyText"/>
              <w:numPr>
                <w:ilvl w:val="0"/>
                <w:numId w:val="21"/>
              </w:numPr>
              <w:spacing w:before="0"/>
              <w:ind w:left="714" w:hanging="357"/>
              <w:rPr>
                <w:sz w:val="20"/>
              </w:rPr>
            </w:pPr>
            <w:r w:rsidRPr="00FB72A3">
              <w:rPr>
                <w:sz w:val="20"/>
              </w:rPr>
              <w:t>Greater Shepparton, VIC (population 63,335)</w:t>
            </w:r>
            <w:r w:rsidRPr="00FB72A3">
              <w:rPr>
                <w:sz w:val="20"/>
              </w:rPr>
              <w:tab/>
              <w:t>2313</w:t>
            </w:r>
          </w:p>
          <w:p w:rsidR="00F56FC9" w:rsidRDefault="00F56FC9" w:rsidP="00F56FC9">
            <w:pPr>
              <w:pStyle w:val="BodyText"/>
              <w:numPr>
                <w:ilvl w:val="0"/>
                <w:numId w:val="21"/>
              </w:numPr>
              <w:spacing w:before="0"/>
              <w:ind w:left="714" w:hanging="357"/>
              <w:rPr>
                <w:sz w:val="20"/>
              </w:rPr>
            </w:pPr>
            <w:proofErr w:type="spellStart"/>
            <w:r w:rsidRPr="00FB72A3">
              <w:rPr>
                <w:sz w:val="20"/>
              </w:rPr>
              <w:t>Playford</w:t>
            </w:r>
            <w:proofErr w:type="spellEnd"/>
            <w:r w:rsidRPr="00FB72A3">
              <w:rPr>
                <w:sz w:val="20"/>
              </w:rPr>
              <w:t>, SA (population 79,850)</w:t>
            </w:r>
            <w:r w:rsidRPr="00FB72A3">
              <w:rPr>
                <w:sz w:val="20"/>
              </w:rPr>
              <w:tab/>
            </w:r>
            <w:r w:rsidRPr="00FB72A3">
              <w:rPr>
                <w:sz w:val="20"/>
              </w:rPr>
              <w:tab/>
            </w:r>
            <w:r w:rsidRPr="00FB72A3">
              <w:rPr>
                <w:sz w:val="20"/>
              </w:rPr>
              <w:tab/>
              <w:t>2331</w:t>
            </w:r>
          </w:p>
          <w:p w:rsidR="00F56FC9" w:rsidRPr="00FB72A3" w:rsidRDefault="00F56FC9" w:rsidP="00F56FC9">
            <w:pPr>
              <w:pStyle w:val="BodyText"/>
              <w:spacing w:before="0"/>
              <w:rPr>
                <w:sz w:val="20"/>
              </w:rPr>
            </w:pPr>
          </w:p>
          <w:p w:rsidR="00F56FC9" w:rsidRDefault="00F56FC9" w:rsidP="00F56FC9">
            <w:pPr>
              <w:pStyle w:val="BodyText"/>
              <w:spacing w:before="0"/>
              <w:rPr>
                <w:sz w:val="20"/>
              </w:rPr>
            </w:pPr>
            <w:r w:rsidRPr="00FB72A3">
              <w:rPr>
                <w:sz w:val="20"/>
              </w:rPr>
              <w:t xml:space="preserve">Lower confidence levels may need to be used to statistically analyse the community level impacts of PBIM, noting that community level impacts are dependent on both the volume and concentration of income management customers in a particular LGA.  </w:t>
            </w:r>
          </w:p>
        </w:tc>
      </w:tr>
    </w:tbl>
    <w:p w:rsidR="0069353B" w:rsidRDefault="0069353B" w:rsidP="0069353B">
      <w:pPr>
        <w:pStyle w:val="Heading2"/>
      </w:pPr>
      <w:bookmarkStart w:id="148" w:name="_Toc342495247"/>
      <w:r>
        <w:t>Social Desirability Bias</w:t>
      </w:r>
      <w:bookmarkEnd w:id="148"/>
    </w:p>
    <w:p w:rsidR="0069353B" w:rsidRDefault="0069353B" w:rsidP="0069353B">
      <w:pPr>
        <w:pStyle w:val="BodyText"/>
      </w:pPr>
      <w:r>
        <w:t>Social desirability bias is one of the most common forms of bias affecting the validity of surveys and experimental designs</w:t>
      </w:r>
      <w:r>
        <w:rPr>
          <w:rStyle w:val="FootnoteReference"/>
        </w:rPr>
        <w:footnoteReference w:id="5"/>
      </w:r>
      <w:r>
        <w:t xml:space="preserve">, and is particularly relevant when asking individuals about behaviours or beliefs which may contravene perceived societal norms, for example questions about drug or pornography use. The social desirability bias makes individuals more likely to respond in a way that they think will earn social approval rather than disapproval and therefore can impact on the accuracy of their responses.  There are a number of means by which social desirability biases can be controlled or minimised in survey methods, including the use of social desirability scales within a survey. In designing the longitudinal </w:t>
      </w:r>
      <w:r w:rsidR="00520CD5">
        <w:t>customer</w:t>
      </w:r>
      <w:r>
        <w:t xml:space="preserve"> survey we have attempted to minimise the influence of social desirability biases through the use of forced-choice responses and randomising particular multi-choice responses where appropriate</w:t>
      </w:r>
      <w:r>
        <w:rPr>
          <w:rStyle w:val="FootnoteReference"/>
        </w:rPr>
        <w:footnoteReference w:id="6"/>
      </w:r>
      <w:r>
        <w:t xml:space="preserve">. Emphasising the privacy and confidentiality of participant responses and the independent nature of the survey should also assist in encouraging participants to respond honestly and accurately. However, these strategies will not entirely remove the effect of social desirability bias on survey responses, and this form of bias will be borne in mind when examining baseline responses and changes in these responses overtime. </w:t>
      </w:r>
    </w:p>
    <w:p w:rsidR="0069353B" w:rsidRDefault="0069353B" w:rsidP="0069353B">
      <w:pPr>
        <w:pStyle w:val="Heading2"/>
      </w:pPr>
      <w:bookmarkStart w:id="149" w:name="_Toc342495248"/>
      <w:r>
        <w:t>Sampling bias</w:t>
      </w:r>
      <w:bookmarkEnd w:id="149"/>
      <w:r>
        <w:t xml:space="preserve"> </w:t>
      </w:r>
    </w:p>
    <w:p w:rsidR="0069353B" w:rsidRDefault="0069353B" w:rsidP="0069353B">
      <w:pPr>
        <w:pStyle w:val="BodyText"/>
      </w:pPr>
      <w:r>
        <w:t xml:space="preserve">One of the critical threats to methodologies which utilise a comparison or control group is sampling bias, which can lead to a sample that is in some way non-representative of the target population. If recruitment methods differ between experimental/trial groups and control/comparison group, or if different populations are more or less likely to participate in one site or condition than another, the resulting trial and comparison samples may not </w:t>
      </w:r>
      <w:r>
        <w:lastRenderedPageBreak/>
        <w:t xml:space="preserve">be entirely comparable, leading to difficulties in attributing outcomes to the intervention or initiative in question.  In this evaluation of PBIM, the likelihood of </w:t>
      </w:r>
      <w:r w:rsidR="00520CD5">
        <w:t>customer</w:t>
      </w:r>
      <w:r>
        <w:t xml:space="preserve"> self-selecting to participate in the longitudinal survey in the trial sites where they will have been recently placed on income management, and in the comparison sites where they will be current Centrelink </w:t>
      </w:r>
      <w:r w:rsidR="00520CD5">
        <w:t>customer</w:t>
      </w:r>
      <w:r>
        <w:t xml:space="preserve">s on similar payment types, may vary to some extent.  Similarly, </w:t>
      </w:r>
      <w:r w:rsidR="00520CD5">
        <w:t>customer</w:t>
      </w:r>
      <w:r>
        <w:t xml:space="preserve">s who have been recently placed on income management in the trial sites may in some way systematically differ from ongoing Centrelink </w:t>
      </w:r>
      <w:r w:rsidR="00520CD5">
        <w:t>customer</w:t>
      </w:r>
      <w:r>
        <w:t xml:space="preserve">s who are recruited from the comparison sites. This will be a particular issue for the comparison of </w:t>
      </w:r>
      <w:r w:rsidR="00520CD5">
        <w:t>customer</w:t>
      </w:r>
      <w:r>
        <w:t>s placed on the Child Protection Income Management measure, as there</w:t>
      </w:r>
      <w:r w:rsidR="000D607C">
        <w:t xml:space="preserve"> is</w:t>
      </w:r>
      <w:r>
        <w:t xml:space="preserve"> a chance that the Centrelink </w:t>
      </w:r>
      <w:r w:rsidR="00520CD5">
        <w:t>customer</w:t>
      </w:r>
      <w:r>
        <w:t xml:space="preserve">s who are currently engaged with the child protection system may be under-represented in the sample recruited in the comparison sites. </w:t>
      </w:r>
    </w:p>
    <w:p w:rsidR="0069353B" w:rsidRDefault="0069353B" w:rsidP="0069353B">
      <w:pPr>
        <w:pStyle w:val="BodyText"/>
      </w:pPr>
      <w:r>
        <w:t xml:space="preserve">In order to minimise the likelihood of sampling bias in the current evaluation, we have attempted to ensure that </w:t>
      </w:r>
      <w:r w:rsidRPr="001A6664">
        <w:t>the sampling frame and recruitment strategies are as aligned as possible across the trial and comparison sites</w:t>
      </w:r>
      <w:r w:rsidR="009B0B57" w:rsidRPr="001A6664">
        <w:t>. W</w:t>
      </w:r>
      <w:r w:rsidR="00A742BA" w:rsidRPr="001A6664">
        <w:t xml:space="preserve">e are continuing to explore with FaHCSIA and DHS how the comparison site sample can be further </w:t>
      </w:r>
      <w:r w:rsidR="007310FE" w:rsidRPr="001A6664">
        <w:t>refined to maximise the match of pre-existing client characteristics across the two samples</w:t>
      </w:r>
      <w:r w:rsidR="009B0B57" w:rsidRPr="001A6664">
        <w:t xml:space="preserve">, </w:t>
      </w:r>
      <w:r w:rsidR="001A6664" w:rsidRPr="001A6664">
        <w:t>for example</w:t>
      </w:r>
      <w:r w:rsidR="009B0B57" w:rsidRPr="001A6664">
        <w:t xml:space="preserve"> by stratifying our sampling according to particular income support payment types</w:t>
      </w:r>
      <w:r w:rsidRPr="001A6664">
        <w:t>. Statistical techniques can assist in modifying some of the effects of sampling bias (such as through use of weighting), but they cannot remove the impact entirely if particular population groups are excluded from the comparison group sample. The use of incentives is also being considered as a further means of encouraging the participation of a broad range of</w:t>
      </w:r>
      <w:r w:rsidRPr="00584528">
        <w:t xml:space="preserve"> population groups, particularly in the comparison sites.</w:t>
      </w:r>
      <w:r w:rsidR="00A742BA">
        <w:t xml:space="preserve"> </w:t>
      </w:r>
    </w:p>
    <w:p w:rsidR="0069353B" w:rsidRDefault="0069353B" w:rsidP="0069353B">
      <w:pPr>
        <w:pStyle w:val="Heading2"/>
      </w:pPr>
      <w:bookmarkStart w:id="150" w:name="_Toc342495249"/>
      <w:r>
        <w:t>Response rates and loss to follow up</w:t>
      </w:r>
      <w:bookmarkEnd w:id="150"/>
    </w:p>
    <w:p w:rsidR="0069353B" w:rsidRDefault="0069353B" w:rsidP="0069353B">
      <w:pPr>
        <w:pStyle w:val="BodyText"/>
      </w:pPr>
      <w:r>
        <w:t>Low responses rates and loss to follow up can pose a significant threat to the validity of longitudinal survey research. The SRC ha</w:t>
      </w:r>
      <w:r w:rsidR="008478FB">
        <w:t>s</w:t>
      </w:r>
      <w:r>
        <w:t xml:space="preserve"> considerable experience and expertise in maximising response rates and minimising loss to follow up in longitudinal survey research, in particular with disadvantage groups such as welfare recipients. The use of well-trained interviewers, making repeated attempts to contact individuals selected within the available sample, the use of additional contacts for participants who may be highly mobile, and maintaining contact with participants between fieldwork waves are all strategies which will be employed in our longitudinal </w:t>
      </w:r>
      <w:r w:rsidR="00520CD5">
        <w:t>customer</w:t>
      </w:r>
      <w:r>
        <w:t xml:space="preserve"> survey to </w:t>
      </w:r>
      <w:proofErr w:type="gramStart"/>
      <w:r>
        <w:t>mitigate</w:t>
      </w:r>
      <w:proofErr w:type="gramEnd"/>
      <w:r>
        <w:t xml:space="preserve"> against low response rates and loss to follow up.  </w:t>
      </w:r>
    </w:p>
    <w:p w:rsidR="00706BDE" w:rsidRPr="00EF6FE9" w:rsidRDefault="00706BDE" w:rsidP="00706BDE">
      <w:pPr>
        <w:pStyle w:val="Heading2"/>
        <w:tabs>
          <w:tab w:val="clear" w:pos="709"/>
        </w:tabs>
        <w:ind w:left="851" w:hanging="851"/>
      </w:pPr>
      <w:bookmarkStart w:id="151" w:name="_Toc342495250"/>
      <w:r w:rsidRPr="00EF6FE9">
        <w:t>Challenges</w:t>
      </w:r>
      <w:r>
        <w:t xml:space="preserve"> in using secondary data to evaluate PBIM</w:t>
      </w:r>
      <w:bookmarkEnd w:id="151"/>
    </w:p>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174C03" w:rsidRDefault="00174C03" w:rsidP="00174C03">
      <w:pPr>
        <w:pStyle w:val="BodyText"/>
      </w:pPr>
      <w:r>
        <w:t>While secondary data are a powerful source of information and insight</w:t>
      </w:r>
      <w:r w:rsidR="000D607C">
        <w:t>,</w:t>
      </w:r>
      <w:r>
        <w:t xml:space="preserve"> their usefulness is limited by the quality and granularity of the data available and the reality of the situation from which they are derived.</w:t>
      </w:r>
    </w:p>
    <w:p w:rsidR="00174C03" w:rsidRDefault="00174C03" w:rsidP="00174C03">
      <w:pPr>
        <w:pStyle w:val="BodyText"/>
      </w:pPr>
      <w:r>
        <w:t xml:space="preserve">Separating the effectiveness of PBIM from other initiatives and programs can be difficult particularly if their processes and outcomes are closely aligned with those of PBIM.  The use of multiple trial sites and comparison sites to provide an ‘overall’ evaluation is designed to reduce this risk.  </w:t>
      </w:r>
    </w:p>
    <w:p w:rsidR="00174C03" w:rsidRDefault="00174C03" w:rsidP="00174C03">
      <w:pPr>
        <w:pStyle w:val="BodyText"/>
      </w:pPr>
      <w:r>
        <w:lastRenderedPageBreak/>
        <w:t xml:space="preserve">All the trial and control sites have been selected because of their participation in the </w:t>
      </w:r>
      <w:r w:rsidRPr="00335BD0">
        <w:rPr>
          <w:i/>
        </w:rPr>
        <w:t>Building Australia’s Future Workforce</w:t>
      </w:r>
      <w:r w:rsidRPr="00D059CE">
        <w:t xml:space="preserve"> (BAFW) package</w:t>
      </w:r>
      <w:r>
        <w:t xml:space="preserve">.  The same BAFW initiatives are present at all sites except for Income Management which is only present at the trial sites.  Similarly </w:t>
      </w:r>
      <w:r w:rsidRPr="00335BD0">
        <w:rPr>
          <w:i/>
        </w:rPr>
        <w:t>Communities for Children</w:t>
      </w:r>
      <w:r>
        <w:t xml:space="preserve"> is present at all sites although the activities associated with </w:t>
      </w:r>
      <w:r w:rsidRPr="00335BD0">
        <w:rPr>
          <w:i/>
        </w:rPr>
        <w:t>Communities for Children</w:t>
      </w:r>
      <w:r>
        <w:t xml:space="preserve"> can vary by site.  These differences by site however will be known to the evaluation from the data reported.</w:t>
      </w:r>
    </w:p>
    <w:p w:rsidR="00174C03" w:rsidRPr="00282595" w:rsidRDefault="00174C03" w:rsidP="00174C03">
      <w:pPr>
        <w:pStyle w:val="BodyText"/>
      </w:pPr>
      <w:r>
        <w:t>Other major initiatives which overlap with PBIM and are not common across sites need to be identified to understand the variation across sites</w:t>
      </w:r>
      <w:r w:rsidR="00B035E8">
        <w:t>, including both Commonwealth and state government initiatives</w:t>
      </w:r>
      <w:r w:rsidRPr="00871470">
        <w:t xml:space="preserve">.  </w:t>
      </w:r>
      <w:r w:rsidR="002133D5" w:rsidRPr="002133D5">
        <w:rPr>
          <w:i/>
        </w:rPr>
        <w:t>Logan Beenleigh Young Persons Project</w:t>
      </w:r>
      <w:r w:rsidR="000D607C">
        <w:t>,</w:t>
      </w:r>
      <w:r>
        <w:t xml:space="preserve"> which is only in place at Logan</w:t>
      </w:r>
      <w:r w:rsidR="000D607C">
        <w:t>,</w:t>
      </w:r>
      <w:r>
        <w:t xml:space="preserve"> is one such initiative.</w:t>
      </w:r>
      <w:r w:rsidR="00B035E8">
        <w:t xml:space="preserve"> Additionally, </w:t>
      </w:r>
      <w:r w:rsidR="002133D5" w:rsidRPr="002133D5">
        <w:rPr>
          <w:i/>
        </w:rPr>
        <w:t>Referral for Active Intervention</w:t>
      </w:r>
      <w:r w:rsidR="00B035E8">
        <w:t xml:space="preserve"> </w:t>
      </w:r>
      <w:r w:rsidR="008D5BC7">
        <w:t xml:space="preserve">is being run in both the Logan and Beenleigh sites, while </w:t>
      </w:r>
      <w:r w:rsidR="002133D5" w:rsidRPr="002133D5">
        <w:rPr>
          <w:i/>
        </w:rPr>
        <w:t>Breaking the Cycle of Domestic and Family Violence</w:t>
      </w:r>
      <w:r w:rsidR="00B035E8">
        <w:t xml:space="preserve"> is being run in Rockhampton</w:t>
      </w:r>
      <w:r w:rsidR="00D05A0B">
        <w:t xml:space="preserve">, both of which may potentially touch on the </w:t>
      </w:r>
      <w:r w:rsidR="00520CD5">
        <w:t>customer</w:t>
      </w:r>
      <w:r w:rsidR="00D05A0B">
        <w:t xml:space="preserve"> group for PBIM</w:t>
      </w:r>
      <w:r w:rsidR="00B035E8">
        <w:t>.</w:t>
      </w:r>
      <w:r w:rsidR="00D05A0B">
        <w:t xml:space="preserve"> </w:t>
      </w:r>
    </w:p>
    <w:p w:rsidR="00174C03" w:rsidRDefault="00174C03" w:rsidP="00174C03">
      <w:pPr>
        <w:pStyle w:val="BodyText"/>
      </w:pPr>
      <w:r>
        <w:t>External factors such as the availability and the price of goods and services relevant to people on Income Management (for example food and housing) may counter any positive effect of PBIM on the desired outcomes.  While site based differences can be controlled to some extent, any strong local influences of factors such as these will be difficult to control for when analysing administrative data for the evaluation.  The main difficulties lie in knowing what the factors might be and in obtaining data sensitive enough to measure the change in circumstances and relate them to outcomes.  If the presence of external factors such as these is identified in the analysis their potential influence will need to be considered in interpreting the results.</w:t>
      </w:r>
    </w:p>
    <w:p w:rsidR="0082152B" w:rsidRDefault="00174C03" w:rsidP="00C36522">
      <w:pPr>
        <w:pStyle w:val="BodyText"/>
      </w:pPr>
      <w:r>
        <w:t>Hard administrative data are well suited to measuring specific actions and behaviours but less suited to measuring softer outcomes such as perceptions and broad outcomes such as overall wellbeing.  The implementation process and short term outcomes are heavily aligned with actions and relate well to administrative data sources.  Many of the medium term outcomes identified in the program logic also relate to actions and behaviours however a number are ‘softer’ outcomes which will need to be measured from primary data sources.  Individual components of ‘overall’ measurements can be evaluated</w:t>
      </w:r>
      <w:r w:rsidR="00534B7E">
        <w:t>, although</w:t>
      </w:r>
      <w:r>
        <w:t xml:space="preserve"> how they are combined into a single ‘overall’ measurement is often a subjective decision.  The weight of evidence from individual components can make an ‘overall’ result self-evident.  However, if some component factors are effective and others ineffective, ‘overall’ effectiveness is less clear.  Using multiple methods and multiple measurements to evaluate PBIM outcomes increases the likelihood </w:t>
      </w:r>
      <w:r w:rsidR="00534B7E">
        <w:t xml:space="preserve">of </w:t>
      </w:r>
      <w:r>
        <w:t>a self-evident assessment of overall effectiveness.</w:t>
      </w:r>
    </w:p>
    <w:p w:rsidR="00A3352D" w:rsidRDefault="00A3352D" w:rsidP="00A3352D">
      <w:pPr>
        <w:pStyle w:val="MajorHeading"/>
      </w:pPr>
      <w:bookmarkStart w:id="152" w:name="_Toc215906321"/>
      <w:bookmarkStart w:id="153" w:name="_Toc227746678"/>
      <w:bookmarkStart w:id="154" w:name="_Toc227746682"/>
      <w:bookmarkStart w:id="155" w:name="_Toc227746686"/>
      <w:bookmarkStart w:id="156" w:name="_Toc227746690"/>
      <w:bookmarkStart w:id="157" w:name="_Toc227748312"/>
      <w:bookmarkStart w:id="158" w:name="_Toc227748330"/>
      <w:bookmarkStart w:id="159" w:name="_Toc227748334"/>
      <w:bookmarkStart w:id="160" w:name="_Toc227748338"/>
      <w:bookmarkStart w:id="161" w:name="_Toc227748377"/>
      <w:bookmarkStart w:id="162" w:name="_Toc227748381"/>
      <w:bookmarkStart w:id="163" w:name="_Toc227748385"/>
      <w:bookmarkStart w:id="164" w:name="_Toc227748497"/>
      <w:bookmarkStart w:id="165" w:name="_Toc227748501"/>
      <w:bookmarkStart w:id="166" w:name="_Toc228005208"/>
      <w:bookmarkStart w:id="167" w:name="_Toc228092499"/>
      <w:bookmarkStart w:id="168" w:name="_Toc228264954"/>
      <w:bookmarkStart w:id="169" w:name="_Toc228264976"/>
      <w:bookmarkStart w:id="170" w:name="_Toc228264980"/>
      <w:bookmarkStart w:id="171" w:name="_Toc228264984"/>
      <w:bookmarkStart w:id="172" w:name="_Toc228264988"/>
      <w:bookmarkStart w:id="173" w:name="_Toc228265218"/>
      <w:bookmarkStart w:id="174" w:name="_Toc342495251"/>
      <w:bookmarkStart w:id="175" w:name="_Ref32208620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lastRenderedPageBreak/>
        <w:t>References</w:t>
      </w:r>
      <w:bookmarkEnd w:id="174"/>
    </w:p>
    <w:p w:rsidR="00A3352D" w:rsidRPr="00A356F5" w:rsidRDefault="00A3352D" w:rsidP="00A3352D">
      <w:pPr>
        <w:pStyle w:val="Reference"/>
      </w:pPr>
      <w:proofErr w:type="spellStart"/>
      <w:r w:rsidRPr="00A356F5">
        <w:t>Attanasio</w:t>
      </w:r>
      <w:proofErr w:type="spellEnd"/>
      <w:r w:rsidRPr="00A356F5">
        <w:t xml:space="preserve">, O, L, Gomez, P, Heredia, </w:t>
      </w:r>
      <w:proofErr w:type="gramStart"/>
      <w:r w:rsidRPr="00A356F5">
        <w:t>and  M</w:t>
      </w:r>
      <w:proofErr w:type="gramEnd"/>
      <w:r w:rsidRPr="00A356F5">
        <w:t xml:space="preserve">, Vera-Hernandez, 2005, ‘The short-term impact of a conditional cash subsidy on child health and nutrition in Columbia’, </w:t>
      </w:r>
      <w:r w:rsidRPr="00A356F5">
        <w:rPr>
          <w:i/>
        </w:rPr>
        <w:t xml:space="preserve">The Institute of Fiscal Studies, </w:t>
      </w:r>
      <w:r w:rsidRPr="00A356F5">
        <w:t>London.</w:t>
      </w:r>
    </w:p>
    <w:p w:rsidR="00A01CA5" w:rsidRDefault="00A01CA5" w:rsidP="00A3352D">
      <w:pPr>
        <w:pStyle w:val="Reference"/>
      </w:pPr>
      <w:r>
        <w:t xml:space="preserve">Australasian Evaluation Society, 2010, Guidelines for the ethical conduct of evaluations, August, www.aes.asn.au </w:t>
      </w:r>
    </w:p>
    <w:p w:rsidR="00A3352D" w:rsidRPr="00A356F5" w:rsidRDefault="00A3352D" w:rsidP="00A3352D">
      <w:pPr>
        <w:pStyle w:val="Reference"/>
      </w:pPr>
      <w:r w:rsidRPr="00A356F5">
        <w:t>Australian Indigenous Doctors’ Association and Centre for Health Equity Training, Research and Evaluation, 2010, ‘Health Impact Assessment of the Northern Territory Emergency Respon</w:t>
      </w:r>
      <w:r w:rsidR="004072B8">
        <w:t>se’, accessed March 30, 2012, &lt;</w:t>
      </w:r>
      <w:hyperlink r:id="rId43" w:history="1">
        <w:r w:rsidR="004072B8">
          <w:rPr>
            <w:rStyle w:val="Hyperlink"/>
          </w:rPr>
          <w:t>Link to 'Health Impact Assessment of the Northern Territory'</w:t>
        </w:r>
      </w:hyperlink>
      <w:r w:rsidRPr="00A356F5">
        <w:t>&gt;.</w:t>
      </w:r>
    </w:p>
    <w:p w:rsidR="00A3352D" w:rsidRPr="00A356F5" w:rsidRDefault="00A3352D" w:rsidP="00A3352D">
      <w:pPr>
        <w:pStyle w:val="Reference"/>
      </w:pPr>
      <w:proofErr w:type="gramStart"/>
      <w:r w:rsidRPr="00A356F5">
        <w:t>Australian Institute of Health and Welfare, 2010, Occasional Paper No. 34.</w:t>
      </w:r>
      <w:proofErr w:type="gramEnd"/>
      <w:r w:rsidRPr="00A356F5">
        <w:t xml:space="preserve"> ‘Evaluation of income management in the Northern Territory’, accessed March 30, 2012 &lt; </w:t>
      </w:r>
      <w:hyperlink r:id="rId44" w:history="1">
        <w:r w:rsidR="00627F78">
          <w:rPr>
            <w:rStyle w:val="Hyperlink"/>
          </w:rPr>
          <w:t>Link to AIHW paper 'Evaluation of income management in the Northern Territory'</w:t>
        </w:r>
      </w:hyperlink>
      <w:r w:rsidRPr="00A356F5">
        <w:t xml:space="preserve">&gt;. </w:t>
      </w:r>
    </w:p>
    <w:p w:rsidR="00A3352D" w:rsidRPr="00A356F5" w:rsidRDefault="00A3352D" w:rsidP="00A3352D">
      <w:pPr>
        <w:pStyle w:val="Reference"/>
        <w:rPr>
          <w:i/>
        </w:rPr>
      </w:pPr>
      <w:proofErr w:type="gramStart"/>
      <w:r w:rsidRPr="00A356F5">
        <w:t xml:space="preserve">Baird, S, C, McIntosh and B, </w:t>
      </w:r>
      <w:proofErr w:type="spellStart"/>
      <w:r w:rsidRPr="00A356F5">
        <w:t>Ozler</w:t>
      </w:r>
      <w:proofErr w:type="spellEnd"/>
      <w:r w:rsidRPr="00A356F5">
        <w:t xml:space="preserve">, 2009, ‘Designing Cost-effective Cash Transfer Programs to Boost Schooling among Young Women in Sub-Saharan Africa’, </w:t>
      </w:r>
      <w:r w:rsidRPr="00A356F5">
        <w:rPr>
          <w:i/>
        </w:rPr>
        <w:t>Policy Research Working Paper 5090.</w:t>
      </w:r>
      <w:proofErr w:type="gramEnd"/>
    </w:p>
    <w:p w:rsidR="00A3352D" w:rsidRPr="00A356F5" w:rsidRDefault="00A3352D" w:rsidP="00A3352D">
      <w:pPr>
        <w:pStyle w:val="Reference"/>
      </w:pPr>
      <w:r w:rsidRPr="00A356F5">
        <w:t xml:space="preserve">Barber, S and P, </w:t>
      </w:r>
      <w:proofErr w:type="spellStart"/>
      <w:r w:rsidRPr="00A356F5">
        <w:t>Gertler</w:t>
      </w:r>
      <w:proofErr w:type="spellEnd"/>
      <w:r w:rsidRPr="00A356F5">
        <w:t xml:space="preserve">, 2009, ‘Empowering women to obtain high quality care: evidence from an evaluation of Mexico’s conditional cash transfer programme’, </w:t>
      </w:r>
      <w:r w:rsidRPr="00A356F5">
        <w:rPr>
          <w:i/>
        </w:rPr>
        <w:t>Health Policy and Planning</w:t>
      </w:r>
      <w:r w:rsidRPr="00A356F5">
        <w:t>, 24: 18-25.</w:t>
      </w:r>
    </w:p>
    <w:p w:rsidR="00A3352D" w:rsidRPr="00A356F5" w:rsidRDefault="00A3352D" w:rsidP="00A3352D">
      <w:pPr>
        <w:pStyle w:val="Reference"/>
      </w:pPr>
      <w:r w:rsidRPr="00A356F5">
        <w:t xml:space="preserve">Barham, T and </w:t>
      </w:r>
      <w:proofErr w:type="spellStart"/>
      <w:r w:rsidRPr="00A356F5">
        <w:t>J.Maluccio</w:t>
      </w:r>
      <w:proofErr w:type="spellEnd"/>
      <w:r w:rsidRPr="00A356F5">
        <w:t xml:space="preserve"> 2009, ‘Eradicating diseases: The effect of conditional cash transfers on vaccinations coverage in rural Nicaragua’, </w:t>
      </w:r>
      <w:r w:rsidRPr="00A356F5">
        <w:rPr>
          <w:i/>
        </w:rPr>
        <w:t xml:space="preserve">Journal of Health Economics, </w:t>
      </w:r>
      <w:r w:rsidRPr="00A356F5">
        <w:t>28: 611-621.</w:t>
      </w:r>
    </w:p>
    <w:p w:rsidR="00A3352D" w:rsidRPr="00767EB3" w:rsidRDefault="00A3352D" w:rsidP="00A3352D">
      <w:pPr>
        <w:pStyle w:val="Reference"/>
      </w:pPr>
      <w:r w:rsidRPr="00767EB3">
        <w:t xml:space="preserve">Bertrand, M, </w:t>
      </w:r>
      <w:proofErr w:type="spellStart"/>
      <w:r w:rsidRPr="00767EB3">
        <w:t>Mullainathan</w:t>
      </w:r>
      <w:proofErr w:type="spellEnd"/>
      <w:r w:rsidRPr="00767EB3">
        <w:t xml:space="preserve">, S, </w:t>
      </w:r>
      <w:proofErr w:type="spellStart"/>
      <w:r w:rsidRPr="00767EB3">
        <w:t>Shafir</w:t>
      </w:r>
      <w:proofErr w:type="spellEnd"/>
      <w:r w:rsidRPr="00767EB3">
        <w:t>, E 2006, ‘</w:t>
      </w:r>
      <w:r w:rsidR="00444F3C" w:rsidRPr="00767EB3">
        <w:t>Behavioural</w:t>
      </w:r>
      <w:r w:rsidRPr="00767EB3">
        <w:t xml:space="preserve"> economics and marketing in aid of decision making among the poor’,</w:t>
      </w:r>
      <w:r w:rsidRPr="004F3A81">
        <w:t xml:space="preserve"> Journal of Public Policy and Marketing</w:t>
      </w:r>
      <w:r w:rsidRPr="00767EB3">
        <w:t>, 25(1):8-23.</w:t>
      </w:r>
    </w:p>
    <w:p w:rsidR="00A3352D" w:rsidRPr="00A356F5" w:rsidRDefault="00A3352D" w:rsidP="00A3352D">
      <w:pPr>
        <w:pStyle w:val="Reference"/>
      </w:pPr>
      <w:proofErr w:type="spellStart"/>
      <w:r w:rsidRPr="00A356F5">
        <w:t>Brimblecombe</w:t>
      </w:r>
      <w:proofErr w:type="spellEnd"/>
      <w:r w:rsidRPr="00A356F5">
        <w:t xml:space="preserve">, J, </w:t>
      </w:r>
      <w:proofErr w:type="spellStart"/>
      <w:r w:rsidRPr="00A356F5">
        <w:t>J</w:t>
      </w:r>
      <w:proofErr w:type="gramStart"/>
      <w:r w:rsidRPr="00A356F5">
        <w:t>,McDonnell</w:t>
      </w:r>
      <w:proofErr w:type="spellEnd"/>
      <w:proofErr w:type="gramEnd"/>
      <w:r w:rsidRPr="00A356F5">
        <w:t xml:space="preserve">, </w:t>
      </w:r>
      <w:proofErr w:type="spellStart"/>
      <w:r w:rsidRPr="00A356F5">
        <w:t>A,Barnes</w:t>
      </w:r>
      <w:proofErr w:type="spellEnd"/>
      <w:r w:rsidRPr="00A356F5">
        <w:t xml:space="preserve">, J, </w:t>
      </w:r>
      <w:proofErr w:type="spellStart"/>
      <w:r w:rsidRPr="00A356F5">
        <w:t>Garnggulkpuy</w:t>
      </w:r>
      <w:proofErr w:type="spellEnd"/>
      <w:r w:rsidRPr="00A356F5">
        <w:t xml:space="preserve"> </w:t>
      </w:r>
      <w:proofErr w:type="spellStart"/>
      <w:r w:rsidRPr="00A356F5">
        <w:t>Dhurrkay</w:t>
      </w:r>
      <w:proofErr w:type="spellEnd"/>
      <w:r w:rsidRPr="00A356F5">
        <w:t xml:space="preserve">, D, Thomas and </w:t>
      </w:r>
      <w:proofErr w:type="spellStart"/>
      <w:r w:rsidRPr="00A356F5">
        <w:t>R,Bailie</w:t>
      </w:r>
      <w:proofErr w:type="spellEnd"/>
      <w:r w:rsidRPr="00A356F5">
        <w:t xml:space="preserve">, 2010, ‘Impact of income management on store sales in the Northern Territory’, </w:t>
      </w:r>
      <w:r w:rsidRPr="00A356F5">
        <w:rPr>
          <w:i/>
        </w:rPr>
        <w:t>Medical Journal of Australia</w:t>
      </w:r>
      <w:r w:rsidRPr="00A356F5">
        <w:t>, 192(10): 549-554.</w:t>
      </w:r>
    </w:p>
    <w:p w:rsidR="00A3352D" w:rsidRPr="00767EB3" w:rsidRDefault="00A3352D" w:rsidP="00A3352D">
      <w:pPr>
        <w:pStyle w:val="Reference"/>
      </w:pPr>
      <w:proofErr w:type="gramStart"/>
      <w:r w:rsidRPr="00767EB3">
        <w:t>Currie, J 2004, ‘</w:t>
      </w:r>
      <w:r w:rsidRPr="004F3A81">
        <w:t>The take up of social benefits’</w:t>
      </w:r>
      <w:r w:rsidRPr="00767EB3">
        <w:t>, National Bureau of Economic Research Working Paper 10488.</w:t>
      </w:r>
      <w:proofErr w:type="gramEnd"/>
      <w:r w:rsidRPr="00767EB3">
        <w:t xml:space="preserve"> </w:t>
      </w:r>
    </w:p>
    <w:p w:rsidR="00A3352D" w:rsidRPr="00767EB3" w:rsidRDefault="00A3352D" w:rsidP="00A3352D">
      <w:pPr>
        <w:pStyle w:val="Reference"/>
      </w:pPr>
      <w:r w:rsidRPr="00767EB3">
        <w:t>Currie, J, Grogger, J 2001, ‘Explaining recent declines in food stamp program participation’, in W. Gale and J. Rothenberg-Pack (</w:t>
      </w:r>
      <w:proofErr w:type="spellStart"/>
      <w:r w:rsidRPr="00767EB3">
        <w:t>eds</w:t>
      </w:r>
      <w:proofErr w:type="spellEnd"/>
      <w:r w:rsidRPr="00767EB3">
        <w:t xml:space="preserve">), </w:t>
      </w:r>
      <w:r w:rsidRPr="004F3A81">
        <w:t>Brookings Papers on Urban Affairs</w:t>
      </w:r>
      <w:r w:rsidRPr="00767EB3">
        <w:t>, Washington, DC: Brookings Institution.</w:t>
      </w:r>
    </w:p>
    <w:p w:rsidR="00735609" w:rsidRPr="004F3A81" w:rsidRDefault="00735609" w:rsidP="00735609">
      <w:pPr>
        <w:pStyle w:val="Reference"/>
      </w:pPr>
      <w:r w:rsidRPr="004F3A81">
        <w:t xml:space="preserve">Department of Families, Housing, Community Services and Indigenous Affairs, 2009, ‘Report on the Northern Territory Emergency Response Redesign Consultations’, accessed April 16, 2012, </w:t>
      </w:r>
      <w:hyperlink r:id="rId45" w:history="1">
        <w:r w:rsidR="00627F78">
          <w:rPr>
            <w:rStyle w:val="Hyperlink"/>
            <w:color w:val="000000" w:themeColor="text1"/>
          </w:rPr>
          <w:t>Link to 'Report on the Northern Territory Emergency Response Redesign Consultations'</w:t>
        </w:r>
      </w:hyperlink>
      <w:r w:rsidRPr="004F3A81">
        <w:t>.</w:t>
      </w:r>
    </w:p>
    <w:p w:rsidR="00A3352D" w:rsidRPr="00A356F5" w:rsidRDefault="00A3352D" w:rsidP="00A3352D">
      <w:pPr>
        <w:pStyle w:val="Reference"/>
      </w:pPr>
      <w:r w:rsidRPr="00A356F5">
        <w:lastRenderedPageBreak/>
        <w:t xml:space="preserve">Department of Human Services NSW, ‘Child Protection Advisory Group’, accessed April 17, 2012, </w:t>
      </w:r>
      <w:hyperlink r:id="rId46" w:history="1">
        <w:r w:rsidR="00627F78">
          <w:rPr>
            <w:rStyle w:val="Hyperlink"/>
          </w:rPr>
          <w:t>Link to 'Child Protection Advisory Group'</w:t>
        </w:r>
      </w:hyperlink>
      <w:r w:rsidRPr="00A356F5">
        <w:t>.</w:t>
      </w:r>
    </w:p>
    <w:p w:rsidR="00A3352D" w:rsidRPr="00A356F5" w:rsidRDefault="00A3352D" w:rsidP="00A3352D">
      <w:pPr>
        <w:pStyle w:val="Reference"/>
      </w:pPr>
      <w:proofErr w:type="gramStart"/>
      <w:r w:rsidRPr="00A356F5">
        <w:t xml:space="preserve">Gabel, S, and S, </w:t>
      </w:r>
      <w:proofErr w:type="spellStart"/>
      <w:r w:rsidRPr="00A356F5">
        <w:t>Kamerman</w:t>
      </w:r>
      <w:proofErr w:type="spellEnd"/>
      <w:r w:rsidRPr="00A356F5">
        <w:t xml:space="preserve">, 2011, ‘Conditional Cash Transfer (CCTs) A Child Policy Strategy in Asia’, </w:t>
      </w:r>
      <w:proofErr w:type="spellStart"/>
      <w:r w:rsidRPr="00A356F5">
        <w:rPr>
          <w:i/>
        </w:rPr>
        <w:t>Revista</w:t>
      </w:r>
      <w:proofErr w:type="spellEnd"/>
      <w:r w:rsidRPr="00A356F5">
        <w:rPr>
          <w:i/>
        </w:rPr>
        <w:t xml:space="preserve"> de </w:t>
      </w:r>
      <w:proofErr w:type="spellStart"/>
      <w:r w:rsidRPr="00A356F5">
        <w:rPr>
          <w:i/>
        </w:rPr>
        <w:t>Asistenja</w:t>
      </w:r>
      <w:proofErr w:type="spellEnd"/>
      <w:r w:rsidRPr="00A356F5">
        <w:rPr>
          <w:i/>
        </w:rPr>
        <w:t xml:space="preserve"> </w:t>
      </w:r>
      <w:proofErr w:type="spellStart"/>
      <w:r w:rsidRPr="00A356F5">
        <w:rPr>
          <w:i/>
        </w:rPr>
        <w:t>Sociala</w:t>
      </w:r>
      <w:proofErr w:type="spellEnd"/>
      <w:r w:rsidRPr="00A356F5">
        <w:t>, 4:41-91.</w:t>
      </w:r>
      <w:proofErr w:type="gramEnd"/>
    </w:p>
    <w:p w:rsidR="00A3352D" w:rsidRPr="00A356F5" w:rsidRDefault="00A3352D" w:rsidP="00A3352D">
      <w:pPr>
        <w:pStyle w:val="Reference"/>
      </w:pPr>
      <w:proofErr w:type="spellStart"/>
      <w:r w:rsidRPr="00A356F5">
        <w:t>Gertler</w:t>
      </w:r>
      <w:proofErr w:type="spellEnd"/>
      <w:r w:rsidRPr="00A356F5">
        <w:t xml:space="preserve">, P, 2000, ‘Final Report The Impact of </w:t>
      </w:r>
      <w:proofErr w:type="spellStart"/>
      <w:r w:rsidRPr="00A356F5">
        <w:t>Progresa</w:t>
      </w:r>
      <w:proofErr w:type="spellEnd"/>
      <w:r w:rsidRPr="00A356F5">
        <w:t xml:space="preserve"> on Health’, Report for the International Food Policy Research Institute. </w:t>
      </w:r>
    </w:p>
    <w:p w:rsidR="00A3352D" w:rsidRPr="00A356F5" w:rsidRDefault="00A3352D" w:rsidP="00A3352D">
      <w:pPr>
        <w:pStyle w:val="Reference"/>
      </w:pPr>
      <w:proofErr w:type="spellStart"/>
      <w:r w:rsidRPr="00A356F5">
        <w:t>Gertler</w:t>
      </w:r>
      <w:proofErr w:type="spellEnd"/>
      <w:r w:rsidRPr="00A356F5">
        <w:t xml:space="preserve">, P, 2004, ‘Do conditional cash transfers improve child health? </w:t>
      </w:r>
      <w:proofErr w:type="gramStart"/>
      <w:r w:rsidRPr="00A356F5">
        <w:t xml:space="preserve">Evidence from </w:t>
      </w:r>
      <w:proofErr w:type="spellStart"/>
      <w:r w:rsidRPr="00A356F5">
        <w:t>Progresa’s</w:t>
      </w:r>
      <w:proofErr w:type="spellEnd"/>
      <w:r w:rsidRPr="00A356F5">
        <w:t xml:space="preserve"> control randomized experiment’, </w:t>
      </w:r>
      <w:r w:rsidRPr="00A356F5">
        <w:rPr>
          <w:i/>
        </w:rPr>
        <w:t xml:space="preserve">American Economic Review, </w:t>
      </w:r>
      <w:r w:rsidRPr="00A356F5">
        <w:t>94: 336-341.</w:t>
      </w:r>
      <w:proofErr w:type="gramEnd"/>
    </w:p>
    <w:p w:rsidR="00A3352D" w:rsidRPr="00767EB3" w:rsidRDefault="00A3352D" w:rsidP="00A3352D">
      <w:pPr>
        <w:pStyle w:val="Reference"/>
      </w:pPr>
      <w:r w:rsidRPr="00767EB3">
        <w:t>Holmes, J, Ryan, C 2010, ‘Incentives, rewards, motivation and the receipt of income support’, Department of Families, Housing, Community Services and Indigenous Affairs, Occasional Paper No. 32.</w:t>
      </w:r>
    </w:p>
    <w:p w:rsidR="00A3352D" w:rsidRDefault="00A3352D" w:rsidP="00A3352D">
      <w:pPr>
        <w:pStyle w:val="Reference"/>
      </w:pPr>
      <w:r w:rsidRPr="00767EB3">
        <w:t>Institute for Government 2010, ‘MINDSPACE: influencing behaviour through public policy’, Report for the UK Cabinet Office.</w:t>
      </w:r>
    </w:p>
    <w:p w:rsidR="00A3352D" w:rsidRDefault="00A3352D" w:rsidP="00A3352D">
      <w:pPr>
        <w:pStyle w:val="Reference"/>
      </w:pPr>
      <w:proofErr w:type="spellStart"/>
      <w:r w:rsidRPr="009C6A1F">
        <w:t>Kelman</w:t>
      </w:r>
      <w:proofErr w:type="spellEnd"/>
      <w:r w:rsidRPr="009C6A1F">
        <w:t xml:space="preserve">, H 1958, ‘Compliance, identification and internalization: three processes of attitude change’, </w:t>
      </w:r>
      <w:r w:rsidRPr="009C6A1F">
        <w:rPr>
          <w:i/>
        </w:rPr>
        <w:t>Journal of Conflict Resolution</w:t>
      </w:r>
      <w:r w:rsidRPr="009C6A1F">
        <w:t>, 2:51-60.</w:t>
      </w:r>
    </w:p>
    <w:p w:rsidR="00A3352D" w:rsidRPr="00A356F5" w:rsidRDefault="00A3352D" w:rsidP="00A3352D">
      <w:pPr>
        <w:pStyle w:val="Reference"/>
      </w:pPr>
      <w:r w:rsidRPr="00A356F5">
        <w:t xml:space="preserve">Lamb, D and M, Young, 2011, ‘Pushing buttons: an evaluation of the effect of Aboriginal income management on commercial gambling expenditure’, </w:t>
      </w:r>
      <w:r w:rsidRPr="00A356F5">
        <w:rPr>
          <w:i/>
        </w:rPr>
        <w:t>Australian Journal of Social Issues</w:t>
      </w:r>
      <w:r w:rsidRPr="00A356F5">
        <w:t>, 46(2): 119-140.</w:t>
      </w:r>
    </w:p>
    <w:p w:rsidR="00A3352D" w:rsidRPr="00A356F5" w:rsidRDefault="00A3352D" w:rsidP="00A3352D">
      <w:pPr>
        <w:pStyle w:val="Reference"/>
      </w:pPr>
      <w:proofErr w:type="spellStart"/>
      <w:r w:rsidRPr="00A356F5">
        <w:t>Largarde</w:t>
      </w:r>
      <w:proofErr w:type="spellEnd"/>
      <w:r w:rsidRPr="00A356F5">
        <w:t xml:space="preserve">, M, A, Haines and N, Palmer, 2009, ‘The impact of conditional cash transfers on health outcomes and use of health services in low and middle income countries (Review)’, </w:t>
      </w:r>
      <w:r w:rsidRPr="00A356F5">
        <w:rPr>
          <w:i/>
        </w:rPr>
        <w:t xml:space="preserve">The Cochrane </w:t>
      </w:r>
      <w:proofErr w:type="gramStart"/>
      <w:r w:rsidRPr="00A356F5">
        <w:rPr>
          <w:i/>
        </w:rPr>
        <w:t>Library</w:t>
      </w:r>
      <w:r w:rsidRPr="00A356F5">
        <w:t xml:space="preserve"> ,</w:t>
      </w:r>
      <w:proofErr w:type="gramEnd"/>
      <w:r w:rsidRPr="00A356F5">
        <w:t xml:space="preserve"> 4: i-50</w:t>
      </w:r>
    </w:p>
    <w:p w:rsidR="00A3352D" w:rsidRPr="00A356F5" w:rsidRDefault="00A3352D" w:rsidP="00A3352D">
      <w:pPr>
        <w:pStyle w:val="Reference"/>
      </w:pPr>
      <w:proofErr w:type="spellStart"/>
      <w:r w:rsidRPr="00A356F5">
        <w:t>Maluccio</w:t>
      </w:r>
      <w:proofErr w:type="spellEnd"/>
      <w:r w:rsidRPr="00A356F5">
        <w:t>, J and R, Flores, 2005, ‘Impact evaluation of a condition cash transfer programme: The Nicaraguan Red de Protection Social’, Research Report for the International Food Policy Research Institute, Washington.</w:t>
      </w:r>
    </w:p>
    <w:p w:rsidR="00A3352D" w:rsidRPr="00A356F5" w:rsidRDefault="00A3352D" w:rsidP="00A3352D">
      <w:pPr>
        <w:pStyle w:val="Reference"/>
      </w:pPr>
      <w:r w:rsidRPr="00A356F5">
        <w:t xml:space="preserve">ORIMA Research, 2010, ‘Evaluation of the Child Protection Scheme of Income Management and Voluntary Income Management Measures in Western Australia’, accessed March 30, 2012, &lt; </w:t>
      </w:r>
      <w:hyperlink r:id="rId47" w:history="1">
        <w:r w:rsidR="00627F78">
          <w:rPr>
            <w:rStyle w:val="Hyperlink"/>
          </w:rPr>
          <w:t xml:space="preserve">Link to </w:t>
        </w:r>
        <w:proofErr w:type="spellStart"/>
        <w:r w:rsidR="00627F78">
          <w:rPr>
            <w:rStyle w:val="Hyperlink"/>
          </w:rPr>
          <w:t>Orima</w:t>
        </w:r>
        <w:proofErr w:type="spellEnd"/>
        <w:r w:rsidR="00627F78">
          <w:rPr>
            <w:rStyle w:val="Hyperlink"/>
          </w:rPr>
          <w:t xml:space="preserve"> evaluation of CPIM and VIM in WA</w:t>
        </w:r>
      </w:hyperlink>
      <w:r w:rsidRPr="00A356F5">
        <w:t>&gt;.</w:t>
      </w:r>
    </w:p>
    <w:p w:rsidR="00A3352D" w:rsidRPr="00A356F5" w:rsidRDefault="00A3352D" w:rsidP="00A3352D">
      <w:pPr>
        <w:pStyle w:val="Reference"/>
      </w:pPr>
      <w:proofErr w:type="spellStart"/>
      <w:r w:rsidRPr="00A356F5">
        <w:t>Ozler</w:t>
      </w:r>
      <w:proofErr w:type="spellEnd"/>
      <w:r w:rsidRPr="00A356F5">
        <w:t xml:space="preserve">, E, L, Fernald, </w:t>
      </w:r>
      <w:proofErr w:type="spellStart"/>
      <w:r w:rsidRPr="00A356F5">
        <w:t>J,Manley</w:t>
      </w:r>
      <w:proofErr w:type="spellEnd"/>
      <w:r w:rsidRPr="00A356F5">
        <w:t xml:space="preserve">, P, </w:t>
      </w:r>
      <w:proofErr w:type="spellStart"/>
      <w:r w:rsidRPr="00A356F5">
        <w:t>Gertler</w:t>
      </w:r>
      <w:proofErr w:type="spellEnd"/>
      <w:r w:rsidRPr="00A356F5">
        <w:t xml:space="preserve">, 2009, ‘Effects of Conditional Cash Transfer Program on Children’s Behaviour Problems’, </w:t>
      </w:r>
      <w:proofErr w:type="spellStart"/>
      <w:r w:rsidRPr="00A356F5">
        <w:rPr>
          <w:i/>
        </w:rPr>
        <w:t>Pediatrics</w:t>
      </w:r>
      <w:proofErr w:type="spellEnd"/>
      <w:r w:rsidRPr="00A356F5">
        <w:rPr>
          <w:i/>
        </w:rPr>
        <w:t xml:space="preserve">, </w:t>
      </w:r>
      <w:r w:rsidRPr="00A356F5">
        <w:t>123: 630-638.</w:t>
      </w:r>
    </w:p>
    <w:p w:rsidR="00A3352D" w:rsidRPr="00767EB3" w:rsidRDefault="00A3352D" w:rsidP="00A3352D">
      <w:pPr>
        <w:pStyle w:val="Reference"/>
      </w:pPr>
      <w:proofErr w:type="spellStart"/>
      <w:r w:rsidRPr="00767EB3">
        <w:t>Psendorfer</w:t>
      </w:r>
      <w:proofErr w:type="spellEnd"/>
      <w:r w:rsidRPr="00767EB3">
        <w:t xml:space="preserve">, W 2006, ‘Behavioural economics come of age: a review essay on advances in behavioural economics’, </w:t>
      </w:r>
      <w:r w:rsidRPr="004F3A81">
        <w:t>Journal of Economic Literature</w:t>
      </w:r>
      <w:r w:rsidRPr="00767EB3">
        <w:t>, 44(3):667-71.</w:t>
      </w:r>
    </w:p>
    <w:p w:rsidR="00A3352D" w:rsidRPr="00A356F5" w:rsidRDefault="00A3352D" w:rsidP="00A3352D">
      <w:pPr>
        <w:pStyle w:val="Reference"/>
      </w:pPr>
      <w:r w:rsidRPr="00A356F5">
        <w:t xml:space="preserve">Rawlings, L and G, Rubio, 2005, ‘Evaluating the Impact of Conditional Cash Transfer Programs’, </w:t>
      </w:r>
      <w:r w:rsidRPr="00A356F5">
        <w:rPr>
          <w:i/>
        </w:rPr>
        <w:t>The World Bank Research Observer</w:t>
      </w:r>
      <w:r w:rsidRPr="00A356F5">
        <w:t>, 20(1): 29-54.</w:t>
      </w:r>
    </w:p>
    <w:p w:rsidR="00A3352D" w:rsidRDefault="00A3352D" w:rsidP="00A3352D">
      <w:pPr>
        <w:pStyle w:val="Reference"/>
      </w:pPr>
      <w:proofErr w:type="spellStart"/>
      <w:r>
        <w:t>Reeson</w:t>
      </w:r>
      <w:proofErr w:type="spellEnd"/>
      <w:r>
        <w:t xml:space="preserve">, A, </w:t>
      </w:r>
      <w:proofErr w:type="spellStart"/>
      <w:r>
        <w:t>Dunstall</w:t>
      </w:r>
      <w:proofErr w:type="spellEnd"/>
      <w:r>
        <w:t>, S 2009, ‘Behavioural economics and complex decision-making: implications for the Australian tax and transfer system’, Confidential Report prepared for Treasury, CMIS Report 09/110, CSIRO.</w:t>
      </w:r>
    </w:p>
    <w:p w:rsidR="00A3352D" w:rsidRPr="00A356F5" w:rsidRDefault="00A3352D" w:rsidP="00A3352D">
      <w:pPr>
        <w:pStyle w:val="Reference"/>
      </w:pPr>
      <w:r w:rsidRPr="00A356F5">
        <w:lastRenderedPageBreak/>
        <w:t xml:space="preserve">Rivera, J, D, </w:t>
      </w:r>
      <w:proofErr w:type="spellStart"/>
      <w:r w:rsidRPr="00A356F5">
        <w:t>Sotres</w:t>
      </w:r>
      <w:proofErr w:type="spellEnd"/>
      <w:r w:rsidRPr="00A356F5">
        <w:t xml:space="preserve">-Alvarez, J, </w:t>
      </w:r>
      <w:proofErr w:type="spellStart"/>
      <w:r w:rsidRPr="00A356F5">
        <w:t>Habicht</w:t>
      </w:r>
      <w:proofErr w:type="spellEnd"/>
      <w:r w:rsidRPr="00A356F5">
        <w:t xml:space="preserve">, T, </w:t>
      </w:r>
      <w:proofErr w:type="spellStart"/>
      <w:r w:rsidRPr="00A356F5">
        <w:t>Shamah</w:t>
      </w:r>
      <w:proofErr w:type="spellEnd"/>
      <w:r w:rsidRPr="00A356F5">
        <w:t xml:space="preserve"> and S, </w:t>
      </w:r>
      <w:proofErr w:type="spellStart"/>
      <w:r w:rsidRPr="00A356F5">
        <w:t>Villalpando</w:t>
      </w:r>
      <w:proofErr w:type="spellEnd"/>
      <w:r w:rsidRPr="00A356F5">
        <w:t>, 2004, ‘Impact of the Mexican Programme for Education, Health and Nutrition (</w:t>
      </w:r>
      <w:proofErr w:type="spellStart"/>
      <w:r w:rsidRPr="00A356F5">
        <w:t>Progresa</w:t>
      </w:r>
      <w:proofErr w:type="spellEnd"/>
      <w:r w:rsidRPr="00A356F5">
        <w:t xml:space="preserve">) on Rates of Growth and Anaemia in Infants and Young Children: A Randomized Effectiveness Study’, </w:t>
      </w:r>
      <w:r w:rsidRPr="00A356F5">
        <w:rPr>
          <w:i/>
        </w:rPr>
        <w:t xml:space="preserve">JAMA, </w:t>
      </w:r>
      <w:r w:rsidRPr="00A356F5">
        <w:t>291:2563-70.</w:t>
      </w:r>
    </w:p>
    <w:p w:rsidR="00A3352D" w:rsidRPr="00A356F5" w:rsidRDefault="00A3352D" w:rsidP="00A3352D">
      <w:pPr>
        <w:pStyle w:val="Reference"/>
      </w:pPr>
      <w:proofErr w:type="spellStart"/>
      <w:r w:rsidRPr="00A356F5">
        <w:t>Skoufias</w:t>
      </w:r>
      <w:proofErr w:type="spellEnd"/>
      <w:r w:rsidRPr="00A356F5">
        <w:t xml:space="preserve">, E and V, Di </w:t>
      </w:r>
      <w:proofErr w:type="spellStart"/>
      <w:r w:rsidRPr="00A356F5">
        <w:t>Maro</w:t>
      </w:r>
      <w:proofErr w:type="spellEnd"/>
      <w:r w:rsidRPr="00A356F5">
        <w:t xml:space="preserve">, 2008, ‘Conditional Cash Transfers, Adult Work Incentives and Poverty’, </w:t>
      </w:r>
      <w:r w:rsidRPr="00A356F5">
        <w:rPr>
          <w:i/>
        </w:rPr>
        <w:t>Journal of Development Studies</w:t>
      </w:r>
      <w:r w:rsidRPr="00A356F5">
        <w:t>, 44(7): 935-960.</w:t>
      </w:r>
    </w:p>
    <w:p w:rsidR="00A3352D" w:rsidRPr="00A356F5" w:rsidRDefault="00A3352D" w:rsidP="00A3352D">
      <w:pPr>
        <w:pStyle w:val="Reference"/>
      </w:pPr>
      <w:proofErr w:type="spellStart"/>
      <w:r w:rsidRPr="00A356F5">
        <w:t>Soares</w:t>
      </w:r>
      <w:proofErr w:type="spellEnd"/>
      <w:r w:rsidRPr="00A356F5">
        <w:t xml:space="preserve">, F, R, </w:t>
      </w:r>
      <w:proofErr w:type="spellStart"/>
      <w:r w:rsidRPr="00A356F5">
        <w:t>Ribas</w:t>
      </w:r>
      <w:proofErr w:type="spellEnd"/>
      <w:r w:rsidRPr="00A356F5">
        <w:t xml:space="preserve"> and R, Osorio, 2010, ‘Evaluating the Impact of Brazil’s </w:t>
      </w:r>
      <w:proofErr w:type="spellStart"/>
      <w:r w:rsidRPr="00A356F5">
        <w:t>Bolsa</w:t>
      </w:r>
      <w:proofErr w:type="spellEnd"/>
      <w:r w:rsidRPr="00A356F5">
        <w:t xml:space="preserve"> </w:t>
      </w:r>
      <w:proofErr w:type="spellStart"/>
      <w:r w:rsidRPr="00A356F5">
        <w:t>Familia</w:t>
      </w:r>
      <w:proofErr w:type="spellEnd"/>
      <w:r w:rsidRPr="00A356F5">
        <w:t xml:space="preserve">’, </w:t>
      </w:r>
      <w:r w:rsidRPr="00A356F5">
        <w:rPr>
          <w:i/>
        </w:rPr>
        <w:t>Latin American Research Review</w:t>
      </w:r>
      <w:r w:rsidRPr="00A356F5">
        <w:t>, 45(2): 173-190.</w:t>
      </w:r>
    </w:p>
    <w:p w:rsidR="00A3352D" w:rsidRDefault="00A3352D" w:rsidP="00A3352D">
      <w:pPr>
        <w:pStyle w:val="Reference"/>
      </w:pPr>
      <w:r w:rsidRPr="00A356F5">
        <w:t>Social Policy Research Centre, University of New South Wales and Australian Institute of Family Studies, 2010, ‘Evaluation Framework For New Income Management (NIM)’, Report for The Australian Government Department of Families, Housing, Community Services and Indigenous Affairs.</w:t>
      </w:r>
    </w:p>
    <w:p w:rsidR="00A3352D" w:rsidRPr="00A3352D" w:rsidRDefault="00A3352D" w:rsidP="00A3352D"/>
    <w:p w:rsidR="00D81033" w:rsidRDefault="00D81033" w:rsidP="004E1438">
      <w:pPr>
        <w:pStyle w:val="Appendix"/>
      </w:pPr>
      <w:bookmarkStart w:id="176" w:name="_Ref322536784"/>
      <w:bookmarkStart w:id="177" w:name="_Toc342495252"/>
      <w:r>
        <w:lastRenderedPageBreak/>
        <w:t>: Strategy for the literature scan</w:t>
      </w:r>
      <w:bookmarkEnd w:id="176"/>
      <w:bookmarkEnd w:id="177"/>
    </w:p>
    <w:p w:rsidR="007F6286" w:rsidRDefault="007F6286" w:rsidP="007F6286">
      <w:pPr>
        <w:pStyle w:val="BodyText"/>
      </w:pPr>
      <w:r>
        <w:t xml:space="preserve">Consistent with the brief for this project, the literature scan sought to build on the literature review conducted for the evaluation of the Northern Territory (NT) New Income Management (NIM) initiative with a view to updating the previous literature review where relevant to this project.  The purpose of the NTNIM evaluation literature review was to guide the development of a robust mixed methods evaluation of the NIM in the NT. The NT NIM Evaluation team reviewed the Australian and international literature addressing research designs and outcomes of income management policies.  They examined literature published between 1995 and 2010. The review was exploratory rather than systematic.  Data bases included Google Scholar, and more specialised databases such as </w:t>
      </w:r>
      <w:proofErr w:type="spellStart"/>
      <w:r>
        <w:t>IngentaConnect</w:t>
      </w:r>
      <w:proofErr w:type="spellEnd"/>
      <w:r>
        <w:t xml:space="preserve">, Project Muse, Cambridge Journals Online and Medline.  The key search terms were: income management, conditional cash transfers, conditionality, social protection, welfare, family income and expenditure.  </w:t>
      </w:r>
    </w:p>
    <w:p w:rsidR="007F6286" w:rsidRDefault="007F6286" w:rsidP="007F6286">
      <w:pPr>
        <w:pStyle w:val="BodyText"/>
      </w:pPr>
      <w:r>
        <w:t xml:space="preserve">In order to avoid duplicating the work undertaken as part of the literature view for the NT NIM Evaluation, the search strategy for this project was restricted to articles published between 2009 and 2012. </w:t>
      </w:r>
    </w:p>
    <w:p w:rsidR="007F6286" w:rsidRDefault="007F6286" w:rsidP="007F6286">
      <w:pPr>
        <w:pStyle w:val="BodyText"/>
      </w:pPr>
      <w:r>
        <w:t>The databases and search terms utilised in the NT NIM Evaluation review were incorporated into our search strategy, together with additional terms and databases outlined below.</w:t>
      </w:r>
    </w:p>
    <w:p w:rsidR="007F6286" w:rsidRDefault="007F6286" w:rsidP="007F6286">
      <w:pPr>
        <w:pStyle w:val="BodyText"/>
      </w:pPr>
      <w:r>
        <w:t xml:space="preserve">Relevant Australian government websites were also reviewed to collect information on recent policy developments and other evaluations of income management programs completed since the NT NIM Evaluation literature review. For example, the </w:t>
      </w:r>
      <w:r w:rsidRPr="00C8787A">
        <w:rPr>
          <w:i/>
        </w:rPr>
        <w:t>Evaluation of the Child Protection Scheme of Income Management and Voluntary Income Management Measures in Western Australia</w:t>
      </w:r>
      <w:r>
        <w:t xml:space="preserve"> (ORIMA Research 2010 </w:t>
      </w:r>
    </w:p>
    <w:p w:rsidR="007F6286" w:rsidRDefault="007F6286" w:rsidP="007F6286">
      <w:pPr>
        <w:pStyle w:val="BoldPara"/>
      </w:pPr>
      <w:r>
        <w:t>Search terms</w:t>
      </w:r>
    </w:p>
    <w:p w:rsidR="007F6286" w:rsidRDefault="007F6286" w:rsidP="007F6286">
      <w:pPr>
        <w:pStyle w:val="BodyText"/>
      </w:pPr>
      <w:r>
        <w:t xml:space="preserve">Key search terms are detailed in </w:t>
      </w:r>
      <w:r w:rsidR="00D71A6F">
        <w:fldChar w:fldCharType="begin"/>
      </w:r>
      <w:r>
        <w:instrText xml:space="preserve"> REF _Ref322086502 \r \h </w:instrText>
      </w:r>
      <w:r w:rsidR="00D71A6F">
        <w:fldChar w:fldCharType="separate"/>
      </w:r>
      <w:r w:rsidR="003C7E97">
        <w:t>Table A.1</w:t>
      </w:r>
      <w:r w:rsidR="00D71A6F">
        <w:fldChar w:fldCharType="end"/>
      </w:r>
      <w:r>
        <w:t xml:space="preserve">, as well as the various combinations used. In addition to the search terms detailed below, the </w:t>
      </w:r>
      <w:r w:rsidR="00534B7E">
        <w:t>bibliography</w:t>
      </w:r>
      <w:r>
        <w:t xml:space="preserve"> of </w:t>
      </w:r>
      <w:r w:rsidR="00534B7E">
        <w:t xml:space="preserve">the </w:t>
      </w:r>
      <w:r>
        <w:t xml:space="preserve">articles found were reviewed to broaden the search. </w:t>
      </w:r>
    </w:p>
    <w:p w:rsidR="007F6286" w:rsidRDefault="007F6286" w:rsidP="007F6286">
      <w:pPr>
        <w:pStyle w:val="AppendixTableCaption"/>
      </w:pPr>
      <w:bookmarkStart w:id="178" w:name="_Ref322086502"/>
      <w:bookmarkStart w:id="179" w:name="_Toc342495258"/>
      <w:r>
        <w:t>:</w:t>
      </w:r>
      <w:r w:rsidRPr="00C8787A">
        <w:t xml:space="preserve"> Search terms</w:t>
      </w:r>
      <w:bookmarkEnd w:id="178"/>
      <w:bookmarkEnd w:id="179"/>
    </w:p>
    <w:tbl>
      <w:tblPr>
        <w:tblStyle w:val="LightList-Accent11"/>
        <w:tblW w:w="0" w:type="auto"/>
        <w:tblLook w:val="04A0" w:firstRow="1" w:lastRow="0" w:firstColumn="1" w:lastColumn="0" w:noHBand="0" w:noVBand="1"/>
        <w:tblCaption w:val="Table A.1: Search terms"/>
      </w:tblPr>
      <w:tblGrid>
        <w:gridCol w:w="635"/>
        <w:gridCol w:w="7128"/>
      </w:tblGrid>
      <w:tr w:rsidR="00185A6C" w:rsidTr="00185A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w:t>
            </w:r>
          </w:p>
        </w:tc>
        <w:tc>
          <w:tcPr>
            <w:tcW w:w="7128" w:type="dxa"/>
          </w:tcPr>
          <w:p w:rsidR="00185A6C" w:rsidRDefault="00185A6C" w:rsidP="0049641F">
            <w:pPr>
              <w:pStyle w:val="Bullet1"/>
              <w:numPr>
                <w:ilvl w:val="0"/>
                <w:numId w:val="0"/>
              </w:numPr>
              <w:cnfStyle w:val="100000000000" w:firstRow="1" w:lastRow="0" w:firstColumn="0" w:lastColumn="0" w:oddVBand="0" w:evenVBand="0" w:oddHBand="0" w:evenHBand="0" w:firstRowFirstColumn="0" w:firstRowLastColumn="0" w:lastRowFirstColumn="0" w:lastRowLastColumn="0"/>
              <w:rPr>
                <w:b w:val="0"/>
                <w:bCs w:val="0"/>
              </w:rPr>
            </w:pPr>
            <w:r>
              <w:t>Search terms used</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‘Income management’</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2</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‘Conditional cash transfers’ OR ‘Conditionality’</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3</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‘Social protection’ AND #1</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4</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‘Welfare’ AND #1</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5</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‘Parent*’ AND #1</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lastRenderedPageBreak/>
              <w:t>6</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w:t>
            </w:r>
            <w:proofErr w:type="spellStart"/>
            <w:r>
              <w:t>vulnerab</w:t>
            </w:r>
            <w:proofErr w:type="spellEnd"/>
            <w:r>
              <w:t>*’ AND #1</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7</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‘Family’ AND #1</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8</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#7  AND  ‘expenditure’</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 xml:space="preserve">9 </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‘Family’ AND #1 AND ‘</w:t>
            </w:r>
            <w:proofErr w:type="spellStart"/>
            <w:r>
              <w:t>evaluat</w:t>
            </w:r>
            <w:proofErr w:type="spellEnd"/>
            <w:r>
              <w:t>*’  OR ‘measure’ OR ‘metric’</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10</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‘Place based’ AND #1</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11</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w:t>
            </w:r>
            <w:proofErr w:type="spellStart"/>
            <w:r>
              <w:t>Evaluat</w:t>
            </w:r>
            <w:proofErr w:type="spellEnd"/>
            <w:r>
              <w:t>*’ AND #1</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12</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#11 AND ‘measure’ OR ‘metric’</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13</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‘Effective*’ AND #1 OR #8</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14</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‘Child*’ AND #1</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15</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‘Child*’ AND #1 AND ‘</w:t>
            </w:r>
            <w:proofErr w:type="spellStart"/>
            <w:r>
              <w:t>evaluat</w:t>
            </w:r>
            <w:proofErr w:type="spellEnd"/>
            <w:r>
              <w:t>*’ OR ‘measure’ OR ‘metric’</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16</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‘Community’ AND #1 AND ‘</w:t>
            </w:r>
            <w:proofErr w:type="spellStart"/>
            <w:r>
              <w:t>evaluat</w:t>
            </w:r>
            <w:proofErr w:type="spellEnd"/>
            <w:r>
              <w:t>*’</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17</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‘Wellbeing’ AND #1 AND ‘</w:t>
            </w:r>
            <w:proofErr w:type="spellStart"/>
            <w:r>
              <w:t>evaluat</w:t>
            </w:r>
            <w:proofErr w:type="spellEnd"/>
            <w:r>
              <w:t>*’ OR ‘measure’ OR ‘metric’</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18</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‘voluntary’ AND #1</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19</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#1 AND ‘outcome’ OR ‘performance’ OR ‘impact’</w:t>
            </w:r>
          </w:p>
        </w:tc>
      </w:tr>
      <w:tr w:rsidR="00185A6C" w:rsidTr="00185A6C">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20</w:t>
            </w:r>
          </w:p>
        </w:tc>
        <w:tc>
          <w:tcPr>
            <w:tcW w:w="7128" w:type="dxa"/>
          </w:tcPr>
          <w:p w:rsidR="00185A6C" w:rsidRDefault="00185A6C" w:rsidP="0049641F">
            <w:pPr>
              <w:pStyle w:val="Bullet1"/>
              <w:numPr>
                <w:ilvl w:val="0"/>
                <w:numId w:val="0"/>
              </w:numPr>
              <w:cnfStyle w:val="000000000000" w:firstRow="0" w:lastRow="0" w:firstColumn="0" w:lastColumn="0" w:oddVBand="0" w:evenVBand="0" w:oddHBand="0" w:evenHBand="0" w:firstRowFirstColumn="0" w:firstRowLastColumn="0" w:lastRowFirstColumn="0" w:lastRowLastColumn="0"/>
            </w:pPr>
            <w:r>
              <w:t>#1 AND ‘</w:t>
            </w:r>
            <w:proofErr w:type="spellStart"/>
            <w:r>
              <w:t>financ</w:t>
            </w:r>
            <w:proofErr w:type="spellEnd"/>
            <w:r>
              <w:t>*’ AND ‘capability’ OR ‘</w:t>
            </w:r>
            <w:proofErr w:type="spellStart"/>
            <w:r>
              <w:t>vulnerab</w:t>
            </w:r>
            <w:proofErr w:type="spellEnd"/>
            <w:r>
              <w:t>*’ OR ‘stress’</w:t>
            </w:r>
          </w:p>
        </w:tc>
      </w:tr>
      <w:tr w:rsidR="00185A6C" w:rsidTr="00185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185A6C" w:rsidRDefault="00185A6C" w:rsidP="0049641F">
            <w:pPr>
              <w:pStyle w:val="Bullet1"/>
              <w:numPr>
                <w:ilvl w:val="0"/>
                <w:numId w:val="0"/>
              </w:numPr>
            </w:pPr>
            <w:r>
              <w:t>21</w:t>
            </w:r>
          </w:p>
        </w:tc>
        <w:tc>
          <w:tcPr>
            <w:tcW w:w="7128" w:type="dxa"/>
          </w:tcPr>
          <w:p w:rsidR="00185A6C" w:rsidRDefault="00185A6C" w:rsidP="0049641F">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#1 AND ‘cost’ OR ‘efficiency’ OR ‘cost effective*’</w:t>
            </w:r>
          </w:p>
        </w:tc>
      </w:tr>
    </w:tbl>
    <w:p w:rsidR="007F6286" w:rsidRDefault="007F6286" w:rsidP="007F6286">
      <w:pPr>
        <w:pStyle w:val="Bullet1"/>
        <w:numPr>
          <w:ilvl w:val="0"/>
          <w:numId w:val="0"/>
        </w:numPr>
      </w:pPr>
    </w:p>
    <w:p w:rsidR="007F6286" w:rsidRDefault="007F6286" w:rsidP="007F6286">
      <w:pPr>
        <w:pStyle w:val="BoldPara"/>
      </w:pPr>
      <w:r>
        <w:t>Databases searched</w:t>
      </w:r>
    </w:p>
    <w:p w:rsidR="007F6286" w:rsidRDefault="007F6286" w:rsidP="007F6286">
      <w:pPr>
        <w:pStyle w:val="BodyText"/>
      </w:pPr>
      <w:r>
        <w:t xml:space="preserve">To explore the Australian and international literature, a number of data bases which focus on health and social policy were selected. The table below provides a brief description of each database. </w:t>
      </w:r>
    </w:p>
    <w:p w:rsidR="007F6286" w:rsidRDefault="007F6286" w:rsidP="007F6286">
      <w:pPr>
        <w:pStyle w:val="AppendixTableCaption"/>
      </w:pPr>
      <w:bookmarkStart w:id="180" w:name="_Toc342495259"/>
      <w:r>
        <w:t>: Databases</w:t>
      </w:r>
      <w:bookmarkEnd w:id="180"/>
    </w:p>
    <w:tbl>
      <w:tblPr>
        <w:tblStyle w:val="LightList-Accent11"/>
        <w:tblW w:w="5000" w:type="pct"/>
        <w:tblLook w:val="04A0" w:firstRow="1" w:lastRow="0" w:firstColumn="1" w:lastColumn="0" w:noHBand="0" w:noVBand="1"/>
        <w:tblCaption w:val="Table A.2: Databases"/>
      </w:tblPr>
      <w:tblGrid>
        <w:gridCol w:w="3198"/>
        <w:gridCol w:w="5239"/>
      </w:tblGrid>
      <w:tr w:rsidR="00534B7E" w:rsidTr="008112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5" w:type="pct"/>
          </w:tcPr>
          <w:p w:rsidR="00534B7E" w:rsidRDefault="00534B7E" w:rsidP="0049641F">
            <w:r>
              <w:t>Database</w:t>
            </w:r>
          </w:p>
        </w:tc>
        <w:tc>
          <w:tcPr>
            <w:tcW w:w="3105" w:type="pct"/>
          </w:tcPr>
          <w:p w:rsidR="00534B7E" w:rsidRDefault="00534B7E" w:rsidP="0049641F">
            <w:pPr>
              <w:cnfStyle w:val="100000000000" w:firstRow="1" w:lastRow="0" w:firstColumn="0" w:lastColumn="0" w:oddVBand="0" w:evenVBand="0" w:oddHBand="0" w:evenHBand="0" w:firstRowFirstColumn="0" w:firstRowLastColumn="0" w:lastRowFirstColumn="0" w:lastRowLastColumn="0"/>
            </w:pPr>
            <w:r>
              <w:t>Topics of focus</w:t>
            </w:r>
          </w:p>
        </w:tc>
      </w:tr>
      <w:tr w:rsidR="00534B7E" w:rsidTr="00534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pct"/>
          </w:tcPr>
          <w:p w:rsidR="00534B7E" w:rsidRDefault="00534B7E" w:rsidP="0049641F">
            <w:r>
              <w:t>Medline</w:t>
            </w:r>
          </w:p>
        </w:tc>
        <w:tc>
          <w:tcPr>
            <w:tcW w:w="3105" w:type="pct"/>
          </w:tcPr>
          <w:p w:rsidR="00534B7E" w:rsidRDefault="00534B7E" w:rsidP="0049641F">
            <w:pPr>
              <w:cnfStyle w:val="000000100000" w:firstRow="0" w:lastRow="0" w:firstColumn="0" w:lastColumn="0" w:oddVBand="0" w:evenVBand="0" w:oddHBand="1" w:evenHBand="0" w:firstRowFirstColumn="0" w:firstRowLastColumn="0" w:lastRowFirstColumn="0" w:lastRowLastColumn="0"/>
            </w:pPr>
            <w:r>
              <w:t>Biomedical literature, clinical practice, administration, policy issues and healthcare services</w:t>
            </w:r>
          </w:p>
        </w:tc>
      </w:tr>
      <w:tr w:rsidR="00534B7E" w:rsidTr="00534B7E">
        <w:tc>
          <w:tcPr>
            <w:cnfStyle w:val="001000000000" w:firstRow="0" w:lastRow="0" w:firstColumn="1" w:lastColumn="0" w:oddVBand="0" w:evenVBand="0" w:oddHBand="0" w:evenHBand="0" w:firstRowFirstColumn="0" w:firstRowLastColumn="0" w:lastRowFirstColumn="0" w:lastRowLastColumn="0"/>
            <w:tcW w:w="1895" w:type="pct"/>
          </w:tcPr>
          <w:p w:rsidR="00534B7E" w:rsidRDefault="00534B7E" w:rsidP="0049641F">
            <w:proofErr w:type="spellStart"/>
            <w:r>
              <w:t>Pubmed</w:t>
            </w:r>
            <w:proofErr w:type="spellEnd"/>
          </w:p>
        </w:tc>
        <w:tc>
          <w:tcPr>
            <w:tcW w:w="3105" w:type="pct"/>
          </w:tcPr>
          <w:p w:rsidR="00534B7E" w:rsidRDefault="00534B7E" w:rsidP="0049641F">
            <w:pPr>
              <w:cnfStyle w:val="000000000000" w:firstRow="0" w:lastRow="0" w:firstColumn="0" w:lastColumn="0" w:oddVBand="0" w:evenVBand="0" w:oddHBand="0" w:evenHBand="0" w:firstRowFirstColumn="0" w:firstRowLastColumn="0" w:lastRowFirstColumn="0" w:lastRowLastColumn="0"/>
            </w:pPr>
            <w:r>
              <w:t>Biomedical literature, clinical practice, administration, policy issues and healthcare services</w:t>
            </w:r>
          </w:p>
        </w:tc>
      </w:tr>
      <w:tr w:rsidR="00534B7E" w:rsidTr="00534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pct"/>
          </w:tcPr>
          <w:p w:rsidR="00534B7E" w:rsidRDefault="00534B7E" w:rsidP="0049641F">
            <w:r>
              <w:t>Australian Public Affairs &amp; Information Service</w:t>
            </w:r>
          </w:p>
        </w:tc>
        <w:tc>
          <w:tcPr>
            <w:tcW w:w="3105" w:type="pct"/>
          </w:tcPr>
          <w:p w:rsidR="00534B7E" w:rsidRDefault="00534B7E" w:rsidP="0049641F">
            <w:pPr>
              <w:cnfStyle w:val="000000100000" w:firstRow="0" w:lastRow="0" w:firstColumn="0" w:lastColumn="0" w:oddVBand="0" w:evenVBand="0" w:oddHBand="1" w:evenHBand="0" w:firstRowFirstColumn="0" w:firstRowLastColumn="0" w:lastRowFirstColumn="0" w:lastRowLastColumn="0"/>
            </w:pPr>
            <w:r>
              <w:t>Legal, social, economic and ethical aspects of health and medicine in Australia</w:t>
            </w:r>
          </w:p>
        </w:tc>
      </w:tr>
      <w:tr w:rsidR="00534B7E" w:rsidTr="00534B7E">
        <w:tc>
          <w:tcPr>
            <w:cnfStyle w:val="001000000000" w:firstRow="0" w:lastRow="0" w:firstColumn="1" w:lastColumn="0" w:oddVBand="0" w:evenVBand="0" w:oddHBand="0" w:evenHBand="0" w:firstRowFirstColumn="0" w:firstRowLastColumn="0" w:lastRowFirstColumn="0" w:lastRowLastColumn="0"/>
            <w:tcW w:w="1895" w:type="pct"/>
          </w:tcPr>
          <w:p w:rsidR="00534B7E" w:rsidRDefault="00534B7E" w:rsidP="0049641F">
            <w:r>
              <w:t>Cambridge Journals Online</w:t>
            </w:r>
          </w:p>
        </w:tc>
        <w:tc>
          <w:tcPr>
            <w:tcW w:w="3105" w:type="pct"/>
          </w:tcPr>
          <w:p w:rsidR="00534B7E" w:rsidRDefault="00534B7E" w:rsidP="0049641F">
            <w:pPr>
              <w:cnfStyle w:val="000000000000" w:firstRow="0" w:lastRow="0" w:firstColumn="0" w:lastColumn="0" w:oddVBand="0" w:evenVBand="0" w:oddHBand="0" w:evenHBand="0" w:firstRowFirstColumn="0" w:firstRowLastColumn="0" w:lastRowFirstColumn="0" w:lastRowLastColumn="0"/>
            </w:pPr>
            <w:r>
              <w:t>Various topics</w:t>
            </w:r>
          </w:p>
        </w:tc>
      </w:tr>
      <w:tr w:rsidR="00534B7E" w:rsidTr="00534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pct"/>
          </w:tcPr>
          <w:p w:rsidR="00534B7E" w:rsidRDefault="00534B7E" w:rsidP="0049641F">
            <w:proofErr w:type="spellStart"/>
            <w:r>
              <w:t>Ingentaconnect</w:t>
            </w:r>
            <w:proofErr w:type="spellEnd"/>
          </w:p>
        </w:tc>
        <w:tc>
          <w:tcPr>
            <w:tcW w:w="3105" w:type="pct"/>
          </w:tcPr>
          <w:p w:rsidR="00534B7E" w:rsidRDefault="00534B7E" w:rsidP="0049641F">
            <w:pPr>
              <w:cnfStyle w:val="000000100000" w:firstRow="0" w:lastRow="0" w:firstColumn="0" w:lastColumn="0" w:oddVBand="0" w:evenVBand="0" w:oddHBand="1" w:evenHBand="0" w:firstRowFirstColumn="0" w:firstRowLastColumn="0" w:lastRowFirstColumn="0" w:lastRowLastColumn="0"/>
            </w:pPr>
            <w:r>
              <w:t>Various topics</w:t>
            </w:r>
          </w:p>
        </w:tc>
      </w:tr>
      <w:tr w:rsidR="00534B7E" w:rsidTr="00534B7E">
        <w:tc>
          <w:tcPr>
            <w:cnfStyle w:val="001000000000" w:firstRow="0" w:lastRow="0" w:firstColumn="1" w:lastColumn="0" w:oddVBand="0" w:evenVBand="0" w:oddHBand="0" w:evenHBand="0" w:firstRowFirstColumn="0" w:firstRowLastColumn="0" w:lastRowFirstColumn="0" w:lastRowLastColumn="0"/>
            <w:tcW w:w="1895" w:type="pct"/>
          </w:tcPr>
          <w:p w:rsidR="00534B7E" w:rsidRDefault="00534B7E" w:rsidP="0049641F">
            <w:r>
              <w:t>Project MUSE</w:t>
            </w:r>
          </w:p>
        </w:tc>
        <w:tc>
          <w:tcPr>
            <w:tcW w:w="3105" w:type="pct"/>
          </w:tcPr>
          <w:p w:rsidR="00534B7E" w:rsidRDefault="00534B7E" w:rsidP="0049641F">
            <w:pPr>
              <w:cnfStyle w:val="000000000000" w:firstRow="0" w:lastRow="0" w:firstColumn="0" w:lastColumn="0" w:oddVBand="0" w:evenVBand="0" w:oddHBand="0" w:evenHBand="0" w:firstRowFirstColumn="0" w:firstRowLastColumn="0" w:lastRowFirstColumn="0" w:lastRowLastColumn="0"/>
            </w:pPr>
            <w:r>
              <w:t>Humanities, arts, social sciences and sciences</w:t>
            </w:r>
          </w:p>
        </w:tc>
      </w:tr>
    </w:tbl>
    <w:p w:rsidR="007F6286" w:rsidRDefault="007F6286" w:rsidP="007F6286">
      <w:pPr>
        <w:pStyle w:val="BodyText"/>
      </w:pPr>
      <w:r>
        <w:t xml:space="preserve">In addition to searching the academic databases, the websites of Government departments, existing peak bodies and non-governmental organisations associated with disadvantaged and financially vulnerable populations were reviewed. </w:t>
      </w:r>
    </w:p>
    <w:p w:rsidR="007F6286" w:rsidRPr="00210D87" w:rsidRDefault="007F6286" w:rsidP="007F6286">
      <w:pPr>
        <w:pStyle w:val="AppendixTableCaption"/>
      </w:pPr>
      <w:bookmarkStart w:id="181" w:name="_Toc342495260"/>
      <w:r>
        <w:lastRenderedPageBreak/>
        <w:t>: Government and peak body websites</w:t>
      </w:r>
      <w:bookmarkEnd w:id="181"/>
    </w:p>
    <w:tbl>
      <w:tblPr>
        <w:tblStyle w:val="LightList-Accent11"/>
        <w:tblW w:w="5000" w:type="pct"/>
        <w:tblLook w:val="04A0" w:firstRow="1" w:lastRow="0" w:firstColumn="1" w:lastColumn="0" w:noHBand="0" w:noVBand="1"/>
        <w:tblCaption w:val="Table A.3: Government and peak body websites"/>
      </w:tblPr>
      <w:tblGrid>
        <w:gridCol w:w="8437"/>
      </w:tblGrid>
      <w:tr w:rsidR="003F6E1A" w:rsidRPr="00C74580" w:rsidTr="008112F0">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5000" w:type="pct"/>
          </w:tcPr>
          <w:p w:rsidR="003F6E1A" w:rsidRPr="00C74580" w:rsidRDefault="003F6E1A" w:rsidP="003F6E1A">
            <w:pPr>
              <w:pStyle w:val="TableHeadingCentre"/>
              <w:rPr>
                <w:color w:val="FFFFFF" w:themeColor="background1"/>
              </w:rPr>
            </w:pPr>
            <w:r>
              <w:rPr>
                <w:color w:val="FFFFFF" w:themeColor="background1"/>
              </w:rPr>
              <w:t>Government, peak body and research institute websites searched</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TabletextLeft"/>
            </w:pPr>
            <w:r w:rsidRPr="00F43D6A">
              <w:t>The Department of Families, Housing, Community Services and Indigenous Affairs (FaHCSIA)</w:t>
            </w:r>
          </w:p>
        </w:tc>
      </w:tr>
      <w:tr w:rsidR="003F6E1A" w:rsidRPr="00223D92" w:rsidTr="0080654C">
        <w:trPr>
          <w:trHeight w:val="524"/>
        </w:trPr>
        <w:tc>
          <w:tcPr>
            <w:cnfStyle w:val="001000000000" w:firstRow="0" w:lastRow="0" w:firstColumn="1" w:lastColumn="0" w:oddVBand="0" w:evenVBand="0" w:oddHBand="0" w:evenHBand="0" w:firstRowFirstColumn="0" w:firstRowLastColumn="0" w:lastRowFirstColumn="0" w:lastRowLastColumn="0"/>
            <w:tcW w:w="5000" w:type="pct"/>
          </w:tcPr>
          <w:p w:rsidR="003F6E1A" w:rsidRDefault="003F6E1A" w:rsidP="0049641F">
            <w:pPr>
              <w:pStyle w:val="Bullet1"/>
              <w:numPr>
                <w:ilvl w:val="0"/>
                <w:numId w:val="0"/>
              </w:numPr>
              <w:ind w:left="34" w:hanging="34"/>
              <w:rPr>
                <w:sz w:val="20"/>
              </w:rPr>
            </w:pPr>
            <w:r>
              <w:rPr>
                <w:sz w:val="20"/>
              </w:rPr>
              <w:t>Department of Education, Employment and Workplace Relations (DEEWR)</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Bullet1"/>
              <w:numPr>
                <w:ilvl w:val="0"/>
                <w:numId w:val="0"/>
              </w:numPr>
              <w:ind w:left="567" w:hanging="567"/>
              <w:rPr>
                <w:sz w:val="20"/>
              </w:rPr>
            </w:pPr>
            <w:r w:rsidRPr="00F43D6A">
              <w:rPr>
                <w:sz w:val="20"/>
              </w:rPr>
              <w:t>Australian Institu</w:t>
            </w:r>
            <w:r>
              <w:rPr>
                <w:sz w:val="20"/>
              </w:rPr>
              <w:t>te of Health and Welfare (AIHW)</w:t>
            </w:r>
          </w:p>
        </w:tc>
      </w:tr>
      <w:tr w:rsidR="003F6E1A" w:rsidRPr="00223D92" w:rsidTr="0080654C">
        <w:trPr>
          <w:trHeight w:val="751"/>
        </w:trPr>
        <w:tc>
          <w:tcPr>
            <w:cnfStyle w:val="001000000000" w:firstRow="0" w:lastRow="0" w:firstColumn="1" w:lastColumn="0" w:oddVBand="0" w:evenVBand="0" w:oddHBand="0" w:evenHBand="0" w:firstRowFirstColumn="0" w:firstRowLastColumn="0" w:lastRowFirstColumn="0" w:lastRowLastColumn="0"/>
            <w:tcW w:w="5000" w:type="pct"/>
          </w:tcPr>
          <w:p w:rsidR="003F6E1A" w:rsidRDefault="003F6E1A" w:rsidP="0049641F">
            <w:pPr>
              <w:pStyle w:val="Bullet1"/>
              <w:numPr>
                <w:ilvl w:val="0"/>
                <w:numId w:val="0"/>
              </w:numPr>
              <w:ind w:left="34"/>
              <w:rPr>
                <w:sz w:val="20"/>
              </w:rPr>
            </w:pPr>
            <w:r>
              <w:rPr>
                <w:sz w:val="20"/>
              </w:rPr>
              <w:t xml:space="preserve">Relevant government departments in each State with an active PBIM site (e.g. Department of Communities in Queensland) </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3F6E1A" w:rsidRDefault="003F6E1A" w:rsidP="0049641F">
            <w:pPr>
              <w:pStyle w:val="Bullet1"/>
              <w:numPr>
                <w:ilvl w:val="0"/>
                <w:numId w:val="0"/>
              </w:numPr>
              <w:ind w:left="567" w:hanging="567"/>
              <w:rPr>
                <w:sz w:val="20"/>
              </w:rPr>
            </w:pPr>
            <w:r>
              <w:rPr>
                <w:sz w:val="20"/>
              </w:rPr>
              <w:t>DHS</w:t>
            </w:r>
          </w:p>
        </w:tc>
      </w:tr>
      <w:tr w:rsidR="003F6E1A" w:rsidRPr="00223D92" w:rsidTr="0080654C">
        <w:trPr>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TabletextLeft"/>
            </w:pPr>
            <w:r w:rsidRPr="00F43D6A">
              <w:t>Mission Australia</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TabletextLeft"/>
            </w:pPr>
            <w:r>
              <w:t>Telethon Institute for Child Health Research</w:t>
            </w:r>
          </w:p>
        </w:tc>
      </w:tr>
      <w:tr w:rsidR="003F6E1A" w:rsidRPr="00223D92" w:rsidTr="0080654C">
        <w:trPr>
          <w:trHeight w:val="284"/>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Bullet1"/>
              <w:numPr>
                <w:ilvl w:val="0"/>
                <w:numId w:val="0"/>
              </w:numPr>
              <w:ind w:left="567" w:hanging="567"/>
              <w:rPr>
                <w:sz w:val="20"/>
              </w:rPr>
            </w:pPr>
            <w:r>
              <w:rPr>
                <w:sz w:val="20"/>
              </w:rPr>
              <w:t>Australian Social Policy Association</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TabletextLeft"/>
            </w:pPr>
            <w:r>
              <w:t>Communities and Families Clearing House</w:t>
            </w:r>
          </w:p>
        </w:tc>
      </w:tr>
      <w:tr w:rsidR="003F6E1A" w:rsidRPr="00223D92" w:rsidTr="0080654C">
        <w:trPr>
          <w:trHeight w:val="284"/>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TabletextLeft"/>
            </w:pPr>
            <w:r>
              <w:t>Australian Domestic &amp; Family Violence Clearinghouse</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TabletextLeft"/>
            </w:pPr>
            <w:r>
              <w:t>Association of Children’s Welfare Agencies</w:t>
            </w:r>
          </w:p>
        </w:tc>
      </w:tr>
      <w:tr w:rsidR="003F6E1A" w:rsidRPr="00223D92" w:rsidTr="0080654C">
        <w:trPr>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Bullet1"/>
              <w:numPr>
                <w:ilvl w:val="0"/>
                <w:numId w:val="0"/>
              </w:numPr>
              <w:ind w:left="567" w:hanging="567"/>
              <w:rPr>
                <w:sz w:val="20"/>
              </w:rPr>
            </w:pPr>
            <w:r>
              <w:rPr>
                <w:sz w:val="20"/>
              </w:rPr>
              <w:t>Australian Research Alliance for Children and Youth</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Bullet1"/>
              <w:numPr>
                <w:ilvl w:val="0"/>
                <w:numId w:val="0"/>
              </w:numPr>
              <w:ind w:left="567" w:hanging="567"/>
              <w:rPr>
                <w:sz w:val="20"/>
              </w:rPr>
            </w:pPr>
            <w:r>
              <w:rPr>
                <w:sz w:val="20"/>
              </w:rPr>
              <w:t xml:space="preserve">Social Policy Research Centre </w:t>
            </w:r>
          </w:p>
        </w:tc>
      </w:tr>
      <w:tr w:rsidR="003F6E1A" w:rsidRPr="00223D92" w:rsidTr="0080654C">
        <w:trPr>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Default="003F6E1A" w:rsidP="0049641F">
            <w:pPr>
              <w:pStyle w:val="Bullet1"/>
              <w:numPr>
                <w:ilvl w:val="0"/>
                <w:numId w:val="0"/>
              </w:numPr>
              <w:ind w:left="567" w:hanging="567"/>
              <w:rPr>
                <w:sz w:val="20"/>
              </w:rPr>
            </w:pPr>
            <w:r>
              <w:rPr>
                <w:sz w:val="20"/>
              </w:rPr>
              <w:t xml:space="preserve">The Centre for Aboriginal Economic Policy Research </w:t>
            </w:r>
          </w:p>
        </w:tc>
      </w:tr>
      <w:tr w:rsidR="003F6E1A" w:rsidRPr="00223D92" w:rsidTr="0080654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000" w:type="pct"/>
          </w:tcPr>
          <w:p w:rsidR="003F6E1A" w:rsidRPr="00F43D6A" w:rsidRDefault="003F6E1A" w:rsidP="0049641F">
            <w:pPr>
              <w:pStyle w:val="TabletextLeft"/>
            </w:pPr>
            <w:r w:rsidRPr="00F43D6A">
              <w:t>Australian Council of Social Services</w:t>
            </w:r>
            <w:r>
              <w:t xml:space="preserve"> and Victorian, Queensland, NSW and South Australian affiliates</w:t>
            </w:r>
          </w:p>
        </w:tc>
      </w:tr>
      <w:tr w:rsidR="003F6E1A" w:rsidRPr="00223D92" w:rsidTr="0080654C">
        <w:trPr>
          <w:trHeight w:val="298"/>
        </w:trPr>
        <w:tc>
          <w:tcPr>
            <w:cnfStyle w:val="001000000000" w:firstRow="0" w:lastRow="0" w:firstColumn="1" w:lastColumn="0" w:oddVBand="0" w:evenVBand="0" w:oddHBand="0" w:evenHBand="0" w:firstRowFirstColumn="0" w:firstRowLastColumn="0" w:lastRowFirstColumn="0" w:lastRowLastColumn="0"/>
            <w:tcW w:w="5000" w:type="pct"/>
          </w:tcPr>
          <w:p w:rsidR="003F6E1A" w:rsidRDefault="003F6E1A" w:rsidP="0049641F">
            <w:pPr>
              <w:pStyle w:val="TabletextLeft"/>
            </w:pPr>
            <w:r>
              <w:t xml:space="preserve">Australian Institute of Family Studies </w:t>
            </w:r>
          </w:p>
        </w:tc>
      </w:tr>
    </w:tbl>
    <w:p w:rsidR="007F6286" w:rsidRDefault="007F6286" w:rsidP="007F6286">
      <w:pPr>
        <w:pStyle w:val="BoldPara"/>
      </w:pPr>
      <w:r>
        <w:t xml:space="preserve">Inclusion and exclusion criteria </w:t>
      </w:r>
    </w:p>
    <w:p w:rsidR="007F6286" w:rsidRDefault="007F6286" w:rsidP="007F6286">
      <w:pPr>
        <w:pStyle w:val="BodyText"/>
      </w:pPr>
      <w:r>
        <w:t>To ensure the results obtained were specific and relevant to the purpose of the literature scan, a number of inclusion and exclusion criteria were developed. The following inclusion and exclusion criteria were applied:</w:t>
      </w:r>
    </w:p>
    <w:p w:rsidR="007F6286" w:rsidRDefault="007F6286" w:rsidP="007F6286">
      <w:pPr>
        <w:pStyle w:val="Bullet1"/>
      </w:pPr>
      <w:r w:rsidRPr="005D21F7">
        <w:rPr>
          <w:b/>
        </w:rPr>
        <w:t>Date:</w:t>
      </w:r>
      <w:r>
        <w:t xml:space="preserve"> In order not to repeat the work undertaken for the NT NIM Evaluation, only studies published between 2009-2012 were included</w:t>
      </w:r>
      <w:r w:rsidR="00534B7E">
        <w:t>.</w:t>
      </w:r>
    </w:p>
    <w:p w:rsidR="007F6286" w:rsidRDefault="007F6286" w:rsidP="007F6286">
      <w:pPr>
        <w:pStyle w:val="Bullet1"/>
      </w:pPr>
      <w:r w:rsidRPr="005D21F7">
        <w:rPr>
          <w:b/>
        </w:rPr>
        <w:t>Language</w:t>
      </w:r>
      <w:r>
        <w:t>: Restricted to articles published in the English language only</w:t>
      </w:r>
      <w:r w:rsidR="00534B7E">
        <w:t>.</w:t>
      </w:r>
    </w:p>
    <w:p w:rsidR="007F6286" w:rsidRDefault="007F6286" w:rsidP="007F6286">
      <w:pPr>
        <w:pStyle w:val="Bullet1"/>
      </w:pPr>
      <w:r w:rsidRPr="005D21F7">
        <w:rPr>
          <w:b/>
        </w:rPr>
        <w:t>Population:</w:t>
      </w:r>
      <w:r>
        <w:t xml:space="preserve"> The population is defined as the poor or financially vulnerable who are receiving benefits from either a conditional cash transfer or income management program</w:t>
      </w:r>
      <w:r w:rsidR="00534B7E">
        <w:t>.</w:t>
      </w:r>
    </w:p>
    <w:p w:rsidR="007F6286" w:rsidRDefault="007F6286" w:rsidP="007F6286">
      <w:pPr>
        <w:pStyle w:val="Bullet1"/>
      </w:pPr>
      <w:r w:rsidRPr="005D21F7">
        <w:rPr>
          <w:b/>
        </w:rPr>
        <w:t>Intervention:</w:t>
      </w:r>
      <w:r>
        <w:t xml:space="preserve"> Any program which sets aside a percentage of a person’s  </w:t>
      </w:r>
      <w:r w:rsidR="00081556">
        <w:t>Income Support Payments</w:t>
      </w:r>
      <w:r>
        <w:t xml:space="preserve">, either voluntarily or involuntarily, for their priority needs and those of their children and families. </w:t>
      </w:r>
    </w:p>
    <w:p w:rsidR="007F6286" w:rsidRDefault="007F6286" w:rsidP="007F6286">
      <w:pPr>
        <w:pStyle w:val="Bullet1"/>
      </w:pPr>
      <w:r w:rsidRPr="005D21F7">
        <w:rPr>
          <w:b/>
        </w:rPr>
        <w:t>Study Design:</w:t>
      </w:r>
      <w:r>
        <w:t xml:space="preserve"> The study should be a solid empirical study with high quality reporting. Those studies based on anecdotal evidence will not be included, neither will those not providing detail on the methodology. </w:t>
      </w:r>
    </w:p>
    <w:p w:rsidR="007F6286" w:rsidRDefault="007F6286" w:rsidP="007F6286">
      <w:pPr>
        <w:pStyle w:val="Bullet1"/>
      </w:pPr>
      <w:r w:rsidRPr="008E7CF0">
        <w:rPr>
          <w:b/>
        </w:rPr>
        <w:t>Relevance:</w:t>
      </w:r>
      <w:r>
        <w:t xml:space="preserve"> Studies were only included if they were relevant to understanding research designs and outcomes in income management research. </w:t>
      </w:r>
    </w:p>
    <w:p w:rsidR="007F6286" w:rsidRPr="007F6286" w:rsidRDefault="007F6286" w:rsidP="007F6286"/>
    <w:p w:rsidR="00755868" w:rsidRDefault="00854AD5" w:rsidP="004E1438">
      <w:pPr>
        <w:pStyle w:val="Appendix"/>
      </w:pPr>
      <w:bookmarkStart w:id="182" w:name="_Ref322086370"/>
      <w:bookmarkStart w:id="183" w:name="_Toc342495253"/>
      <w:r>
        <w:lastRenderedPageBreak/>
        <w:t xml:space="preserve">: </w:t>
      </w:r>
      <w:r w:rsidR="00D81033">
        <w:t xml:space="preserve">Findings from the </w:t>
      </w:r>
      <w:r>
        <w:t>Literature</w:t>
      </w:r>
      <w:bookmarkEnd w:id="182"/>
      <w:bookmarkEnd w:id="183"/>
      <w:r>
        <w:t xml:space="preserve"> </w:t>
      </w:r>
      <w:bookmarkEnd w:id="175"/>
    </w:p>
    <w:p w:rsidR="007E0709" w:rsidRDefault="007E0709" w:rsidP="007E0709">
      <w:pPr>
        <w:pStyle w:val="BodyText"/>
      </w:pPr>
      <w:r>
        <w:t>The aims of the literature scan included to:</w:t>
      </w:r>
    </w:p>
    <w:p w:rsidR="007E0709" w:rsidRDefault="007E0709" w:rsidP="007E0709">
      <w:pPr>
        <w:pStyle w:val="Bullet1"/>
      </w:pPr>
      <w:r>
        <w:t>update the literature review conducted as part of  the  NT NIM evaluation framework ;</w:t>
      </w:r>
    </w:p>
    <w:p w:rsidR="007E0709" w:rsidRDefault="007E0709" w:rsidP="007E0709">
      <w:pPr>
        <w:pStyle w:val="Bullet1"/>
      </w:pPr>
      <w:r>
        <w:t>provide an overview of the findings of evaluations of income management programs in Australia;</w:t>
      </w:r>
    </w:p>
    <w:p w:rsidR="007E0709" w:rsidRDefault="007E0709" w:rsidP="007E0709">
      <w:pPr>
        <w:pStyle w:val="Bullet1"/>
      </w:pPr>
      <w:r>
        <w:t>ensure an understanding of the range of potential outcomes expected from income management programs (facilitating our understanding of the logic underlying such initiatives as well as any unintended consequences);</w:t>
      </w:r>
    </w:p>
    <w:p w:rsidR="007E0709" w:rsidRDefault="007E0709" w:rsidP="007E0709">
      <w:pPr>
        <w:pStyle w:val="Bullet1"/>
      </w:pPr>
      <w:r>
        <w:t>describe the approach to evaluating income management programs;</w:t>
      </w:r>
    </w:p>
    <w:p w:rsidR="007E0709" w:rsidRDefault="007E0709" w:rsidP="007E0709">
      <w:pPr>
        <w:pStyle w:val="Bullet1"/>
      </w:pPr>
      <w:r>
        <w:t>describe outcome metrics used to measure the performance of income management programs; and</w:t>
      </w:r>
    </w:p>
    <w:p w:rsidR="007E0709" w:rsidRDefault="007E0709" w:rsidP="007E0709">
      <w:pPr>
        <w:pStyle w:val="Bullet1"/>
      </w:pPr>
      <w:r>
        <w:t>reflect on the evaluation design and analytical methods used to evaluate income management programs to provide an evidence base for establishing a robust and defensible evaluation methodology for this project.</w:t>
      </w:r>
    </w:p>
    <w:p w:rsidR="007E0709" w:rsidRDefault="007E0709" w:rsidP="007E0709">
      <w:pPr>
        <w:pStyle w:val="BodyText"/>
      </w:pPr>
      <w:r>
        <w:t>FaHCSIA requested that the literature scan also reflect on the implications of behavioural economics for the success of IM initiatives.</w:t>
      </w:r>
    </w:p>
    <w:p w:rsidR="007E0709" w:rsidRDefault="007E0709" w:rsidP="007E0709">
      <w:pPr>
        <w:pStyle w:val="BodyText"/>
      </w:pPr>
      <w:r>
        <w:t>Similar to the NT NIM evaluation literature review, t</w:t>
      </w:r>
      <w:r w:rsidRPr="00C67C5F">
        <w:t xml:space="preserve">he </w:t>
      </w:r>
      <w:r>
        <w:t xml:space="preserve">scan for this project was exploratory in nature.  </w:t>
      </w:r>
      <w:proofErr w:type="gramStart"/>
      <w:r>
        <w:t xml:space="preserve">The </w:t>
      </w:r>
      <w:r w:rsidRPr="00C67C5F">
        <w:t>strategy for the scan</w:t>
      </w:r>
      <w:r>
        <w:t xml:space="preserve"> including search terms and databases</w:t>
      </w:r>
      <w:r w:rsidRPr="00C67C5F">
        <w:t xml:space="preserve"> </w:t>
      </w:r>
      <w:r>
        <w:t>a</w:t>
      </w:r>
      <w:r w:rsidRPr="00C67C5F">
        <w:t xml:space="preserve">s </w:t>
      </w:r>
      <w:r>
        <w:t>described</w:t>
      </w:r>
      <w:r w:rsidRPr="00C67C5F">
        <w:t xml:space="preserve"> in</w:t>
      </w:r>
      <w:r>
        <w:t xml:space="preserve"> </w:t>
      </w:r>
      <w:r w:rsidR="00D71A6F">
        <w:fldChar w:fldCharType="begin"/>
      </w:r>
      <w:r>
        <w:instrText xml:space="preserve"> REF _Ref322536784 \r \h </w:instrText>
      </w:r>
      <w:r w:rsidR="00D71A6F">
        <w:fldChar w:fldCharType="separate"/>
      </w:r>
      <w:r w:rsidR="003C7E97">
        <w:t>Appendix A</w:t>
      </w:r>
      <w:r w:rsidR="00D71A6F">
        <w:fldChar w:fldCharType="end"/>
      </w:r>
      <w:r w:rsidRPr="00C67C5F">
        <w:t>.</w:t>
      </w:r>
      <w:proofErr w:type="gramEnd"/>
    </w:p>
    <w:p w:rsidR="007E0709" w:rsidRPr="00B369AF" w:rsidRDefault="007E0709" w:rsidP="007E0709">
      <w:pPr>
        <w:pStyle w:val="BodyText"/>
        <w:rPr>
          <w:b/>
          <w:color w:val="00A1DE"/>
          <w:sz w:val="40"/>
          <w:szCs w:val="40"/>
        </w:rPr>
      </w:pPr>
      <w:r w:rsidRPr="00B369AF">
        <w:rPr>
          <w:b/>
          <w:color w:val="00A1DE"/>
          <w:sz w:val="40"/>
          <w:szCs w:val="40"/>
        </w:rPr>
        <w:t xml:space="preserve">Recent findings from </w:t>
      </w:r>
      <w:r>
        <w:rPr>
          <w:b/>
          <w:color w:val="00A1DE"/>
          <w:sz w:val="40"/>
          <w:szCs w:val="40"/>
        </w:rPr>
        <w:t>evaluations/studies of income management initiatives</w:t>
      </w:r>
    </w:p>
    <w:p w:rsidR="007E0709" w:rsidRDefault="007E0709" w:rsidP="007E0709">
      <w:pPr>
        <w:pStyle w:val="BodyText"/>
      </w:pPr>
      <w:r>
        <w:t>There are several key published evaluations of IM currently available.  For ease of differentiating these publications, they are sub-divided into full and partial evaluations as well as commentaries.  Full evaluation reports include the evaluation of NIM in the Northern Territory (AIHW 2010) and the evaluation of the Child Protection Scheme of Income Management and Voluntary Income Management Measures in Western Australia (ORIMA 2010) which evaluate the program in a holistic manner.  Partial evaluations include research articles that evaluate the program based on one or more of the IM objectives.  These articles include the evaluation on the impact of IM on store sales (</w:t>
      </w:r>
      <w:proofErr w:type="spellStart"/>
      <w:r>
        <w:t>Brimblecombe</w:t>
      </w:r>
      <w:proofErr w:type="spellEnd"/>
      <w:r>
        <w:t xml:space="preserve"> et al 2010) and the impact on commercial gambling expenditure (Lamb and Young 2011).  Commentaries include opined pieces on various topics such as income management and homeless</w:t>
      </w:r>
      <w:r w:rsidR="00D94386">
        <w:t>ness</w:t>
      </w:r>
      <w:r>
        <w:t xml:space="preserve"> (Webster 2011) and income management in the context of family violence (Marshall 2011).   All of which are below.  </w:t>
      </w:r>
    </w:p>
    <w:p w:rsidR="007E0709" w:rsidRDefault="007E0709" w:rsidP="007E0709">
      <w:pPr>
        <w:pStyle w:val="HeadingB"/>
      </w:pPr>
      <w:r>
        <w:lastRenderedPageBreak/>
        <w:t>Full</w:t>
      </w:r>
      <w:r w:rsidRPr="002F5255">
        <w:t xml:space="preserve"> evaluation</w:t>
      </w:r>
      <w:r>
        <w:t xml:space="preserve">s </w:t>
      </w:r>
    </w:p>
    <w:p w:rsidR="007E0709" w:rsidRPr="00A50053" w:rsidRDefault="007E0709" w:rsidP="007E0709">
      <w:pPr>
        <w:pStyle w:val="BoldPara"/>
      </w:pPr>
      <w:r>
        <w:t>Evaluation of New Income Management in the Northern Territory (</w:t>
      </w:r>
      <w:r w:rsidRPr="00A50053">
        <w:t>AIHW</w:t>
      </w:r>
      <w:r>
        <w:t xml:space="preserve"> 2010)</w:t>
      </w:r>
    </w:p>
    <w:p w:rsidR="007E0709" w:rsidRDefault="007E0709" w:rsidP="007E0709">
      <w:pPr>
        <w:pStyle w:val="BodyText"/>
      </w:pPr>
      <w:r>
        <w:t>Income management was one of a package of measures introduced in the NT in July 2007 and had been in place for between seven and 20 months at the time of the evaluation.  Key evaluation questions included:</w:t>
      </w:r>
    </w:p>
    <w:p w:rsidR="007E0709" w:rsidRDefault="007E0709" w:rsidP="007E0709">
      <w:pPr>
        <w:pStyle w:val="Bullet1"/>
      </w:pPr>
      <w:r>
        <w:t>How well was IM implemented and administered?</w:t>
      </w:r>
    </w:p>
    <w:p w:rsidR="007E0709" w:rsidRDefault="007E0709" w:rsidP="007E0709">
      <w:pPr>
        <w:pStyle w:val="Bullet1"/>
      </w:pPr>
      <w:r>
        <w:t>Was more individual/family income being spent on priority needs?</w:t>
      </w:r>
    </w:p>
    <w:p w:rsidR="007E0709" w:rsidRDefault="007E0709" w:rsidP="007E0709">
      <w:pPr>
        <w:pStyle w:val="Bullet1"/>
      </w:pPr>
      <w:r>
        <w:t>Had there been an improvement in food security and food choices?</w:t>
      </w:r>
    </w:p>
    <w:p w:rsidR="007E0709" w:rsidRDefault="007E0709" w:rsidP="007E0709">
      <w:pPr>
        <w:pStyle w:val="Bullet1"/>
      </w:pPr>
      <w:r>
        <w:t>Was less individual/family income being spent on excluded items and/or harmful behaviours?</w:t>
      </w:r>
    </w:p>
    <w:p w:rsidR="007E0709" w:rsidRDefault="007E0709" w:rsidP="007E0709">
      <w:pPr>
        <w:pStyle w:val="Bullet1"/>
      </w:pPr>
      <w:r>
        <w:t>Had the capacity of people to manage money improved?</w:t>
      </w:r>
    </w:p>
    <w:p w:rsidR="007E0709" w:rsidRDefault="007E0709" w:rsidP="007E0709">
      <w:pPr>
        <w:pStyle w:val="Bullet1"/>
      </w:pPr>
      <w:r>
        <w:t>Had the wellbeing of children, families and communities improved?</w:t>
      </w:r>
    </w:p>
    <w:p w:rsidR="007E0709" w:rsidRDefault="007E0709" w:rsidP="007E0709">
      <w:pPr>
        <w:pStyle w:val="Bullet1"/>
      </w:pPr>
      <w:r>
        <w:t>What other issues were identified by the evaluation?</w:t>
      </w:r>
    </w:p>
    <w:p w:rsidR="007E0709" w:rsidRDefault="007E0709" w:rsidP="007E0709">
      <w:pPr>
        <w:pStyle w:val="BodyText"/>
      </w:pPr>
      <w:r>
        <w:t>The AIHW (2010) concluded that evidence collected by the evaluation was not strong reflecting weaknesses in the evaluation methodology which included point in time descriptive studies and qualitative research.  There was no comparison group, and no baseline information available to compare the situation before IM (reflecting the short time frame in which the package of measures was implemented).  In addition, there was a limited amount of quantitative evidence available.  The findings are therefore heavily dependent on the perceptions and views of small samples of various stakeholders about whether there had been changes due to income management.  There are nevertheless some interesting findings.  Selected findings from the evaluation are summarised below.</w:t>
      </w:r>
    </w:p>
    <w:p w:rsidR="007E0709" w:rsidRDefault="007E0709" w:rsidP="007E0709">
      <w:pPr>
        <w:pStyle w:val="Bullet1"/>
      </w:pPr>
      <w:r>
        <w:t>Initially there was confusion among customers about how income management (IM) worked and how to access their money.  Whilst this improved over time, in part due to improved administration, after one to two years, 39% of participants could not explain the purpose of IM.  Stakeholder focus groups suggested ongoing communications and education about income management were limited.  That said, participants commented positively that those administering IM were responsive and addressed problems as they were identified.</w:t>
      </w:r>
    </w:p>
    <w:p w:rsidR="007E0709" w:rsidRDefault="007E0709" w:rsidP="007E0709">
      <w:pPr>
        <w:pStyle w:val="Bullet1"/>
      </w:pPr>
      <w:r>
        <w:t>The introduction of the BasicsCard alleviated difficulties initially experienced by customers in spending IM funds at different shops and in different locations, allowing more portability and versatility.  However, there was some suggestion that BasicsCards did not allow customers to access cheaper goods available through less formal means such as garage sales.</w:t>
      </w:r>
    </w:p>
    <w:p w:rsidR="007E0709" w:rsidRDefault="007E0709" w:rsidP="007E0709">
      <w:pPr>
        <w:pStyle w:val="Bullet1"/>
      </w:pPr>
      <w:r>
        <w:t>While IM appeared to improve money management in some families, and made it easier to pay bills, there was scope for greater development of money management and financial skills.  For example, a relatively high rate (17%) of transactions on the BasicsCard were declined due to insufficient funds, suggesting a need for more education in financial literacy.  Less than one in five interview participants reported they had sought assistance with managing their money.  Without improvements in money management and financial skills, it was suggested that customers may become dependent on IM.</w:t>
      </w:r>
    </w:p>
    <w:p w:rsidR="007E0709" w:rsidRPr="00993AA0" w:rsidRDefault="007E0709" w:rsidP="007E0709">
      <w:pPr>
        <w:pStyle w:val="Bullet1"/>
      </w:pPr>
      <w:r w:rsidRPr="00993AA0">
        <w:t xml:space="preserve">Overall, IM helped a significant proportion of families to manage their money and better meet their priority needs.  </w:t>
      </w:r>
      <w:r>
        <w:t>Customer</w:t>
      </w:r>
      <w:r w:rsidRPr="00993AA0">
        <w:t xml:space="preserve">s purchased more and better quality food </w:t>
      </w:r>
      <w:r w:rsidRPr="00993AA0">
        <w:lastRenderedPageBreak/>
        <w:t>including more fruit and vegetables.  More than half</w:t>
      </w:r>
      <w:r w:rsidR="008478FB">
        <w:t xml:space="preserve"> of</w:t>
      </w:r>
      <w:r w:rsidRPr="00993AA0">
        <w:t xml:space="preserve"> the </w:t>
      </w:r>
      <w:r>
        <w:t>customer</w:t>
      </w:r>
      <w:r w:rsidRPr="00993AA0">
        <w:t xml:space="preserve">s interviewed spent more on clothes and saved more and a significant majority of </w:t>
      </w:r>
      <w:r>
        <w:t>customer</w:t>
      </w:r>
      <w:r w:rsidRPr="00993AA0">
        <w:t xml:space="preserve">s increased spending on accommodation, utilities, children’s expenses and white goods.  </w:t>
      </w:r>
      <w:r>
        <w:t>While t</w:t>
      </w:r>
      <w:r w:rsidRPr="00327D79">
        <w:t>here was some evidence of reduced expenditure on excluded items or harmful behaviours</w:t>
      </w:r>
      <w:r>
        <w:t>,</w:t>
      </w:r>
      <w:r w:rsidRPr="00327D79">
        <w:t xml:space="preserve"> this was not consistent across all studies.  </w:t>
      </w:r>
      <w:r w:rsidRPr="00993AA0">
        <w:t>Surveys revealed that 65% and 24% of respondents said they were spending less on gambling and drugs and alcohol respectively</w:t>
      </w:r>
      <w:r>
        <w:t>.</w:t>
      </w:r>
    </w:p>
    <w:p w:rsidR="007E0709" w:rsidRPr="00CF2653" w:rsidRDefault="007E0709" w:rsidP="007E0709">
      <w:pPr>
        <w:pStyle w:val="Bullet1"/>
        <w:rPr>
          <w:b/>
          <w:i/>
        </w:rPr>
      </w:pPr>
      <w:r>
        <w:t>Customer interviews reported changes in the wellbeing of children, primarily through increased consumption of food. 52% reported their children were healthier (sample size 48) and 57% customers reported a weight gain in children (sample size 47). However, the impact on family wellbeing was less clear. Only a minority of customers interviewed noted a change in family wellbeing since the introduction of income management — 24% said there had been positive changes and noted that their family was happier and had increased access to food. The 2008 Community Feedback Report noted that income management had empowered women by removing the accessibility of the welfare money they received and ensuring they had money to buy food.</w:t>
      </w:r>
    </w:p>
    <w:p w:rsidR="007E0709" w:rsidRPr="00570C50" w:rsidRDefault="007E0709" w:rsidP="007E0709">
      <w:pPr>
        <w:pStyle w:val="Bullet1"/>
        <w:rPr>
          <w:b/>
          <w:i/>
        </w:rPr>
      </w:pPr>
      <w:r>
        <w:t>The impact on community wellbeing was reported more consistently across the studies. The majority of interview and stakeholder group participants reported a reduction in alcohol abuse, gambling and humbugging.</w:t>
      </w:r>
    </w:p>
    <w:p w:rsidR="007E0709" w:rsidRPr="00F97FEB" w:rsidRDefault="007E0709" w:rsidP="007E0709">
      <w:pPr>
        <w:pStyle w:val="Bullet1"/>
        <w:rPr>
          <w:b/>
          <w:i/>
        </w:rPr>
      </w:pPr>
      <w:r>
        <w:t>Whilst positive outcomes in child, family and community wellbeing were noted, it was difficult to separate the effects of income management on these outcomes from the effects of other NTER measures designed to improve the wellbeing of children, families and communities.</w:t>
      </w:r>
    </w:p>
    <w:p w:rsidR="007E0709" w:rsidRPr="00D96699" w:rsidRDefault="007E0709" w:rsidP="007E0709">
      <w:pPr>
        <w:pStyle w:val="BoldPara"/>
      </w:pPr>
      <w:r w:rsidRPr="00D96699">
        <w:t>Evaluation of the Child Protection Scheme of Income Management and Voluntary Income Management Measures in Western Australia (ORIMA Research 2010)</w:t>
      </w:r>
    </w:p>
    <w:p w:rsidR="007E0709" w:rsidRPr="00D2665D" w:rsidRDefault="007E0709" w:rsidP="007E0709">
      <w:pPr>
        <w:pStyle w:val="BodyText"/>
      </w:pPr>
      <w:r w:rsidRPr="00D2665D">
        <w:t xml:space="preserve">In November 2008, the Australian Government implemented a trial of two separate measures of income management in the Kimberly region and metropolitan area of Perth in Western Australia (WA), the Child Protection Scheme of Income Management (CPSIM) and Voluntary Income Management (VIM).  Free </w:t>
      </w:r>
      <w:r>
        <w:t>F</w:t>
      </w:r>
      <w:r w:rsidRPr="00D2665D">
        <w:t xml:space="preserve">inancial </w:t>
      </w:r>
      <w:r>
        <w:t>M</w:t>
      </w:r>
      <w:r w:rsidRPr="00D2665D">
        <w:t xml:space="preserve">anagement </w:t>
      </w:r>
      <w:r>
        <w:t>Program</w:t>
      </w:r>
      <w:r w:rsidRPr="00D2665D">
        <w:t xml:space="preserve"> </w:t>
      </w:r>
      <w:r>
        <w:t>S</w:t>
      </w:r>
      <w:r w:rsidRPr="00D2665D">
        <w:t>ervices (FM</w:t>
      </w:r>
      <w:r>
        <w:t>P</w:t>
      </w:r>
      <w:r w:rsidRPr="00D2665D">
        <w:t xml:space="preserve">S) were included as a key component of IM and </w:t>
      </w:r>
      <w:r>
        <w:t xml:space="preserve">the aim was to offer </w:t>
      </w:r>
      <w:r w:rsidRPr="00D2665D">
        <w:t xml:space="preserve">all CPSIM and VIM </w:t>
      </w:r>
      <w:r>
        <w:t>customer</w:t>
      </w:r>
      <w:r w:rsidRPr="00D2665D">
        <w:t>s these services</w:t>
      </w:r>
      <w:r>
        <w:t>.  The BasicsCard was available throughout the trial period.</w:t>
      </w:r>
    </w:p>
    <w:p w:rsidR="007E0709" w:rsidRPr="006C36FA" w:rsidRDefault="007E0709" w:rsidP="007E0709">
      <w:pPr>
        <w:pStyle w:val="BodyText"/>
      </w:pPr>
      <w:r w:rsidRPr="006C36FA">
        <w:t xml:space="preserve">The evaluation had three objectives: </w:t>
      </w:r>
    </w:p>
    <w:p w:rsidR="007E0709" w:rsidRPr="006C36FA" w:rsidRDefault="007E0709" w:rsidP="007E0709">
      <w:pPr>
        <w:pStyle w:val="Bullet1"/>
      </w:pPr>
      <w:r w:rsidRPr="006C36FA">
        <w:t xml:space="preserve">to assess the impact of income management in improving child wellbeing, </w:t>
      </w:r>
    </w:p>
    <w:p w:rsidR="007E0709" w:rsidRPr="006C36FA" w:rsidRDefault="007E0709" w:rsidP="007E0709">
      <w:pPr>
        <w:pStyle w:val="Bullet1"/>
      </w:pPr>
      <w:r w:rsidRPr="006C36FA">
        <w:t xml:space="preserve">to assess the impact of income management on the financial capability of individuals, and </w:t>
      </w:r>
    </w:p>
    <w:p w:rsidR="007E0709" w:rsidRPr="006C36FA" w:rsidRDefault="007E0709" w:rsidP="007E0709">
      <w:pPr>
        <w:pStyle w:val="Bullet1"/>
      </w:pPr>
      <w:r w:rsidRPr="006C36FA">
        <w:t xml:space="preserve">to assess the effectiveness of implementation.  </w:t>
      </w:r>
    </w:p>
    <w:p w:rsidR="007E0709" w:rsidRPr="000C76E5" w:rsidRDefault="007E0709" w:rsidP="007E0709">
      <w:pPr>
        <w:pStyle w:val="BodyText"/>
        <w:rPr>
          <w:highlight w:val="yellow"/>
        </w:rPr>
      </w:pPr>
      <w:r w:rsidRPr="000C76E5">
        <w:t xml:space="preserve">The quantitative component of the methodology involved tailored online surveys, interviews (either telephone or face to face) and analysis of administrative data provided by the Western Australian Department for Child Protection (DCP) and </w:t>
      </w:r>
      <w:r>
        <w:t>DHS</w:t>
      </w:r>
      <w:r w:rsidRPr="000C76E5">
        <w:t xml:space="preserve">.  CPSIM, VIM and </w:t>
      </w:r>
      <w:r>
        <w:t xml:space="preserve">a comparison group of </w:t>
      </w:r>
      <w:r w:rsidRPr="000C76E5">
        <w:t xml:space="preserve">non-IM </w:t>
      </w:r>
      <w:r>
        <w:t>customer</w:t>
      </w:r>
      <w:r w:rsidRPr="000C76E5">
        <w:t xml:space="preserve">s were invited to participate in the research via interview, whilst DCP staff, </w:t>
      </w:r>
      <w:r>
        <w:t>DHS</w:t>
      </w:r>
      <w:r w:rsidRPr="000C76E5">
        <w:t xml:space="preserve"> staff, financial service providers and peak welfare and community organisations were invited to participate via tailored online surveys.  A small qualitative component was included in the methodology to capture the views of community leaders.</w:t>
      </w:r>
    </w:p>
    <w:p w:rsidR="007E0709" w:rsidRPr="00872DCE" w:rsidRDefault="007E0709" w:rsidP="007E0709">
      <w:pPr>
        <w:pStyle w:val="BodyText"/>
        <w:rPr>
          <w:b/>
        </w:rPr>
      </w:pPr>
      <w:r w:rsidRPr="00872DCE">
        <w:lastRenderedPageBreak/>
        <w:t>The key findings of this evaluation are summarised below.</w:t>
      </w:r>
    </w:p>
    <w:p w:rsidR="007E0709" w:rsidRPr="00353C22" w:rsidRDefault="007E0709" w:rsidP="007E0709">
      <w:pPr>
        <w:pStyle w:val="Bullet1"/>
      </w:pPr>
      <w:r>
        <w:t>Overall, CPSIM and VIM were effective measures in helping people meet their priority needs and those of their children.  Evidence provided by IM customers, DHS staff, Department of Child Protection staff, financial counsellors, money management advisers, welfare/community organisations and community leaders was consistent and indicated that both measures had delivered significant positive impacts in relation to child and family wellbeing.  R</w:t>
      </w:r>
      <w:r w:rsidRPr="00353C22">
        <w:t xml:space="preserve">eported </w:t>
      </w:r>
      <w:r>
        <w:t>p</w:t>
      </w:r>
      <w:r w:rsidRPr="00353C22">
        <w:t xml:space="preserve">ositive impacts </w:t>
      </w:r>
      <w:r>
        <w:t>on the wellbeing of children</w:t>
      </w:r>
      <w:r w:rsidRPr="00353C22">
        <w:t xml:space="preserve"> included: an increase in the amount of food eaten, better housing conditions, an increase in the quality and adequacy of clothing, greater access to items and equipment needed for school, and</w:t>
      </w:r>
      <w:r>
        <w:t xml:space="preserve"> (for VIM families)</w:t>
      </w:r>
      <w:r w:rsidRPr="00353C22">
        <w:t xml:space="preserve"> improvement in emotional wellbeing.</w:t>
      </w:r>
    </w:p>
    <w:p w:rsidR="007E0709" w:rsidRDefault="007E0709" w:rsidP="007E0709">
      <w:pPr>
        <w:pStyle w:val="Bullet1"/>
      </w:pPr>
      <w:r>
        <w:t xml:space="preserve">Many CPSIM and VIM respondents reported that IM had had a positive impact on their ability to meet priority needs and for many customers this was sustained after exiting IM.  </w:t>
      </w:r>
      <w:r w:rsidRPr="00872DCE">
        <w:t xml:space="preserve">IM </w:t>
      </w:r>
      <w:r>
        <w:t>customer</w:t>
      </w:r>
      <w:r w:rsidRPr="00872DCE">
        <w:t>s were more likely to be able to save money when they were on IM compared to before they started the program</w:t>
      </w:r>
      <w:r>
        <w:t xml:space="preserve"> and</w:t>
      </w:r>
      <w:r w:rsidRPr="00872DCE">
        <w:t xml:space="preserve"> </w:t>
      </w:r>
      <w:r>
        <w:t>t</w:t>
      </w:r>
      <w:r w:rsidRPr="00872DCE">
        <w:t>h</w:t>
      </w:r>
      <w:r>
        <w:t>i</w:t>
      </w:r>
      <w:r w:rsidRPr="00872DCE">
        <w:t xml:space="preserve">s </w:t>
      </w:r>
      <w:r>
        <w:t>was</w:t>
      </w:r>
      <w:r w:rsidRPr="00872DCE">
        <w:t xml:space="preserve"> sustained </w:t>
      </w:r>
      <w:r>
        <w:t>whilst they were not on IM.  However, stakeholders commonly suggested that expected improvements in budgeting and financial management were yet to emerge, and the evaluation suggested further information on the longer term experience of former customers is necessary before definitive conclusions can be made about the impact of IM on financial management.</w:t>
      </w:r>
    </w:p>
    <w:p w:rsidR="007E0709" w:rsidRPr="00872DCE" w:rsidRDefault="007E0709" w:rsidP="007E0709">
      <w:pPr>
        <w:pStyle w:val="Bullet1"/>
      </w:pPr>
      <w:r>
        <w:t xml:space="preserve">The referral and take up rates of financial management services among CPSIM and VIM customers were low.  </w:t>
      </w:r>
      <w:r w:rsidRPr="00872DCE">
        <w:t xml:space="preserve">The key reasons reported by </w:t>
      </w:r>
      <w:r>
        <w:t>customer</w:t>
      </w:r>
      <w:r w:rsidRPr="00872DCE">
        <w:t xml:space="preserve">s for not using financial management services </w:t>
      </w:r>
      <w:r>
        <w:t>included</w:t>
      </w:r>
      <w:r w:rsidRPr="00872DCE">
        <w:t xml:space="preserve">: not knowing about the service and not needing money management skills when having their money income managed.  Following their initial interview with </w:t>
      </w:r>
      <w:r>
        <w:t>DHS</w:t>
      </w:r>
      <w:r w:rsidRPr="00872DCE">
        <w:t xml:space="preserve">, less than half (44%) of CPSIM and VIM </w:t>
      </w:r>
      <w:r>
        <w:t>customer</w:t>
      </w:r>
      <w:r w:rsidRPr="00872DCE">
        <w:t>s were aware that they could use free financial counselling.</w:t>
      </w:r>
    </w:p>
    <w:p w:rsidR="007E0709" w:rsidRPr="00872DCE" w:rsidRDefault="007E0709" w:rsidP="007E0709">
      <w:pPr>
        <w:pStyle w:val="Bullet1"/>
      </w:pPr>
      <w:r w:rsidRPr="00872DCE">
        <w:t xml:space="preserve">The most commonly identified factor discouraging </w:t>
      </w:r>
      <w:r>
        <w:t>customer</w:t>
      </w:r>
      <w:r w:rsidRPr="00872DCE">
        <w:t xml:space="preserve"> participation in financial management services was a lack of understanding by </w:t>
      </w:r>
      <w:r>
        <w:t>customer</w:t>
      </w:r>
      <w:r w:rsidRPr="00872DCE">
        <w:t xml:space="preserve">s about what financial counselling was and how it could help. Stakeholders thought an increase in </w:t>
      </w:r>
      <w:r>
        <w:t>customer</w:t>
      </w:r>
      <w:r w:rsidRPr="00872DCE">
        <w:t xml:space="preserve"> awareness of the benefits and support offered by these services would increase uptake.</w:t>
      </w:r>
    </w:p>
    <w:p w:rsidR="007E0709" w:rsidRPr="005D734C" w:rsidRDefault="007E0709" w:rsidP="007E0709">
      <w:pPr>
        <w:pStyle w:val="Bullet1"/>
        <w:rPr>
          <w:rFonts w:cstheme="minorHAnsi"/>
        </w:rPr>
      </w:pPr>
      <w:r w:rsidRPr="00840C4E">
        <w:t xml:space="preserve">The evaluation found that there was limited understanding of key features of CPSIM and VIM among </w:t>
      </w:r>
      <w:r>
        <w:t>customer</w:t>
      </w:r>
      <w:r w:rsidRPr="00840C4E">
        <w:t xml:space="preserve">s. The evidence indicated that better communication of these features by </w:t>
      </w:r>
      <w:r>
        <w:t>the Department of Child Protection</w:t>
      </w:r>
      <w:r w:rsidRPr="00840C4E">
        <w:t xml:space="preserve"> and </w:t>
      </w:r>
      <w:r>
        <w:t>DHS</w:t>
      </w:r>
      <w:r w:rsidRPr="00840C4E">
        <w:t xml:space="preserve"> could have improved </w:t>
      </w:r>
      <w:r>
        <w:t>customer</w:t>
      </w:r>
      <w:r w:rsidRPr="00840C4E">
        <w:t xml:space="preserve"> understanding and</w:t>
      </w:r>
      <w:r>
        <w:t xml:space="preserve"> contributed to better</w:t>
      </w:r>
      <w:r w:rsidRPr="00840C4E">
        <w:t xml:space="preserve"> outcomes. </w:t>
      </w:r>
      <w:r>
        <w:t xml:space="preserve"> </w:t>
      </w:r>
      <w:r w:rsidR="008478FB">
        <w:t>I</w:t>
      </w:r>
      <w:r>
        <w:t>nformation gaps for customers included:</w:t>
      </w:r>
      <w:r w:rsidRPr="00FB2C60">
        <w:t xml:space="preserve"> </w:t>
      </w:r>
      <w:r>
        <w:t>l</w:t>
      </w:r>
      <w:r w:rsidRPr="00840C4E">
        <w:t>ack of awareness of financial counselling and money management advisory services</w:t>
      </w:r>
      <w:r>
        <w:t>;</w:t>
      </w:r>
      <w:r w:rsidRPr="00840C4E">
        <w:t xml:space="preserve"> </w:t>
      </w:r>
      <w:r>
        <w:t xml:space="preserve">that they could change their allocation of IM money; and that they could use DHS-issued store vouchers and other options whilst travelling in areas where BasicsCard </w:t>
      </w:r>
      <w:r w:rsidR="008478FB">
        <w:t>was</w:t>
      </w:r>
      <w:r>
        <w:t xml:space="preserve"> not accepted.</w:t>
      </w:r>
    </w:p>
    <w:p w:rsidR="007E0709" w:rsidRPr="00A10E54" w:rsidRDefault="007E0709" w:rsidP="007E0709">
      <w:pPr>
        <w:pStyle w:val="Bullet1"/>
        <w:rPr>
          <w:rFonts w:cstheme="minorHAnsi"/>
        </w:rPr>
      </w:pPr>
      <w:r>
        <w:t>IM customers expressed a desire to be able to use the BasicsCard at more places.  This was one of the main reasons why VIM customers exited the program.  DHS staff also thought that extend</w:t>
      </w:r>
      <w:r w:rsidR="008478FB">
        <w:t>ing</w:t>
      </w:r>
      <w:r>
        <w:t xml:space="preserve"> the places that accepted BasicsCards was an area for improvement.</w:t>
      </w:r>
    </w:p>
    <w:p w:rsidR="007E0709" w:rsidRDefault="007E0709" w:rsidP="007E0709">
      <w:pPr>
        <w:pStyle w:val="HeadingB"/>
      </w:pPr>
      <w:r>
        <w:t xml:space="preserve">Partial evaluations </w:t>
      </w:r>
    </w:p>
    <w:p w:rsidR="007E0709" w:rsidRDefault="007E0709" w:rsidP="007E0709">
      <w:pPr>
        <w:pStyle w:val="BoldPara"/>
      </w:pPr>
      <w:r>
        <w:t>‘Pushing buttons’: an evaluation of the effect of Aboriginal income management on commercial gambling</w:t>
      </w:r>
    </w:p>
    <w:p w:rsidR="007E0709" w:rsidRDefault="007E0709" w:rsidP="007E0709">
      <w:pPr>
        <w:pStyle w:val="BodyText"/>
      </w:pPr>
      <w:r>
        <w:lastRenderedPageBreak/>
        <w:t xml:space="preserve">Lamb and Young (2011) used an interrupted time-series analysis to test whether there had been a decline in gambling revenues at the level of the individual venue following introduction of income management.  The primary outcome measure was expenditure per electronic gaming machine.  Expenditure data was analysed from July 2002 to July 2010 for hotels and clubs in the towns of Alice Springs and Katherine. Of the 13 pubs and clubs included in the analysis only two venues, the Todd Tavern (Alice Springs) (p=0.028) and Crossways Hotel (Katherine) (p&lt;0.001), showed a significant and permanent reduction in expenditure per electronic gaming machine after the IM intervention was introduced.  However, the finding may have been confounded by: the high natural variability in expenditure per gaming machine in remote towns, seasonality in expenditure per gaming machine in the Northern Territory, the high mobility of Aboriginal Australians and the fact that visits to gambling facilities are closely tied to alcohol management regimes, and finally, there are numerous other gambling opportunities available outside of pubs and clubs. In light of these confounding factors, Lamb and Young (2011) only tentatively concluded that the intervention was correlated with a reduction in expenditure on gambling.  </w:t>
      </w:r>
    </w:p>
    <w:p w:rsidR="007E0709" w:rsidRDefault="007E0709" w:rsidP="007E0709">
      <w:pPr>
        <w:pStyle w:val="BoldPara"/>
      </w:pPr>
      <w:r>
        <w:t>Impact of income management on store sales in the Northern Territory</w:t>
      </w:r>
    </w:p>
    <w:p w:rsidR="007E0709" w:rsidRDefault="007E0709" w:rsidP="007E0709">
      <w:pPr>
        <w:pStyle w:val="BodyText"/>
      </w:pPr>
      <w:r>
        <w:t xml:space="preserve">A recent study by </w:t>
      </w:r>
      <w:proofErr w:type="spellStart"/>
      <w:r>
        <w:t>Brimblecombe</w:t>
      </w:r>
      <w:proofErr w:type="spellEnd"/>
      <w:r>
        <w:t xml:space="preserve"> et al (2010) examined the trends in total store sales, total food and beverage sales, fruit and vegetable sales, soft drink sales and tobacco sales between October 2006 and September 2009.  This study utilised an interrupted time-series analysis of sales data from 10 Arnhem Land Progress Aboriginal Corporation (ALPA) stores.  The results suggested that the increasing rate of monthly sales observed prior to income management remained unchanged even after the income management came into effect.  The only exception was the sales of soft drinks which declined significantly at the initial phase but increased substantially thereafter.  </w:t>
      </w:r>
      <w:proofErr w:type="spellStart"/>
      <w:r>
        <w:t>Brimblecombe</w:t>
      </w:r>
      <w:proofErr w:type="spellEnd"/>
      <w:r>
        <w:t xml:space="preserve"> et al (2010) further suggested that the government stimulus payment was associated with a significant increase in the rate of sales for all outcome measures.  Consequently, they concluded that independent of the stimulus payment (i.e. the Economic Security Strategy Payment where government-assisted families were provided a lump-sum payment of $1,000 per child during the fortnight following 8 December 2008), income management appeared to have no beneficial effect on tobacco and cigarette sales, soft drink or fruit and vegetable sales.  </w:t>
      </w:r>
    </w:p>
    <w:p w:rsidR="007E0709" w:rsidRDefault="007E0709" w:rsidP="007E0709">
      <w:pPr>
        <w:pStyle w:val="BodyText"/>
      </w:pPr>
      <w:r>
        <w:t xml:space="preserve">FaHCSIA (2010) argued there were some weaknesses in the </w:t>
      </w:r>
      <w:proofErr w:type="spellStart"/>
      <w:r>
        <w:t>Brimblecombe</w:t>
      </w:r>
      <w:proofErr w:type="spellEnd"/>
      <w:r>
        <w:t xml:space="preserve"> et al (2010) study.  First, to conduct the interrupted time series analysis, the actual dates in which the income management were ‘switched on’ in various stores would be important. The dates served as interrupted points in which the impact of the policy could be observed. FaHCSIA (2010) pointed out that using earlier switch-on dates in some cases likely reduced the measured impact of income management.  Second, the conclusion drawn from the data sampled from 10 ALPA stores may not be </w:t>
      </w:r>
      <w:proofErr w:type="spellStart"/>
      <w:r>
        <w:t>generalisable</w:t>
      </w:r>
      <w:proofErr w:type="spellEnd"/>
      <w:r>
        <w:t xml:space="preserve"> because ALPA stores are unique, and their primary focus is on improving the nutritional status of Indigenous communities.  As such, FaHCSIA (2010) argued that the impact of IM on store sales, especially fruits and vegetables, may be minimal. Finally, FaHCSIA (2010) pointed out that the stimulus payment was itself income managed.  This led to the question whether or not it was reasonable to segregate the ‘stimulus payment period’ from the ‘income management’ period in the analysis done by </w:t>
      </w:r>
      <w:proofErr w:type="spellStart"/>
      <w:r>
        <w:t>Brimblecome</w:t>
      </w:r>
      <w:proofErr w:type="spellEnd"/>
      <w:r>
        <w:t xml:space="preserve"> et al (2010).  In light of these potential issues, FaHCSIA suggested further research was required to identify the impact of IM on tobacco and cigarette sales.  </w:t>
      </w:r>
    </w:p>
    <w:p w:rsidR="007E0709" w:rsidRPr="008C7E07" w:rsidRDefault="007E0709" w:rsidP="007E0709">
      <w:pPr>
        <w:pStyle w:val="BodyText"/>
        <w:rPr>
          <w:b/>
        </w:rPr>
      </w:pPr>
      <w:r>
        <w:lastRenderedPageBreak/>
        <w:t xml:space="preserve">This literature scan did not reveal studies of the impact of IM on possession of pornographic materials. The Report on the Northern Territory Emergency Response Redesign Consultations (Department of Families, Housing, Community Services and Indigenous Affairs 2009) indicated that community members thought that the restrictions on pornographic materials were beneficial and should be continued because of the need to protect children from sexual or violent material. However, links between income management and the possession of pornographic materials were not specifically investigated by the report.  </w:t>
      </w:r>
    </w:p>
    <w:p w:rsidR="007E0709" w:rsidRDefault="007E0709" w:rsidP="007E0709">
      <w:pPr>
        <w:pStyle w:val="HeadingB"/>
      </w:pPr>
      <w:r>
        <w:t xml:space="preserve">Commentaries </w:t>
      </w:r>
    </w:p>
    <w:p w:rsidR="007E0709" w:rsidRDefault="007E0709" w:rsidP="007E0709">
      <w:pPr>
        <w:pStyle w:val="BodyText"/>
      </w:pPr>
      <w:r>
        <w:t>One of the leading questions asked by various commentators is the question of evidence.  That is whether or not there is sufficient evidence to justify the IM initiatives</w:t>
      </w:r>
      <w:r w:rsidR="00A93970" w:rsidRPr="00A93970">
        <w:t xml:space="preserve"> </w:t>
      </w:r>
      <w:r w:rsidR="00A93970">
        <w:t>(for example, Farrell (2011))</w:t>
      </w:r>
      <w:r>
        <w:t xml:space="preserve">.  Webster (2011), for instance, pointed out that it was yet not clear how IM would assist a person experiencing homelessness.  She argued that rates of homelessness in NT were affected by various factors such as a shortage of public housing, a lack of affordable accommodation and a lack of adequately funded support services.  Quarantining income support of those </w:t>
      </w:r>
      <w:r w:rsidR="008478FB">
        <w:t xml:space="preserve">who </w:t>
      </w:r>
      <w:r>
        <w:t xml:space="preserve">were homeless, she argued, would not help improve their current plight (Webster 2011). </w:t>
      </w:r>
    </w:p>
    <w:p w:rsidR="007E0709" w:rsidRDefault="007E0709" w:rsidP="007E0709">
      <w:pPr>
        <w:pStyle w:val="BodyText"/>
      </w:pPr>
      <w:r>
        <w:t>Marshall (2011) debated the possibility of compulsory IM working against one of its objectives of the likelihood of reducing family violence. She postulated that victims</w:t>
      </w:r>
      <w:r w:rsidR="00A93970">
        <w:t xml:space="preserve"> of</w:t>
      </w:r>
      <w:r>
        <w:t xml:space="preserve"> family violence may prefer not to disclose family violence for fear that their welfare payment would be income managed.  She proposed a more flexible ‘opt-in and opt-out’ voluntary approach to IM which she believed would provide a more measured response. </w:t>
      </w:r>
    </w:p>
    <w:p w:rsidR="007E0709" w:rsidRPr="00DC4E58" w:rsidRDefault="007E0709" w:rsidP="007E0709">
      <w:pPr>
        <w:pStyle w:val="BodyText"/>
        <w:rPr>
          <w:rFonts w:eastAsiaTheme="minorEastAsia"/>
          <w:lang w:eastAsia="zh-CN"/>
        </w:rPr>
      </w:pPr>
      <w:r>
        <w:t xml:space="preserve">A recent Parliamentary Library Background Note by </w:t>
      </w:r>
      <w:proofErr w:type="spellStart"/>
      <w:r>
        <w:t>Buckmaster</w:t>
      </w:r>
      <w:proofErr w:type="spellEnd"/>
      <w:r>
        <w:t xml:space="preserve"> and </w:t>
      </w:r>
      <w:proofErr w:type="spellStart"/>
      <w:r>
        <w:t>Ey</w:t>
      </w:r>
      <w:proofErr w:type="spellEnd"/>
      <w:r>
        <w:t xml:space="preserve"> (2011) noted that there were few studies currently available that have attempted to directly measure the impact of IM separately from other policy interventions. Of those which have done so, various methodological problems have been highlighted such as the lack of </w:t>
      </w:r>
      <w:r w:rsidR="00A93970">
        <w:t xml:space="preserve">a </w:t>
      </w:r>
      <w:r>
        <w:t xml:space="preserve">comparison group and a limited amount of quantitative data.  Consequently, </w:t>
      </w:r>
      <w:proofErr w:type="spellStart"/>
      <w:r>
        <w:t>Buckmaster</w:t>
      </w:r>
      <w:proofErr w:type="spellEnd"/>
      <w:r>
        <w:t xml:space="preserve"> and </w:t>
      </w:r>
      <w:proofErr w:type="spellStart"/>
      <w:r>
        <w:t>Ey</w:t>
      </w:r>
      <w:proofErr w:type="spellEnd"/>
      <w:r>
        <w:t xml:space="preserve"> (2011) suggested that the overall picture of the effectiveness of IM ha</w:t>
      </w:r>
      <w:r w:rsidR="00384804">
        <w:t>d</w:t>
      </w:r>
      <w:r>
        <w:t xml:space="preserve"> been uneven and fragile.  </w:t>
      </w:r>
      <w:r w:rsidR="00A93970">
        <w:t xml:space="preserve">The </w:t>
      </w:r>
      <w:r w:rsidRPr="00A356F5">
        <w:t>Department of Human Services NSW</w:t>
      </w:r>
      <w:r>
        <w:rPr>
          <w:lang w:eastAsia="zh-CN"/>
        </w:rPr>
        <w:t xml:space="preserve"> similarly concluded that it could be too early to determine whether IM </w:t>
      </w:r>
      <w:r w:rsidR="00384804">
        <w:rPr>
          <w:lang w:eastAsia="zh-CN"/>
        </w:rPr>
        <w:t>was</w:t>
      </w:r>
      <w:r>
        <w:rPr>
          <w:lang w:eastAsia="zh-CN"/>
        </w:rPr>
        <w:t xml:space="preserve"> an effective strategy to improve family outcomes.  </w:t>
      </w:r>
    </w:p>
    <w:p w:rsidR="007E0709" w:rsidRDefault="007E0709" w:rsidP="007E0709">
      <w:pPr>
        <w:pStyle w:val="BodyText"/>
      </w:pPr>
      <w:r>
        <w:t xml:space="preserve">Catholic Social Services Australia (2007) went further to argue that there was no evidence that depriving people of personal responsibility for their finances would be the best way to increase their capacity to be financially more responsible.  Catholic Social Services Australia (2007) </w:t>
      </w:r>
      <w:r w:rsidR="00EA6A52">
        <w:t>also suggested that</w:t>
      </w:r>
      <w:r>
        <w:t xml:space="preserve"> </w:t>
      </w:r>
      <w:r w:rsidR="00EA6A52">
        <w:t>s</w:t>
      </w:r>
      <w:r>
        <w:t>tigmatisation of income support recipient</w:t>
      </w:r>
      <w:r w:rsidR="00EA6A52">
        <w:t>s</w:t>
      </w:r>
      <w:r>
        <w:t xml:space="preserve"> would not </w:t>
      </w:r>
      <w:r w:rsidR="00EA6A52">
        <w:t>lead to</w:t>
      </w:r>
      <w:r>
        <w:t xml:space="preserve"> effective policy</w:t>
      </w:r>
      <w:r w:rsidR="00EA6A52">
        <w:t xml:space="preserve"> outcomes</w:t>
      </w:r>
      <w:r>
        <w:t xml:space="preserve">. </w:t>
      </w:r>
    </w:p>
    <w:p w:rsidR="007E0709" w:rsidRPr="00B369AF" w:rsidRDefault="007E0709" w:rsidP="007E0709">
      <w:pPr>
        <w:pStyle w:val="BodyText"/>
        <w:rPr>
          <w:b/>
          <w:color w:val="00A1DE"/>
          <w:sz w:val="40"/>
          <w:szCs w:val="40"/>
        </w:rPr>
      </w:pPr>
      <w:r w:rsidRPr="007E0709">
        <w:rPr>
          <w:b/>
          <w:color w:val="00A1DE"/>
          <w:sz w:val="40"/>
          <w:szCs w:val="40"/>
        </w:rPr>
        <w:t>Outcomes of conditional cash transfers</w:t>
      </w:r>
    </w:p>
    <w:p w:rsidR="007E0709" w:rsidRDefault="007E0709" w:rsidP="007E0709">
      <w:pPr>
        <w:pStyle w:val="BodyText"/>
      </w:pPr>
      <w:r>
        <w:t xml:space="preserve">Following the NT NIM evaluation report, a literature scan on CCT programs has also been included here.  Conditional cash transfers (CCT), are often associated with requirements on recipients such as educational participation by their children and/or healthcare utilisation for their children.  Moreover (and as a consequence), the ‘conditions’ associated with the CCT contribute to the outcomes and also drive what is examined by research studies.  Not </w:t>
      </w:r>
      <w:r>
        <w:lastRenderedPageBreak/>
        <w:t xml:space="preserve">surprisingly, two of the most common outcomes assessed by research on the impacts of CCT programs in many developing countries are education and child health outcomes.  </w:t>
      </w:r>
    </w:p>
    <w:p w:rsidR="007E0709" w:rsidRDefault="007E0709" w:rsidP="007E0709">
      <w:pPr>
        <w:pStyle w:val="BodyText"/>
      </w:pPr>
      <w:r>
        <w:t xml:space="preserve">CCT programs are implemented not only with the aim to reduce financial hardship but also to enhance and improve targeted welfare recipients’ human capital to ensure longer term benefits are achieved.  The programs are most commonly seen in developing countries.  </w:t>
      </w:r>
    </w:p>
    <w:p w:rsidR="007E0709" w:rsidRDefault="007E0709" w:rsidP="007E0709">
      <w:pPr>
        <w:pStyle w:val="BodyText"/>
      </w:pPr>
      <w:r>
        <w:t xml:space="preserve">The effectiveness of CCT programs has been assessed by many studies. The systematic review of CCT program effectiveness by </w:t>
      </w:r>
      <w:proofErr w:type="spellStart"/>
      <w:r>
        <w:t>Lagarde</w:t>
      </w:r>
      <w:proofErr w:type="spellEnd"/>
      <w:r>
        <w:t xml:space="preserve">, Haines and Palmer (2009) found that, unlike evaluations of other social financing schemes, evaluations of CCT programs were well-designed and executed.  Conclusions from these studies suggest that CCT programs can increase health service utilisation, immunisation coverage, and school enrolment and attendance, and improve health outcomes and the nutritional status of children.  However, Department of International Development (2011) suggested that it was not yet clear whether conditionality per se contributed to CCT success.  This was because of the success of unconditional cash transfers in South Africa which raised the possibility that cash alone could be sufficient (Department of International Development 2011). </w:t>
      </w:r>
    </w:p>
    <w:p w:rsidR="007E0709" w:rsidRDefault="007E0709" w:rsidP="007E0709">
      <w:pPr>
        <w:pStyle w:val="BodyText"/>
      </w:pPr>
      <w:r>
        <w:t xml:space="preserve">Some key outcomes of CCT evaluations drawn from the literature are summarised below.  </w:t>
      </w:r>
    </w:p>
    <w:p w:rsidR="007E0709" w:rsidRDefault="007E0709" w:rsidP="007E0709">
      <w:pPr>
        <w:pStyle w:val="HeadingC"/>
      </w:pPr>
      <w:r w:rsidRPr="00BA6667">
        <w:t xml:space="preserve">Child health </w:t>
      </w:r>
      <w:r>
        <w:t xml:space="preserve">and behavioural </w:t>
      </w:r>
      <w:r w:rsidRPr="00BA6667">
        <w:t>outcomes</w:t>
      </w:r>
    </w:p>
    <w:p w:rsidR="007E0709" w:rsidRDefault="007E0709" w:rsidP="007E0709">
      <w:pPr>
        <w:pStyle w:val="BodyText"/>
      </w:pPr>
      <w:r>
        <w:t>Findings of a positive relationship between CCT programs and the nutritional status of newborns and young children are common. The primary outcome measures for nutritional status frequently include weight gain, height to weight ratio, height to age ratio, change in height and probability of stunting (</w:t>
      </w:r>
      <w:proofErr w:type="spellStart"/>
      <w:r>
        <w:t>Lagarde</w:t>
      </w:r>
      <w:proofErr w:type="spellEnd"/>
      <w:r>
        <w:t xml:space="preserve">, Haines and Palmer 2009).  As an example, one of the papers referenced by </w:t>
      </w:r>
      <w:proofErr w:type="spellStart"/>
      <w:r>
        <w:t>Lagarde</w:t>
      </w:r>
      <w:proofErr w:type="spellEnd"/>
      <w:r>
        <w:t xml:space="preserve">, Haines and Palmer (2009) — </w:t>
      </w:r>
      <w:proofErr w:type="spellStart"/>
      <w:r>
        <w:t>Gertler</w:t>
      </w:r>
      <w:proofErr w:type="spellEnd"/>
      <w:r>
        <w:t xml:space="preserve"> (2004) — reported an increase of 0.96cm (p=0.004) in the height of children aged 12 to 36 months in comparison to the control group. </w:t>
      </w:r>
      <w:proofErr w:type="spellStart"/>
      <w:r>
        <w:t>Attanasio</w:t>
      </w:r>
      <w:proofErr w:type="spellEnd"/>
      <w:r>
        <w:t xml:space="preserve"> et al (2005) reported a weight gain of 0.58kg in newborns whose parents participated in a CCT program. </w:t>
      </w:r>
      <w:proofErr w:type="spellStart"/>
      <w:r>
        <w:t>Attanasio</w:t>
      </w:r>
      <w:proofErr w:type="spellEnd"/>
      <w:r>
        <w:t xml:space="preserve"> (2005) also reported an improvement in the height for age ratio of infants younger than 2 years (p&lt;.01). Importantly, direct distribution of nutritional supplements was a core component of these CCT programs.</w:t>
      </w:r>
    </w:p>
    <w:p w:rsidR="007E0709" w:rsidRDefault="007E0709" w:rsidP="007E0709">
      <w:pPr>
        <w:pStyle w:val="BodyText"/>
      </w:pPr>
      <w:r>
        <w:t xml:space="preserve">Evidence suggests that CCT programs (where cash transfers are withheld until specific conditions relating to child health are met) can have other positive impacts on children’s health. </w:t>
      </w:r>
      <w:proofErr w:type="spellStart"/>
      <w:r>
        <w:t>Gertler</w:t>
      </w:r>
      <w:proofErr w:type="spellEnd"/>
      <w:r>
        <w:t xml:space="preserve"> (2004) reported that children aged 0 to 3 years in the intervention group were 22.3% less likely to be ill in comparison to the control group (p&lt;.001). The outcome measure was the probability that the mother reported that her child was ill in the four weeks prior to the survey.  </w:t>
      </w:r>
      <w:proofErr w:type="spellStart"/>
      <w:r>
        <w:t>Gertler</w:t>
      </w:r>
      <w:proofErr w:type="spellEnd"/>
      <w:r>
        <w:t xml:space="preserve"> (2004) noted the disadvantages associated with relying on </w:t>
      </w:r>
      <w:proofErr w:type="spellStart"/>
      <w:r>
        <w:t>self reports</w:t>
      </w:r>
      <w:proofErr w:type="spellEnd"/>
      <w:r>
        <w:t xml:space="preserve">.  </w:t>
      </w:r>
    </w:p>
    <w:p w:rsidR="007E0709" w:rsidRPr="0018157F" w:rsidRDefault="007E0709" w:rsidP="007E0709">
      <w:pPr>
        <w:pStyle w:val="BodyText"/>
      </w:pPr>
      <w:r>
        <w:t xml:space="preserve">Children’s probability of suffering from anaemia is a common primary outcome measure in studies of the impact of CCT programs. Similar to height and weight indicators, the probability of suffering from anaemia is considered an objective measure of a child’s nutritional status. However, the resource implications associated with collecting blood samples from children means it is a relatively costly outcome measure. Nonetheless, Rivera </w:t>
      </w:r>
      <w:r w:rsidRPr="0018157F">
        <w:t xml:space="preserve">et al (2004) noted that after one year of participating in the Mexican CCT program, children aged less than 12 months old had a significantly higher haemoglobin value in comparison to the control group (p&lt;.01). This result was further strengthened by the disappearance of this </w:t>
      </w:r>
      <w:r w:rsidRPr="0018157F">
        <w:lastRenderedPageBreak/>
        <w:t>difference in haemoglobin levels once the control group had been exposed to the program one year later (Rivera et al.2004).  An important consideration to note when measuring nutritional improvements in children is the probability of leakage between the control and treatment groups of any nutritional supplements or food vouchers distributed under the program (</w:t>
      </w:r>
      <w:proofErr w:type="spellStart"/>
      <w:r w:rsidRPr="0018157F">
        <w:t>Largarde</w:t>
      </w:r>
      <w:proofErr w:type="spellEnd"/>
      <w:r w:rsidRPr="0018157F">
        <w:t xml:space="preserve">, Haines and Palmer 2009).  </w:t>
      </w:r>
    </w:p>
    <w:p w:rsidR="007E0709" w:rsidRDefault="007E0709" w:rsidP="007E0709">
      <w:pPr>
        <w:pStyle w:val="BodyText"/>
      </w:pPr>
      <w:r w:rsidRPr="0018157F">
        <w:t xml:space="preserve">One study found evidence suggesting </w:t>
      </w:r>
      <w:r w:rsidR="00384804">
        <w:t xml:space="preserve">that a </w:t>
      </w:r>
      <w:r>
        <w:t>CCT program</w:t>
      </w:r>
      <w:r w:rsidRPr="0018157F">
        <w:t xml:space="preserve"> was associated with improvements </w:t>
      </w:r>
      <w:r w:rsidR="00384804">
        <w:t xml:space="preserve">in </w:t>
      </w:r>
      <w:r w:rsidRPr="0018157F">
        <w:t xml:space="preserve">children’s behaviour.  </w:t>
      </w:r>
      <w:proofErr w:type="spellStart"/>
      <w:r w:rsidRPr="0018157F">
        <w:t>Ozer</w:t>
      </w:r>
      <w:proofErr w:type="spellEnd"/>
      <w:r w:rsidRPr="0018157F">
        <w:t xml:space="preserve"> et al (2009) relied on reports by mothers of their children’s behaviour in investigating the impact of the Mexican CCT program on children’s’</w:t>
      </w:r>
      <w:r>
        <w:t xml:space="preserve"> aggressive/ oppositional symptoms and anxiety/ depressive symptoms.  Results of the analysis indicated that participation in the CCT program was associated with a 10% decrease in aggressive /oppositional symptoms (p=0.03). </w:t>
      </w:r>
    </w:p>
    <w:p w:rsidR="007E0709" w:rsidRDefault="007E0709" w:rsidP="007E0709">
      <w:pPr>
        <w:pStyle w:val="HeadingC"/>
      </w:pPr>
      <w:r>
        <w:t xml:space="preserve">Healthcare utilisation </w:t>
      </w:r>
    </w:p>
    <w:p w:rsidR="007E0709" w:rsidRDefault="007E0709" w:rsidP="007E0709">
      <w:pPr>
        <w:pStyle w:val="BodyText"/>
      </w:pPr>
      <w:r>
        <w:t>CCT program ha</w:t>
      </w:r>
      <w:r w:rsidR="00384804">
        <w:t>ve</w:t>
      </w:r>
      <w:r>
        <w:t xml:space="preserve"> also been associated with improvements in use of healthcare clinics, nutrition monitoring appointments and immunisation rates of children (Rawlings and Rubio 2005). For example, CCT increased the number of daily health consultations by 2.09 (</w:t>
      </w:r>
      <w:proofErr w:type="spellStart"/>
      <w:r>
        <w:t>sd</w:t>
      </w:r>
      <w:proofErr w:type="spellEnd"/>
      <w:r>
        <w:t>=0.067) (</w:t>
      </w:r>
      <w:proofErr w:type="spellStart"/>
      <w:r>
        <w:t>Gertler</w:t>
      </w:r>
      <w:proofErr w:type="spellEnd"/>
      <w:r>
        <w:t xml:space="preserve"> 2000). Furthermore, a study conducted in Nicaragua showed attendance at healthcare clinics increased by 19.5 percentage points after one year of participation in a CCT program (</w:t>
      </w:r>
      <w:proofErr w:type="spellStart"/>
      <w:r>
        <w:t>Maluccio</w:t>
      </w:r>
      <w:proofErr w:type="spellEnd"/>
      <w:r>
        <w:t xml:space="preserve"> and Flores 2005).  These outcomes appear to be driven by the withholding of income or cash transfers until a certain number of clinic attendances or immunisation administrations are achieved (</w:t>
      </w:r>
      <w:proofErr w:type="spellStart"/>
      <w:r>
        <w:t>Lagarde</w:t>
      </w:r>
      <w:proofErr w:type="spellEnd"/>
      <w:r>
        <w:t xml:space="preserve">, Haines and Palmer 2009).  </w:t>
      </w:r>
    </w:p>
    <w:p w:rsidR="007E0709" w:rsidRDefault="007E0709" w:rsidP="007E0709">
      <w:pPr>
        <w:pStyle w:val="BodyText"/>
      </w:pPr>
      <w:r>
        <w:t xml:space="preserve">Improvements in immunisation rates have also been linked to CCT programs. Evaluation of Mexico’s </w:t>
      </w:r>
      <w:proofErr w:type="spellStart"/>
      <w:r>
        <w:t>Progresa</w:t>
      </w:r>
      <w:proofErr w:type="spellEnd"/>
      <w:r>
        <w:t xml:space="preserve"> program showed a 5 percentage point increase in the tuberculosis immunisation coverage for children aged between 12 to 23 months (</w:t>
      </w:r>
      <w:proofErr w:type="spellStart"/>
      <w:r>
        <w:t>Lagarde</w:t>
      </w:r>
      <w:proofErr w:type="spellEnd"/>
      <w:r>
        <w:t xml:space="preserve">, Haines and Palmer 2009).  Furthermore, evaluation of Nicaragua’s CCT program found fairly substantial and significant impacts on vaccination coverage for selected vaccines, age groups and sub populations (Barham and </w:t>
      </w:r>
      <w:proofErr w:type="spellStart"/>
      <w:r>
        <w:t>Maluccio</w:t>
      </w:r>
      <w:proofErr w:type="spellEnd"/>
      <w:r>
        <w:t xml:space="preserve"> 2009). This evaluation used household survey data to estimate intent-to-treat double-difference program effects.  Five months after the program was implemented, a 20 percentage point increase in on-time coverage rates for fully vaccinated children was observed. However, these results did not remain statistically significant when measured one year after implementation (Barham and </w:t>
      </w:r>
      <w:proofErr w:type="spellStart"/>
      <w:r>
        <w:t>Maluccio</w:t>
      </w:r>
      <w:proofErr w:type="spellEnd"/>
      <w:r>
        <w:t xml:space="preserve"> 2009). The authors suggested this was most likely due to limitations associated with the sample size. </w:t>
      </w:r>
    </w:p>
    <w:p w:rsidR="007E0709" w:rsidRDefault="007E0709" w:rsidP="007E0709">
      <w:pPr>
        <w:pStyle w:val="HeadingC"/>
      </w:pPr>
      <w:r w:rsidRPr="00BA6667">
        <w:t>Education outcomes</w:t>
      </w:r>
    </w:p>
    <w:p w:rsidR="007E0709" w:rsidRDefault="007E0709" w:rsidP="007E0709">
      <w:pPr>
        <w:pStyle w:val="BodyText"/>
      </w:pPr>
      <w:r>
        <w:t>CCT programs often include a financial incentive for children’s enrolment and attendance at school with the objective that this will improve the educational outcomes of children (</w:t>
      </w:r>
      <w:proofErr w:type="spellStart"/>
      <w:r>
        <w:t>Largarde</w:t>
      </w:r>
      <w:proofErr w:type="spellEnd"/>
      <w:r>
        <w:t xml:space="preserve">, Haines and Palmer 2009; Baird, McIntosh and </w:t>
      </w:r>
      <w:proofErr w:type="spellStart"/>
      <w:r>
        <w:t>Ozler</w:t>
      </w:r>
      <w:proofErr w:type="spellEnd"/>
      <w:r>
        <w:t xml:space="preserve"> 2009).  There is a large and empirically well-designed body of evidence which demonstrates CCT programs can improve enrolment and attendance in schools (Baird, McIntosh and </w:t>
      </w:r>
      <w:proofErr w:type="spellStart"/>
      <w:r>
        <w:t>Ozler</w:t>
      </w:r>
      <w:proofErr w:type="spellEnd"/>
      <w:r>
        <w:t xml:space="preserve"> 2009). This is an important positive finding since educational attainment is a key determinant of chronic poverty (Gable and </w:t>
      </w:r>
      <w:proofErr w:type="spellStart"/>
      <w:r>
        <w:t>Kamerman</w:t>
      </w:r>
      <w:proofErr w:type="spellEnd"/>
      <w:r>
        <w:t xml:space="preserve"> 2011). However, this body of evidence is largely confined to the analysis of these programs in developing countries which typically suffer from very low enrolment rates and high dropout rates (Baird, McIntosh and </w:t>
      </w:r>
      <w:proofErr w:type="spellStart"/>
      <w:r>
        <w:t>Ozler</w:t>
      </w:r>
      <w:proofErr w:type="spellEnd"/>
      <w:r>
        <w:t xml:space="preserve"> 2009). </w:t>
      </w:r>
    </w:p>
    <w:p w:rsidR="007E0709" w:rsidRDefault="007E0709" w:rsidP="007E0709">
      <w:pPr>
        <w:pStyle w:val="BodyText"/>
      </w:pPr>
      <w:r>
        <w:lastRenderedPageBreak/>
        <w:t xml:space="preserve">The findings of the evaluation of the School Enrolment and Attendance through Welfare </w:t>
      </w:r>
      <w:r w:rsidRPr="0018157F">
        <w:t>Reform Measures (SEAM) Program in Australia are consistent with the studies conducted in</w:t>
      </w:r>
      <w:r>
        <w:t xml:space="preserve"> developing countries.  SEAM was implemented in both the Northern Territory and Queensland during 2010. The purpose of the program was to improve children’s enrolment and attendance in school by attaching conditions to Income Support Payments (Social Policy Research and Evaluation Section Research Branch, Social Policy and Economic Strategy Group and Department of Education, Employment and Workplace Relations 2010).  This evaluation utilised both a quantitative and qualitative approach. The quantitative analysis used DHS and enrolment and attendance data from government education authorities to establish a baseline. The specific outcome measures used included SEAM and non-SEAM comparisons of individual student enrolment start and end dates and the daily attendance rate for each student. The data collected in 2009 (baseline) was then contrasted to the 2010 data. The qualitative analysis involved fieldwork which gathered information relating to: the implementation of the SEAM trial in QLD, the effectiveness of SEAM and its outcomes in QLD and views held by all groups of stakeholders in QLD including parents, principals, community workers, DHS and </w:t>
      </w:r>
      <w:r w:rsidR="00384804">
        <w:t xml:space="preserve">the </w:t>
      </w:r>
      <w:r>
        <w:t>QLD Department of Education and Training. A survey was also issued to parents living in the Logan area to explore parents’ attitudes towards their children’s schooling and the SEAM program (Social Policy Research and Evaluation Section Research Branch, Social Policy and Economic Strategy Group and Department of Education, Employment and Workplace Relations 2010).</w:t>
      </w:r>
      <w:r w:rsidR="008E7CF0">
        <w:t xml:space="preserve"> </w:t>
      </w:r>
    </w:p>
    <w:p w:rsidR="007E0709" w:rsidRDefault="007E0709" w:rsidP="007E0709">
      <w:pPr>
        <w:pStyle w:val="BodyText"/>
      </w:pPr>
      <w:r>
        <w:t>The results of this evaluation indicated that students participating in SEAM showed a greater increase in school attendance rates than their non-SEAM peers in both the NT and QLD from 2009-2010 (Social Policy Research and Evaluation Section Research Branch, Social Policy and Economic Strategy Group and Department of Education, Employment and Workplace Relations 2010). The issuing of attendance notices to parents had a short term impact during the compliance period. However, a relapse in attendance rates was commonly observed after the compliance period (Social Policy Research and Evaluation Section Research Branch, Social Policy and Economic Strategy Group and Department of Education, Employment and Workplace Relations 2010). A key finding was that families faced complex and significant barriers which compromised their attempts to ensure their child attended school (Social Policy Research and Evaluation Section Research Branch, Social Policy and Economic Strategy Group and Department of Education, Employment and Workplace Relations 2010).  This is a common consideration in the evaluation of CCT programs as the effectiveness of such programs is heavily dependent on the accurate identification of barriers preventing access to services or products (</w:t>
      </w:r>
      <w:proofErr w:type="spellStart"/>
      <w:r>
        <w:t>Lagarde</w:t>
      </w:r>
      <w:proofErr w:type="spellEnd"/>
      <w:r>
        <w:t>, Haines and Palmer 2009).  Overall, issuing attendance notices and the potential for suspension of Income Support Payments had an apparent positive impact on school attendance (Social Policy Research and Evaluation Section Research Branch, Social Policy and Economic Strategy Group and Department of Education, Employment and Workplace Relations 2010).</w:t>
      </w:r>
      <w:r w:rsidR="008E7CF0">
        <w:t xml:space="preserve"> </w:t>
      </w:r>
    </w:p>
    <w:p w:rsidR="007E0709" w:rsidRDefault="007E0709" w:rsidP="007E0709">
      <w:pPr>
        <w:pStyle w:val="BodyText"/>
      </w:pPr>
      <w:r>
        <w:t>The results for enrolments</w:t>
      </w:r>
      <w:r w:rsidRPr="006D609B">
        <w:t xml:space="preserve"> </w:t>
      </w:r>
      <w:r>
        <w:t xml:space="preserve">were confounded by limitations in data preventing distinctions between non- or partial enrolment and transfers by students between schooling systems. The proportion of children partially enrolled increased in SEAM schools, whilst in non-SEAM schools this proportion decreased (Social Policy Research and Evaluation Section Research Branch, Social Policy and Economic Strategy Group and Department of Education, Employment and Workplace Relations 2010). </w:t>
      </w:r>
    </w:p>
    <w:p w:rsidR="007E0709" w:rsidRPr="00B369AF" w:rsidRDefault="007E0709" w:rsidP="007E0709">
      <w:pPr>
        <w:pStyle w:val="BodyText"/>
        <w:rPr>
          <w:b/>
          <w:color w:val="00A1DE"/>
          <w:sz w:val="40"/>
          <w:szCs w:val="40"/>
        </w:rPr>
      </w:pPr>
      <w:r w:rsidRPr="00B369AF">
        <w:rPr>
          <w:b/>
          <w:color w:val="00A1DE"/>
          <w:sz w:val="40"/>
          <w:szCs w:val="40"/>
        </w:rPr>
        <w:lastRenderedPageBreak/>
        <w:t>Behavioural economics and income management outcomes</w:t>
      </w:r>
    </w:p>
    <w:p w:rsidR="007E0709" w:rsidRDefault="007E0709" w:rsidP="007E0709">
      <w:pPr>
        <w:pStyle w:val="BodyText"/>
      </w:pPr>
      <w:r>
        <w:t>As noted above, FaHCSIA requested that the literature scan also reflect on the implications of behavioural economics for the success of IM initiatives.</w:t>
      </w:r>
    </w:p>
    <w:p w:rsidR="007E0709" w:rsidRDefault="007E0709" w:rsidP="007E0709">
      <w:pPr>
        <w:pStyle w:val="BodyText"/>
      </w:pPr>
      <w:r>
        <w:t xml:space="preserve">The concept of behavioural economics provides a valuable insight into understanding how income management programs can be designed to successfully influence human behaviour. </w:t>
      </w:r>
    </w:p>
    <w:p w:rsidR="007E0709" w:rsidRPr="00974450" w:rsidRDefault="007E0709" w:rsidP="007E0709">
      <w:pPr>
        <w:pStyle w:val="BodyText"/>
        <w:rPr>
          <w:lang w:eastAsia="zh-CN"/>
        </w:rPr>
      </w:pPr>
      <w:r w:rsidRPr="00974450">
        <w:rPr>
          <w:lang w:eastAsia="zh-CN"/>
        </w:rPr>
        <w:t>Studies in behavioural economics seek to explain the difference between observed and theorised consumer behaviours (</w:t>
      </w:r>
      <w:proofErr w:type="spellStart"/>
      <w:r w:rsidRPr="00974450">
        <w:rPr>
          <w:lang w:eastAsia="zh-CN"/>
        </w:rPr>
        <w:t>Psendorfer</w:t>
      </w:r>
      <w:proofErr w:type="spellEnd"/>
      <w:r w:rsidRPr="00974450">
        <w:rPr>
          <w:lang w:eastAsia="zh-CN"/>
        </w:rPr>
        <w:t>, 2006</w:t>
      </w:r>
      <w:r w:rsidRPr="00974450">
        <w:rPr>
          <w:rFonts w:ascii="Arial" w:hAnsi="Arial"/>
          <w:sz w:val="18"/>
          <w:szCs w:val="24"/>
          <w:vertAlign w:val="superscript"/>
          <w:lang w:eastAsia="zh-CN"/>
        </w:rPr>
        <w:footnoteReference w:id="7"/>
      </w:r>
      <w:r w:rsidRPr="00974450">
        <w:rPr>
          <w:lang w:eastAsia="zh-CN"/>
        </w:rPr>
        <w:t>).  In particular, behavioural economics challenges one of the fundamental assumptions in standard economic theory which is that consumers are rational, taking all available information into consideration, and making decisions that are in their best interests.   For example, despite having access to a myriad of welfare and transfer payment programs, a high proportion of the poor and the vulnerable appeared not to take up these offers in the US and UK (Currie and Grogger 2001</w:t>
      </w:r>
      <w:r w:rsidRPr="00974450">
        <w:rPr>
          <w:rFonts w:ascii="Arial" w:hAnsi="Arial"/>
          <w:sz w:val="18"/>
          <w:szCs w:val="24"/>
          <w:vertAlign w:val="superscript"/>
          <w:lang w:eastAsia="zh-CN"/>
        </w:rPr>
        <w:footnoteReference w:id="8"/>
      </w:r>
      <w:r w:rsidRPr="00974450">
        <w:rPr>
          <w:lang w:eastAsia="zh-CN"/>
        </w:rPr>
        <w:t>, and Currie 2004</w:t>
      </w:r>
      <w:r w:rsidRPr="00974450">
        <w:rPr>
          <w:rFonts w:ascii="Arial" w:hAnsi="Arial"/>
          <w:sz w:val="18"/>
          <w:szCs w:val="24"/>
          <w:vertAlign w:val="superscript"/>
          <w:lang w:eastAsia="zh-CN"/>
        </w:rPr>
        <w:footnoteReference w:id="9"/>
      </w:r>
      <w:r w:rsidRPr="00974450">
        <w:rPr>
          <w:lang w:eastAsia="zh-CN"/>
        </w:rPr>
        <w:t xml:space="preserve">). </w:t>
      </w:r>
    </w:p>
    <w:p w:rsidR="007E0709" w:rsidRPr="00974450" w:rsidRDefault="007E0709" w:rsidP="007E0709">
      <w:pPr>
        <w:pStyle w:val="BodyText"/>
        <w:rPr>
          <w:lang w:eastAsia="zh-CN"/>
        </w:rPr>
      </w:pPr>
      <w:r w:rsidRPr="00974450">
        <w:rPr>
          <w:lang w:eastAsia="zh-CN"/>
        </w:rPr>
        <w:t>Hypotheses put forward to explain these observed ‘irrational’ behaviours include the presence of procrastination (or the level of motivation)</w:t>
      </w:r>
      <w:r>
        <w:rPr>
          <w:lang w:eastAsia="zh-CN"/>
        </w:rPr>
        <w:t>,</w:t>
      </w:r>
      <w:r w:rsidRPr="00974450">
        <w:rPr>
          <w:lang w:eastAsia="zh-CN"/>
        </w:rPr>
        <w:t xml:space="preserve"> </w:t>
      </w:r>
      <w:r>
        <w:rPr>
          <w:lang w:eastAsia="zh-CN"/>
        </w:rPr>
        <w:t>the</w:t>
      </w:r>
      <w:r w:rsidRPr="00974450">
        <w:rPr>
          <w:lang w:eastAsia="zh-CN"/>
        </w:rPr>
        <w:t xml:space="preserve"> </w:t>
      </w:r>
      <w:r>
        <w:rPr>
          <w:lang w:eastAsia="zh-CN"/>
        </w:rPr>
        <w:t>‘</w:t>
      </w:r>
      <w:r w:rsidRPr="00974450">
        <w:rPr>
          <w:lang w:eastAsia="zh-CN"/>
        </w:rPr>
        <w:t>hassle</w:t>
      </w:r>
      <w:r>
        <w:rPr>
          <w:lang w:eastAsia="zh-CN"/>
        </w:rPr>
        <w:t>’</w:t>
      </w:r>
      <w:r w:rsidRPr="00974450">
        <w:rPr>
          <w:lang w:eastAsia="zh-CN"/>
        </w:rPr>
        <w:t xml:space="preserve"> </w:t>
      </w:r>
      <w:r>
        <w:rPr>
          <w:lang w:eastAsia="zh-CN"/>
        </w:rPr>
        <w:t>involved</w:t>
      </w:r>
      <w:r w:rsidRPr="00974450">
        <w:rPr>
          <w:lang w:eastAsia="zh-CN"/>
        </w:rPr>
        <w:t xml:space="preserve"> (Bertrand et al, 2006</w:t>
      </w:r>
      <w:r w:rsidRPr="00974450">
        <w:rPr>
          <w:rFonts w:ascii="Arial" w:hAnsi="Arial"/>
          <w:sz w:val="18"/>
          <w:szCs w:val="24"/>
          <w:vertAlign w:val="superscript"/>
          <w:lang w:eastAsia="zh-CN"/>
        </w:rPr>
        <w:footnoteReference w:id="10"/>
      </w:r>
      <w:r w:rsidRPr="00974450">
        <w:rPr>
          <w:lang w:eastAsia="zh-CN"/>
        </w:rPr>
        <w:t>, Holmes and Ryan, 2010</w:t>
      </w:r>
      <w:r w:rsidRPr="00974450">
        <w:rPr>
          <w:rFonts w:ascii="Arial" w:hAnsi="Arial"/>
          <w:sz w:val="18"/>
          <w:szCs w:val="24"/>
          <w:vertAlign w:val="superscript"/>
          <w:lang w:eastAsia="zh-CN"/>
        </w:rPr>
        <w:footnoteReference w:id="11"/>
      </w:r>
      <w:r w:rsidRPr="00974450">
        <w:rPr>
          <w:lang w:eastAsia="zh-CN"/>
        </w:rPr>
        <w:t>), and the influence of norms and emotions over decision making (Institute for Government, 2010</w:t>
      </w:r>
      <w:r w:rsidRPr="00974450">
        <w:rPr>
          <w:rFonts w:ascii="Arial" w:hAnsi="Arial"/>
          <w:sz w:val="18"/>
          <w:szCs w:val="24"/>
          <w:vertAlign w:val="superscript"/>
          <w:lang w:eastAsia="zh-CN"/>
        </w:rPr>
        <w:footnoteReference w:id="12"/>
      </w:r>
      <w:r w:rsidRPr="00974450">
        <w:rPr>
          <w:lang w:eastAsia="zh-CN"/>
        </w:rPr>
        <w:t xml:space="preserve">). </w:t>
      </w:r>
    </w:p>
    <w:p w:rsidR="007E0709" w:rsidRPr="00974450" w:rsidRDefault="007E0709" w:rsidP="007E0709">
      <w:pPr>
        <w:pStyle w:val="BodyText"/>
        <w:rPr>
          <w:lang w:eastAsia="zh-CN"/>
        </w:rPr>
      </w:pPr>
      <w:r w:rsidRPr="00974450">
        <w:rPr>
          <w:lang w:eastAsia="zh-CN"/>
        </w:rPr>
        <w:t xml:space="preserve">According to Holmes and Ryan (2010), it may be possible to alter welfare recipients’ behaviour in the long run using </w:t>
      </w:r>
      <w:r>
        <w:rPr>
          <w:lang w:eastAsia="zh-CN"/>
        </w:rPr>
        <w:t>incentives</w:t>
      </w:r>
      <w:r w:rsidRPr="00974450">
        <w:rPr>
          <w:lang w:eastAsia="zh-CN"/>
        </w:rPr>
        <w:t xml:space="preserve"> such as rewards or sanctions.  However, </w:t>
      </w:r>
      <w:r>
        <w:rPr>
          <w:lang w:eastAsia="zh-CN"/>
        </w:rPr>
        <w:t>the way in which these incentives are portrayed</w:t>
      </w:r>
      <w:r w:rsidRPr="00974450">
        <w:rPr>
          <w:lang w:eastAsia="zh-CN"/>
        </w:rPr>
        <w:t>, administered and monitored</w:t>
      </w:r>
      <w:r>
        <w:rPr>
          <w:lang w:eastAsia="zh-CN"/>
        </w:rPr>
        <w:t xml:space="preserve"> matters</w:t>
      </w:r>
      <w:r w:rsidRPr="00974450">
        <w:rPr>
          <w:lang w:eastAsia="zh-CN"/>
        </w:rPr>
        <w:t xml:space="preserve">.  For instance, </w:t>
      </w:r>
      <w:r>
        <w:rPr>
          <w:lang w:eastAsia="zh-CN"/>
        </w:rPr>
        <w:t xml:space="preserve">the </w:t>
      </w:r>
      <w:r w:rsidRPr="00974450">
        <w:rPr>
          <w:lang w:eastAsia="zh-CN"/>
        </w:rPr>
        <w:t xml:space="preserve">effectiveness of </w:t>
      </w:r>
      <w:r>
        <w:rPr>
          <w:lang w:eastAsia="zh-CN"/>
        </w:rPr>
        <w:t>incentives</w:t>
      </w:r>
      <w:r w:rsidRPr="00974450">
        <w:rPr>
          <w:lang w:eastAsia="zh-CN"/>
        </w:rPr>
        <w:t xml:space="preserve"> may depend on the</w:t>
      </w:r>
      <w:r>
        <w:rPr>
          <w:lang w:eastAsia="zh-CN"/>
        </w:rPr>
        <w:t xml:space="preserve"> nature of</w:t>
      </w:r>
      <w:r w:rsidRPr="00974450">
        <w:rPr>
          <w:lang w:eastAsia="zh-CN"/>
        </w:rPr>
        <w:t xml:space="preserve"> interaction</w:t>
      </w:r>
      <w:r>
        <w:rPr>
          <w:lang w:eastAsia="zh-CN"/>
        </w:rPr>
        <w:t>s</w:t>
      </w:r>
      <w:r w:rsidRPr="00974450">
        <w:rPr>
          <w:lang w:eastAsia="zh-CN"/>
        </w:rPr>
        <w:t xml:space="preserve"> between </w:t>
      </w:r>
      <w:r>
        <w:rPr>
          <w:lang w:eastAsia="zh-CN"/>
        </w:rPr>
        <w:t xml:space="preserve">clients </w:t>
      </w:r>
      <w:r w:rsidRPr="00974450">
        <w:rPr>
          <w:lang w:eastAsia="zh-CN"/>
        </w:rPr>
        <w:t>and agency staff</w:t>
      </w:r>
      <w:r>
        <w:rPr>
          <w:lang w:eastAsia="zh-CN"/>
        </w:rPr>
        <w:t xml:space="preserve"> —</w:t>
      </w:r>
      <w:r w:rsidRPr="00974450">
        <w:rPr>
          <w:lang w:eastAsia="zh-CN"/>
        </w:rPr>
        <w:t xml:space="preserve"> </w:t>
      </w:r>
      <w:r>
        <w:rPr>
          <w:lang w:eastAsia="zh-CN"/>
        </w:rPr>
        <w:t>i</w:t>
      </w:r>
      <w:r w:rsidRPr="00974450">
        <w:rPr>
          <w:lang w:eastAsia="zh-CN"/>
        </w:rPr>
        <w:t>nteraction</w:t>
      </w:r>
      <w:r>
        <w:rPr>
          <w:lang w:eastAsia="zh-CN"/>
        </w:rPr>
        <w:t>s</w:t>
      </w:r>
      <w:r w:rsidRPr="00974450">
        <w:rPr>
          <w:lang w:eastAsia="zh-CN"/>
        </w:rPr>
        <w:t xml:space="preserve"> perceived </w:t>
      </w:r>
      <w:r>
        <w:rPr>
          <w:lang w:eastAsia="zh-CN"/>
        </w:rPr>
        <w:t xml:space="preserve">by clients </w:t>
      </w:r>
      <w:r w:rsidRPr="00974450">
        <w:rPr>
          <w:lang w:eastAsia="zh-CN"/>
        </w:rPr>
        <w:t xml:space="preserve">as threatening and highly controlling may undermine effectiveness.  </w:t>
      </w:r>
    </w:p>
    <w:p w:rsidR="007E0709" w:rsidRDefault="007E0709" w:rsidP="007E0709">
      <w:pPr>
        <w:pStyle w:val="BodyText"/>
        <w:rPr>
          <w:lang w:eastAsia="zh-CN"/>
        </w:rPr>
      </w:pPr>
      <w:r w:rsidRPr="00974450">
        <w:rPr>
          <w:lang w:eastAsia="zh-CN"/>
        </w:rPr>
        <w:t>Holmes and Ryan (2010) also suggested th</w:t>
      </w:r>
      <w:r>
        <w:rPr>
          <w:lang w:eastAsia="zh-CN"/>
        </w:rPr>
        <w:t>at th</w:t>
      </w:r>
      <w:r w:rsidRPr="00974450">
        <w:rPr>
          <w:lang w:eastAsia="zh-CN"/>
        </w:rPr>
        <w:t xml:space="preserve">e integration of </w:t>
      </w:r>
      <w:r>
        <w:rPr>
          <w:lang w:eastAsia="zh-CN"/>
        </w:rPr>
        <w:t xml:space="preserve">policy </w:t>
      </w:r>
      <w:r w:rsidRPr="00974450">
        <w:rPr>
          <w:lang w:eastAsia="zh-CN"/>
        </w:rPr>
        <w:t xml:space="preserve">objectives </w:t>
      </w:r>
      <w:r>
        <w:rPr>
          <w:lang w:eastAsia="zh-CN"/>
        </w:rPr>
        <w:t>with the personal objectives</w:t>
      </w:r>
      <w:r w:rsidRPr="00974450">
        <w:rPr>
          <w:lang w:eastAsia="zh-CN"/>
        </w:rPr>
        <w:t xml:space="preserve"> </w:t>
      </w:r>
      <w:r>
        <w:rPr>
          <w:lang w:eastAsia="zh-CN"/>
        </w:rPr>
        <w:t xml:space="preserve">of </w:t>
      </w:r>
      <w:r w:rsidRPr="00974450">
        <w:rPr>
          <w:lang w:eastAsia="zh-CN"/>
        </w:rPr>
        <w:t>individual</w:t>
      </w:r>
      <w:r>
        <w:rPr>
          <w:lang w:eastAsia="zh-CN"/>
        </w:rPr>
        <w:t xml:space="preserve"> client</w:t>
      </w:r>
      <w:r w:rsidRPr="00974450">
        <w:rPr>
          <w:lang w:eastAsia="zh-CN"/>
        </w:rPr>
        <w:t>s is importan</w:t>
      </w:r>
      <w:r>
        <w:rPr>
          <w:lang w:eastAsia="zh-CN"/>
        </w:rPr>
        <w:t>t</w:t>
      </w:r>
      <w:r w:rsidRPr="00974450">
        <w:rPr>
          <w:lang w:eastAsia="zh-CN"/>
        </w:rPr>
        <w:t xml:space="preserve">.  </w:t>
      </w:r>
      <w:r>
        <w:rPr>
          <w:lang w:eastAsia="zh-CN"/>
        </w:rPr>
        <w:t>‘</w:t>
      </w:r>
      <w:r w:rsidRPr="00974450">
        <w:rPr>
          <w:lang w:eastAsia="zh-CN"/>
        </w:rPr>
        <w:t>Internalis</w:t>
      </w:r>
      <w:r>
        <w:rPr>
          <w:lang w:eastAsia="zh-CN"/>
        </w:rPr>
        <w:t>ation’ of</w:t>
      </w:r>
      <w:r w:rsidRPr="00974450">
        <w:rPr>
          <w:lang w:eastAsia="zh-CN"/>
        </w:rPr>
        <w:t xml:space="preserve"> policy objectives </w:t>
      </w:r>
      <w:r>
        <w:rPr>
          <w:lang w:eastAsia="zh-CN"/>
        </w:rPr>
        <w:t>by individuals is likely to lead to sustainable</w:t>
      </w:r>
      <w:r w:rsidRPr="00974450">
        <w:rPr>
          <w:lang w:eastAsia="zh-CN"/>
        </w:rPr>
        <w:t xml:space="preserve"> behaviour</w:t>
      </w:r>
      <w:r>
        <w:rPr>
          <w:lang w:eastAsia="zh-CN"/>
        </w:rPr>
        <w:t>al change</w:t>
      </w:r>
      <w:r w:rsidRPr="00974450">
        <w:rPr>
          <w:lang w:eastAsia="zh-CN"/>
        </w:rPr>
        <w:t xml:space="preserve">. </w:t>
      </w:r>
      <w:r>
        <w:rPr>
          <w:lang w:eastAsia="zh-CN"/>
        </w:rPr>
        <w:t xml:space="preserve"> Designing programs in a way which r</w:t>
      </w:r>
      <w:r w:rsidRPr="00974450">
        <w:rPr>
          <w:lang w:eastAsia="zh-CN"/>
        </w:rPr>
        <w:t>ecognis</w:t>
      </w:r>
      <w:r>
        <w:rPr>
          <w:lang w:eastAsia="zh-CN"/>
        </w:rPr>
        <w:t>es</w:t>
      </w:r>
      <w:r w:rsidRPr="00974450">
        <w:rPr>
          <w:lang w:eastAsia="zh-CN"/>
        </w:rPr>
        <w:t xml:space="preserve"> individuals’ psychological needs for autonomy </w:t>
      </w:r>
      <w:r>
        <w:rPr>
          <w:lang w:eastAsia="zh-CN"/>
        </w:rPr>
        <w:t>and which acknowledges</w:t>
      </w:r>
      <w:r w:rsidRPr="00974450">
        <w:rPr>
          <w:lang w:eastAsia="zh-CN"/>
        </w:rPr>
        <w:t xml:space="preserve"> their ability to complete </w:t>
      </w:r>
      <w:r>
        <w:rPr>
          <w:lang w:eastAsia="zh-CN"/>
        </w:rPr>
        <w:t>any</w:t>
      </w:r>
      <w:r w:rsidRPr="00974450">
        <w:rPr>
          <w:lang w:eastAsia="zh-CN"/>
        </w:rPr>
        <w:t xml:space="preserve"> requirements</w:t>
      </w:r>
      <w:r>
        <w:rPr>
          <w:lang w:eastAsia="zh-CN"/>
        </w:rPr>
        <w:t xml:space="preserve"> (and the challenges faced in meeting program requirements) is also likely to contribute to sustainable behavioural </w:t>
      </w:r>
      <w:r>
        <w:rPr>
          <w:lang w:eastAsia="zh-CN"/>
        </w:rPr>
        <w:lastRenderedPageBreak/>
        <w:t>change</w:t>
      </w:r>
      <w:r w:rsidRPr="00974450">
        <w:rPr>
          <w:lang w:eastAsia="zh-CN"/>
        </w:rPr>
        <w:t xml:space="preserve">.  </w:t>
      </w:r>
      <w:r>
        <w:rPr>
          <w:lang w:eastAsia="zh-CN"/>
        </w:rPr>
        <w:t>C</w:t>
      </w:r>
      <w:r w:rsidRPr="00974450">
        <w:rPr>
          <w:lang w:eastAsia="zh-CN"/>
        </w:rPr>
        <w:t>ompliance and/or reward</w:t>
      </w:r>
      <w:r>
        <w:rPr>
          <w:lang w:eastAsia="zh-CN"/>
        </w:rPr>
        <w:t xml:space="preserve"> structures need to</w:t>
      </w:r>
      <w:r w:rsidRPr="00974450">
        <w:rPr>
          <w:lang w:eastAsia="zh-CN"/>
        </w:rPr>
        <w:t xml:space="preserve"> be administered in ways </w:t>
      </w:r>
      <w:r>
        <w:rPr>
          <w:lang w:eastAsia="zh-CN"/>
        </w:rPr>
        <w:t>which provide</w:t>
      </w:r>
      <w:r w:rsidRPr="00974450">
        <w:rPr>
          <w:lang w:eastAsia="zh-CN"/>
        </w:rPr>
        <w:t xml:space="preserve"> welfare recipients a sense of choice </w:t>
      </w:r>
      <w:r>
        <w:rPr>
          <w:lang w:eastAsia="zh-CN"/>
        </w:rPr>
        <w:t>and which appeal to their individual objectives</w:t>
      </w:r>
      <w:r w:rsidRPr="00974450">
        <w:rPr>
          <w:lang w:eastAsia="zh-CN"/>
        </w:rPr>
        <w:t xml:space="preserve">. Commanding language and threats of punishment </w:t>
      </w:r>
      <w:r>
        <w:rPr>
          <w:lang w:eastAsia="zh-CN"/>
        </w:rPr>
        <w:t>are unlikely to be successful</w:t>
      </w:r>
      <w:r w:rsidRPr="00974450">
        <w:rPr>
          <w:lang w:eastAsia="zh-CN"/>
        </w:rPr>
        <w:t xml:space="preserve">.  </w:t>
      </w:r>
      <w:r>
        <w:rPr>
          <w:lang w:eastAsia="zh-CN"/>
        </w:rPr>
        <w:t>Provision of support in meeting</w:t>
      </w:r>
      <w:r w:rsidRPr="00974450">
        <w:rPr>
          <w:lang w:eastAsia="zh-CN"/>
        </w:rPr>
        <w:t xml:space="preserve"> program requirements such as job search</w:t>
      </w:r>
      <w:r>
        <w:rPr>
          <w:lang w:eastAsia="zh-CN"/>
        </w:rPr>
        <w:t xml:space="preserve"> is also likely to lead to positive outcomes</w:t>
      </w:r>
      <w:r w:rsidRPr="00974450">
        <w:rPr>
          <w:lang w:eastAsia="zh-CN"/>
        </w:rPr>
        <w:t xml:space="preserve">. </w:t>
      </w:r>
    </w:p>
    <w:p w:rsidR="007E0709" w:rsidRDefault="007E0709" w:rsidP="007E0709">
      <w:pPr>
        <w:pStyle w:val="BodyText"/>
        <w:rPr>
          <w:lang w:eastAsia="zh-CN"/>
        </w:rPr>
      </w:pPr>
      <w:r>
        <w:rPr>
          <w:lang w:eastAsia="zh-CN"/>
        </w:rPr>
        <w:t xml:space="preserve">Suggestions by Holmes and Ryan (2010) are aligned with </w:t>
      </w:r>
      <w:proofErr w:type="spellStart"/>
      <w:r>
        <w:rPr>
          <w:lang w:eastAsia="zh-CN"/>
        </w:rPr>
        <w:t>Kelman</w:t>
      </w:r>
      <w:proofErr w:type="spellEnd"/>
      <w:r>
        <w:rPr>
          <w:lang w:eastAsia="zh-CN"/>
        </w:rPr>
        <w:t xml:space="preserve"> (1958)</w:t>
      </w:r>
      <w:r>
        <w:rPr>
          <w:rStyle w:val="FootnoteReference"/>
          <w:lang w:eastAsia="zh-CN"/>
        </w:rPr>
        <w:footnoteReference w:id="13"/>
      </w:r>
      <w:r>
        <w:rPr>
          <w:lang w:eastAsia="zh-CN"/>
        </w:rPr>
        <w:t xml:space="preserve"> who identified three different influencing processes as follows.</w:t>
      </w:r>
    </w:p>
    <w:p w:rsidR="007E0709" w:rsidRDefault="007E0709" w:rsidP="007E0709">
      <w:pPr>
        <w:pStyle w:val="Bullet1"/>
      </w:pPr>
      <w:r>
        <w:t>Compliance. Individuals comply with program requirements because of expected rewards or avoidance of punishments. Individuals do not believe in the content of the policy and when the rewards or punishments cease, compliance stops.</w:t>
      </w:r>
    </w:p>
    <w:p w:rsidR="007E0709" w:rsidRDefault="007E0709" w:rsidP="007E0709">
      <w:pPr>
        <w:pStyle w:val="Bullet1"/>
      </w:pPr>
      <w:r>
        <w:t xml:space="preserve">Identification. Individuals change their behaviour because they want to establish or maintain a satisfying relationship.  The content of the policy is irrelevant in this instance. </w:t>
      </w:r>
    </w:p>
    <w:p w:rsidR="007E0709" w:rsidRDefault="007E0709" w:rsidP="007E0709">
      <w:pPr>
        <w:pStyle w:val="Bullet1"/>
      </w:pPr>
      <w:r>
        <w:t xml:space="preserve">Internalisation. Behavioural change occurs because it is intrinsically rewarding. </w:t>
      </w:r>
    </w:p>
    <w:p w:rsidR="007E0709" w:rsidRPr="0099160F" w:rsidRDefault="007E0709" w:rsidP="007E0709">
      <w:pPr>
        <w:pStyle w:val="BodyText"/>
        <w:rPr>
          <w:lang w:eastAsia="zh-CN"/>
        </w:rPr>
      </w:pPr>
      <w:r>
        <w:rPr>
          <w:lang w:eastAsia="zh-CN"/>
        </w:rPr>
        <w:t xml:space="preserve">To ensure long-lasting behavioural change among targeted individuals, internalisation of the policy </w:t>
      </w:r>
      <w:r w:rsidRPr="0099160F">
        <w:rPr>
          <w:lang w:eastAsia="zh-CN"/>
        </w:rPr>
        <w:t xml:space="preserve">objectives and </w:t>
      </w:r>
      <w:r>
        <w:rPr>
          <w:lang w:eastAsia="zh-CN"/>
        </w:rPr>
        <w:t xml:space="preserve">the </w:t>
      </w:r>
      <w:r w:rsidRPr="0099160F">
        <w:rPr>
          <w:lang w:eastAsia="zh-CN"/>
        </w:rPr>
        <w:t xml:space="preserve">individual’s personal concerns </w:t>
      </w:r>
      <w:r>
        <w:rPr>
          <w:lang w:eastAsia="zh-CN"/>
        </w:rPr>
        <w:t>is</w:t>
      </w:r>
      <w:r w:rsidRPr="0099160F">
        <w:rPr>
          <w:lang w:eastAsia="zh-CN"/>
        </w:rPr>
        <w:t xml:space="preserve"> critical.  </w:t>
      </w:r>
      <w:r>
        <w:rPr>
          <w:lang w:eastAsia="zh-CN"/>
        </w:rPr>
        <w:t>U</w:t>
      </w:r>
      <w:r w:rsidRPr="00974450">
        <w:rPr>
          <w:lang w:eastAsia="zh-CN"/>
        </w:rPr>
        <w:t>nderstanding individuals’ motivations for and reasons underlying their existing behaviours</w:t>
      </w:r>
      <w:r>
        <w:rPr>
          <w:lang w:eastAsia="zh-CN"/>
        </w:rPr>
        <w:t xml:space="preserve"> will also therefore assist</w:t>
      </w:r>
      <w:r w:rsidRPr="00974450">
        <w:rPr>
          <w:lang w:eastAsia="zh-CN"/>
        </w:rPr>
        <w:t xml:space="preserve"> </w:t>
      </w:r>
      <w:r>
        <w:rPr>
          <w:lang w:eastAsia="zh-CN"/>
        </w:rPr>
        <w:t>in designing initiatives that are likely to achieve sustainable behavioural change</w:t>
      </w:r>
      <w:r w:rsidRPr="00974450">
        <w:rPr>
          <w:lang w:eastAsia="zh-CN"/>
        </w:rPr>
        <w:t xml:space="preserve"> </w:t>
      </w:r>
      <w:r>
        <w:rPr>
          <w:lang w:eastAsia="zh-CN"/>
        </w:rPr>
        <w:t>(</w:t>
      </w:r>
      <w:r w:rsidRPr="00974450">
        <w:rPr>
          <w:lang w:eastAsia="zh-CN"/>
        </w:rPr>
        <w:t>Institute for Government 2010)</w:t>
      </w:r>
      <w:r>
        <w:rPr>
          <w:lang w:eastAsia="zh-CN"/>
        </w:rPr>
        <w:t xml:space="preserve">. </w:t>
      </w:r>
      <w:r w:rsidRPr="00974450">
        <w:rPr>
          <w:lang w:eastAsia="zh-CN"/>
        </w:rPr>
        <w:t xml:space="preserve"> </w:t>
      </w:r>
    </w:p>
    <w:p w:rsidR="007E0709" w:rsidRDefault="007E0709" w:rsidP="007E0709">
      <w:pPr>
        <w:pStyle w:val="BodyText"/>
        <w:rPr>
          <w:lang w:eastAsia="zh-CN"/>
        </w:rPr>
      </w:pPr>
      <w:r w:rsidRPr="00974450">
        <w:rPr>
          <w:lang w:eastAsia="zh-CN"/>
        </w:rPr>
        <w:t xml:space="preserve">Equally important are the ways messages are phrased </w:t>
      </w:r>
      <w:r>
        <w:rPr>
          <w:lang w:eastAsia="zh-CN"/>
        </w:rPr>
        <w:t xml:space="preserve">— </w:t>
      </w:r>
      <w:r w:rsidRPr="00974450">
        <w:rPr>
          <w:lang w:eastAsia="zh-CN"/>
        </w:rPr>
        <w:t>not only</w:t>
      </w:r>
      <w:r>
        <w:rPr>
          <w:lang w:eastAsia="zh-CN"/>
        </w:rPr>
        <w:t xml:space="preserve"> to</w:t>
      </w:r>
      <w:r w:rsidRPr="00974450">
        <w:rPr>
          <w:lang w:eastAsia="zh-CN"/>
        </w:rPr>
        <w:t xml:space="preserve"> convey the right information but </w:t>
      </w:r>
      <w:r>
        <w:rPr>
          <w:lang w:eastAsia="zh-CN"/>
        </w:rPr>
        <w:t>also to</w:t>
      </w:r>
      <w:r w:rsidRPr="00974450">
        <w:rPr>
          <w:lang w:eastAsia="zh-CN"/>
        </w:rPr>
        <w:t xml:space="preserve"> generate the intended perception.  For instance, studies </w:t>
      </w:r>
      <w:r>
        <w:rPr>
          <w:lang w:eastAsia="zh-CN"/>
        </w:rPr>
        <w:t xml:space="preserve">have </w:t>
      </w:r>
      <w:r w:rsidRPr="00974450">
        <w:rPr>
          <w:lang w:eastAsia="zh-CN"/>
        </w:rPr>
        <w:t>show</w:t>
      </w:r>
      <w:r>
        <w:rPr>
          <w:lang w:eastAsia="zh-CN"/>
        </w:rPr>
        <w:t>n</w:t>
      </w:r>
      <w:r w:rsidRPr="00974450">
        <w:rPr>
          <w:lang w:eastAsia="zh-CN"/>
        </w:rPr>
        <w:t xml:space="preserve"> that people are highly loss averse (i.e. the loss associated with giving up a good can be greater than the utility associated with obtaining it)</w:t>
      </w:r>
      <w:r>
        <w:rPr>
          <w:lang w:eastAsia="zh-CN"/>
        </w:rPr>
        <w:t xml:space="preserve">. </w:t>
      </w:r>
      <w:r w:rsidRPr="00974450">
        <w:rPr>
          <w:lang w:eastAsia="zh-CN"/>
        </w:rPr>
        <w:t xml:space="preserve"> </w:t>
      </w:r>
      <w:r>
        <w:rPr>
          <w:lang w:eastAsia="zh-CN"/>
        </w:rPr>
        <w:t>C</w:t>
      </w:r>
      <w:r w:rsidRPr="00974450">
        <w:rPr>
          <w:lang w:eastAsia="zh-CN"/>
        </w:rPr>
        <w:t xml:space="preserve">onsequently, messages </w:t>
      </w:r>
      <w:r>
        <w:rPr>
          <w:lang w:eastAsia="zh-CN"/>
        </w:rPr>
        <w:t>advising clients how to avoid loss</w:t>
      </w:r>
      <w:r w:rsidRPr="00974450">
        <w:rPr>
          <w:lang w:eastAsia="zh-CN"/>
        </w:rPr>
        <w:t xml:space="preserve"> </w:t>
      </w:r>
      <w:r>
        <w:rPr>
          <w:lang w:eastAsia="zh-CN"/>
        </w:rPr>
        <w:t xml:space="preserve">through participating in the program </w:t>
      </w:r>
      <w:r w:rsidRPr="00974450">
        <w:rPr>
          <w:lang w:eastAsia="zh-CN"/>
        </w:rPr>
        <w:t xml:space="preserve">may be more effective </w:t>
      </w:r>
      <w:r>
        <w:rPr>
          <w:lang w:eastAsia="zh-CN"/>
        </w:rPr>
        <w:t>in achieving desired outcomes than those advising clients of the potential benefits of program participation</w:t>
      </w:r>
      <w:r w:rsidRPr="00974450">
        <w:rPr>
          <w:lang w:eastAsia="zh-CN"/>
        </w:rPr>
        <w:t>.  Other factors such as individuals’ perception</w:t>
      </w:r>
      <w:r>
        <w:rPr>
          <w:lang w:eastAsia="zh-CN"/>
        </w:rPr>
        <w:t>s</w:t>
      </w:r>
      <w:r w:rsidRPr="00974450">
        <w:rPr>
          <w:lang w:eastAsia="zh-CN"/>
        </w:rPr>
        <w:t xml:space="preserve"> of program details</w:t>
      </w:r>
      <w:r>
        <w:rPr>
          <w:lang w:eastAsia="zh-CN"/>
        </w:rPr>
        <w:t xml:space="preserve"> and</w:t>
      </w:r>
      <w:r w:rsidRPr="00974450">
        <w:rPr>
          <w:lang w:eastAsia="zh-CN"/>
        </w:rPr>
        <w:t xml:space="preserve"> default options, and </w:t>
      </w:r>
      <w:r>
        <w:rPr>
          <w:lang w:eastAsia="zh-CN"/>
        </w:rPr>
        <w:t>the ‘</w:t>
      </w:r>
      <w:r w:rsidRPr="00974450">
        <w:rPr>
          <w:lang w:eastAsia="zh-CN"/>
        </w:rPr>
        <w:t>hassle</w:t>
      </w:r>
      <w:r>
        <w:rPr>
          <w:lang w:eastAsia="zh-CN"/>
        </w:rPr>
        <w:t>’</w:t>
      </w:r>
      <w:r w:rsidRPr="00974450">
        <w:rPr>
          <w:lang w:eastAsia="zh-CN"/>
        </w:rPr>
        <w:t xml:space="preserve"> </w:t>
      </w:r>
      <w:r>
        <w:rPr>
          <w:lang w:eastAsia="zh-CN"/>
        </w:rPr>
        <w:t>involved in compliance</w:t>
      </w:r>
      <w:r w:rsidRPr="00974450">
        <w:rPr>
          <w:lang w:eastAsia="zh-CN"/>
        </w:rPr>
        <w:t xml:space="preserve"> (i.e. length of </w:t>
      </w:r>
      <w:r>
        <w:rPr>
          <w:lang w:eastAsia="zh-CN"/>
        </w:rPr>
        <w:t xml:space="preserve">an </w:t>
      </w:r>
      <w:r w:rsidRPr="00974450">
        <w:rPr>
          <w:lang w:eastAsia="zh-CN"/>
        </w:rPr>
        <w:t>application form</w:t>
      </w:r>
      <w:r>
        <w:rPr>
          <w:lang w:eastAsia="zh-CN"/>
        </w:rPr>
        <w:t xml:space="preserve"> or ease of re-enrolment</w:t>
      </w:r>
      <w:r w:rsidRPr="00974450">
        <w:rPr>
          <w:lang w:eastAsia="zh-CN"/>
        </w:rPr>
        <w:t xml:space="preserve"> for example) should not be overlooked (Currie and Grogger, 2001</w:t>
      </w:r>
      <w:r w:rsidRPr="00974450">
        <w:rPr>
          <w:rFonts w:ascii="Arial" w:hAnsi="Arial"/>
          <w:sz w:val="18"/>
          <w:szCs w:val="24"/>
          <w:vertAlign w:val="superscript"/>
          <w:lang w:eastAsia="zh-CN"/>
        </w:rPr>
        <w:footnoteReference w:id="14"/>
      </w:r>
      <w:r w:rsidRPr="00974450">
        <w:rPr>
          <w:lang w:eastAsia="zh-CN"/>
        </w:rPr>
        <w:t>; Currie, 2004</w:t>
      </w:r>
      <w:r w:rsidRPr="00974450">
        <w:rPr>
          <w:rFonts w:ascii="Arial" w:hAnsi="Arial"/>
          <w:sz w:val="18"/>
          <w:szCs w:val="24"/>
          <w:vertAlign w:val="superscript"/>
          <w:lang w:eastAsia="zh-CN"/>
        </w:rPr>
        <w:footnoteReference w:id="15"/>
      </w:r>
      <w:r w:rsidRPr="00974450">
        <w:rPr>
          <w:lang w:eastAsia="zh-CN"/>
        </w:rPr>
        <w:t>; Bertrand et al</w:t>
      </w:r>
      <w:r w:rsidRPr="00974450">
        <w:rPr>
          <w:rFonts w:ascii="Arial" w:hAnsi="Arial"/>
          <w:sz w:val="18"/>
          <w:szCs w:val="24"/>
          <w:vertAlign w:val="superscript"/>
          <w:lang w:eastAsia="zh-CN"/>
        </w:rPr>
        <w:footnoteReference w:id="16"/>
      </w:r>
      <w:r w:rsidRPr="00974450">
        <w:rPr>
          <w:lang w:eastAsia="zh-CN"/>
        </w:rPr>
        <w:t xml:space="preserve">, 2006; Reason and </w:t>
      </w:r>
      <w:proofErr w:type="spellStart"/>
      <w:r w:rsidRPr="00974450">
        <w:rPr>
          <w:lang w:eastAsia="zh-CN"/>
        </w:rPr>
        <w:t>Dunstall</w:t>
      </w:r>
      <w:proofErr w:type="spellEnd"/>
      <w:r w:rsidRPr="00974450">
        <w:rPr>
          <w:lang w:eastAsia="zh-CN"/>
        </w:rPr>
        <w:t>, 2009</w:t>
      </w:r>
      <w:r w:rsidRPr="00974450">
        <w:rPr>
          <w:rFonts w:ascii="Arial" w:hAnsi="Arial"/>
          <w:sz w:val="18"/>
          <w:szCs w:val="24"/>
          <w:vertAlign w:val="superscript"/>
          <w:lang w:eastAsia="zh-CN"/>
        </w:rPr>
        <w:footnoteReference w:id="17"/>
      </w:r>
      <w:r w:rsidRPr="00974450">
        <w:rPr>
          <w:lang w:eastAsia="zh-CN"/>
        </w:rPr>
        <w:t>).</w:t>
      </w:r>
      <w:r>
        <w:rPr>
          <w:lang w:eastAsia="zh-CN"/>
        </w:rPr>
        <w:t xml:space="preserve"> </w:t>
      </w:r>
    </w:p>
    <w:p w:rsidR="007E0709" w:rsidRPr="00974450" w:rsidRDefault="007E0709" w:rsidP="007E0709">
      <w:pPr>
        <w:pStyle w:val="BodyText"/>
        <w:rPr>
          <w:lang w:eastAsia="zh-CN"/>
        </w:rPr>
      </w:pPr>
      <w:proofErr w:type="spellStart"/>
      <w:r>
        <w:rPr>
          <w:lang w:eastAsia="zh-CN"/>
        </w:rPr>
        <w:t>Sunstein</w:t>
      </w:r>
      <w:proofErr w:type="spellEnd"/>
      <w:r>
        <w:rPr>
          <w:lang w:eastAsia="zh-CN"/>
        </w:rPr>
        <w:t xml:space="preserve"> and </w:t>
      </w:r>
      <w:proofErr w:type="spellStart"/>
      <w:r>
        <w:rPr>
          <w:lang w:eastAsia="zh-CN"/>
        </w:rPr>
        <w:t>Thaler</w:t>
      </w:r>
      <w:proofErr w:type="spellEnd"/>
      <w:r>
        <w:rPr>
          <w:lang w:eastAsia="zh-CN"/>
        </w:rPr>
        <w:t xml:space="preserve"> (2003) went a step further to suggest the use of opt-out strategies as opposed to opt-in in order to steer people’s choices.  They believed this would be more effective in ensuring participation while still presenting a choice to affected individuals.  This, they argued, is paternalism in a libertarian way, noting that staunch anti-paternalists would object believing it was unacceptably intrusive. </w:t>
      </w:r>
    </w:p>
    <w:p w:rsidR="007E0709" w:rsidRDefault="007E0709" w:rsidP="007E0709">
      <w:pPr>
        <w:pStyle w:val="BodyText"/>
        <w:rPr>
          <w:lang w:eastAsia="zh-CN"/>
        </w:rPr>
      </w:pPr>
      <w:r w:rsidRPr="00974450">
        <w:rPr>
          <w:lang w:eastAsia="zh-CN"/>
        </w:rPr>
        <w:lastRenderedPageBreak/>
        <w:t>The Institute for Government (2010)</w:t>
      </w:r>
      <w:r w:rsidRPr="00974450">
        <w:rPr>
          <w:rFonts w:ascii="Arial" w:hAnsi="Arial"/>
          <w:sz w:val="18"/>
          <w:szCs w:val="24"/>
          <w:vertAlign w:val="superscript"/>
          <w:lang w:eastAsia="zh-CN"/>
        </w:rPr>
        <w:footnoteReference w:id="18"/>
      </w:r>
      <w:r w:rsidRPr="00974450">
        <w:rPr>
          <w:lang w:eastAsia="zh-CN"/>
        </w:rPr>
        <w:t xml:space="preserve"> compiled a checklist of possible influences on individuals’ behaviours to consider when making policy.  The influences are summarised in the table below. </w:t>
      </w:r>
      <w:r>
        <w:rPr>
          <w:lang w:eastAsia="zh-CN"/>
        </w:rPr>
        <w:t xml:space="preserve"> </w:t>
      </w:r>
    </w:p>
    <w:p w:rsidR="007E0709" w:rsidRDefault="007E0709" w:rsidP="007E0709">
      <w:pPr>
        <w:pStyle w:val="BodyText"/>
      </w:pPr>
      <w:r w:rsidRPr="003248BD">
        <w:t xml:space="preserve">If IM proves to be a successful initiative (in terms of meeting objectives for improving child wellbeing and social and economic participation), reducing the stigma attached to it is likely to improve its cost effectiveness.  Based on behavioural economic theory and assuming PBIM is indeed successful, it may be possible to construct publicity campaigns promoting IM — with arguments constructed from the perspective of avoidance of loss.  For example, highlight IM’s potential for reducing the risk of homelessness or preventing child neglect.  </w:t>
      </w:r>
    </w:p>
    <w:p w:rsidR="007E0709" w:rsidRPr="00974450" w:rsidRDefault="007E0709" w:rsidP="007E0709">
      <w:pPr>
        <w:pStyle w:val="AppendixTableCaption"/>
        <w:rPr>
          <w:lang w:eastAsia="zh-CN"/>
        </w:rPr>
      </w:pPr>
      <w:bookmarkStart w:id="184" w:name="_Toc323043613"/>
      <w:bookmarkStart w:id="185" w:name="_Toc342495261"/>
      <w:r w:rsidRPr="00974450">
        <w:rPr>
          <w:lang w:eastAsia="zh-CN"/>
        </w:rPr>
        <w:t>: Checklist of possible influences on individuals' behaviours</w:t>
      </w:r>
      <w:bookmarkEnd w:id="184"/>
      <w:bookmarkEnd w:id="185"/>
    </w:p>
    <w:tbl>
      <w:tblPr>
        <w:tblStyle w:val="TableAE"/>
        <w:tblW w:w="0" w:type="auto"/>
        <w:tblLayout w:type="fixed"/>
        <w:tblLook w:val="04A0" w:firstRow="1" w:lastRow="0" w:firstColumn="1" w:lastColumn="0" w:noHBand="0" w:noVBand="1"/>
        <w:tblCaption w:val="Table B.1: Checklist of possible influences on individuals' behaviours"/>
      </w:tblPr>
      <w:tblGrid>
        <w:gridCol w:w="4360"/>
        <w:gridCol w:w="4360"/>
      </w:tblGrid>
      <w:tr w:rsidR="007E0709" w:rsidRPr="00974450" w:rsidTr="008112F0">
        <w:trPr>
          <w:cnfStyle w:val="100000000000" w:firstRow="1" w:lastRow="0" w:firstColumn="0" w:lastColumn="0" w:oddVBand="0" w:evenVBand="0" w:oddHBand="0" w:evenHBand="0" w:firstRowFirstColumn="0" w:firstRowLastColumn="0" w:lastRowFirstColumn="0" w:lastRowLastColumn="0"/>
          <w:tblHeader/>
        </w:trPr>
        <w:tc>
          <w:tcPr>
            <w:tcW w:w="4360" w:type="dxa"/>
          </w:tcPr>
          <w:p w:rsidR="007E0709" w:rsidRPr="00974450" w:rsidRDefault="007E0709" w:rsidP="004D2384">
            <w:pPr>
              <w:keepNext/>
              <w:keepLines/>
              <w:spacing w:before="20" w:after="20"/>
              <w:jc w:val="center"/>
              <w:rPr>
                <w:b/>
                <w:color w:val="002776"/>
                <w:lang w:eastAsia="zh-CN"/>
              </w:rPr>
            </w:pPr>
            <w:r w:rsidRPr="00974450">
              <w:rPr>
                <w:b/>
                <w:color w:val="002776"/>
                <w:lang w:eastAsia="zh-CN"/>
              </w:rPr>
              <w:t>Influence</w:t>
            </w:r>
          </w:p>
        </w:tc>
        <w:tc>
          <w:tcPr>
            <w:tcW w:w="4360" w:type="dxa"/>
          </w:tcPr>
          <w:p w:rsidR="007E0709" w:rsidRPr="00974450" w:rsidRDefault="007E0709" w:rsidP="004D2384">
            <w:pPr>
              <w:keepNext/>
              <w:keepLines/>
              <w:spacing w:before="20" w:after="20"/>
              <w:jc w:val="center"/>
              <w:rPr>
                <w:b/>
                <w:color w:val="002776"/>
                <w:lang w:eastAsia="zh-CN"/>
              </w:rPr>
            </w:pPr>
            <w:r w:rsidRPr="00974450">
              <w:rPr>
                <w:b/>
                <w:color w:val="002776"/>
                <w:lang w:eastAsia="zh-CN"/>
              </w:rPr>
              <w:t>Description</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Messenger</w:t>
            </w:r>
          </w:p>
        </w:tc>
        <w:tc>
          <w:tcPr>
            <w:tcW w:w="4360" w:type="dxa"/>
          </w:tcPr>
          <w:p w:rsidR="007E0709" w:rsidRPr="00B24C4B" w:rsidRDefault="007E0709" w:rsidP="004D2384">
            <w:pPr>
              <w:spacing w:before="60"/>
              <w:rPr>
                <w:sz w:val="18"/>
                <w:lang w:eastAsia="zh-CN"/>
              </w:rPr>
            </w:pPr>
            <w:r w:rsidRPr="00B24C4B">
              <w:rPr>
                <w:sz w:val="18"/>
                <w:lang w:eastAsia="zh-CN"/>
              </w:rPr>
              <w:t>We are heavily influenced  by who communicates information</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Incentives</w:t>
            </w:r>
          </w:p>
        </w:tc>
        <w:tc>
          <w:tcPr>
            <w:tcW w:w="4360" w:type="dxa"/>
          </w:tcPr>
          <w:p w:rsidR="007E0709" w:rsidRPr="00B24C4B" w:rsidRDefault="007E0709" w:rsidP="004D2384">
            <w:pPr>
              <w:spacing w:before="60"/>
              <w:rPr>
                <w:sz w:val="18"/>
                <w:lang w:eastAsia="zh-CN"/>
              </w:rPr>
            </w:pPr>
            <w:r w:rsidRPr="00B24C4B">
              <w:rPr>
                <w:sz w:val="18"/>
                <w:lang w:eastAsia="zh-CN"/>
              </w:rPr>
              <w:t>Our responses to incentives are shaped by predictable mental shortcuts such as strongly avoiding losses</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Norms</w:t>
            </w:r>
          </w:p>
        </w:tc>
        <w:tc>
          <w:tcPr>
            <w:tcW w:w="4360" w:type="dxa"/>
          </w:tcPr>
          <w:p w:rsidR="007E0709" w:rsidRPr="00B24C4B" w:rsidRDefault="007E0709" w:rsidP="004D2384">
            <w:pPr>
              <w:spacing w:before="60"/>
              <w:rPr>
                <w:sz w:val="18"/>
                <w:lang w:eastAsia="zh-CN"/>
              </w:rPr>
            </w:pPr>
            <w:r w:rsidRPr="00B24C4B">
              <w:rPr>
                <w:sz w:val="18"/>
                <w:lang w:eastAsia="zh-CN"/>
              </w:rPr>
              <w:t>We are strongly influenced by what others do</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Defaults</w:t>
            </w:r>
          </w:p>
        </w:tc>
        <w:tc>
          <w:tcPr>
            <w:tcW w:w="4360" w:type="dxa"/>
          </w:tcPr>
          <w:p w:rsidR="007E0709" w:rsidRPr="00B24C4B" w:rsidRDefault="007E0709" w:rsidP="004D2384">
            <w:pPr>
              <w:spacing w:before="60"/>
              <w:rPr>
                <w:sz w:val="18"/>
                <w:lang w:eastAsia="zh-CN"/>
              </w:rPr>
            </w:pPr>
            <w:r w:rsidRPr="00B24C4B">
              <w:rPr>
                <w:sz w:val="18"/>
                <w:lang w:eastAsia="zh-CN"/>
              </w:rPr>
              <w:t>We ‘go with the flow’ of pre-set options</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Salience</w:t>
            </w:r>
          </w:p>
        </w:tc>
        <w:tc>
          <w:tcPr>
            <w:tcW w:w="4360" w:type="dxa"/>
          </w:tcPr>
          <w:p w:rsidR="007E0709" w:rsidRPr="00B24C4B" w:rsidRDefault="007E0709" w:rsidP="004D2384">
            <w:pPr>
              <w:spacing w:before="60"/>
              <w:rPr>
                <w:sz w:val="18"/>
                <w:lang w:eastAsia="zh-CN"/>
              </w:rPr>
            </w:pPr>
            <w:r w:rsidRPr="00B24C4B">
              <w:rPr>
                <w:sz w:val="18"/>
                <w:lang w:eastAsia="zh-CN"/>
              </w:rPr>
              <w:t>Our attention is drawn to what is novel and seems relevant to us</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Priming</w:t>
            </w:r>
          </w:p>
        </w:tc>
        <w:tc>
          <w:tcPr>
            <w:tcW w:w="4360" w:type="dxa"/>
          </w:tcPr>
          <w:p w:rsidR="007E0709" w:rsidRPr="00B24C4B" w:rsidRDefault="007E0709" w:rsidP="004D2384">
            <w:pPr>
              <w:spacing w:before="60"/>
              <w:rPr>
                <w:sz w:val="18"/>
                <w:lang w:eastAsia="zh-CN"/>
              </w:rPr>
            </w:pPr>
            <w:r w:rsidRPr="00B24C4B">
              <w:rPr>
                <w:sz w:val="18"/>
                <w:lang w:eastAsia="zh-CN"/>
              </w:rPr>
              <w:t>Our acts are often influenced by sub-conscious cues</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Affect</w:t>
            </w:r>
          </w:p>
        </w:tc>
        <w:tc>
          <w:tcPr>
            <w:tcW w:w="4360" w:type="dxa"/>
          </w:tcPr>
          <w:p w:rsidR="007E0709" w:rsidRPr="00B24C4B" w:rsidRDefault="007E0709" w:rsidP="004D2384">
            <w:pPr>
              <w:spacing w:before="60"/>
              <w:rPr>
                <w:sz w:val="18"/>
                <w:lang w:eastAsia="zh-CN"/>
              </w:rPr>
            </w:pPr>
            <w:r w:rsidRPr="00B24C4B">
              <w:rPr>
                <w:sz w:val="18"/>
                <w:lang w:eastAsia="zh-CN"/>
              </w:rPr>
              <w:t>Our emotional associations can powerfully shape our actions</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Commitments</w:t>
            </w:r>
          </w:p>
        </w:tc>
        <w:tc>
          <w:tcPr>
            <w:tcW w:w="4360" w:type="dxa"/>
          </w:tcPr>
          <w:p w:rsidR="007E0709" w:rsidRPr="00B24C4B" w:rsidRDefault="007E0709" w:rsidP="004D2384">
            <w:pPr>
              <w:spacing w:before="60"/>
              <w:rPr>
                <w:sz w:val="18"/>
                <w:lang w:eastAsia="zh-CN"/>
              </w:rPr>
            </w:pPr>
            <w:r w:rsidRPr="00B24C4B">
              <w:rPr>
                <w:sz w:val="18"/>
                <w:lang w:eastAsia="zh-CN"/>
              </w:rPr>
              <w:t>We seek to be consistent with our public promises, and reciprocate acts</w:t>
            </w:r>
          </w:p>
        </w:tc>
      </w:tr>
      <w:tr w:rsidR="007E0709" w:rsidRPr="00974450" w:rsidTr="004D2384">
        <w:tc>
          <w:tcPr>
            <w:tcW w:w="4360" w:type="dxa"/>
          </w:tcPr>
          <w:p w:rsidR="007E0709" w:rsidRPr="00B24C4B" w:rsidRDefault="007E0709" w:rsidP="004D2384">
            <w:pPr>
              <w:spacing w:before="60"/>
              <w:rPr>
                <w:sz w:val="18"/>
                <w:lang w:eastAsia="zh-CN"/>
              </w:rPr>
            </w:pPr>
            <w:r w:rsidRPr="00B24C4B">
              <w:rPr>
                <w:sz w:val="18"/>
                <w:lang w:eastAsia="zh-CN"/>
              </w:rPr>
              <w:t>Ego</w:t>
            </w:r>
          </w:p>
        </w:tc>
        <w:tc>
          <w:tcPr>
            <w:tcW w:w="4360" w:type="dxa"/>
          </w:tcPr>
          <w:p w:rsidR="007E0709" w:rsidRPr="00B24C4B" w:rsidRDefault="007E0709" w:rsidP="004D2384">
            <w:pPr>
              <w:spacing w:before="60"/>
              <w:rPr>
                <w:sz w:val="18"/>
                <w:lang w:eastAsia="zh-CN"/>
              </w:rPr>
            </w:pPr>
            <w:r w:rsidRPr="00B24C4B">
              <w:rPr>
                <w:sz w:val="18"/>
                <w:lang w:eastAsia="zh-CN"/>
              </w:rPr>
              <w:t>We act in ways that make us feel better about ourselves</w:t>
            </w:r>
          </w:p>
        </w:tc>
      </w:tr>
    </w:tbl>
    <w:p w:rsidR="007E0709" w:rsidRPr="00974450" w:rsidRDefault="007E0709" w:rsidP="007E0709">
      <w:pPr>
        <w:spacing w:after="120"/>
        <w:rPr>
          <w:rFonts w:cs="Arial"/>
          <w:sz w:val="18"/>
          <w:lang w:eastAsia="zh-CN"/>
        </w:rPr>
      </w:pPr>
      <w:r w:rsidRPr="00974450">
        <w:rPr>
          <w:rFonts w:cs="Arial"/>
          <w:sz w:val="18"/>
          <w:lang w:eastAsia="zh-CN"/>
        </w:rPr>
        <w:t>Source: Institute for Government (2010).</w:t>
      </w:r>
    </w:p>
    <w:p w:rsidR="007E0709" w:rsidRPr="00B369AF" w:rsidRDefault="007E0709" w:rsidP="007E0709">
      <w:pPr>
        <w:pStyle w:val="BodyText"/>
        <w:keepNext/>
        <w:rPr>
          <w:b/>
          <w:color w:val="00A1DE"/>
          <w:sz w:val="40"/>
          <w:szCs w:val="40"/>
        </w:rPr>
      </w:pPr>
      <w:r w:rsidRPr="00B369AF">
        <w:rPr>
          <w:b/>
          <w:color w:val="00A1DE"/>
          <w:sz w:val="40"/>
          <w:szCs w:val="40"/>
        </w:rPr>
        <w:t xml:space="preserve">Overview of approaches to </w:t>
      </w:r>
      <w:r>
        <w:rPr>
          <w:b/>
          <w:color w:val="00A1DE"/>
          <w:sz w:val="40"/>
          <w:szCs w:val="40"/>
        </w:rPr>
        <w:t>program evaluation</w:t>
      </w:r>
    </w:p>
    <w:p w:rsidR="007E0709" w:rsidRPr="00DD1781" w:rsidRDefault="007E0709" w:rsidP="007E0709">
      <w:pPr>
        <w:pStyle w:val="BodyText"/>
      </w:pPr>
      <w:r w:rsidRPr="00D934F9">
        <w:t xml:space="preserve">A number of studies noted the hierarchy of evidence based on methodologies used to evaluate </w:t>
      </w:r>
      <w:r>
        <w:t>welfare</w:t>
      </w:r>
      <w:r w:rsidRPr="00D934F9">
        <w:t xml:space="preserve"> programs</w:t>
      </w:r>
      <w:r>
        <w:t>, these include both IM and CCT programs</w:t>
      </w:r>
      <w:r w:rsidRPr="00D934F9">
        <w:t xml:space="preserve">, with the ideal approach being randomised controlled trials (RCTs) (AIHW 2010; </w:t>
      </w:r>
      <w:proofErr w:type="spellStart"/>
      <w:r w:rsidRPr="00D934F9">
        <w:t>Largarde</w:t>
      </w:r>
      <w:proofErr w:type="spellEnd"/>
      <w:r w:rsidRPr="00D934F9">
        <w:t xml:space="preserve">, Haines and Palmer 2009; Lamb and Young 2011; </w:t>
      </w:r>
      <w:proofErr w:type="spellStart"/>
      <w:r w:rsidRPr="00D934F9">
        <w:t>Brimblecombe</w:t>
      </w:r>
      <w:proofErr w:type="spellEnd"/>
      <w:r w:rsidRPr="00D934F9">
        <w:t xml:space="preserve"> et al. 2010; Barber and </w:t>
      </w:r>
      <w:proofErr w:type="spellStart"/>
      <w:r w:rsidRPr="00D934F9">
        <w:t>Gertler</w:t>
      </w:r>
      <w:proofErr w:type="spellEnd"/>
      <w:r w:rsidRPr="00D934F9">
        <w:t xml:space="preserve"> 2009; Baird, McIntosh and </w:t>
      </w:r>
      <w:proofErr w:type="spellStart"/>
      <w:r w:rsidRPr="00D934F9">
        <w:t>Ozler</w:t>
      </w:r>
      <w:proofErr w:type="spellEnd"/>
      <w:r w:rsidRPr="00D934F9">
        <w:t xml:space="preserve"> 2009; </w:t>
      </w:r>
      <w:proofErr w:type="spellStart"/>
      <w:r w:rsidRPr="00D934F9">
        <w:t>Soares</w:t>
      </w:r>
      <w:proofErr w:type="spellEnd"/>
      <w:r w:rsidRPr="00D934F9">
        <w:t xml:space="preserve">, </w:t>
      </w:r>
      <w:proofErr w:type="spellStart"/>
      <w:r w:rsidRPr="00D934F9">
        <w:t>Ribas</w:t>
      </w:r>
      <w:proofErr w:type="spellEnd"/>
      <w:r w:rsidRPr="00D934F9">
        <w:t xml:space="preserve"> and Osorio 2010).  However, RCTs are generally not practical or considered ethical in social policy research.  Controlled experimental designs where a control group or town is matched to the treatment group or town is considered the next best option (</w:t>
      </w:r>
      <w:proofErr w:type="spellStart"/>
      <w:r w:rsidRPr="00D934F9">
        <w:t>Soares</w:t>
      </w:r>
      <w:proofErr w:type="spellEnd"/>
      <w:r w:rsidRPr="00D934F9">
        <w:t xml:space="preserve">, </w:t>
      </w:r>
      <w:proofErr w:type="spellStart"/>
      <w:r w:rsidRPr="00D934F9">
        <w:t>Ribas</w:t>
      </w:r>
      <w:proofErr w:type="spellEnd"/>
      <w:r w:rsidRPr="00D934F9">
        <w:t>, Osorio 2010; Social Policy Research Centre, University of New South Wales and Australian Institute of Family Studies 2010). A common approach used to combat the ethical and political concerns associated with using a control group is to take advantage of the gradual implementation of income management programs (Rawlings and Rubio 2005). However, the speed at which the program is implemented impacts on the ability to measure longer term outcomes (Rawlings and Rubio 2005).</w:t>
      </w:r>
      <w:r w:rsidRPr="00DD1781">
        <w:t xml:space="preserve"> </w:t>
      </w:r>
    </w:p>
    <w:p w:rsidR="007E0709" w:rsidRDefault="007E0709" w:rsidP="007E0709">
      <w:pPr>
        <w:pStyle w:val="BodyText"/>
      </w:pPr>
      <w:r w:rsidRPr="00DD1781">
        <w:lastRenderedPageBreak/>
        <w:t xml:space="preserve">While there is considerable variation in the design, target groups, </w:t>
      </w:r>
      <w:r>
        <w:t>conditions</w:t>
      </w:r>
      <w:r w:rsidRPr="00DD1781">
        <w:t xml:space="preserve">, benefits and administration of </w:t>
      </w:r>
      <w:r>
        <w:t>both IM and CCT</w:t>
      </w:r>
      <w:r w:rsidRPr="00DD1781">
        <w:t xml:space="preserve"> programs, the nature of the measured outcomes does not frequently vary.  Education outcomes, child and maternal health outcomes, changes in consumption levels and patterns, labour force participation, and financial management remain commonly measured outcomes. </w:t>
      </w:r>
      <w:r>
        <w:t xml:space="preserve"> </w:t>
      </w:r>
      <w:r w:rsidRPr="0072779D">
        <w:t xml:space="preserve">Selected metrics obviously depend on the target population and primary objective of the program.  </w:t>
      </w:r>
    </w:p>
    <w:p w:rsidR="007E0709" w:rsidRPr="00DD1781" w:rsidRDefault="007E0709" w:rsidP="007E0709">
      <w:pPr>
        <w:pStyle w:val="BodyText"/>
      </w:pPr>
      <w:r>
        <w:t>For CCT program</w:t>
      </w:r>
      <w:r w:rsidR="00384804">
        <w:t>s</w:t>
      </w:r>
      <w:r>
        <w:t>, s</w:t>
      </w:r>
      <w:r w:rsidRPr="00DD1781">
        <w:t xml:space="preserve">chool enrolment rates and attendance rates are the most common metrics for educational outcomes (Rawlings and Rubio 2005). </w:t>
      </w:r>
      <w:r>
        <w:t>T</w:t>
      </w:r>
      <w:r w:rsidRPr="00DD1781">
        <w:t xml:space="preserve">he evaluation of the </w:t>
      </w:r>
      <w:proofErr w:type="spellStart"/>
      <w:r w:rsidRPr="00DD1781">
        <w:t>Progresa</w:t>
      </w:r>
      <w:proofErr w:type="spellEnd"/>
      <w:r w:rsidRPr="00DD1781">
        <w:t xml:space="preserve"> </w:t>
      </w:r>
      <w:r>
        <w:t>CCT</w:t>
      </w:r>
      <w:r w:rsidRPr="00DD1781">
        <w:t xml:space="preserve"> program went further, and attempted to measure changes in impact indicators such as average test scores (Rawlings and Rubio 2005; </w:t>
      </w:r>
      <w:proofErr w:type="spellStart"/>
      <w:r w:rsidRPr="00DD1781">
        <w:t>Gertler</w:t>
      </w:r>
      <w:proofErr w:type="spellEnd"/>
      <w:r w:rsidRPr="00DD1781">
        <w:t xml:space="preserve"> 2000). It is</w:t>
      </w:r>
      <w:r>
        <w:t xml:space="preserve"> however</w:t>
      </w:r>
      <w:r w:rsidRPr="00DD1781">
        <w:t xml:space="preserve"> difficult to attribute changes in these sorts of impacts to </w:t>
      </w:r>
      <w:r>
        <w:t>CCT</w:t>
      </w:r>
      <w:r w:rsidRPr="00DD1781">
        <w:t>.</w:t>
      </w:r>
    </w:p>
    <w:p w:rsidR="007E0709" w:rsidRPr="0072779D" w:rsidRDefault="007E0709" w:rsidP="007E0709">
      <w:pPr>
        <w:pStyle w:val="BodyText"/>
      </w:pPr>
      <w:r w:rsidRPr="0072779D">
        <w:t>To measure child and maternal health outcomes a combination of healthcare utilisation indicators and nutritional indicators are generally used. Child health indicators typically include: vaccination coverage, malnutrition rates, incidence of diarrhoea, participation rates in child growth and development monitoring, weight gain, height for age ratio, height for weight ratio, proportion of babies with low birth weight and probability of suffering from anaemia (</w:t>
      </w:r>
      <w:proofErr w:type="spellStart"/>
      <w:r w:rsidRPr="0072779D">
        <w:t>Soares</w:t>
      </w:r>
      <w:proofErr w:type="spellEnd"/>
      <w:r w:rsidRPr="0072779D">
        <w:t xml:space="preserve">, </w:t>
      </w:r>
      <w:proofErr w:type="spellStart"/>
      <w:r w:rsidRPr="0072779D">
        <w:t>Ribas</w:t>
      </w:r>
      <w:proofErr w:type="spellEnd"/>
      <w:r w:rsidRPr="0072779D">
        <w:t xml:space="preserve"> and Osorio 2010; Rawlings and Rubio 2005). Maternal health indicators usually include healthcare clinic attendance rates, and utilisation of pre and post natal care options (Rawlings and Rubio 2005). </w:t>
      </w:r>
    </w:p>
    <w:p w:rsidR="007E0709" w:rsidRPr="00C15515" w:rsidRDefault="007E0709" w:rsidP="007E0709">
      <w:pPr>
        <w:pStyle w:val="BodyText"/>
      </w:pPr>
      <w:r w:rsidRPr="00C15515">
        <w:t xml:space="preserve">Changes in consumption levels </w:t>
      </w:r>
      <w:r>
        <w:t xml:space="preserve">and </w:t>
      </w:r>
      <w:r w:rsidRPr="00C15515">
        <w:t>patterns are also common metrics</w:t>
      </w:r>
      <w:r>
        <w:t xml:space="preserve"> in CCT programs</w:t>
      </w:r>
      <w:r w:rsidRPr="00C15515">
        <w:t xml:space="preserve">. Evaluations have measured changes in the consumption of nutritional supplements provided as part of the program (Rawlings and Rubio 2005; </w:t>
      </w:r>
      <w:proofErr w:type="spellStart"/>
      <w:r w:rsidRPr="00C15515">
        <w:t>Gertler</w:t>
      </w:r>
      <w:proofErr w:type="spellEnd"/>
      <w:r w:rsidRPr="00C15515">
        <w:t xml:space="preserve"> 2004). </w:t>
      </w:r>
      <w:r>
        <w:t xml:space="preserve"> </w:t>
      </w:r>
      <w:r w:rsidRPr="00C15515">
        <w:t>Total consumption per capita disaggregated by food and non-food items, such as health and education spending is also a common indicator (Rawlings and Rubio 2005). Some evaluations have sought to assess the impact of the</w:t>
      </w:r>
      <w:r>
        <w:t xml:space="preserve"> CCT</w:t>
      </w:r>
      <w:r w:rsidRPr="00C15515">
        <w:t xml:space="preserve"> program</w:t>
      </w:r>
      <w:r>
        <w:t>s</w:t>
      </w:r>
      <w:r w:rsidRPr="00C15515">
        <w:t xml:space="preserve"> on poverty using income per capita (</w:t>
      </w:r>
      <w:proofErr w:type="spellStart"/>
      <w:r w:rsidRPr="00C15515">
        <w:t>Skoufias</w:t>
      </w:r>
      <w:proofErr w:type="spellEnd"/>
      <w:r w:rsidRPr="00C15515">
        <w:t xml:space="preserve"> and Di </w:t>
      </w:r>
      <w:proofErr w:type="spellStart"/>
      <w:r w:rsidRPr="00C15515">
        <w:t>Maro</w:t>
      </w:r>
      <w:proofErr w:type="spellEnd"/>
      <w:r w:rsidRPr="00C15515">
        <w:t xml:space="preserve"> 2008).</w:t>
      </w:r>
      <w:r>
        <w:t xml:space="preserve"> </w:t>
      </w:r>
    </w:p>
    <w:p w:rsidR="007E0709" w:rsidRDefault="007E0709" w:rsidP="007E0709">
      <w:pPr>
        <w:pStyle w:val="BodyText"/>
      </w:pPr>
      <w:r w:rsidRPr="00F51096">
        <w:t xml:space="preserve">The impact of </w:t>
      </w:r>
      <w:r>
        <w:t>CCT</w:t>
      </w:r>
      <w:r w:rsidRPr="00F51096">
        <w:t xml:space="preserve"> programs on labour force participation is heavily dependent on the work incentives offered through the program. Furthermore, the direct and indirect time costs associated with adhering to the requirements of the programme can influence the ability of beneficiaries to participate in work (</w:t>
      </w:r>
      <w:proofErr w:type="spellStart"/>
      <w:r w:rsidRPr="00F51096">
        <w:t>Skoufias</w:t>
      </w:r>
      <w:proofErr w:type="spellEnd"/>
      <w:r w:rsidRPr="00F51096">
        <w:t xml:space="preserve"> and Di </w:t>
      </w:r>
      <w:proofErr w:type="spellStart"/>
      <w:r w:rsidRPr="00F51096">
        <w:t>Maro</w:t>
      </w:r>
      <w:proofErr w:type="spellEnd"/>
      <w:r w:rsidRPr="00F51096">
        <w:t xml:space="preserve"> 2008). Hence, the reported impacts of </w:t>
      </w:r>
      <w:r>
        <w:t>CCT</w:t>
      </w:r>
      <w:r w:rsidRPr="00F51096">
        <w:t xml:space="preserve"> programs on labour force participation vary across the different programs (</w:t>
      </w:r>
      <w:proofErr w:type="spellStart"/>
      <w:r w:rsidRPr="00F51096">
        <w:t>Soares</w:t>
      </w:r>
      <w:proofErr w:type="spellEnd"/>
      <w:r w:rsidRPr="00F51096">
        <w:t xml:space="preserve">, </w:t>
      </w:r>
      <w:proofErr w:type="spellStart"/>
      <w:r w:rsidRPr="00F51096">
        <w:t>Ribas</w:t>
      </w:r>
      <w:proofErr w:type="spellEnd"/>
      <w:r w:rsidRPr="00F51096">
        <w:t>, Osorio 2010). Typical measures used include: participation in paid and unpaid work activities, and overall labour force participation rates (</w:t>
      </w:r>
      <w:proofErr w:type="spellStart"/>
      <w:r w:rsidRPr="00F51096">
        <w:t>Skoufias</w:t>
      </w:r>
      <w:proofErr w:type="spellEnd"/>
      <w:r w:rsidRPr="00F51096">
        <w:t xml:space="preserve"> and Di </w:t>
      </w:r>
      <w:proofErr w:type="spellStart"/>
      <w:r w:rsidRPr="00F51096">
        <w:t>Maro</w:t>
      </w:r>
      <w:proofErr w:type="spellEnd"/>
      <w:r w:rsidRPr="00F51096">
        <w:t xml:space="preserve"> 2008).</w:t>
      </w:r>
    </w:p>
    <w:p w:rsidR="007E0709" w:rsidRDefault="007E0709" w:rsidP="007E0709">
      <w:pPr>
        <w:pStyle w:val="BodyText"/>
      </w:pPr>
      <w:r>
        <w:t xml:space="preserve">For IM initiatives in Australia, </w:t>
      </w:r>
      <w:r w:rsidRPr="00C15515">
        <w:t>evaluations have measured changes in expenditure patterns on fruit, vegetables and the quality</w:t>
      </w:r>
      <w:r w:rsidR="00384804">
        <w:t xml:space="preserve"> of</w:t>
      </w:r>
      <w:r w:rsidRPr="00C15515">
        <w:t xml:space="preserve"> food, clothes and/or accommodation purchased (AIHW 2010).</w:t>
      </w:r>
      <w:r>
        <w:t xml:space="preserve"> Gambling expenditure is another example (Lamb and Young 2011). </w:t>
      </w:r>
    </w:p>
    <w:p w:rsidR="007E0709" w:rsidRPr="00E63421" w:rsidRDefault="007E0709" w:rsidP="007E0709">
      <w:pPr>
        <w:pStyle w:val="BodyText"/>
      </w:pPr>
      <w:r>
        <w:t>An additional measured outcome of IM initiatives is the provision of f</w:t>
      </w:r>
      <w:r w:rsidRPr="00E63421">
        <w:t>inancial management services</w:t>
      </w:r>
      <w:r>
        <w:t xml:space="preserve"> and counselling. This is aim</w:t>
      </w:r>
      <w:r w:rsidR="00384804">
        <w:t>ed</w:t>
      </w:r>
      <w:r w:rsidRPr="00E63421">
        <w:t xml:space="preserve"> to increase the chance of sustainable behavioural change</w:t>
      </w:r>
      <w:r>
        <w:t xml:space="preserve"> in relation to budget and financial management</w:t>
      </w:r>
      <w:r w:rsidRPr="00E63421">
        <w:t>. Directly measuring changes in participants’ understanding of financial management is</w:t>
      </w:r>
      <w:r>
        <w:t xml:space="preserve"> often</w:t>
      </w:r>
      <w:r w:rsidRPr="00E63421">
        <w:t xml:space="preserve"> difficult and indirect measures are generally used</w:t>
      </w:r>
      <w:r>
        <w:t>. These include</w:t>
      </w:r>
      <w:r w:rsidRPr="00E63421">
        <w:t xml:space="preserve"> participation rates in financial management services, the percentage of income saved, percentage of bills and rent paid on time and number of households seeking emergency payments (AIHW 2010; ORIMA Research 2010). </w:t>
      </w:r>
    </w:p>
    <w:p w:rsidR="007E0709" w:rsidRPr="0050170C" w:rsidRDefault="007E0709" w:rsidP="007E0709">
      <w:pPr>
        <w:pStyle w:val="BodyText"/>
      </w:pPr>
      <w:r>
        <w:lastRenderedPageBreak/>
        <w:t>In all program evaluations, t</w:t>
      </w:r>
      <w:r w:rsidRPr="0050170C">
        <w:t>he collection of baseline data is crucial to determining how outcomes and characteristics of participants change overtime (Rawlings and Rubio 2005). Household surveys which collect information on the demographic composition of the household, household expenditure, socio economic status, education, health, migration and labour market participation are the main data collection instruments used (Rawlings and Rubio 2005).  School and health centre surveys and community questionnaires are also frequently used for evaluation (Rawlings and Rubio 2005). Qualitative studies are also common to capture the perceptions of key stakeholders and beneficiaries (Rawlings and Rubio 2005</w:t>
      </w:r>
      <w:r>
        <w:t>; AIHW 2010; ORIMA Research 2010</w:t>
      </w:r>
      <w:r w:rsidRPr="0050170C">
        <w:t xml:space="preserve">). </w:t>
      </w:r>
    </w:p>
    <w:p w:rsidR="007E0709" w:rsidRDefault="007E0709" w:rsidP="007E0709">
      <w:pPr>
        <w:pStyle w:val="BodyText"/>
      </w:pPr>
      <w:r w:rsidRPr="007B1B95">
        <w:t xml:space="preserve">The effectiveness of </w:t>
      </w:r>
      <w:r>
        <w:t>both IM and CCT</w:t>
      </w:r>
      <w:r w:rsidRPr="007B1B95">
        <w:t xml:space="preserve"> programs depends on the magnitude of barriers to accessing health and education services and ability to purchase basic needs (e.g. foods, clothing). Therefore</w:t>
      </w:r>
      <w:r>
        <w:t>,</w:t>
      </w:r>
      <w:r w:rsidRPr="007B1B95">
        <w:t xml:space="preserve"> </w:t>
      </w:r>
      <w:r>
        <w:t>t</w:t>
      </w:r>
      <w:r w:rsidRPr="007B1B95">
        <w:t xml:space="preserve">he quality and accessibility of services available to </w:t>
      </w:r>
      <w:r>
        <w:t>welfare</w:t>
      </w:r>
      <w:r w:rsidRPr="007B1B95">
        <w:t xml:space="preserve"> clients must be established prior to an evaluation. </w:t>
      </w:r>
      <w:r>
        <w:t xml:space="preserve"> A</w:t>
      </w:r>
      <w:r w:rsidRPr="007B1B95">
        <w:t xml:space="preserve"> thorough understanding the adequacy and accessibility of health and education services and adequacy of food products available is important to ensure the effectiveness of income management programs is captured accurately (</w:t>
      </w:r>
      <w:proofErr w:type="spellStart"/>
      <w:r w:rsidRPr="007B1B95">
        <w:t>Lagarde</w:t>
      </w:r>
      <w:proofErr w:type="spellEnd"/>
      <w:r w:rsidRPr="007B1B95">
        <w:t xml:space="preserve">, Haines and Palmer 2009). </w:t>
      </w:r>
    </w:p>
    <w:p w:rsidR="007E0709" w:rsidRPr="007B1B95" w:rsidRDefault="007E0709" w:rsidP="007E0709">
      <w:pPr>
        <w:pStyle w:val="BodyText"/>
        <w:keepNext/>
        <w:rPr>
          <w:b/>
          <w:color w:val="00A1DE"/>
          <w:sz w:val="40"/>
          <w:szCs w:val="40"/>
        </w:rPr>
      </w:pPr>
      <w:r w:rsidRPr="007B1B95">
        <w:rPr>
          <w:b/>
          <w:color w:val="00A1DE"/>
          <w:sz w:val="40"/>
          <w:szCs w:val="40"/>
        </w:rPr>
        <w:t>Outcome metrics used to measure the performance of income management programs</w:t>
      </w:r>
    </w:p>
    <w:p w:rsidR="007E0709" w:rsidRPr="007B1B95" w:rsidRDefault="007E0709" w:rsidP="007E0709">
      <w:pPr>
        <w:pStyle w:val="BodyText"/>
      </w:pPr>
      <w:r w:rsidRPr="007B1B95">
        <w:t>The table below</w:t>
      </w:r>
      <w:r w:rsidR="00384804">
        <w:t xml:space="preserve"> captures</w:t>
      </w:r>
      <w:r w:rsidRPr="007B1B95">
        <w:t xml:space="preserve"> some of the outcome metrics used in evaluations of </w:t>
      </w:r>
      <w:r>
        <w:t>IM and CCT</w:t>
      </w:r>
      <w:r w:rsidRPr="007B1B95">
        <w:t xml:space="preserve"> programs.  Relevant outcome metrics depend on the purpose and objectives of the evaluation and of the program. </w:t>
      </w:r>
    </w:p>
    <w:p w:rsidR="007E0709" w:rsidRPr="007B1B95" w:rsidRDefault="007E0709" w:rsidP="007E0709">
      <w:pPr>
        <w:pStyle w:val="AppendixTableCaption"/>
      </w:pPr>
      <w:r w:rsidRPr="007B1B95">
        <w:t xml:space="preserve"> </w:t>
      </w:r>
      <w:bookmarkStart w:id="186" w:name="_Toc323043614"/>
      <w:bookmarkStart w:id="187" w:name="_Toc342495262"/>
      <w:r w:rsidRPr="007B1B95">
        <w:t>Outcome metrics</w:t>
      </w:r>
      <w:bookmarkEnd w:id="186"/>
      <w:bookmarkEnd w:id="187"/>
    </w:p>
    <w:tbl>
      <w:tblPr>
        <w:tblStyle w:val="TableAEGrey"/>
        <w:tblW w:w="0" w:type="auto"/>
        <w:tblLook w:val="04A0" w:firstRow="1" w:lastRow="0" w:firstColumn="1" w:lastColumn="0" w:noHBand="0" w:noVBand="1"/>
        <w:tblCaption w:val="Table B.2 Outcome metrics"/>
      </w:tblPr>
      <w:tblGrid>
        <w:gridCol w:w="3794"/>
        <w:gridCol w:w="3118"/>
        <w:gridCol w:w="1524"/>
      </w:tblGrid>
      <w:tr w:rsidR="007E0709" w:rsidRPr="007B1B95" w:rsidTr="008112F0">
        <w:trPr>
          <w:cnfStyle w:val="100000000000" w:firstRow="1" w:lastRow="0" w:firstColumn="0" w:lastColumn="0" w:oddVBand="0" w:evenVBand="0" w:oddHBand="0" w:evenHBand="0" w:firstRowFirstColumn="0" w:firstRowLastColumn="0" w:lastRowFirstColumn="0" w:lastRowLastColumn="0"/>
          <w:tblHeader/>
        </w:trPr>
        <w:tc>
          <w:tcPr>
            <w:tcW w:w="3794" w:type="dxa"/>
          </w:tcPr>
          <w:p w:rsidR="007E0709" w:rsidRPr="007B1B95" w:rsidRDefault="007E0709" w:rsidP="004D2384">
            <w:pPr>
              <w:pStyle w:val="TableHeadingCentre"/>
            </w:pPr>
            <w:r w:rsidRPr="007B1B95">
              <w:t>Outcome metric</w:t>
            </w:r>
          </w:p>
        </w:tc>
        <w:tc>
          <w:tcPr>
            <w:tcW w:w="3118" w:type="dxa"/>
          </w:tcPr>
          <w:p w:rsidR="007E0709" w:rsidRPr="007B1B95" w:rsidRDefault="007E0709" w:rsidP="004D2384">
            <w:pPr>
              <w:pStyle w:val="TableHeadingCentre"/>
            </w:pPr>
            <w:r w:rsidRPr="007B1B95">
              <w:t>Evaluation instrument</w:t>
            </w:r>
          </w:p>
        </w:tc>
        <w:tc>
          <w:tcPr>
            <w:tcW w:w="1524" w:type="dxa"/>
          </w:tcPr>
          <w:p w:rsidR="007E0709" w:rsidRPr="007B1B95" w:rsidRDefault="007E0709" w:rsidP="004D2384">
            <w:pPr>
              <w:pStyle w:val="TableHeadingCentre"/>
            </w:pPr>
            <w:r>
              <w:t>Program type</w:t>
            </w:r>
          </w:p>
        </w:tc>
      </w:tr>
      <w:tr w:rsidR="008A253E" w:rsidRPr="007B1B95" w:rsidTr="008A253E">
        <w:tc>
          <w:tcPr>
            <w:tcW w:w="3794" w:type="dxa"/>
          </w:tcPr>
          <w:p w:rsidR="008A253E" w:rsidRPr="007B1B95" w:rsidRDefault="008A253E" w:rsidP="004D2384">
            <w:pPr>
              <w:pStyle w:val="TableHeadingCentre"/>
            </w:pPr>
            <w:r w:rsidRPr="007B1B95">
              <w:t>Financial Management</w:t>
            </w:r>
          </w:p>
        </w:tc>
        <w:tc>
          <w:tcPr>
            <w:tcW w:w="3118" w:type="dxa"/>
          </w:tcPr>
          <w:p w:rsidR="008A253E" w:rsidRPr="007B1B95" w:rsidRDefault="008A253E" w:rsidP="004D2384">
            <w:pPr>
              <w:pStyle w:val="TableHeadingCentre"/>
            </w:pPr>
          </w:p>
        </w:tc>
        <w:tc>
          <w:tcPr>
            <w:tcW w:w="1524" w:type="dxa"/>
          </w:tcPr>
          <w:p w:rsidR="008A253E" w:rsidRPr="007B1B95" w:rsidRDefault="008A253E" w:rsidP="004D2384">
            <w:pPr>
              <w:pStyle w:val="TableHeadingCentre"/>
            </w:pPr>
          </w:p>
        </w:tc>
      </w:tr>
      <w:tr w:rsidR="007E0709" w:rsidRPr="007B1B95" w:rsidTr="004D2384">
        <w:tc>
          <w:tcPr>
            <w:tcW w:w="3794" w:type="dxa"/>
          </w:tcPr>
          <w:p w:rsidR="007E0709" w:rsidRPr="007B1B95" w:rsidRDefault="007E0709" w:rsidP="004D2384">
            <w:pPr>
              <w:pStyle w:val="TabletextLeft"/>
            </w:pPr>
            <w:r w:rsidRPr="007B1B95">
              <w:t>Total income and proportion of income spent on food, education and children’s clothing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Social survey</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Proportion of households meeting rent or utility payments (AIHW)</w:t>
            </w:r>
          </w:p>
        </w:tc>
        <w:tc>
          <w:tcPr>
            <w:tcW w:w="3118" w:type="dxa"/>
          </w:tcPr>
          <w:p w:rsidR="007E0709" w:rsidRPr="007B1B95" w:rsidRDefault="007E0709" w:rsidP="004D2384">
            <w:pPr>
              <w:pStyle w:val="TabletextLeft"/>
            </w:pPr>
            <w:r w:rsidRPr="007B1B95">
              <w:t>Social survey</w:t>
            </w:r>
          </w:p>
        </w:tc>
        <w:tc>
          <w:tcPr>
            <w:tcW w:w="1524" w:type="dxa"/>
          </w:tcPr>
          <w:p w:rsidR="007E0709" w:rsidRPr="007B1B95" w:rsidRDefault="007E0709" w:rsidP="004D2384">
            <w:pPr>
              <w:pStyle w:val="TabletextLeft"/>
            </w:pPr>
            <w:r>
              <w:t>IM</w:t>
            </w:r>
          </w:p>
        </w:tc>
      </w:tr>
      <w:tr w:rsidR="007E0709" w:rsidRPr="007B1B95" w:rsidTr="004D2384">
        <w:tc>
          <w:tcPr>
            <w:tcW w:w="3794" w:type="dxa"/>
          </w:tcPr>
          <w:p w:rsidR="007E0709" w:rsidRPr="007B1B95" w:rsidRDefault="007E0709" w:rsidP="004D2384">
            <w:pPr>
              <w:pStyle w:val="TabletextLeft"/>
            </w:pPr>
            <w:r w:rsidRPr="007B1B95">
              <w:t>Households seeking emergency payments (AIHW)</w:t>
            </w:r>
          </w:p>
        </w:tc>
        <w:tc>
          <w:tcPr>
            <w:tcW w:w="3118" w:type="dxa"/>
          </w:tcPr>
          <w:p w:rsidR="007E0709" w:rsidRPr="007B1B95" w:rsidRDefault="007E0709" w:rsidP="004D2384">
            <w:pPr>
              <w:pStyle w:val="TabletextLeft"/>
            </w:pPr>
            <w:r w:rsidRPr="007B1B95">
              <w:t>Social welfare agency data</w:t>
            </w:r>
          </w:p>
        </w:tc>
        <w:tc>
          <w:tcPr>
            <w:tcW w:w="1524" w:type="dxa"/>
          </w:tcPr>
          <w:p w:rsidR="007E0709" w:rsidRPr="007B1B95" w:rsidRDefault="007E0709" w:rsidP="004D2384">
            <w:pPr>
              <w:pStyle w:val="TabletextLeft"/>
            </w:pPr>
            <w:r>
              <w:t>IM</w:t>
            </w:r>
          </w:p>
        </w:tc>
      </w:tr>
      <w:tr w:rsidR="007E0709" w:rsidRPr="007B1B95" w:rsidTr="004D2384">
        <w:tc>
          <w:tcPr>
            <w:tcW w:w="3794" w:type="dxa"/>
          </w:tcPr>
          <w:p w:rsidR="007E0709" w:rsidRPr="007B1B95" w:rsidRDefault="007E0709" w:rsidP="004D2384">
            <w:pPr>
              <w:pStyle w:val="TabletextLeft"/>
            </w:pPr>
            <w:r w:rsidRPr="007B1B95">
              <w:t>Uptake and participation rates in financial management services (ORIMA Research 2010)</w:t>
            </w:r>
          </w:p>
        </w:tc>
        <w:tc>
          <w:tcPr>
            <w:tcW w:w="3118" w:type="dxa"/>
          </w:tcPr>
          <w:p w:rsidR="007E0709" w:rsidRPr="007B1B95" w:rsidRDefault="007E0709" w:rsidP="004D2384">
            <w:pPr>
              <w:pStyle w:val="TabletextLeft"/>
            </w:pPr>
            <w:r w:rsidRPr="007B1B95">
              <w:t>Social survey</w:t>
            </w:r>
          </w:p>
        </w:tc>
        <w:tc>
          <w:tcPr>
            <w:tcW w:w="1524" w:type="dxa"/>
          </w:tcPr>
          <w:p w:rsidR="007E0709" w:rsidRPr="007B1B95" w:rsidRDefault="007E0709" w:rsidP="004D2384">
            <w:pPr>
              <w:pStyle w:val="TabletextLeft"/>
            </w:pPr>
            <w:r>
              <w:t>IM</w:t>
            </w:r>
          </w:p>
        </w:tc>
      </w:tr>
      <w:tr w:rsidR="007E0709" w:rsidRPr="007B1B95" w:rsidTr="004D2384">
        <w:tc>
          <w:tcPr>
            <w:tcW w:w="3794" w:type="dxa"/>
          </w:tcPr>
          <w:p w:rsidR="007E0709" w:rsidRPr="007B1B95" w:rsidRDefault="007E0709" w:rsidP="004D2384">
            <w:pPr>
              <w:pStyle w:val="TabletextLeft"/>
            </w:pPr>
            <w:r w:rsidRPr="007B1B95">
              <w:t>Percentage of income saved (ORIMA Research 2010)</w:t>
            </w:r>
          </w:p>
        </w:tc>
        <w:tc>
          <w:tcPr>
            <w:tcW w:w="3118" w:type="dxa"/>
          </w:tcPr>
          <w:p w:rsidR="007E0709" w:rsidRPr="007B1B95" w:rsidRDefault="007E0709" w:rsidP="004D2384">
            <w:pPr>
              <w:pStyle w:val="TabletextLeft"/>
            </w:pPr>
            <w:r w:rsidRPr="007B1B95">
              <w:t>Social survey</w:t>
            </w:r>
          </w:p>
        </w:tc>
        <w:tc>
          <w:tcPr>
            <w:tcW w:w="1524" w:type="dxa"/>
          </w:tcPr>
          <w:p w:rsidR="007E0709" w:rsidRPr="007B1B95" w:rsidRDefault="007E0709" w:rsidP="004D2384">
            <w:pPr>
              <w:pStyle w:val="TabletextLeft"/>
            </w:pPr>
            <w:r>
              <w:t>IM</w:t>
            </w:r>
          </w:p>
        </w:tc>
      </w:tr>
      <w:tr w:rsidR="007E0709" w:rsidRPr="007B1B95" w:rsidTr="004D2384">
        <w:tc>
          <w:tcPr>
            <w:tcW w:w="3794" w:type="dxa"/>
          </w:tcPr>
          <w:p w:rsidR="007E0709" w:rsidRPr="007B1B95" w:rsidRDefault="007E0709" w:rsidP="004D2384">
            <w:pPr>
              <w:pStyle w:val="TabletextLeft"/>
            </w:pPr>
            <w:r w:rsidRPr="007B1B95">
              <w:t>Percentage of bills and rent payments made on time (ORIMA Research 2010)</w:t>
            </w:r>
          </w:p>
        </w:tc>
        <w:tc>
          <w:tcPr>
            <w:tcW w:w="3118" w:type="dxa"/>
          </w:tcPr>
          <w:p w:rsidR="007E0709" w:rsidRPr="007B1B95" w:rsidRDefault="007E0709" w:rsidP="004D2384">
            <w:pPr>
              <w:pStyle w:val="TabletextLeft"/>
            </w:pPr>
            <w:r w:rsidRPr="007B1B95">
              <w:t>Social survey</w:t>
            </w:r>
          </w:p>
        </w:tc>
        <w:tc>
          <w:tcPr>
            <w:tcW w:w="1524" w:type="dxa"/>
          </w:tcPr>
          <w:p w:rsidR="007E0709" w:rsidRPr="007B1B95" w:rsidRDefault="007E0709" w:rsidP="004D2384">
            <w:pPr>
              <w:pStyle w:val="TabletextLeft"/>
            </w:pPr>
            <w:r>
              <w:t>IM</w:t>
            </w:r>
          </w:p>
        </w:tc>
      </w:tr>
      <w:tr w:rsidR="000B0E71" w:rsidRPr="007B1B95" w:rsidTr="000B0E71">
        <w:tc>
          <w:tcPr>
            <w:tcW w:w="3794" w:type="dxa"/>
          </w:tcPr>
          <w:p w:rsidR="000B0E71" w:rsidRPr="007B1B95" w:rsidRDefault="000B0E71" w:rsidP="004D2384">
            <w:pPr>
              <w:pStyle w:val="TableHeadingCentre"/>
            </w:pPr>
            <w:r w:rsidRPr="007B1B95">
              <w:t>Education</w:t>
            </w:r>
          </w:p>
        </w:tc>
        <w:tc>
          <w:tcPr>
            <w:tcW w:w="3118" w:type="dxa"/>
          </w:tcPr>
          <w:p w:rsidR="000B0E71" w:rsidRPr="007B1B95" w:rsidRDefault="000B0E71" w:rsidP="004D2384">
            <w:pPr>
              <w:pStyle w:val="TableHeadingCentre"/>
            </w:pPr>
          </w:p>
        </w:tc>
        <w:tc>
          <w:tcPr>
            <w:tcW w:w="1524" w:type="dxa"/>
          </w:tcPr>
          <w:p w:rsidR="000B0E71" w:rsidRPr="007B1B95" w:rsidRDefault="000B0E71" w:rsidP="004D2384">
            <w:pPr>
              <w:pStyle w:val="TableHeadingCentre"/>
            </w:pPr>
          </w:p>
        </w:tc>
      </w:tr>
      <w:tr w:rsidR="007E0709" w:rsidRPr="007B1B95" w:rsidTr="004D2384">
        <w:tc>
          <w:tcPr>
            <w:tcW w:w="3794" w:type="dxa"/>
          </w:tcPr>
          <w:p w:rsidR="007E0709" w:rsidRPr="007B1B95" w:rsidRDefault="007E0709" w:rsidP="004D2384">
            <w:pPr>
              <w:pStyle w:val="TabletextLeft"/>
            </w:pPr>
            <w:r w:rsidRPr="007B1B95">
              <w:t>School attendance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 xml:space="preserve">Education department administrative data </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lastRenderedPageBreak/>
              <w:t>Probability of absence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Education department administrative data or social survey</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Probability of dropping out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Education department administrative data or social survey</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Re-entry rates amongst school dropouts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Education department administrative data or social survey</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Enrolment rates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Education department administrative data</w:t>
            </w:r>
          </w:p>
        </w:tc>
        <w:tc>
          <w:tcPr>
            <w:tcW w:w="1524" w:type="dxa"/>
          </w:tcPr>
          <w:p w:rsidR="007E0709" w:rsidRPr="007B1B95" w:rsidRDefault="007E0709" w:rsidP="004D2384">
            <w:pPr>
              <w:pStyle w:val="TabletextLeft"/>
            </w:pPr>
            <w:r>
              <w:t>CCT</w:t>
            </w:r>
          </w:p>
        </w:tc>
      </w:tr>
      <w:tr w:rsidR="004072B8" w:rsidRPr="007B1B95" w:rsidTr="004072B8">
        <w:tc>
          <w:tcPr>
            <w:tcW w:w="3794" w:type="dxa"/>
          </w:tcPr>
          <w:p w:rsidR="004072B8" w:rsidRPr="007B1B95" w:rsidRDefault="004072B8" w:rsidP="004D2384">
            <w:pPr>
              <w:pStyle w:val="TableHeadingCentre"/>
            </w:pPr>
            <w:r w:rsidRPr="007B1B95">
              <w:t>Health</w:t>
            </w:r>
          </w:p>
        </w:tc>
        <w:tc>
          <w:tcPr>
            <w:tcW w:w="3118" w:type="dxa"/>
          </w:tcPr>
          <w:p w:rsidR="004072B8" w:rsidRPr="007B1B95" w:rsidRDefault="004072B8" w:rsidP="004D2384">
            <w:pPr>
              <w:pStyle w:val="TableHeadingCentre"/>
            </w:pPr>
          </w:p>
        </w:tc>
        <w:tc>
          <w:tcPr>
            <w:tcW w:w="1524" w:type="dxa"/>
          </w:tcPr>
          <w:p w:rsidR="004072B8" w:rsidRPr="007B1B95" w:rsidRDefault="004072B8" w:rsidP="004D2384">
            <w:pPr>
              <w:pStyle w:val="TableHeadingCentre"/>
            </w:pPr>
          </w:p>
        </w:tc>
      </w:tr>
      <w:tr w:rsidR="007E0709" w:rsidRPr="007B1B95" w:rsidTr="004D2384">
        <w:tc>
          <w:tcPr>
            <w:tcW w:w="3794" w:type="dxa"/>
          </w:tcPr>
          <w:p w:rsidR="007E0709" w:rsidRPr="007B1B95" w:rsidRDefault="007E0709" w:rsidP="004D2384">
            <w:pPr>
              <w:pStyle w:val="TabletextLeft"/>
            </w:pPr>
            <w:r w:rsidRPr="007B1B95">
              <w:t>Child immunisation rates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 xml:space="preserve">Health clinic administrative data </w:t>
            </w:r>
          </w:p>
          <w:p w:rsidR="007E0709" w:rsidRPr="007B1B95" w:rsidRDefault="007E0709" w:rsidP="004D2384">
            <w:pPr>
              <w:pStyle w:val="TabletextLeft"/>
            </w:pPr>
            <w:r w:rsidRPr="007B1B95">
              <w:t>Social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FB236E">
              <w:t>Proportion of babies with low birth weight (AIHW</w:t>
            </w:r>
            <w:r w:rsidRPr="00033327">
              <w:t xml:space="preserve"> 2010</w:t>
            </w:r>
            <w:r w:rsidRPr="00FB236E">
              <w:t>)</w:t>
            </w:r>
          </w:p>
        </w:tc>
        <w:tc>
          <w:tcPr>
            <w:tcW w:w="3118" w:type="dxa"/>
          </w:tcPr>
          <w:p w:rsidR="007E0709" w:rsidRPr="007B1B95" w:rsidRDefault="007E0709" w:rsidP="004D2384">
            <w:pPr>
              <w:pStyle w:val="TabletextLeft"/>
            </w:pPr>
            <w:r w:rsidRPr="007B1B95">
              <w:t>Population health data</w:t>
            </w:r>
          </w:p>
        </w:tc>
        <w:tc>
          <w:tcPr>
            <w:tcW w:w="1524" w:type="dxa"/>
          </w:tcPr>
          <w:p w:rsidR="007E0709" w:rsidRPr="007B1B95" w:rsidRDefault="007E0709" w:rsidP="004D2384">
            <w:pPr>
              <w:pStyle w:val="TabletextLeft"/>
            </w:pPr>
            <w:r>
              <w:t>IM</w:t>
            </w:r>
          </w:p>
        </w:tc>
      </w:tr>
      <w:tr w:rsidR="007E0709" w:rsidRPr="007B1B95" w:rsidTr="004D2384">
        <w:tc>
          <w:tcPr>
            <w:tcW w:w="3794" w:type="dxa"/>
          </w:tcPr>
          <w:p w:rsidR="007E0709" w:rsidRPr="007B1B95" w:rsidRDefault="007E0709" w:rsidP="004D2384">
            <w:pPr>
              <w:pStyle w:val="TabletextLeft"/>
            </w:pPr>
            <w:r w:rsidRPr="007B1B95">
              <w:t>Probability or attendance rates at health clinics (</w:t>
            </w:r>
            <w:proofErr w:type="spellStart"/>
            <w:r w:rsidRPr="007B1B95">
              <w:t>Gertler</w:t>
            </w:r>
            <w:proofErr w:type="spellEnd"/>
            <w:r w:rsidRPr="007B1B95">
              <w:t xml:space="preserve"> 2004;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 xml:space="preserve">Health clinic administrative data </w:t>
            </w:r>
          </w:p>
          <w:p w:rsidR="007E0709" w:rsidRPr="007B1B95" w:rsidRDefault="007E0709" w:rsidP="004D2384">
            <w:pPr>
              <w:pStyle w:val="TabletextLeft"/>
            </w:pPr>
            <w:r w:rsidRPr="007B1B95">
              <w:t>Social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Child stunting, measured by lack of height for age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Anthropometric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Child wasting, measured by lack of body mass for height and age (</w:t>
            </w:r>
            <w:proofErr w:type="spellStart"/>
            <w:r w:rsidRPr="007B1B95">
              <w:t>Soares</w:t>
            </w:r>
            <w:proofErr w:type="spellEnd"/>
            <w:r w:rsidRPr="007B1B95">
              <w:t xml:space="preserve">, </w:t>
            </w:r>
            <w:proofErr w:type="spellStart"/>
            <w:r w:rsidRPr="007B1B95">
              <w:t>Ribas</w:t>
            </w:r>
            <w:proofErr w:type="spellEnd"/>
            <w:r w:rsidRPr="007B1B95">
              <w:t xml:space="preserve"> and Osorio 2010)</w:t>
            </w:r>
          </w:p>
        </w:tc>
        <w:tc>
          <w:tcPr>
            <w:tcW w:w="3118" w:type="dxa"/>
          </w:tcPr>
          <w:p w:rsidR="007E0709" w:rsidRPr="007B1B95" w:rsidRDefault="007E0709" w:rsidP="004D2384">
            <w:pPr>
              <w:pStyle w:val="TabletextLeft"/>
            </w:pPr>
            <w:r w:rsidRPr="007B1B95">
              <w:t>Anthropometric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Weight gain (</w:t>
            </w:r>
            <w:proofErr w:type="spellStart"/>
            <w:r w:rsidRPr="007B1B95">
              <w:t>Gertler</w:t>
            </w:r>
            <w:proofErr w:type="spellEnd"/>
            <w:r w:rsidRPr="007B1B95">
              <w:t xml:space="preserve"> 2004)</w:t>
            </w:r>
          </w:p>
        </w:tc>
        <w:tc>
          <w:tcPr>
            <w:tcW w:w="3118" w:type="dxa"/>
          </w:tcPr>
          <w:p w:rsidR="007E0709" w:rsidRPr="007B1B95" w:rsidRDefault="007E0709" w:rsidP="004D2384">
            <w:pPr>
              <w:pStyle w:val="TabletextLeft"/>
            </w:pPr>
            <w:r w:rsidRPr="007B1B95">
              <w:t>Anthropometric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Child height and change in height (</w:t>
            </w:r>
            <w:proofErr w:type="spellStart"/>
            <w:r w:rsidRPr="007B1B95">
              <w:t>Gertler</w:t>
            </w:r>
            <w:proofErr w:type="spellEnd"/>
            <w:r w:rsidRPr="007B1B95">
              <w:t xml:space="preserve"> 2004)</w:t>
            </w:r>
          </w:p>
        </w:tc>
        <w:tc>
          <w:tcPr>
            <w:tcW w:w="3118" w:type="dxa"/>
          </w:tcPr>
          <w:p w:rsidR="007E0709" w:rsidRPr="007B1B95" w:rsidRDefault="007E0709" w:rsidP="004D2384">
            <w:pPr>
              <w:pStyle w:val="TabletextLeft"/>
            </w:pPr>
            <w:r w:rsidRPr="007B1B95">
              <w:t>Anthropometric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Probability of suffering from anaemia, measured through haemoglobin levels (Rivera et al. 2004)</w:t>
            </w:r>
          </w:p>
        </w:tc>
        <w:tc>
          <w:tcPr>
            <w:tcW w:w="3118" w:type="dxa"/>
          </w:tcPr>
          <w:p w:rsidR="007E0709" w:rsidRPr="007B1B95" w:rsidRDefault="007E0709" w:rsidP="004D2384">
            <w:pPr>
              <w:pStyle w:val="TabletextLeft"/>
            </w:pPr>
            <w:r w:rsidRPr="007B1B95">
              <w:t>Anthropometric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Child illness, defined by:</w:t>
            </w:r>
          </w:p>
          <w:p w:rsidR="007E0709" w:rsidRPr="007B1B95" w:rsidRDefault="007E0709" w:rsidP="004D2384">
            <w:pPr>
              <w:pStyle w:val="TabletextLeft"/>
            </w:pPr>
            <w:r w:rsidRPr="007B1B95">
              <w:t>Probability that a mother reports that her child experienced an illness in the 4 weeks prior to the survey (</w:t>
            </w:r>
            <w:proofErr w:type="spellStart"/>
            <w:r w:rsidRPr="007B1B95">
              <w:t>Gertler</w:t>
            </w:r>
            <w:proofErr w:type="spellEnd"/>
            <w:r w:rsidRPr="007B1B95">
              <w:t xml:space="preserve"> 2004)</w:t>
            </w:r>
          </w:p>
        </w:tc>
        <w:tc>
          <w:tcPr>
            <w:tcW w:w="3118" w:type="dxa"/>
          </w:tcPr>
          <w:p w:rsidR="007E0709" w:rsidRPr="007B1B95" w:rsidRDefault="007E0709" w:rsidP="004D2384">
            <w:pPr>
              <w:pStyle w:val="TabletextLeft"/>
            </w:pPr>
            <w:r w:rsidRPr="007B1B95">
              <w:t>Social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Adolescent and adult health status, defined by:</w:t>
            </w:r>
          </w:p>
          <w:p w:rsidR="007E0709" w:rsidRPr="007B1B95" w:rsidRDefault="007E0709" w:rsidP="004D2384">
            <w:pPr>
              <w:pStyle w:val="TabletextLeft"/>
            </w:pPr>
            <w:r w:rsidRPr="007B1B95">
              <w:t>Days of difficulty with daily activities due to illness</w:t>
            </w:r>
          </w:p>
          <w:p w:rsidR="007E0709" w:rsidRPr="007B1B95" w:rsidRDefault="007E0709" w:rsidP="004D2384">
            <w:pPr>
              <w:pStyle w:val="TabletextLeft"/>
            </w:pPr>
            <w:r w:rsidRPr="007B1B95">
              <w:t>Days in-capacitated due to illness</w:t>
            </w:r>
          </w:p>
          <w:p w:rsidR="007E0709" w:rsidRPr="007B1B95" w:rsidRDefault="007E0709" w:rsidP="004D2384">
            <w:pPr>
              <w:pStyle w:val="TabletextLeft"/>
            </w:pPr>
            <w:r w:rsidRPr="007B1B95">
              <w:t>Days in bed due to illness</w:t>
            </w:r>
          </w:p>
          <w:p w:rsidR="007E0709" w:rsidRPr="007B1B95" w:rsidRDefault="007E0709" w:rsidP="004D2384">
            <w:pPr>
              <w:pStyle w:val="TabletextLeft"/>
            </w:pPr>
            <w:r w:rsidRPr="007B1B95">
              <w:t>Number of kilometres they were able to walk without getting tired (</w:t>
            </w:r>
            <w:proofErr w:type="spellStart"/>
            <w:r w:rsidRPr="007B1B95">
              <w:t>Gertler</w:t>
            </w:r>
            <w:proofErr w:type="spellEnd"/>
            <w:r w:rsidRPr="007B1B95">
              <w:t xml:space="preserve"> 2004)</w:t>
            </w:r>
          </w:p>
        </w:tc>
        <w:tc>
          <w:tcPr>
            <w:tcW w:w="3118" w:type="dxa"/>
          </w:tcPr>
          <w:p w:rsidR="007E0709" w:rsidRPr="007B1B95" w:rsidRDefault="007E0709" w:rsidP="004D2384">
            <w:pPr>
              <w:pStyle w:val="TabletextLeft"/>
            </w:pPr>
            <w:r w:rsidRPr="007B1B95">
              <w:t>Social survey</w:t>
            </w:r>
          </w:p>
          <w:p w:rsidR="007E0709" w:rsidRPr="007B1B95" w:rsidRDefault="007E0709" w:rsidP="004D2384">
            <w:pPr>
              <w:pStyle w:val="TabletextLeft"/>
            </w:pPr>
            <w:r w:rsidRPr="007B1B95">
              <w:t>Semi- structured interview</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Incidence of diarrhoea (</w:t>
            </w:r>
            <w:proofErr w:type="spellStart"/>
            <w:r w:rsidRPr="007B1B95">
              <w:t>Soares</w:t>
            </w:r>
            <w:proofErr w:type="spellEnd"/>
            <w:r w:rsidRPr="007B1B95">
              <w:t xml:space="preserve">, </w:t>
            </w:r>
            <w:proofErr w:type="spellStart"/>
            <w:r w:rsidRPr="007B1B95">
              <w:t>Ribas</w:t>
            </w:r>
            <w:proofErr w:type="spellEnd"/>
            <w:r w:rsidRPr="007B1B95">
              <w:t xml:space="preserve"> and </w:t>
            </w:r>
            <w:proofErr w:type="spellStart"/>
            <w:r w:rsidRPr="007B1B95">
              <w:t>Osoria</w:t>
            </w:r>
            <w:proofErr w:type="spellEnd"/>
            <w:r w:rsidRPr="007B1B95">
              <w:t xml:space="preserve"> 2010)</w:t>
            </w:r>
          </w:p>
        </w:tc>
        <w:tc>
          <w:tcPr>
            <w:tcW w:w="3118" w:type="dxa"/>
          </w:tcPr>
          <w:p w:rsidR="007E0709" w:rsidRPr="007B1B95" w:rsidRDefault="007E0709" w:rsidP="004D2384">
            <w:pPr>
              <w:pStyle w:val="TabletextLeft"/>
            </w:pPr>
            <w:r w:rsidRPr="007B1B95">
              <w:t>Anthropometric surveys</w:t>
            </w:r>
          </w:p>
        </w:tc>
        <w:tc>
          <w:tcPr>
            <w:tcW w:w="1524" w:type="dxa"/>
          </w:tcPr>
          <w:p w:rsidR="007E0709" w:rsidRPr="007B1B95" w:rsidRDefault="007E0709" w:rsidP="004D2384">
            <w:pPr>
              <w:pStyle w:val="TabletextLeft"/>
            </w:pPr>
            <w:r>
              <w:t>CCT</w:t>
            </w:r>
          </w:p>
        </w:tc>
      </w:tr>
      <w:tr w:rsidR="007E0709" w:rsidRPr="007B1B95" w:rsidTr="004D2384">
        <w:tc>
          <w:tcPr>
            <w:tcW w:w="3794" w:type="dxa"/>
          </w:tcPr>
          <w:p w:rsidR="007E0709" w:rsidRPr="007B1B95" w:rsidRDefault="007E0709" w:rsidP="004D2384">
            <w:pPr>
              <w:pStyle w:val="TabletextLeft"/>
            </w:pPr>
            <w:r w:rsidRPr="007B1B95">
              <w:t>Utilisation of pre and post natal care options  (</w:t>
            </w:r>
            <w:proofErr w:type="spellStart"/>
            <w:r w:rsidRPr="007B1B95">
              <w:t>Soares</w:t>
            </w:r>
            <w:proofErr w:type="spellEnd"/>
            <w:r w:rsidRPr="007B1B95">
              <w:t xml:space="preserve">, </w:t>
            </w:r>
            <w:proofErr w:type="spellStart"/>
            <w:r w:rsidRPr="007B1B95">
              <w:t>Ribas</w:t>
            </w:r>
            <w:proofErr w:type="spellEnd"/>
            <w:r w:rsidRPr="007B1B95">
              <w:t xml:space="preserve"> and </w:t>
            </w:r>
            <w:proofErr w:type="spellStart"/>
            <w:r w:rsidRPr="007B1B95">
              <w:t>Osoria</w:t>
            </w:r>
            <w:proofErr w:type="spellEnd"/>
            <w:r w:rsidRPr="007B1B95">
              <w:t xml:space="preserve"> 2010)</w:t>
            </w:r>
          </w:p>
        </w:tc>
        <w:tc>
          <w:tcPr>
            <w:tcW w:w="3118" w:type="dxa"/>
          </w:tcPr>
          <w:p w:rsidR="007E0709" w:rsidRPr="007B1B95" w:rsidRDefault="007E0709" w:rsidP="004D2384">
            <w:pPr>
              <w:pStyle w:val="TabletextLeft"/>
            </w:pPr>
            <w:r w:rsidRPr="007B1B95">
              <w:t>Health clinic administrative data</w:t>
            </w:r>
          </w:p>
        </w:tc>
        <w:tc>
          <w:tcPr>
            <w:tcW w:w="1524" w:type="dxa"/>
          </w:tcPr>
          <w:p w:rsidR="007E0709" w:rsidRPr="007B1B95" w:rsidRDefault="007E0709" w:rsidP="004D2384">
            <w:pPr>
              <w:pStyle w:val="TabletextLeft"/>
            </w:pPr>
            <w:r>
              <w:t>CCT</w:t>
            </w:r>
          </w:p>
        </w:tc>
      </w:tr>
      <w:tr w:rsidR="004072B8" w:rsidRPr="007B1B95" w:rsidTr="004072B8">
        <w:tc>
          <w:tcPr>
            <w:tcW w:w="3794" w:type="dxa"/>
          </w:tcPr>
          <w:p w:rsidR="004072B8" w:rsidRPr="007B1B95" w:rsidRDefault="004072B8" w:rsidP="004D2384">
            <w:pPr>
              <w:pStyle w:val="TableHeadingCentre"/>
            </w:pPr>
            <w:r>
              <w:t>Harmful and a</w:t>
            </w:r>
            <w:r w:rsidRPr="007B1B95">
              <w:t>nti-social behaviours</w:t>
            </w:r>
          </w:p>
        </w:tc>
        <w:tc>
          <w:tcPr>
            <w:tcW w:w="3118" w:type="dxa"/>
          </w:tcPr>
          <w:p w:rsidR="004072B8" w:rsidRPr="007B1B95" w:rsidRDefault="004072B8" w:rsidP="004D2384">
            <w:pPr>
              <w:pStyle w:val="TableHeadingCentre"/>
            </w:pPr>
          </w:p>
        </w:tc>
        <w:tc>
          <w:tcPr>
            <w:tcW w:w="1524" w:type="dxa"/>
          </w:tcPr>
          <w:p w:rsidR="004072B8" w:rsidRPr="007B1B95" w:rsidRDefault="004072B8" w:rsidP="004D2384">
            <w:pPr>
              <w:pStyle w:val="TableHeadingCentre"/>
            </w:pPr>
          </w:p>
        </w:tc>
      </w:tr>
      <w:tr w:rsidR="007E0709" w:rsidRPr="007B1B95" w:rsidTr="004D2384">
        <w:tc>
          <w:tcPr>
            <w:tcW w:w="3794" w:type="dxa"/>
          </w:tcPr>
          <w:p w:rsidR="007E0709" w:rsidRPr="007B1B95" w:rsidRDefault="007E0709" w:rsidP="004D2384">
            <w:pPr>
              <w:pStyle w:val="TabletextLeft"/>
            </w:pPr>
            <w:r w:rsidRPr="007B1B95">
              <w:t>Expenditure per gambling machine (Lamb and Young 2011)</w:t>
            </w:r>
          </w:p>
        </w:tc>
        <w:tc>
          <w:tcPr>
            <w:tcW w:w="3118" w:type="dxa"/>
          </w:tcPr>
          <w:p w:rsidR="007E0709" w:rsidRPr="007B1B95" w:rsidRDefault="007E0709" w:rsidP="004D2384">
            <w:pPr>
              <w:pStyle w:val="TabletextLeft"/>
            </w:pPr>
            <w:r w:rsidRPr="007B1B95">
              <w:t>Expenditure data collected from gambling facilities</w:t>
            </w:r>
          </w:p>
        </w:tc>
        <w:tc>
          <w:tcPr>
            <w:tcW w:w="1524" w:type="dxa"/>
          </w:tcPr>
          <w:p w:rsidR="007E0709" w:rsidRPr="007B1B95" w:rsidRDefault="007E0709" w:rsidP="004D2384">
            <w:pPr>
              <w:pStyle w:val="TabletextLeft"/>
            </w:pPr>
            <w:r>
              <w:t>IM</w:t>
            </w:r>
          </w:p>
        </w:tc>
      </w:tr>
      <w:tr w:rsidR="007E0709" w:rsidRPr="005003FA" w:rsidTr="004D2384">
        <w:tc>
          <w:tcPr>
            <w:tcW w:w="3794" w:type="dxa"/>
          </w:tcPr>
          <w:p w:rsidR="007E0709" w:rsidRPr="00D934F9" w:rsidRDefault="007E0709" w:rsidP="004D2384">
            <w:pPr>
              <w:pStyle w:val="TabletextLeft"/>
            </w:pPr>
            <w:r w:rsidRPr="00D934F9">
              <w:lastRenderedPageBreak/>
              <w:t>Expenditure on tobacco or cigarettes (</w:t>
            </w:r>
            <w:proofErr w:type="spellStart"/>
            <w:r w:rsidRPr="00D934F9">
              <w:t>Brimblecombe</w:t>
            </w:r>
            <w:proofErr w:type="spellEnd"/>
            <w:r w:rsidRPr="00D934F9">
              <w:t xml:space="preserve"> et al. 2010).</w:t>
            </w:r>
          </w:p>
        </w:tc>
        <w:tc>
          <w:tcPr>
            <w:tcW w:w="3118" w:type="dxa"/>
          </w:tcPr>
          <w:p w:rsidR="007E0709" w:rsidRPr="007B1B95" w:rsidRDefault="007E0709" w:rsidP="004D2384">
            <w:pPr>
              <w:pStyle w:val="TabletextLeft"/>
            </w:pPr>
            <w:r w:rsidRPr="00D934F9">
              <w:t>Store sales data</w:t>
            </w:r>
            <w:r w:rsidRPr="007B1B95">
              <w:t xml:space="preserve"> </w:t>
            </w:r>
          </w:p>
        </w:tc>
        <w:tc>
          <w:tcPr>
            <w:tcW w:w="1524" w:type="dxa"/>
          </w:tcPr>
          <w:p w:rsidR="007E0709" w:rsidRPr="00D934F9" w:rsidRDefault="007E0709" w:rsidP="004D2384">
            <w:pPr>
              <w:pStyle w:val="TabletextLeft"/>
            </w:pPr>
            <w:r>
              <w:t>IM</w:t>
            </w:r>
          </w:p>
        </w:tc>
      </w:tr>
    </w:tbl>
    <w:p w:rsidR="007E0709" w:rsidRPr="005003FA" w:rsidRDefault="007E0709" w:rsidP="007E0709">
      <w:pPr>
        <w:jc w:val="both"/>
        <w:rPr>
          <w:highlight w:val="yellow"/>
        </w:rPr>
      </w:pPr>
    </w:p>
    <w:p w:rsidR="007E0709" w:rsidRPr="00B369AF" w:rsidRDefault="007E0709" w:rsidP="007E0709">
      <w:pPr>
        <w:pStyle w:val="BodyText"/>
        <w:rPr>
          <w:b/>
          <w:color w:val="00A1DE"/>
          <w:sz w:val="40"/>
          <w:szCs w:val="40"/>
        </w:rPr>
      </w:pPr>
      <w:r w:rsidRPr="00B369AF">
        <w:rPr>
          <w:b/>
          <w:color w:val="00A1DE"/>
          <w:sz w:val="40"/>
          <w:szCs w:val="40"/>
        </w:rPr>
        <w:t xml:space="preserve">Conclusions </w:t>
      </w:r>
    </w:p>
    <w:p w:rsidR="00735609" w:rsidRDefault="007E0709" w:rsidP="00735609">
      <w:pPr>
        <w:pStyle w:val="BodyText"/>
      </w:pPr>
      <w:r w:rsidRPr="007B1B95">
        <w:t xml:space="preserve">Results from the first generation of </w:t>
      </w:r>
      <w:r>
        <w:t>IM</w:t>
      </w:r>
      <w:r w:rsidRPr="007B1B95">
        <w:t xml:space="preserve"> program evaluations </w:t>
      </w:r>
      <w:r>
        <w:t xml:space="preserve">in Australia appear mixed.  While there are qualitative findings that suggest improvements in the well-being of Indigenous communities in the NT, and broader communities in WA, these are balanced by some other studies of store sales data and gambling expenditure.  The nature of research into social policy initiatives is that there are many confounders, and IM is no exception.  Moreover, IM has been introduced as part of a broader package of initiatives which introduces additional confounders.  There are so far no studies of IM available which are based on the highest quality of evidence (randomised controlled trials or matched </w:t>
      </w:r>
      <w:r w:rsidR="00EA6A52">
        <w:t>control studies</w:t>
      </w:r>
      <w:r>
        <w:t xml:space="preserve">).  These issues mean that conclusive findings are difficult.  </w:t>
      </w:r>
      <w:r w:rsidR="00384804">
        <w:t>U</w:t>
      </w:r>
      <w:r>
        <w:t>nlike CCT programs in developing countries, IM in Australia is a relatively new initiative that has only been introduced progressively.  Therefore, the period in which the impact can be assessed is still relatively short.  Consequently, further research and evaluation are required to understand the impact of IM initiatives in Australia.</w:t>
      </w:r>
    </w:p>
    <w:p w:rsidR="00D604AC" w:rsidRDefault="00D604AC" w:rsidP="00D604AC">
      <w:pPr>
        <w:jc w:val="both"/>
      </w:pPr>
    </w:p>
    <w:p w:rsidR="005A2D6F" w:rsidRDefault="005A2D6F" w:rsidP="006B29A4">
      <w:pPr>
        <w:pStyle w:val="BSubheading-Bluedk"/>
        <w:rPr>
          <w:rFonts w:ascii="Calibri" w:hAnsi="Calibri"/>
          <w:sz w:val="44"/>
        </w:rPr>
      </w:pPr>
      <w:bookmarkStart w:id="188" w:name="_Toc288029464"/>
    </w:p>
    <w:p w:rsidR="00F823D0" w:rsidRDefault="00F823D0" w:rsidP="006B29A4">
      <w:pPr>
        <w:pStyle w:val="BSubheading-Bluedk"/>
        <w:rPr>
          <w:rFonts w:ascii="Calibri" w:hAnsi="Calibri"/>
          <w:sz w:val="44"/>
        </w:rPr>
        <w:sectPr w:rsidR="00F823D0" w:rsidSect="00854AD5">
          <w:headerReference w:type="even" r:id="rId48"/>
          <w:footerReference w:type="even" r:id="rId49"/>
          <w:headerReference w:type="first" r:id="rId50"/>
          <w:footerReference w:type="first" r:id="rId51"/>
          <w:pgSz w:w="11907" w:h="16840" w:code="9"/>
          <w:pgMar w:top="2268" w:right="1134" w:bottom="1134" w:left="2552" w:header="567" w:footer="567" w:gutter="0"/>
          <w:cols w:space="708"/>
          <w:titlePg/>
          <w:docGrid w:linePitch="360"/>
        </w:sectPr>
      </w:pPr>
    </w:p>
    <w:p w:rsidR="006B29A4" w:rsidRPr="006345F9" w:rsidRDefault="006B29A4" w:rsidP="006B29A4">
      <w:pPr>
        <w:pStyle w:val="BSubheading-Bluedk"/>
        <w:rPr>
          <w:rFonts w:ascii="Calibri" w:hAnsi="Calibri"/>
          <w:sz w:val="44"/>
        </w:rPr>
      </w:pPr>
      <w:bookmarkStart w:id="189" w:name="_Toc342495254"/>
      <w:r w:rsidRPr="006345F9">
        <w:rPr>
          <w:rFonts w:ascii="Calibri" w:hAnsi="Calibri"/>
          <w:sz w:val="44"/>
        </w:rPr>
        <w:lastRenderedPageBreak/>
        <w:t>Limitation of our work</w:t>
      </w:r>
      <w:bookmarkEnd w:id="188"/>
      <w:bookmarkEnd w:id="189"/>
    </w:p>
    <w:p w:rsidR="006B29A4" w:rsidRPr="006345F9" w:rsidRDefault="006B29A4" w:rsidP="006B29A4">
      <w:pPr>
        <w:pStyle w:val="Keypoint"/>
        <w:spacing w:before="240" w:after="360"/>
        <w:rPr>
          <w:rFonts w:ascii="Calibri" w:hAnsi="Calibri"/>
          <w:b/>
        </w:rPr>
      </w:pPr>
      <w:r w:rsidRPr="006345F9">
        <w:rPr>
          <w:rFonts w:ascii="Calibri" w:hAnsi="Calibri"/>
          <w:b/>
        </w:rPr>
        <w:t>General use restriction</w:t>
      </w:r>
    </w:p>
    <w:p w:rsidR="00ED79CD" w:rsidRPr="006345F9" w:rsidRDefault="006B29A4" w:rsidP="006B29A4">
      <w:pPr>
        <w:pStyle w:val="Bodycopy"/>
      </w:pPr>
      <w:r w:rsidRPr="006345F9">
        <w:t xml:space="preserve">This report is prepared solely for the internal use of </w:t>
      </w:r>
      <w:r w:rsidR="00A03F6A">
        <w:t>the Department of Families, Housing, Community Services and Indigenous Affairs</w:t>
      </w:r>
      <w:r w:rsidRPr="006345F9">
        <w:t>.  This report is not intended to and should no</w:t>
      </w:r>
      <w:r w:rsidR="00BF4A39">
        <w:t>t</w:t>
      </w:r>
      <w:r w:rsidRPr="006345F9">
        <w:t xml:space="preserve"> be used or relied upon by anyone else and we accept no duty of care to any other person or </w:t>
      </w:r>
      <w:r w:rsidRPr="00A03F6A">
        <w:t xml:space="preserve">entity.  The report has been prepared for the purpose of </w:t>
      </w:r>
      <w:r w:rsidR="00A03F6A" w:rsidRPr="00A03F6A">
        <w:t>advising on the evaluation framework for the evaluation of place based income management</w:t>
      </w:r>
      <w:r w:rsidRPr="00A03F6A">
        <w:t>.</w:t>
      </w:r>
      <w:r w:rsidRPr="006345F9">
        <w:t xml:space="preserve">  You should not refer to or use our name or the advice for any other purpose.</w:t>
      </w:r>
    </w:p>
    <w:p w:rsidR="006B29A4" w:rsidRPr="006345F9" w:rsidRDefault="006B29A4" w:rsidP="006B29A4">
      <w:pPr>
        <w:rPr>
          <w:b/>
          <w:bCs/>
          <w:iCs/>
          <w:color w:val="00A1DE"/>
          <w:sz w:val="40"/>
          <w:szCs w:val="40"/>
        </w:rPr>
        <w:sectPr w:rsidR="006B29A4" w:rsidRPr="006345F9" w:rsidSect="00854AD5">
          <w:pgSz w:w="11907" w:h="16840" w:code="9"/>
          <w:pgMar w:top="2268" w:right="1134" w:bottom="1134" w:left="2552" w:header="567" w:footer="567" w:gutter="0"/>
          <w:cols w:space="708"/>
          <w:titlePg/>
          <w:docGrid w:linePitch="360"/>
        </w:sectPr>
      </w:pPr>
    </w:p>
    <w:p w:rsidR="006B29A4" w:rsidRDefault="006B29A4" w:rsidP="006B29A4">
      <w:pPr>
        <w:pStyle w:val="DBody"/>
        <w:rPr>
          <w:b/>
          <w:color w:val="C0504D" w:themeColor="accent2"/>
          <w:sz w:val="24"/>
          <w:lang w:val="en-AU"/>
        </w:rPr>
        <w:sectPr w:rsidR="006B29A4" w:rsidSect="00854AD5">
          <w:headerReference w:type="even" r:id="rId52"/>
          <w:type w:val="continuous"/>
          <w:pgSz w:w="11907" w:h="16840" w:code="9"/>
          <w:pgMar w:top="6345" w:right="1134" w:bottom="567" w:left="1134" w:header="567" w:footer="500" w:gutter="0"/>
          <w:cols w:num="2" w:space="708"/>
          <w:docGrid w:linePitch="360"/>
        </w:sectPr>
      </w:pPr>
    </w:p>
    <w:p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lastRenderedPageBreak/>
        <w:t>Contact us</w:t>
      </w:r>
    </w:p>
    <w:p w:rsidR="006B29A4" w:rsidRDefault="006B29A4" w:rsidP="006B29A4">
      <w:pPr>
        <w:pStyle w:val="DBody"/>
      </w:pPr>
      <w:r w:rsidRPr="00C34D8E">
        <w:rPr>
          <w:rFonts w:ascii="Calibri" w:hAnsi="Calibri"/>
          <w:lang w:val="en-AU"/>
        </w:rPr>
        <w:t>Deloitte Access Economics</w:t>
      </w:r>
      <w:r w:rsidR="00805D5E">
        <w:rPr>
          <w:rFonts w:ascii="Calibri" w:hAnsi="Calibri"/>
          <w:lang w:val="en-AU"/>
        </w:rPr>
        <w:br/>
        <w:t>ACN: 49 633 116</w:t>
      </w:r>
      <w:r w:rsidRPr="00C34D8E">
        <w:rPr>
          <w:rFonts w:ascii="Calibri" w:hAnsi="Calibri"/>
          <w:lang w:val="en-AU"/>
        </w:rPr>
        <w:br/>
      </w:r>
      <w:r w:rsidRPr="00C34D8E">
        <w:rPr>
          <w:rFonts w:ascii="Calibri" w:hAnsi="Calibri"/>
          <w:lang w:val="en-AU"/>
        </w:rPr>
        <w:br/>
        <w:t>Level 1</w:t>
      </w:r>
      <w:r w:rsidRPr="00C34D8E">
        <w:rPr>
          <w:rFonts w:ascii="Calibri" w:hAnsi="Calibri"/>
          <w:lang w:val="en-AU"/>
        </w:rPr>
        <w:br/>
        <w:t>9 Sydney Avenue</w:t>
      </w:r>
      <w:r w:rsidRPr="00C34D8E">
        <w:rPr>
          <w:rFonts w:ascii="Calibri" w:hAnsi="Calibri"/>
          <w:lang w:val="en-AU"/>
        </w:rPr>
        <w:br/>
        <w:t>Barton   ACT   2600</w:t>
      </w:r>
      <w:r w:rsidRPr="00C34D8E">
        <w:rPr>
          <w:rFonts w:ascii="Calibri" w:hAnsi="Calibri"/>
          <w:lang w:val="en-AU"/>
        </w:rPr>
        <w:br/>
        <w:t>PO Box 6334</w:t>
      </w:r>
      <w:r w:rsidRPr="00C34D8E">
        <w:rPr>
          <w:rFonts w:ascii="Calibri" w:hAnsi="Calibri"/>
          <w:lang w:val="en-AU"/>
        </w:rPr>
        <w:br/>
        <w:t>Kingston   ACT   2604 Australia</w:t>
      </w:r>
      <w:r w:rsidRPr="00C34D8E">
        <w:rPr>
          <w:rFonts w:ascii="Calibri" w:hAnsi="Calibri"/>
          <w:lang w:val="en-AU"/>
        </w:rPr>
        <w:br/>
      </w:r>
      <w:r w:rsidRPr="00C34D8E">
        <w:rPr>
          <w:rFonts w:ascii="Calibri" w:hAnsi="Calibri"/>
          <w:lang w:val="en-AU"/>
        </w:rPr>
        <w:br/>
        <w:t>Tel: +61 2 6175 2000</w:t>
      </w:r>
      <w:r w:rsidRPr="00C34D8E">
        <w:rPr>
          <w:rFonts w:ascii="Calibri" w:hAnsi="Calibri"/>
          <w:lang w:val="en-AU"/>
        </w:rPr>
        <w:br/>
        <w:t>Fax: +61 2 6175 2001</w:t>
      </w:r>
      <w:r w:rsidR="001D0FDF">
        <w:rPr>
          <w:rFonts w:ascii="Calibri" w:hAnsi="Calibri"/>
          <w:lang w:val="en-AU"/>
        </w:rPr>
        <w:br/>
      </w:r>
      <w:r w:rsidRPr="00C34D8E">
        <w:rPr>
          <w:rFonts w:ascii="Calibri" w:hAnsi="Calibri"/>
          <w:lang w:val="en-AU"/>
        </w:rPr>
        <w:br/>
      </w:r>
      <w:hyperlink r:id="rId53" w:history="1">
        <w:r w:rsidR="00627F78">
          <w:rPr>
            <w:rFonts w:ascii="Calibri" w:hAnsi="Calibri"/>
          </w:rPr>
          <w:t>Deloitte Access Economics - www.deloitte.com.au/economics</w:t>
        </w:r>
      </w:hyperlink>
    </w:p>
    <w:p w:rsidR="00ED79CD" w:rsidRDefault="00ED79CD" w:rsidP="00471F42">
      <w:pPr>
        <w:pStyle w:val="BoldPara"/>
      </w:pPr>
    </w:p>
    <w:p w:rsidR="00471F42" w:rsidRPr="00C34D8E" w:rsidRDefault="00471F42" w:rsidP="006B29A4">
      <w:pPr>
        <w:pStyle w:val="DBody"/>
        <w:rPr>
          <w:rFonts w:ascii="Calibri" w:hAnsi="Calibri"/>
          <w:lang w:val="en-AU"/>
        </w:rPr>
      </w:pPr>
    </w:p>
    <w:p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lastRenderedPageBreak/>
        <w:t>Deloitte Access Economics</w:t>
      </w:r>
      <w:r w:rsidR="00471F42" w:rsidRPr="00471F42">
        <w:rPr>
          <w:sz w:val="18"/>
          <w:szCs w:val="18"/>
        </w:rPr>
        <w:t xml:space="preserve"> is Australia’s pre-eminent economics advisory practice and a member of Deloitte's global economics group.  The Directors and staff of Access Economics joined Deloitte in early 2011.</w:t>
      </w:r>
    </w:p>
    <w:p w:rsidR="00471F42" w:rsidRPr="00471F42" w:rsidRDefault="00471F42" w:rsidP="00471F42">
      <w:pPr>
        <w:pStyle w:val="BodyText"/>
        <w:spacing w:before="120"/>
        <w:jc w:val="left"/>
        <w:rPr>
          <w:sz w:val="18"/>
          <w:szCs w:val="18"/>
        </w:rPr>
      </w:pPr>
      <w:r w:rsidRPr="00471F42">
        <w:rPr>
          <w:sz w:val="18"/>
          <w:szCs w:val="18"/>
        </w:rPr>
        <w:t xml:space="preserve">Deloitte refers to one or more of Deloitte </w:t>
      </w:r>
      <w:proofErr w:type="spellStart"/>
      <w:r w:rsidRPr="00471F42">
        <w:rPr>
          <w:sz w:val="18"/>
          <w:szCs w:val="18"/>
        </w:rPr>
        <w:t>Touche</w:t>
      </w:r>
      <w:proofErr w:type="spellEnd"/>
      <w:r w:rsidRPr="00471F42">
        <w:rPr>
          <w:sz w:val="18"/>
          <w:szCs w:val="18"/>
        </w:rPr>
        <w:t xml:space="preserve"> Tohmatsu Limited, a UK private company limited by guarantee, and its network of member firms, each of which is a legally separate and independent entity. Please see </w:t>
      </w:r>
      <w:hyperlink r:id="rId54" w:history="1">
        <w:r w:rsidRPr="00471F42">
          <w:rPr>
            <w:sz w:val="18"/>
            <w:szCs w:val="18"/>
          </w:rPr>
          <w:t>www.deloitte.com/au/about</w:t>
        </w:r>
      </w:hyperlink>
      <w:r w:rsidRPr="00471F42">
        <w:rPr>
          <w:sz w:val="18"/>
          <w:szCs w:val="18"/>
        </w:rPr>
        <w:t xml:space="preserve"> for a detailed description of the legal structure of Deloitte </w:t>
      </w:r>
      <w:proofErr w:type="spellStart"/>
      <w:r w:rsidRPr="00471F42">
        <w:rPr>
          <w:sz w:val="18"/>
          <w:szCs w:val="18"/>
        </w:rPr>
        <w:t>Touche</w:t>
      </w:r>
      <w:proofErr w:type="spellEnd"/>
      <w:r w:rsidRPr="00471F42">
        <w:rPr>
          <w:sz w:val="18"/>
          <w:szCs w:val="18"/>
        </w:rPr>
        <w:t xml:space="preserve"> Tohmatsu Limited and its member firms.</w:t>
      </w:r>
    </w:p>
    <w:p w:rsidR="00471F42" w:rsidRPr="00471F42" w:rsidRDefault="00471F42" w:rsidP="00471F42">
      <w:pPr>
        <w:pStyle w:val="BoldPara"/>
        <w:spacing w:before="120"/>
        <w:rPr>
          <w:sz w:val="18"/>
          <w:szCs w:val="18"/>
        </w:rPr>
      </w:pPr>
      <w:r w:rsidRPr="00471F42">
        <w:rPr>
          <w:sz w:val="18"/>
          <w:szCs w:val="18"/>
        </w:rPr>
        <w:t>About Deloitte</w:t>
      </w:r>
    </w:p>
    <w:p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operate. Deloitte's approximately 170,000 professionals are committed to becoming the standard of excellence.</w:t>
      </w:r>
    </w:p>
    <w:p w:rsidR="00471F42" w:rsidRPr="00471F42" w:rsidRDefault="00471F42" w:rsidP="00471F42">
      <w:pPr>
        <w:pStyle w:val="BoldPara"/>
        <w:spacing w:before="120"/>
        <w:rPr>
          <w:sz w:val="18"/>
          <w:szCs w:val="18"/>
        </w:rPr>
      </w:pPr>
      <w:r w:rsidRPr="00471F42">
        <w:rPr>
          <w:sz w:val="18"/>
          <w:szCs w:val="18"/>
        </w:rPr>
        <w:t>About Deloitte Australia</w:t>
      </w:r>
    </w:p>
    <w:p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w:t>
      </w:r>
      <w:proofErr w:type="spellStart"/>
      <w:r w:rsidRPr="00471F42">
        <w:rPr>
          <w:sz w:val="18"/>
          <w:szCs w:val="18"/>
        </w:rPr>
        <w:t>Touche</w:t>
      </w:r>
      <w:proofErr w:type="spellEnd"/>
      <w:r w:rsidRPr="00471F42">
        <w:rPr>
          <w:sz w:val="18"/>
          <w:szCs w:val="18"/>
        </w:rPr>
        <w:t xml:space="preserve"> Tohmatsu. As one of Australia’s leading professional services firms. Deloitte </w:t>
      </w:r>
      <w:proofErr w:type="spellStart"/>
      <w:r w:rsidRPr="00471F42">
        <w:rPr>
          <w:sz w:val="18"/>
          <w:szCs w:val="18"/>
        </w:rPr>
        <w:t>Touche</w:t>
      </w:r>
      <w:proofErr w:type="spellEnd"/>
      <w:r w:rsidRPr="00471F42">
        <w:rPr>
          <w:sz w:val="18"/>
          <w:szCs w:val="18"/>
        </w:rPr>
        <w:t xml:space="preserve"> Tohmatsu and its affiliates provide audit, tax, consulting, and financial advisory services through approximately 5,400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55"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rsidR="00471F42" w:rsidRPr="00471F42" w:rsidRDefault="00471F42" w:rsidP="00471F42">
      <w:pPr>
        <w:spacing w:before="120" w:line="180" w:lineRule="exact"/>
        <w:rPr>
          <w:sz w:val="18"/>
          <w:szCs w:val="18"/>
        </w:rPr>
      </w:pPr>
      <w:r w:rsidRPr="00471F42">
        <w:rPr>
          <w:sz w:val="18"/>
          <w:szCs w:val="18"/>
        </w:rPr>
        <w:t xml:space="preserve">Member of Deloitte </w:t>
      </w:r>
      <w:proofErr w:type="spellStart"/>
      <w:r w:rsidRPr="00471F42">
        <w:rPr>
          <w:sz w:val="18"/>
          <w:szCs w:val="18"/>
        </w:rPr>
        <w:t>Touche</w:t>
      </w:r>
      <w:proofErr w:type="spellEnd"/>
      <w:r w:rsidRPr="00471F42">
        <w:rPr>
          <w:sz w:val="18"/>
          <w:szCs w:val="18"/>
        </w:rPr>
        <w:t xml:space="preserve"> Tohmatsu Limited</w:t>
      </w:r>
    </w:p>
    <w:p w:rsidR="00471F42" w:rsidRPr="00471F42" w:rsidRDefault="00471F42" w:rsidP="00471F42">
      <w:pPr>
        <w:spacing w:before="120" w:line="180" w:lineRule="exact"/>
        <w:rPr>
          <w:sz w:val="18"/>
          <w:szCs w:val="18"/>
        </w:rPr>
      </w:pPr>
      <w:r w:rsidRPr="00471F42">
        <w:rPr>
          <w:sz w:val="18"/>
          <w:szCs w:val="18"/>
        </w:rPr>
        <w:t xml:space="preserve">© </w:t>
      </w:r>
      <w:r w:rsidRPr="00471F42">
        <w:rPr>
          <w:noProof/>
          <w:sz w:val="18"/>
          <w:szCs w:val="18"/>
        </w:rPr>
        <w:t>201</w:t>
      </w:r>
      <w:r w:rsidR="00A03F6A">
        <w:rPr>
          <w:noProof/>
          <w:sz w:val="18"/>
          <w:szCs w:val="18"/>
        </w:rPr>
        <w:t>2</w:t>
      </w:r>
      <w:r w:rsidRPr="00471F42">
        <w:rPr>
          <w:sz w:val="18"/>
          <w:szCs w:val="18"/>
        </w:rPr>
        <w:t xml:space="preserve"> Deloitte Access Economics Pty Ltd</w:t>
      </w:r>
    </w:p>
    <w:p w:rsidR="006B29A4" w:rsidRPr="00471F42" w:rsidRDefault="006B29A4" w:rsidP="00471F42">
      <w:pPr>
        <w:rPr>
          <w:sz w:val="18"/>
          <w:szCs w:val="18"/>
        </w:rPr>
      </w:pPr>
    </w:p>
    <w:sectPr w:rsidR="006B29A4" w:rsidRPr="00471F42" w:rsidSect="006B29A4">
      <w:footerReference w:type="default" r:id="rId56"/>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C33" w:rsidRDefault="00377C33" w:rsidP="00680968">
      <w:pPr>
        <w:pStyle w:val="Tabletotals"/>
      </w:pPr>
      <w:r>
        <w:separator/>
      </w:r>
    </w:p>
  </w:endnote>
  <w:endnote w:type="continuationSeparator" w:id="0">
    <w:p w:rsidR="00377C33" w:rsidRDefault="00377C33"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25B48E5-0F80-4EBB-84A4-3194BDA6D3B6}"/>
    <w:embedBold r:id="rId2" w:fontKey="{CD0FBF27-61E3-4EA3-8B76-3D2BB082E874}"/>
    <w:embedItalic r:id="rId3" w:fontKey="{3ECE2245-6BE9-4F6D-A325-368F72CBDB86}"/>
    <w:embedBoldItalic r:id="rId4" w:fontKey="{9A45F075-2E55-42C5-BD8E-860DC535DA6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833574"/>
      <w:docPartObj>
        <w:docPartGallery w:val="Page Numbers (Bottom of Page)"/>
        <w:docPartUnique/>
      </w:docPartObj>
    </w:sdtPr>
    <w:sdtEndPr>
      <w:rPr>
        <w:noProof/>
      </w:rPr>
    </w:sdtEndPr>
    <w:sdtContent>
      <w:p w:rsidR="00377C33" w:rsidRDefault="00377C33">
        <w:pPr>
          <w:pStyle w:val="Footer"/>
          <w:jc w:val="right"/>
        </w:pPr>
        <w:r>
          <w:fldChar w:fldCharType="begin"/>
        </w:r>
        <w:r>
          <w:instrText xml:space="preserve"> PAGE   \* MERGEFORMAT </w:instrText>
        </w:r>
        <w:r>
          <w:fldChar w:fldCharType="separate"/>
        </w:r>
        <w:r w:rsidR="00E75B31">
          <w:rPr>
            <w:noProof/>
          </w:rPr>
          <w:t>71</w:t>
        </w:r>
        <w:r>
          <w:rPr>
            <w:noProof/>
          </w:rPr>
          <w:fldChar w:fldCharType="end"/>
        </w:r>
      </w:p>
    </w:sdtContent>
  </w:sdt>
  <w:p w:rsidR="00377C33" w:rsidRPr="00644AF6" w:rsidRDefault="00377C33" w:rsidP="00C22E9A">
    <w:pPr>
      <w:pStyle w:val="FooterLine1"/>
      <w:tabs>
        <w:tab w:val="left" w:pos="3969"/>
        <w:tab w:val="left" w:pos="8222"/>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8"/>
      <w:gridCol w:w="1932"/>
    </w:tblGrid>
    <w:tr w:rsidR="00377C33">
      <w:trPr>
        <w:trHeight w:hRule="exact" w:val="284"/>
      </w:trPr>
      <w:tc>
        <w:tcPr>
          <w:tcW w:w="284" w:type="dxa"/>
          <w:shd w:val="clear" w:color="auto" w:fill="827F77"/>
        </w:tcPr>
        <w:p w:rsidR="00377C33" w:rsidRDefault="00377C33" w:rsidP="0062411D"/>
      </w:tc>
      <w:tc>
        <w:tcPr>
          <w:tcW w:w="2552" w:type="dxa"/>
          <w:shd w:val="clear" w:color="auto" w:fill="931638"/>
          <w:vAlign w:val="center"/>
        </w:tcPr>
        <w:p w:rsidR="00377C33" w:rsidRDefault="00377C33" w:rsidP="0062411D"/>
      </w:tc>
    </w:tr>
  </w:tbl>
  <w:p w:rsidR="00377C33" w:rsidRPr="00D435D3" w:rsidRDefault="00377C33" w:rsidP="0062411D">
    <w:pPr>
      <w:jc w:val="both"/>
    </w:pPr>
    <w:r>
      <w:rPr>
        <w:noProof/>
        <w:lang w:eastAsia="en-AU"/>
      </w:rPr>
      <w:drawing>
        <wp:anchor distT="0" distB="0" distL="114300" distR="114300" simplePos="0" relativeHeight="251656192" behindDoc="0" locked="0" layoutInCell="1" allowOverlap="1" wp14:anchorId="1C3DDD58" wp14:editId="0C614746">
          <wp:simplePos x="0" y="0"/>
          <wp:positionH relativeFrom="column">
            <wp:posOffset>14605</wp:posOffset>
          </wp:positionH>
          <wp:positionV relativeFrom="paragraph">
            <wp:posOffset>-180340</wp:posOffset>
          </wp:positionV>
          <wp:extent cx="655320" cy="179705"/>
          <wp:effectExtent l="19050" t="0" r="0" b="0"/>
          <wp:wrapNone/>
          <wp:docPr id="7"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047722"/>
      <w:docPartObj>
        <w:docPartGallery w:val="Page Numbers (Bottom of Page)"/>
        <w:docPartUnique/>
      </w:docPartObj>
    </w:sdtPr>
    <w:sdtEndPr>
      <w:rPr>
        <w:noProof/>
      </w:rPr>
    </w:sdtEndPr>
    <w:sdtContent>
      <w:p w:rsidR="00377C33" w:rsidRDefault="00377C33">
        <w:pPr>
          <w:pStyle w:val="Footer"/>
          <w:jc w:val="right"/>
        </w:pPr>
        <w:r>
          <w:fldChar w:fldCharType="begin"/>
        </w:r>
        <w:r>
          <w:instrText xml:space="preserve"> PAGE   \* MERGEFORMAT </w:instrText>
        </w:r>
        <w:r>
          <w:fldChar w:fldCharType="separate"/>
        </w:r>
        <w:r w:rsidR="00E75B31">
          <w:rPr>
            <w:noProof/>
          </w:rPr>
          <w:t>72</w:t>
        </w:r>
        <w:r>
          <w:rPr>
            <w:noProof/>
          </w:rPr>
          <w:fldChar w:fldCharType="end"/>
        </w:r>
      </w:p>
    </w:sdtContent>
  </w:sdt>
  <w:p w:rsidR="00377C33" w:rsidRDefault="00377C3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Pr="006B29A4" w:rsidRDefault="00377C33" w:rsidP="006B29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Footer"/>
    </w:pPr>
    <w:r w:rsidRPr="00042200">
      <w:rPr>
        <w:noProof/>
        <w:lang w:eastAsia="en-AU"/>
      </w:rPr>
      <w:drawing>
        <wp:anchor distT="0" distB="0" distL="114300" distR="114300" simplePos="0" relativeHeight="251655168" behindDoc="0" locked="0" layoutInCell="1" allowOverlap="1" wp14:anchorId="6DF07E15" wp14:editId="3E21E889">
          <wp:simplePos x="0" y="0"/>
          <wp:positionH relativeFrom="page">
            <wp:posOffset>5305425</wp:posOffset>
          </wp:positionH>
          <wp:positionV relativeFrom="page">
            <wp:posOffset>9991725</wp:posOffset>
          </wp:positionV>
          <wp:extent cx="1652270" cy="314325"/>
          <wp:effectExtent l="0" t="0" r="5080" b="9525"/>
          <wp:wrapNone/>
          <wp:docPr id="29" name="HDR_LOGO" descr="Deloitte_blue_RGB_1.tif" title="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52270" cy="31432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Pr="002A239D" w:rsidRDefault="00377C33" w:rsidP="002A23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Pr="00ED79CD" w:rsidRDefault="00377C33" w:rsidP="00D52DE2">
    <w:pP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Pr="00644AF6" w:rsidRDefault="00377C33" w:rsidP="00C22E9A">
    <w:pPr>
      <w:pStyle w:val="FooterLine1"/>
      <w:tabs>
        <w:tab w:val="left" w:pos="3969"/>
        <w:tab w:val="left" w:pos="8222"/>
      </w:tabs>
    </w:pPr>
    <w:r>
      <w:fldChar w:fldCharType="begin"/>
    </w:r>
    <w:r>
      <w:instrText xml:space="preserve"> PAGE   \* MERGEFORMAT </w:instrText>
    </w:r>
    <w:r>
      <w:fldChar w:fldCharType="separate"/>
    </w:r>
    <w:r w:rsidR="00E75B31">
      <w:rPr>
        <w:noProof/>
      </w:rPr>
      <w:t>vi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Pr="00644AF6" w:rsidRDefault="00377C33" w:rsidP="00C22E9A">
    <w:pPr>
      <w:pStyle w:val="FooterLine1"/>
      <w:tabs>
        <w:tab w:val="left" w:pos="3969"/>
        <w:tab w:val="left" w:pos="8222"/>
      </w:tabs>
    </w:pPr>
    <w:r>
      <w:fldChar w:fldCharType="begin"/>
    </w:r>
    <w:r>
      <w:instrText xml:space="preserve"> PAGE   \* MERGEFORMAT </w:instrText>
    </w:r>
    <w:r>
      <w:fldChar w:fldCharType="separate"/>
    </w:r>
    <w:r w:rsidR="00E75B31">
      <w:rPr>
        <w:noProof/>
      </w:rPr>
      <w:t>21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377C33">
      <w:trPr>
        <w:trHeight w:hRule="exact" w:val="284"/>
      </w:trPr>
      <w:tc>
        <w:tcPr>
          <w:tcW w:w="284" w:type="dxa"/>
          <w:shd w:val="clear" w:color="auto" w:fill="827F77"/>
        </w:tcPr>
        <w:p w:rsidR="00377C33" w:rsidRDefault="00377C33" w:rsidP="0062411D"/>
      </w:tc>
      <w:tc>
        <w:tcPr>
          <w:tcW w:w="2552" w:type="dxa"/>
          <w:shd w:val="clear" w:color="auto" w:fill="931638"/>
          <w:vAlign w:val="center"/>
        </w:tcPr>
        <w:p w:rsidR="00377C33" w:rsidRDefault="00377C33" w:rsidP="0062411D"/>
      </w:tc>
    </w:tr>
  </w:tbl>
  <w:p w:rsidR="00377C33" w:rsidRPr="00D435D3" w:rsidRDefault="00377C33" w:rsidP="0062411D">
    <w:pPr>
      <w:jc w:val="both"/>
    </w:pPr>
    <w:r>
      <w:rPr>
        <w:noProof/>
        <w:lang w:eastAsia="en-AU"/>
      </w:rPr>
      <w:drawing>
        <wp:anchor distT="0" distB="0" distL="114300" distR="114300" simplePos="0" relativeHeight="251658240" behindDoc="0" locked="0" layoutInCell="1" allowOverlap="1" wp14:anchorId="6A89362D" wp14:editId="2CF05D73">
          <wp:simplePos x="0" y="0"/>
          <wp:positionH relativeFrom="column">
            <wp:posOffset>14605</wp:posOffset>
          </wp:positionH>
          <wp:positionV relativeFrom="paragraph">
            <wp:posOffset>-180340</wp:posOffset>
          </wp:positionV>
          <wp:extent cx="655320" cy="179705"/>
          <wp:effectExtent l="19050" t="0" r="0" b="0"/>
          <wp:wrapNone/>
          <wp:docPr id="6" name="Picture 6"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C33" w:rsidRDefault="00377C33" w:rsidP="00680968">
      <w:pPr>
        <w:pStyle w:val="Tabletotals"/>
      </w:pPr>
      <w:r>
        <w:separator/>
      </w:r>
    </w:p>
  </w:footnote>
  <w:footnote w:type="continuationSeparator" w:id="0">
    <w:p w:rsidR="00377C33" w:rsidRDefault="00377C33" w:rsidP="00680968">
      <w:pPr>
        <w:pStyle w:val="Tabletotals"/>
      </w:pPr>
      <w:r>
        <w:continuationSeparator/>
      </w:r>
    </w:p>
  </w:footnote>
  <w:footnote w:id="1">
    <w:p w:rsidR="00377C33" w:rsidRDefault="00377C33">
      <w:pPr>
        <w:pStyle w:val="FootnoteText"/>
      </w:pPr>
      <w:r>
        <w:rPr>
          <w:rStyle w:val="FootnoteReference"/>
        </w:rPr>
        <w:footnoteRef/>
      </w:r>
      <w:r w:rsidRPr="00237FA9">
        <w:t>http://www.families.fahcsia.gov.au/our-responsibilities/families-and-children/programs-services/welfare-payments-reform/income-management</w:t>
      </w:r>
    </w:p>
  </w:footnote>
  <w:footnote w:id="2">
    <w:p w:rsidR="00377C33" w:rsidRDefault="00377C33">
      <w:pPr>
        <w:pStyle w:val="FootnoteText"/>
      </w:pPr>
      <w:r>
        <w:rPr>
          <w:rStyle w:val="FootnoteReference"/>
        </w:rPr>
        <w:footnoteRef/>
      </w:r>
      <w:r w:rsidRPr="00237FA9">
        <w:t>http://www.families.fahcsia.gov.au/our-responsibilities/families-and-children/programs-services/welfare-payments-reform/income-management</w:t>
      </w:r>
    </w:p>
  </w:footnote>
  <w:footnote w:id="3">
    <w:p w:rsidR="00377C33" w:rsidRDefault="00377C33">
      <w:pPr>
        <w:pStyle w:val="FootnoteText"/>
      </w:pPr>
      <w:r>
        <w:rPr>
          <w:rStyle w:val="FootnoteReference"/>
        </w:rPr>
        <w:footnoteRef/>
      </w:r>
      <w:r>
        <w:t xml:space="preserve"> </w:t>
      </w:r>
      <w:r w:rsidRPr="00174AE1">
        <w:t>http://www.facsia.gov.au/guides_acts/ssg/ssguide-11/ssguide-11.1/ssguide-11.1.1/ssguide-11.1.1.50.html</w:t>
      </w:r>
    </w:p>
  </w:footnote>
  <w:footnote w:id="4">
    <w:p w:rsidR="00377C33" w:rsidRDefault="00377C33">
      <w:pPr>
        <w:pStyle w:val="FootnoteText"/>
      </w:pPr>
      <w:r>
        <w:rPr>
          <w:rStyle w:val="FootnoteReference"/>
        </w:rPr>
        <w:footnoteRef/>
      </w:r>
      <w:r>
        <w:t xml:space="preserve"> Widow B Pension is a payment for an older widow who did not qualify for a Parenting Payment, has limited means, and has lost the financial support of their partner</w:t>
      </w:r>
    </w:p>
  </w:footnote>
  <w:footnote w:id="5">
    <w:p w:rsidR="00377C33" w:rsidRDefault="00377C33" w:rsidP="0069353B">
      <w:pPr>
        <w:pStyle w:val="FootnoteText"/>
      </w:pPr>
      <w:r>
        <w:rPr>
          <w:rStyle w:val="FootnoteReference"/>
        </w:rPr>
        <w:footnoteRef/>
      </w:r>
      <w:r>
        <w:t xml:space="preserve"> </w:t>
      </w:r>
      <w:proofErr w:type="spellStart"/>
      <w:r>
        <w:t>Nederhof</w:t>
      </w:r>
      <w:proofErr w:type="spellEnd"/>
      <w:r>
        <w:t xml:space="preserve"> A (1985). Methods of coping with social desirability bias: A review. European Journal of Social Psychology; 15(3):263-280.  </w:t>
      </w:r>
    </w:p>
  </w:footnote>
  <w:footnote w:id="6">
    <w:p w:rsidR="00377C33" w:rsidRDefault="00377C33" w:rsidP="0069353B">
      <w:pPr>
        <w:pStyle w:val="FootnoteText"/>
      </w:pPr>
      <w:r>
        <w:rPr>
          <w:rStyle w:val="FootnoteReference"/>
        </w:rPr>
        <w:footnoteRef/>
      </w:r>
      <w:r>
        <w:t xml:space="preserve"> </w:t>
      </w:r>
      <w:proofErr w:type="gramStart"/>
      <w:r>
        <w:t>Ibid.</w:t>
      </w:r>
      <w:proofErr w:type="gramEnd"/>
      <w:r>
        <w:t xml:space="preserve"> </w:t>
      </w:r>
    </w:p>
  </w:footnote>
  <w:footnote w:id="7">
    <w:p w:rsidR="00377C33" w:rsidRDefault="00377C33" w:rsidP="007E0709">
      <w:pPr>
        <w:pStyle w:val="FootnoteText"/>
      </w:pPr>
      <w:r>
        <w:rPr>
          <w:rStyle w:val="FootnoteReference"/>
        </w:rPr>
        <w:footnoteRef/>
      </w:r>
      <w:r>
        <w:t xml:space="preserve"> </w:t>
      </w:r>
      <w:proofErr w:type="spellStart"/>
      <w:r>
        <w:t>Psendorfer</w:t>
      </w:r>
      <w:proofErr w:type="spellEnd"/>
      <w:r>
        <w:t xml:space="preserve">, W 2006, ‘Behavioural economics come of age: a review essay on advances in behavioural economics’, </w:t>
      </w:r>
      <w:r w:rsidRPr="004C5109">
        <w:rPr>
          <w:i/>
        </w:rPr>
        <w:t>Journal of Economic Literature</w:t>
      </w:r>
      <w:r>
        <w:t>, 44(3):667-71.</w:t>
      </w:r>
    </w:p>
  </w:footnote>
  <w:footnote w:id="8">
    <w:p w:rsidR="00377C33" w:rsidRDefault="00377C33" w:rsidP="007E0709">
      <w:pPr>
        <w:pStyle w:val="FootnoteText"/>
      </w:pPr>
      <w:r>
        <w:rPr>
          <w:rStyle w:val="FootnoteReference"/>
        </w:rPr>
        <w:footnoteRef/>
      </w:r>
      <w:r>
        <w:t xml:space="preserve"> Currie, J, Grogger, J 2001, ‘Explaining recent declines in food stamp program participation’, in W. Gale and J. Rothenberg-Pack (</w:t>
      </w:r>
      <w:proofErr w:type="spellStart"/>
      <w:r>
        <w:t>eds</w:t>
      </w:r>
      <w:proofErr w:type="spellEnd"/>
      <w:r>
        <w:t xml:space="preserve">), </w:t>
      </w:r>
      <w:r w:rsidRPr="002055AE">
        <w:rPr>
          <w:i/>
        </w:rPr>
        <w:t>Brookings Papers on Urban Affairs</w:t>
      </w:r>
      <w:r>
        <w:t>, Washington, DC: Brookings Institution.</w:t>
      </w:r>
    </w:p>
  </w:footnote>
  <w:footnote w:id="9">
    <w:p w:rsidR="00377C33" w:rsidRDefault="00377C33" w:rsidP="007E0709">
      <w:pPr>
        <w:pStyle w:val="FootnoteText"/>
      </w:pPr>
      <w:r>
        <w:rPr>
          <w:rStyle w:val="FootnoteReference"/>
        </w:rPr>
        <w:footnoteRef/>
      </w:r>
      <w:r>
        <w:t xml:space="preserve"> </w:t>
      </w:r>
      <w:proofErr w:type="gramStart"/>
      <w:r>
        <w:t>Currie, J 2004, ‘</w:t>
      </w:r>
      <w:r w:rsidRPr="00865E7D">
        <w:rPr>
          <w:i/>
        </w:rPr>
        <w:t>The take up of social benefits’</w:t>
      </w:r>
      <w:r>
        <w:t>, National Bureau of Economic Research Working Paper 10488.</w:t>
      </w:r>
      <w:proofErr w:type="gramEnd"/>
      <w:r>
        <w:t xml:space="preserve"> </w:t>
      </w:r>
    </w:p>
  </w:footnote>
  <w:footnote w:id="10">
    <w:p w:rsidR="00377C33" w:rsidRDefault="00377C33" w:rsidP="007E0709">
      <w:pPr>
        <w:pStyle w:val="FootnoteText"/>
      </w:pPr>
      <w:r>
        <w:rPr>
          <w:rStyle w:val="FootnoteReference"/>
        </w:rPr>
        <w:footnoteRef/>
      </w:r>
      <w:r>
        <w:t xml:space="preserve"> Bertrand, M, </w:t>
      </w:r>
      <w:proofErr w:type="spellStart"/>
      <w:r>
        <w:t>Mullainathan</w:t>
      </w:r>
      <w:proofErr w:type="spellEnd"/>
      <w:r>
        <w:t xml:space="preserve">, S, </w:t>
      </w:r>
      <w:proofErr w:type="spellStart"/>
      <w:r>
        <w:t>Shafir</w:t>
      </w:r>
      <w:proofErr w:type="spellEnd"/>
      <w:r>
        <w:t>, E 2006, ‘</w:t>
      </w:r>
      <w:proofErr w:type="spellStart"/>
      <w:r>
        <w:t>Behavioral</w:t>
      </w:r>
      <w:proofErr w:type="spellEnd"/>
      <w:r>
        <w:t xml:space="preserve"> economics and marketing in aid of decision making among the poor’,</w:t>
      </w:r>
      <w:r w:rsidRPr="002A055B">
        <w:rPr>
          <w:i/>
        </w:rPr>
        <w:t xml:space="preserve"> Journal of Public Policy and Marketing</w:t>
      </w:r>
      <w:r>
        <w:t>, 25(1):8-23.</w:t>
      </w:r>
    </w:p>
  </w:footnote>
  <w:footnote w:id="11">
    <w:p w:rsidR="00377C33" w:rsidRDefault="00377C33" w:rsidP="007E0709">
      <w:pPr>
        <w:pStyle w:val="FootnoteText"/>
      </w:pPr>
      <w:r>
        <w:rPr>
          <w:rStyle w:val="FootnoteReference"/>
        </w:rPr>
        <w:footnoteRef/>
      </w:r>
      <w:r>
        <w:t xml:space="preserve"> Holmes, J, Ryan, C 2010, ‘Incentives, rewards, motivation and the receipt of income support’, Department of Families, Housing, Community Services and Indigenous Affairs, Occasional Paper No. 32.</w:t>
      </w:r>
    </w:p>
  </w:footnote>
  <w:footnote w:id="12">
    <w:p w:rsidR="00377C33" w:rsidRDefault="00377C33" w:rsidP="007E0709">
      <w:pPr>
        <w:pStyle w:val="FootnoteText"/>
      </w:pPr>
      <w:r>
        <w:rPr>
          <w:rStyle w:val="FootnoteReference"/>
        </w:rPr>
        <w:footnoteRef/>
      </w:r>
      <w:r>
        <w:t xml:space="preserve"> Institute for Government 2010, ‘MINDSPACE: influencing behaviour through public policy’, Report for the UK Cabinet Office. </w:t>
      </w:r>
    </w:p>
  </w:footnote>
  <w:footnote w:id="13">
    <w:p w:rsidR="00377C33" w:rsidRDefault="00377C33" w:rsidP="007E0709">
      <w:pPr>
        <w:pStyle w:val="FootnoteText"/>
      </w:pPr>
      <w:r>
        <w:rPr>
          <w:rStyle w:val="FootnoteReference"/>
        </w:rPr>
        <w:footnoteRef/>
      </w:r>
      <w:r>
        <w:t xml:space="preserve"> </w:t>
      </w:r>
      <w:proofErr w:type="spellStart"/>
      <w:r>
        <w:t>Kelman</w:t>
      </w:r>
      <w:proofErr w:type="spellEnd"/>
      <w:r>
        <w:t xml:space="preserve">, H 1958, ‘Compliance, identification and internalization: three processes of attitude change’, </w:t>
      </w:r>
      <w:r w:rsidRPr="009A47A0">
        <w:rPr>
          <w:i/>
        </w:rPr>
        <w:t>Journal of Conflict Resolution</w:t>
      </w:r>
      <w:r>
        <w:t xml:space="preserve">, 2:51-60. </w:t>
      </w:r>
    </w:p>
  </w:footnote>
  <w:footnote w:id="14">
    <w:p w:rsidR="00377C33" w:rsidRDefault="00377C33" w:rsidP="007E0709">
      <w:pPr>
        <w:pStyle w:val="FootnoteText"/>
      </w:pPr>
      <w:r>
        <w:rPr>
          <w:rStyle w:val="FootnoteReference"/>
        </w:rPr>
        <w:footnoteRef/>
      </w:r>
      <w:r>
        <w:t xml:space="preserve"> Currie, J, Grogger, J 2001, ‘Explaining recent declines in food stamp program participation’, in W. Gale and J. Rothenberg-Pack (</w:t>
      </w:r>
      <w:proofErr w:type="spellStart"/>
      <w:r>
        <w:t>eds</w:t>
      </w:r>
      <w:proofErr w:type="spellEnd"/>
      <w:r>
        <w:t xml:space="preserve">), </w:t>
      </w:r>
      <w:r w:rsidRPr="002055AE">
        <w:rPr>
          <w:i/>
        </w:rPr>
        <w:t>Brookings Papers on Urban Affairs</w:t>
      </w:r>
      <w:r>
        <w:t>, Washington, DC: Brookings Institution.</w:t>
      </w:r>
    </w:p>
  </w:footnote>
  <w:footnote w:id="15">
    <w:p w:rsidR="00377C33" w:rsidRDefault="00377C33" w:rsidP="007E0709">
      <w:pPr>
        <w:pStyle w:val="FootnoteText"/>
      </w:pPr>
      <w:r>
        <w:rPr>
          <w:rStyle w:val="FootnoteReference"/>
        </w:rPr>
        <w:footnoteRef/>
      </w:r>
      <w:r>
        <w:t xml:space="preserve"> </w:t>
      </w:r>
      <w:proofErr w:type="gramStart"/>
      <w:r>
        <w:t>Currie, J 2004, ‘</w:t>
      </w:r>
      <w:r w:rsidRPr="00865E7D">
        <w:rPr>
          <w:i/>
        </w:rPr>
        <w:t>The take up of social benefits’</w:t>
      </w:r>
      <w:r>
        <w:t>, National Bureau of Economic Research Working Paper 10488.</w:t>
      </w:r>
      <w:proofErr w:type="gramEnd"/>
      <w:r>
        <w:t xml:space="preserve"> </w:t>
      </w:r>
    </w:p>
  </w:footnote>
  <w:footnote w:id="16">
    <w:p w:rsidR="00377C33" w:rsidRDefault="00377C33" w:rsidP="007E0709">
      <w:pPr>
        <w:pStyle w:val="FootnoteText"/>
      </w:pPr>
      <w:r>
        <w:rPr>
          <w:rStyle w:val="FootnoteReference"/>
        </w:rPr>
        <w:footnoteRef/>
      </w:r>
      <w:r>
        <w:t xml:space="preserve"> Bertrand, M, </w:t>
      </w:r>
      <w:proofErr w:type="spellStart"/>
      <w:r>
        <w:t>Mullainathan</w:t>
      </w:r>
      <w:proofErr w:type="spellEnd"/>
      <w:r>
        <w:t xml:space="preserve">, S, </w:t>
      </w:r>
      <w:proofErr w:type="spellStart"/>
      <w:r>
        <w:t>Shafir</w:t>
      </w:r>
      <w:proofErr w:type="spellEnd"/>
      <w:r>
        <w:t>, E 2006, ‘</w:t>
      </w:r>
      <w:proofErr w:type="spellStart"/>
      <w:r>
        <w:t>Behavioral</w:t>
      </w:r>
      <w:proofErr w:type="spellEnd"/>
      <w:r>
        <w:t xml:space="preserve"> economics and marketing in aid of decision making among the poor’,</w:t>
      </w:r>
      <w:r w:rsidRPr="002A055B">
        <w:rPr>
          <w:i/>
        </w:rPr>
        <w:t xml:space="preserve"> Journal of Public Policy and Marketing</w:t>
      </w:r>
      <w:r>
        <w:t>, 25(1):8-23.</w:t>
      </w:r>
    </w:p>
  </w:footnote>
  <w:footnote w:id="17">
    <w:p w:rsidR="00377C33" w:rsidRDefault="00377C33" w:rsidP="007E0709">
      <w:pPr>
        <w:pStyle w:val="FootnoteText"/>
      </w:pPr>
      <w:r>
        <w:rPr>
          <w:rStyle w:val="FootnoteReference"/>
        </w:rPr>
        <w:footnoteRef/>
      </w:r>
      <w:r>
        <w:t xml:space="preserve"> </w:t>
      </w:r>
      <w:proofErr w:type="spellStart"/>
      <w:r>
        <w:t>Reeson</w:t>
      </w:r>
      <w:proofErr w:type="spellEnd"/>
      <w:r>
        <w:t xml:space="preserve">, A, </w:t>
      </w:r>
      <w:proofErr w:type="spellStart"/>
      <w:r>
        <w:t>Dunstall</w:t>
      </w:r>
      <w:proofErr w:type="spellEnd"/>
      <w:r>
        <w:t>, S 2009, ‘Behavioural economics and complex decision-making: implications for the Australian tax and transfer system’, Confidential Report prepared for Treasury, CMIS Report 09/110, CSIRO.</w:t>
      </w:r>
    </w:p>
  </w:footnote>
  <w:footnote w:id="18">
    <w:p w:rsidR="00377C33" w:rsidRDefault="00377C33" w:rsidP="007E0709">
      <w:pPr>
        <w:pStyle w:val="FootnoteText"/>
      </w:pPr>
      <w:r>
        <w:rPr>
          <w:rStyle w:val="FootnoteReference"/>
        </w:rPr>
        <w:footnoteRef/>
      </w:r>
      <w:r>
        <w:t xml:space="preserve"> Institute for Government 2010, ‘MINDSPACE: influencing behaviour through public policy’, Report for the UK Cabinet Office.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E75B31" w:rsidP="002A239D">
    <w:pPr>
      <w:pStyle w:val="Header"/>
      <w:rPr>
        <w:szCs w:val="28"/>
      </w:rPr>
    </w:pPr>
    <w:r>
      <w:fldChar w:fldCharType="begin"/>
    </w:r>
    <w:r>
      <w:instrText xml:space="preserve"> STYLEREF  "Report Title"  \* MERGEFORMAT </w:instrText>
    </w:r>
    <w:r>
      <w:fldChar w:fldCharType="separate"/>
    </w:r>
    <w:r>
      <w:rPr>
        <w:noProof/>
      </w:rPr>
      <w:t>Evaluation framework —Place Based Income Management</w:t>
    </w:r>
    <w:r>
      <w:rPr>
        <w:noProof/>
      </w:rPr>
      <w:fldChar w:fldCharType="end"/>
    </w:r>
  </w:p>
  <w:p w:rsidR="00377C33" w:rsidRDefault="00377C3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Pr="008B1D0E" w:rsidRDefault="00377C33" w:rsidP="00854A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E75B31" w:rsidP="009F3807">
    <w:pPr>
      <w:pStyle w:val="Header"/>
      <w:rPr>
        <w:szCs w:val="28"/>
      </w:rPr>
    </w:pPr>
    <w:r>
      <w:fldChar w:fldCharType="begin"/>
    </w:r>
    <w:r>
      <w:instrText xml:space="preserve"> STYLEREF  "Report Title"  \* MERGEFORMAT </w:instrText>
    </w:r>
    <w:r>
      <w:fldChar w:fldCharType="separate"/>
    </w:r>
    <w:r>
      <w:rPr>
        <w:noProof/>
      </w:rPr>
      <w:t>Evaluation framework —Place Based Income Management</w:t>
    </w:r>
    <w:r>
      <w:rPr>
        <w:noProof/>
      </w:rPr>
      <w:fldChar w:fldCharType="end"/>
    </w:r>
  </w:p>
  <w:p w:rsidR="00377C33" w:rsidRDefault="00377C33" w:rsidP="009F3807">
    <w:pPr>
      <w:pStyle w:val="HeaderLine2"/>
      <w:pBdr>
        <w:top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E75B31" w:rsidP="00037695">
    <w:pPr>
      <w:pStyle w:val="Header"/>
      <w:rPr>
        <w:szCs w:val="28"/>
      </w:rPr>
    </w:pPr>
    <w:r>
      <w:fldChar w:fldCharType="begin"/>
    </w:r>
    <w:r>
      <w:instrText xml:space="preserve"> STYLEREF  "Report Title"  \* MERGEFORMAT </w:instrText>
    </w:r>
    <w:r>
      <w:fldChar w:fldCharType="separate"/>
    </w:r>
    <w:r>
      <w:rPr>
        <w:noProof/>
      </w:rPr>
      <w:t>Evaluation framework —Place Based Income Management</w:t>
    </w:r>
    <w:r>
      <w:rPr>
        <w:noProof/>
      </w:rPr>
      <w:fldChar w:fldCharType="end"/>
    </w:r>
  </w:p>
  <w:p w:rsidR="00377C33" w:rsidRPr="002478D6" w:rsidRDefault="00377C33" w:rsidP="002478D6">
    <w:pPr>
      <w:pStyle w:val="Header"/>
      <w:jc w:val="center"/>
      <w:rPr>
        <w:caps/>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3" w:rsidRDefault="00377C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4">
    <w:nsid w:val="0B7A6B44"/>
    <w:multiLevelType w:val="hybridMultilevel"/>
    <w:tmpl w:val="A5B0C660"/>
    <w:lvl w:ilvl="0" w:tplc="FFFFFFFF">
      <w:start w:val="1"/>
      <w:numFmt w:val="bullet"/>
      <w:pStyle w:val="ListBullet2"/>
      <w:lvlText w:val=""/>
      <w:lvlJc w:val="left"/>
      <w:pPr>
        <w:tabs>
          <w:tab w:val="num" w:pos="1543"/>
        </w:tabs>
        <w:ind w:left="1543"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start w:val="1"/>
      <w:numFmt w:val="bullet"/>
      <w:lvlText w:val=""/>
      <w:lvlJc w:val="left"/>
      <w:pPr>
        <w:tabs>
          <w:tab w:val="num" w:pos="3060"/>
        </w:tabs>
        <w:ind w:left="3060" w:hanging="360"/>
      </w:pPr>
      <w:rPr>
        <w:rFonts w:ascii="Wingdings" w:hAnsi="Wingdings" w:hint="default"/>
      </w:rPr>
    </w:lvl>
    <w:lvl w:ilvl="3" w:tplc="FFFFFFFF">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5">
    <w:nsid w:val="0CD32010"/>
    <w:multiLevelType w:val="hybridMultilevel"/>
    <w:tmpl w:val="86002FD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6">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nsid w:val="1AB077AA"/>
    <w:multiLevelType w:val="hybridMultilevel"/>
    <w:tmpl w:val="EE446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9">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0">
    <w:nsid w:val="293C1ADA"/>
    <w:multiLevelType w:val="multilevel"/>
    <w:tmpl w:val="D908ABD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11">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2">
    <w:nsid w:val="3A6908F2"/>
    <w:multiLevelType w:val="hybridMultilevel"/>
    <w:tmpl w:val="A6BCF754"/>
    <w:lvl w:ilvl="0" w:tplc="0C090019">
      <w:start w:val="1"/>
      <w:numFmt w:val="lowerLetter"/>
      <w:pStyle w:val="ListNumber2"/>
      <w:lvlText w:val="%1."/>
      <w:lvlJc w:val="left"/>
      <w:pPr>
        <w:tabs>
          <w:tab w:val="num" w:pos="1543"/>
        </w:tabs>
        <w:ind w:left="1543" w:hanging="360"/>
      </w:pPr>
      <w:rPr>
        <w:rFonts w:hint="default"/>
        <w:color w:val="auto"/>
      </w:rPr>
    </w:lvl>
    <w:lvl w:ilvl="1" w:tplc="0C090019" w:tentative="1">
      <w:start w:val="1"/>
      <w:numFmt w:val="bullet"/>
      <w:lvlText w:val="o"/>
      <w:lvlJc w:val="left"/>
      <w:pPr>
        <w:tabs>
          <w:tab w:val="num" w:pos="2340"/>
        </w:tabs>
        <w:ind w:left="2340" w:hanging="360"/>
      </w:pPr>
      <w:rPr>
        <w:rFonts w:ascii="Courier New" w:hAnsi="Courier New" w:cs="Courier New" w:hint="default"/>
      </w:rPr>
    </w:lvl>
    <w:lvl w:ilvl="2" w:tplc="0C09001B" w:tentative="1">
      <w:start w:val="1"/>
      <w:numFmt w:val="bullet"/>
      <w:lvlText w:val=""/>
      <w:lvlJc w:val="left"/>
      <w:pPr>
        <w:tabs>
          <w:tab w:val="num" w:pos="3060"/>
        </w:tabs>
        <w:ind w:left="3060" w:hanging="360"/>
      </w:pPr>
      <w:rPr>
        <w:rFonts w:ascii="Wingdings" w:hAnsi="Wingdings" w:hint="default"/>
      </w:rPr>
    </w:lvl>
    <w:lvl w:ilvl="3" w:tplc="0C09000F" w:tentative="1">
      <w:start w:val="1"/>
      <w:numFmt w:val="bullet"/>
      <w:lvlText w:val=""/>
      <w:lvlJc w:val="left"/>
      <w:pPr>
        <w:tabs>
          <w:tab w:val="num" w:pos="3780"/>
        </w:tabs>
        <w:ind w:left="3780" w:hanging="360"/>
      </w:pPr>
      <w:rPr>
        <w:rFonts w:ascii="Symbol" w:hAnsi="Symbol" w:hint="default"/>
      </w:rPr>
    </w:lvl>
    <w:lvl w:ilvl="4" w:tplc="0C090019" w:tentative="1">
      <w:start w:val="1"/>
      <w:numFmt w:val="bullet"/>
      <w:lvlText w:val="o"/>
      <w:lvlJc w:val="left"/>
      <w:pPr>
        <w:tabs>
          <w:tab w:val="num" w:pos="4500"/>
        </w:tabs>
        <w:ind w:left="4500" w:hanging="360"/>
      </w:pPr>
      <w:rPr>
        <w:rFonts w:ascii="Courier New" w:hAnsi="Courier New" w:cs="Courier New" w:hint="default"/>
      </w:rPr>
    </w:lvl>
    <w:lvl w:ilvl="5" w:tplc="0C09001B" w:tentative="1">
      <w:start w:val="1"/>
      <w:numFmt w:val="bullet"/>
      <w:lvlText w:val=""/>
      <w:lvlJc w:val="left"/>
      <w:pPr>
        <w:tabs>
          <w:tab w:val="num" w:pos="5220"/>
        </w:tabs>
        <w:ind w:left="5220" w:hanging="360"/>
      </w:pPr>
      <w:rPr>
        <w:rFonts w:ascii="Wingdings" w:hAnsi="Wingdings" w:hint="default"/>
      </w:rPr>
    </w:lvl>
    <w:lvl w:ilvl="6" w:tplc="0C09000F" w:tentative="1">
      <w:start w:val="1"/>
      <w:numFmt w:val="bullet"/>
      <w:lvlText w:val=""/>
      <w:lvlJc w:val="left"/>
      <w:pPr>
        <w:tabs>
          <w:tab w:val="num" w:pos="5940"/>
        </w:tabs>
        <w:ind w:left="5940" w:hanging="360"/>
      </w:pPr>
      <w:rPr>
        <w:rFonts w:ascii="Symbol" w:hAnsi="Symbol" w:hint="default"/>
      </w:rPr>
    </w:lvl>
    <w:lvl w:ilvl="7" w:tplc="0C090019" w:tentative="1">
      <w:start w:val="1"/>
      <w:numFmt w:val="bullet"/>
      <w:lvlText w:val="o"/>
      <w:lvlJc w:val="left"/>
      <w:pPr>
        <w:tabs>
          <w:tab w:val="num" w:pos="6660"/>
        </w:tabs>
        <w:ind w:left="6660" w:hanging="360"/>
      </w:pPr>
      <w:rPr>
        <w:rFonts w:ascii="Courier New" w:hAnsi="Courier New" w:cs="Courier New" w:hint="default"/>
      </w:rPr>
    </w:lvl>
    <w:lvl w:ilvl="8" w:tplc="0C09001B" w:tentative="1">
      <w:start w:val="1"/>
      <w:numFmt w:val="bullet"/>
      <w:lvlText w:val=""/>
      <w:lvlJc w:val="left"/>
      <w:pPr>
        <w:tabs>
          <w:tab w:val="num" w:pos="7380"/>
        </w:tabs>
        <w:ind w:left="7380" w:hanging="360"/>
      </w:pPr>
      <w:rPr>
        <w:rFonts w:ascii="Wingdings" w:hAnsi="Wingdings" w:hint="default"/>
      </w:rPr>
    </w:lvl>
  </w:abstractNum>
  <w:abstractNum w:abstractNumId="13">
    <w:nsid w:val="42142A31"/>
    <w:multiLevelType w:val="multilevel"/>
    <w:tmpl w:val="FA041674"/>
    <w:lvl w:ilvl="0">
      <w:start w:val="1"/>
      <w:numFmt w:val="upperLetter"/>
      <w:pStyle w:val="Appendix"/>
      <w:suff w:val="nothing"/>
      <w:lvlText w:val="Appendix %1"/>
      <w:lvlJc w:val="left"/>
      <w:pPr>
        <w:ind w:left="482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4">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15">
    <w:nsid w:val="49033637"/>
    <w:multiLevelType w:val="hybridMultilevel"/>
    <w:tmpl w:val="57224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19">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21">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22">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4">
    <w:nsid w:val="72945F36"/>
    <w:multiLevelType w:val="hybridMultilevel"/>
    <w:tmpl w:val="D8BA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17"/>
  </w:num>
  <w:num w:numId="2">
    <w:abstractNumId w:val="21"/>
  </w:num>
  <w:num w:numId="3">
    <w:abstractNumId w:val="14"/>
  </w:num>
  <w:num w:numId="4">
    <w:abstractNumId w:val="3"/>
  </w:num>
  <w:num w:numId="5">
    <w:abstractNumId w:val="25"/>
  </w:num>
  <w:num w:numId="6">
    <w:abstractNumId w:val="19"/>
  </w:num>
  <w:num w:numId="7">
    <w:abstractNumId w:val="2"/>
  </w:num>
  <w:num w:numId="8">
    <w:abstractNumId w:val="10"/>
  </w:num>
  <w:num w:numId="9">
    <w:abstractNumId w:val="6"/>
  </w:num>
  <w:num w:numId="10">
    <w:abstractNumId w:val="1"/>
  </w:num>
  <w:num w:numId="11">
    <w:abstractNumId w:val="23"/>
  </w:num>
  <w:num w:numId="12">
    <w:abstractNumId w:val="0"/>
  </w:num>
  <w:num w:numId="13">
    <w:abstractNumId w:val="13"/>
  </w:num>
  <w:num w:numId="14">
    <w:abstractNumId w:val="2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15"/>
  </w:num>
  <w:num w:numId="19">
    <w:abstractNumId w:val="4"/>
  </w:num>
  <w:num w:numId="20">
    <w:abstractNumId w:val="12"/>
  </w:num>
  <w:num w:numId="21">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854AD5"/>
    <w:rsid w:val="000001AB"/>
    <w:rsid w:val="000002DC"/>
    <w:rsid w:val="000024C3"/>
    <w:rsid w:val="0000305E"/>
    <w:rsid w:val="00004BA1"/>
    <w:rsid w:val="000058CD"/>
    <w:rsid w:val="00006690"/>
    <w:rsid w:val="00006A9F"/>
    <w:rsid w:val="00006B27"/>
    <w:rsid w:val="00010019"/>
    <w:rsid w:val="00010875"/>
    <w:rsid w:val="00010C36"/>
    <w:rsid w:val="00010E7D"/>
    <w:rsid w:val="0001118F"/>
    <w:rsid w:val="0001128F"/>
    <w:rsid w:val="00011D2A"/>
    <w:rsid w:val="000124A4"/>
    <w:rsid w:val="00012C70"/>
    <w:rsid w:val="00014351"/>
    <w:rsid w:val="0001451A"/>
    <w:rsid w:val="0001458D"/>
    <w:rsid w:val="00014B2C"/>
    <w:rsid w:val="0001580E"/>
    <w:rsid w:val="00016649"/>
    <w:rsid w:val="000167FF"/>
    <w:rsid w:val="000171FE"/>
    <w:rsid w:val="000175EC"/>
    <w:rsid w:val="000179BD"/>
    <w:rsid w:val="0002066F"/>
    <w:rsid w:val="00020ABB"/>
    <w:rsid w:val="00020CCD"/>
    <w:rsid w:val="000216EF"/>
    <w:rsid w:val="00022C61"/>
    <w:rsid w:val="0002306E"/>
    <w:rsid w:val="00024338"/>
    <w:rsid w:val="000259C8"/>
    <w:rsid w:val="00025B68"/>
    <w:rsid w:val="000263B6"/>
    <w:rsid w:val="00026595"/>
    <w:rsid w:val="00026AC5"/>
    <w:rsid w:val="00027A98"/>
    <w:rsid w:val="00027CE4"/>
    <w:rsid w:val="00030332"/>
    <w:rsid w:val="0003053E"/>
    <w:rsid w:val="00031072"/>
    <w:rsid w:val="00031E68"/>
    <w:rsid w:val="00032232"/>
    <w:rsid w:val="00032BCA"/>
    <w:rsid w:val="00032E26"/>
    <w:rsid w:val="00033312"/>
    <w:rsid w:val="00033340"/>
    <w:rsid w:val="0003384F"/>
    <w:rsid w:val="000346D0"/>
    <w:rsid w:val="00035632"/>
    <w:rsid w:val="000357FA"/>
    <w:rsid w:val="000359D8"/>
    <w:rsid w:val="00036110"/>
    <w:rsid w:val="00037695"/>
    <w:rsid w:val="00040225"/>
    <w:rsid w:val="00040526"/>
    <w:rsid w:val="00040906"/>
    <w:rsid w:val="00040A73"/>
    <w:rsid w:val="0004142B"/>
    <w:rsid w:val="000414D3"/>
    <w:rsid w:val="00041A55"/>
    <w:rsid w:val="00041ADD"/>
    <w:rsid w:val="00041D71"/>
    <w:rsid w:val="00042200"/>
    <w:rsid w:val="00042225"/>
    <w:rsid w:val="00042A90"/>
    <w:rsid w:val="00043622"/>
    <w:rsid w:val="00043E63"/>
    <w:rsid w:val="00044EB4"/>
    <w:rsid w:val="0004528F"/>
    <w:rsid w:val="000464FE"/>
    <w:rsid w:val="00046B51"/>
    <w:rsid w:val="000475CE"/>
    <w:rsid w:val="00050E22"/>
    <w:rsid w:val="000510BC"/>
    <w:rsid w:val="00051164"/>
    <w:rsid w:val="000519AD"/>
    <w:rsid w:val="00053253"/>
    <w:rsid w:val="00053ABD"/>
    <w:rsid w:val="00054A03"/>
    <w:rsid w:val="00054F38"/>
    <w:rsid w:val="00057796"/>
    <w:rsid w:val="00061808"/>
    <w:rsid w:val="0006373B"/>
    <w:rsid w:val="0006374F"/>
    <w:rsid w:val="000637EA"/>
    <w:rsid w:val="0006462F"/>
    <w:rsid w:val="00064662"/>
    <w:rsid w:val="00064FDE"/>
    <w:rsid w:val="00065293"/>
    <w:rsid w:val="00066753"/>
    <w:rsid w:val="000675FC"/>
    <w:rsid w:val="00070D97"/>
    <w:rsid w:val="00070F59"/>
    <w:rsid w:val="00071072"/>
    <w:rsid w:val="00071B5A"/>
    <w:rsid w:val="00071CC2"/>
    <w:rsid w:val="00071DBC"/>
    <w:rsid w:val="000735D5"/>
    <w:rsid w:val="000736F1"/>
    <w:rsid w:val="00073BCE"/>
    <w:rsid w:val="00075B02"/>
    <w:rsid w:val="00077240"/>
    <w:rsid w:val="00077299"/>
    <w:rsid w:val="000774C2"/>
    <w:rsid w:val="00077860"/>
    <w:rsid w:val="00080392"/>
    <w:rsid w:val="00080701"/>
    <w:rsid w:val="0008070D"/>
    <w:rsid w:val="00080F67"/>
    <w:rsid w:val="00081556"/>
    <w:rsid w:val="0008158E"/>
    <w:rsid w:val="000817FC"/>
    <w:rsid w:val="000819AB"/>
    <w:rsid w:val="00081A49"/>
    <w:rsid w:val="00083609"/>
    <w:rsid w:val="000837F7"/>
    <w:rsid w:val="00084329"/>
    <w:rsid w:val="0008610C"/>
    <w:rsid w:val="000862C9"/>
    <w:rsid w:val="000866C4"/>
    <w:rsid w:val="00087A0D"/>
    <w:rsid w:val="00091248"/>
    <w:rsid w:val="000916D1"/>
    <w:rsid w:val="00091EDC"/>
    <w:rsid w:val="00092C4C"/>
    <w:rsid w:val="00092E57"/>
    <w:rsid w:val="00092FE5"/>
    <w:rsid w:val="0009422D"/>
    <w:rsid w:val="00094265"/>
    <w:rsid w:val="0009440B"/>
    <w:rsid w:val="00095D13"/>
    <w:rsid w:val="00095F46"/>
    <w:rsid w:val="00096F80"/>
    <w:rsid w:val="00097217"/>
    <w:rsid w:val="000974E2"/>
    <w:rsid w:val="000A07AE"/>
    <w:rsid w:val="000A1A5E"/>
    <w:rsid w:val="000A1CD2"/>
    <w:rsid w:val="000A4282"/>
    <w:rsid w:val="000A539A"/>
    <w:rsid w:val="000A54E4"/>
    <w:rsid w:val="000A5D64"/>
    <w:rsid w:val="000A6ABD"/>
    <w:rsid w:val="000A718C"/>
    <w:rsid w:val="000A7C35"/>
    <w:rsid w:val="000A7C47"/>
    <w:rsid w:val="000B006E"/>
    <w:rsid w:val="000B0B8B"/>
    <w:rsid w:val="000B0E71"/>
    <w:rsid w:val="000B1CE5"/>
    <w:rsid w:val="000B243C"/>
    <w:rsid w:val="000B28E0"/>
    <w:rsid w:val="000B34C5"/>
    <w:rsid w:val="000B3975"/>
    <w:rsid w:val="000B3CEC"/>
    <w:rsid w:val="000B54A5"/>
    <w:rsid w:val="000B6B8D"/>
    <w:rsid w:val="000B7004"/>
    <w:rsid w:val="000B72BC"/>
    <w:rsid w:val="000B7BAB"/>
    <w:rsid w:val="000C051B"/>
    <w:rsid w:val="000C387F"/>
    <w:rsid w:val="000C3B61"/>
    <w:rsid w:val="000C464A"/>
    <w:rsid w:val="000C585D"/>
    <w:rsid w:val="000C5DF5"/>
    <w:rsid w:val="000C74F8"/>
    <w:rsid w:val="000C76E5"/>
    <w:rsid w:val="000C7839"/>
    <w:rsid w:val="000D1965"/>
    <w:rsid w:val="000D19BE"/>
    <w:rsid w:val="000D2C81"/>
    <w:rsid w:val="000D3821"/>
    <w:rsid w:val="000D3A3E"/>
    <w:rsid w:val="000D429C"/>
    <w:rsid w:val="000D44A2"/>
    <w:rsid w:val="000D47CB"/>
    <w:rsid w:val="000D4B9B"/>
    <w:rsid w:val="000D561E"/>
    <w:rsid w:val="000D570C"/>
    <w:rsid w:val="000D607C"/>
    <w:rsid w:val="000D6B73"/>
    <w:rsid w:val="000D6BEF"/>
    <w:rsid w:val="000D781A"/>
    <w:rsid w:val="000E066C"/>
    <w:rsid w:val="000E0B9A"/>
    <w:rsid w:val="000E183D"/>
    <w:rsid w:val="000E1B0A"/>
    <w:rsid w:val="000E1C39"/>
    <w:rsid w:val="000E2140"/>
    <w:rsid w:val="000E26DD"/>
    <w:rsid w:val="000E26E1"/>
    <w:rsid w:val="000E2825"/>
    <w:rsid w:val="000E2B35"/>
    <w:rsid w:val="000E2D1B"/>
    <w:rsid w:val="000E2E14"/>
    <w:rsid w:val="000E3449"/>
    <w:rsid w:val="000E3509"/>
    <w:rsid w:val="000E3726"/>
    <w:rsid w:val="000E445C"/>
    <w:rsid w:val="000E44A6"/>
    <w:rsid w:val="000E486C"/>
    <w:rsid w:val="000E4ECB"/>
    <w:rsid w:val="000E5914"/>
    <w:rsid w:val="000E5DB6"/>
    <w:rsid w:val="000E6CAF"/>
    <w:rsid w:val="000F0BC1"/>
    <w:rsid w:val="000F0D64"/>
    <w:rsid w:val="000F2F8D"/>
    <w:rsid w:val="000F3676"/>
    <w:rsid w:val="000F4625"/>
    <w:rsid w:val="000F4A0D"/>
    <w:rsid w:val="000F532F"/>
    <w:rsid w:val="000F592C"/>
    <w:rsid w:val="000F5BFB"/>
    <w:rsid w:val="000F5D83"/>
    <w:rsid w:val="000F693C"/>
    <w:rsid w:val="000F7058"/>
    <w:rsid w:val="000F7775"/>
    <w:rsid w:val="000F7D70"/>
    <w:rsid w:val="00101D4B"/>
    <w:rsid w:val="0010260E"/>
    <w:rsid w:val="00102741"/>
    <w:rsid w:val="001033B7"/>
    <w:rsid w:val="0010356D"/>
    <w:rsid w:val="001036CF"/>
    <w:rsid w:val="00104F1B"/>
    <w:rsid w:val="001057BD"/>
    <w:rsid w:val="001057D7"/>
    <w:rsid w:val="0010583E"/>
    <w:rsid w:val="00105977"/>
    <w:rsid w:val="00105F36"/>
    <w:rsid w:val="00106300"/>
    <w:rsid w:val="00106F80"/>
    <w:rsid w:val="00107D2E"/>
    <w:rsid w:val="00110318"/>
    <w:rsid w:val="00111411"/>
    <w:rsid w:val="0011163E"/>
    <w:rsid w:val="00111689"/>
    <w:rsid w:val="001118BD"/>
    <w:rsid w:val="00111DD1"/>
    <w:rsid w:val="001120F0"/>
    <w:rsid w:val="00113631"/>
    <w:rsid w:val="001136F8"/>
    <w:rsid w:val="001148D8"/>
    <w:rsid w:val="00114A8E"/>
    <w:rsid w:val="001153EF"/>
    <w:rsid w:val="00115B00"/>
    <w:rsid w:val="00115E9F"/>
    <w:rsid w:val="00115F39"/>
    <w:rsid w:val="00116990"/>
    <w:rsid w:val="00120A9D"/>
    <w:rsid w:val="00120C9E"/>
    <w:rsid w:val="00122224"/>
    <w:rsid w:val="00122D0E"/>
    <w:rsid w:val="00122E97"/>
    <w:rsid w:val="00123115"/>
    <w:rsid w:val="0012316B"/>
    <w:rsid w:val="001236D5"/>
    <w:rsid w:val="00123CF7"/>
    <w:rsid w:val="00124023"/>
    <w:rsid w:val="0012519F"/>
    <w:rsid w:val="00125EFA"/>
    <w:rsid w:val="00126722"/>
    <w:rsid w:val="00126CD3"/>
    <w:rsid w:val="001302D0"/>
    <w:rsid w:val="00130B70"/>
    <w:rsid w:val="00130D6C"/>
    <w:rsid w:val="001311D9"/>
    <w:rsid w:val="00131994"/>
    <w:rsid w:val="00131AB6"/>
    <w:rsid w:val="00132164"/>
    <w:rsid w:val="0013294C"/>
    <w:rsid w:val="00132CE2"/>
    <w:rsid w:val="00132E8F"/>
    <w:rsid w:val="00133516"/>
    <w:rsid w:val="00133DBD"/>
    <w:rsid w:val="001340D4"/>
    <w:rsid w:val="001347FD"/>
    <w:rsid w:val="00134DA5"/>
    <w:rsid w:val="001371DD"/>
    <w:rsid w:val="001408F6"/>
    <w:rsid w:val="001412B2"/>
    <w:rsid w:val="00143842"/>
    <w:rsid w:val="00143EAB"/>
    <w:rsid w:val="00144A43"/>
    <w:rsid w:val="00144CDB"/>
    <w:rsid w:val="00146849"/>
    <w:rsid w:val="00146E61"/>
    <w:rsid w:val="00147334"/>
    <w:rsid w:val="001473CE"/>
    <w:rsid w:val="00147656"/>
    <w:rsid w:val="00147F6D"/>
    <w:rsid w:val="00150FEB"/>
    <w:rsid w:val="001521F2"/>
    <w:rsid w:val="00152575"/>
    <w:rsid w:val="001535D0"/>
    <w:rsid w:val="00153E58"/>
    <w:rsid w:val="00155340"/>
    <w:rsid w:val="00155879"/>
    <w:rsid w:val="001566BB"/>
    <w:rsid w:val="0015768D"/>
    <w:rsid w:val="00157EAB"/>
    <w:rsid w:val="00161EF7"/>
    <w:rsid w:val="001621DE"/>
    <w:rsid w:val="00163822"/>
    <w:rsid w:val="00163D2C"/>
    <w:rsid w:val="00163E2A"/>
    <w:rsid w:val="00163EB0"/>
    <w:rsid w:val="0016534C"/>
    <w:rsid w:val="00166F16"/>
    <w:rsid w:val="0016778F"/>
    <w:rsid w:val="00167D66"/>
    <w:rsid w:val="0017061E"/>
    <w:rsid w:val="001718E4"/>
    <w:rsid w:val="001739D6"/>
    <w:rsid w:val="00173E2B"/>
    <w:rsid w:val="00173E84"/>
    <w:rsid w:val="001744B0"/>
    <w:rsid w:val="00174AE1"/>
    <w:rsid w:val="00174C03"/>
    <w:rsid w:val="0017537C"/>
    <w:rsid w:val="00177FA9"/>
    <w:rsid w:val="00180A99"/>
    <w:rsid w:val="00180F20"/>
    <w:rsid w:val="00181165"/>
    <w:rsid w:val="0018157F"/>
    <w:rsid w:val="00181994"/>
    <w:rsid w:val="001826BD"/>
    <w:rsid w:val="001829CD"/>
    <w:rsid w:val="00182C0E"/>
    <w:rsid w:val="00182F02"/>
    <w:rsid w:val="00184571"/>
    <w:rsid w:val="00184657"/>
    <w:rsid w:val="001847EA"/>
    <w:rsid w:val="00185A6C"/>
    <w:rsid w:val="00187029"/>
    <w:rsid w:val="00187683"/>
    <w:rsid w:val="00187780"/>
    <w:rsid w:val="001879CC"/>
    <w:rsid w:val="0019033F"/>
    <w:rsid w:val="0019129B"/>
    <w:rsid w:val="00194EBE"/>
    <w:rsid w:val="001959E9"/>
    <w:rsid w:val="00195E24"/>
    <w:rsid w:val="00195E97"/>
    <w:rsid w:val="001979A3"/>
    <w:rsid w:val="001A0A2E"/>
    <w:rsid w:val="001A1311"/>
    <w:rsid w:val="001A17CE"/>
    <w:rsid w:val="001A1FEB"/>
    <w:rsid w:val="001A2126"/>
    <w:rsid w:val="001A2CC3"/>
    <w:rsid w:val="001A3A23"/>
    <w:rsid w:val="001A4EB7"/>
    <w:rsid w:val="001A51B5"/>
    <w:rsid w:val="001A55BE"/>
    <w:rsid w:val="001A5F7F"/>
    <w:rsid w:val="001A6173"/>
    <w:rsid w:val="001A6424"/>
    <w:rsid w:val="001A6664"/>
    <w:rsid w:val="001A7242"/>
    <w:rsid w:val="001A7A5B"/>
    <w:rsid w:val="001B0A89"/>
    <w:rsid w:val="001B1728"/>
    <w:rsid w:val="001B1A2F"/>
    <w:rsid w:val="001B1E8C"/>
    <w:rsid w:val="001B1F12"/>
    <w:rsid w:val="001B245B"/>
    <w:rsid w:val="001B3365"/>
    <w:rsid w:val="001B3B4C"/>
    <w:rsid w:val="001B701A"/>
    <w:rsid w:val="001B74A3"/>
    <w:rsid w:val="001B7C72"/>
    <w:rsid w:val="001B7D72"/>
    <w:rsid w:val="001B7E86"/>
    <w:rsid w:val="001C05A2"/>
    <w:rsid w:val="001C0614"/>
    <w:rsid w:val="001C090C"/>
    <w:rsid w:val="001C115F"/>
    <w:rsid w:val="001C1C50"/>
    <w:rsid w:val="001C205C"/>
    <w:rsid w:val="001C2C4F"/>
    <w:rsid w:val="001C2D7A"/>
    <w:rsid w:val="001C390C"/>
    <w:rsid w:val="001C460F"/>
    <w:rsid w:val="001C4D4C"/>
    <w:rsid w:val="001C50E9"/>
    <w:rsid w:val="001C5DF5"/>
    <w:rsid w:val="001C6685"/>
    <w:rsid w:val="001C6C98"/>
    <w:rsid w:val="001C7126"/>
    <w:rsid w:val="001C766E"/>
    <w:rsid w:val="001C7A9B"/>
    <w:rsid w:val="001D04E4"/>
    <w:rsid w:val="001D06FC"/>
    <w:rsid w:val="001D0FDF"/>
    <w:rsid w:val="001D13D9"/>
    <w:rsid w:val="001D26B4"/>
    <w:rsid w:val="001D3055"/>
    <w:rsid w:val="001D573C"/>
    <w:rsid w:val="001D5CE5"/>
    <w:rsid w:val="001D69E0"/>
    <w:rsid w:val="001D78E5"/>
    <w:rsid w:val="001E0294"/>
    <w:rsid w:val="001E07C8"/>
    <w:rsid w:val="001E190A"/>
    <w:rsid w:val="001E1DB2"/>
    <w:rsid w:val="001E2044"/>
    <w:rsid w:val="001E2081"/>
    <w:rsid w:val="001E2361"/>
    <w:rsid w:val="001E2C61"/>
    <w:rsid w:val="001E3459"/>
    <w:rsid w:val="001E39E4"/>
    <w:rsid w:val="001E3ECE"/>
    <w:rsid w:val="001E467B"/>
    <w:rsid w:val="001E5085"/>
    <w:rsid w:val="001E63D1"/>
    <w:rsid w:val="001E7506"/>
    <w:rsid w:val="001E7BEE"/>
    <w:rsid w:val="001E7C55"/>
    <w:rsid w:val="001E7D69"/>
    <w:rsid w:val="001F0EC1"/>
    <w:rsid w:val="001F0F5A"/>
    <w:rsid w:val="001F14DB"/>
    <w:rsid w:val="001F199F"/>
    <w:rsid w:val="001F3C96"/>
    <w:rsid w:val="001F43A0"/>
    <w:rsid w:val="001F63A6"/>
    <w:rsid w:val="001F72A7"/>
    <w:rsid w:val="00200478"/>
    <w:rsid w:val="00200DF6"/>
    <w:rsid w:val="002019FF"/>
    <w:rsid w:val="00201AAE"/>
    <w:rsid w:val="00201E47"/>
    <w:rsid w:val="00202247"/>
    <w:rsid w:val="00204136"/>
    <w:rsid w:val="0020509E"/>
    <w:rsid w:val="0020635A"/>
    <w:rsid w:val="00206E2B"/>
    <w:rsid w:val="002072A4"/>
    <w:rsid w:val="0021000B"/>
    <w:rsid w:val="0021007E"/>
    <w:rsid w:val="0021237A"/>
    <w:rsid w:val="002133D5"/>
    <w:rsid w:val="002139F5"/>
    <w:rsid w:val="00213E7B"/>
    <w:rsid w:val="00214539"/>
    <w:rsid w:val="00214ADE"/>
    <w:rsid w:val="00214F6D"/>
    <w:rsid w:val="00215214"/>
    <w:rsid w:val="00215E92"/>
    <w:rsid w:val="00217045"/>
    <w:rsid w:val="00217B6A"/>
    <w:rsid w:val="00217E06"/>
    <w:rsid w:val="002200A0"/>
    <w:rsid w:val="00221007"/>
    <w:rsid w:val="00221A26"/>
    <w:rsid w:val="00221A8A"/>
    <w:rsid w:val="00221E5D"/>
    <w:rsid w:val="002234A4"/>
    <w:rsid w:val="00224000"/>
    <w:rsid w:val="0022448C"/>
    <w:rsid w:val="0022469D"/>
    <w:rsid w:val="002246CD"/>
    <w:rsid w:val="00224C32"/>
    <w:rsid w:val="00225087"/>
    <w:rsid w:val="00225254"/>
    <w:rsid w:val="002266EE"/>
    <w:rsid w:val="00226AB7"/>
    <w:rsid w:val="00227AE9"/>
    <w:rsid w:val="00227E00"/>
    <w:rsid w:val="00227E04"/>
    <w:rsid w:val="00230D3E"/>
    <w:rsid w:val="0023117F"/>
    <w:rsid w:val="002313F1"/>
    <w:rsid w:val="00231431"/>
    <w:rsid w:val="0023187C"/>
    <w:rsid w:val="002320F5"/>
    <w:rsid w:val="002331FD"/>
    <w:rsid w:val="00233238"/>
    <w:rsid w:val="002333C5"/>
    <w:rsid w:val="00233922"/>
    <w:rsid w:val="00233994"/>
    <w:rsid w:val="00233BF0"/>
    <w:rsid w:val="00233ED2"/>
    <w:rsid w:val="00234374"/>
    <w:rsid w:val="00235134"/>
    <w:rsid w:val="00236A94"/>
    <w:rsid w:val="00236AD0"/>
    <w:rsid w:val="00236E3B"/>
    <w:rsid w:val="0023786A"/>
    <w:rsid w:val="00237CE9"/>
    <w:rsid w:val="00237FA9"/>
    <w:rsid w:val="0024185C"/>
    <w:rsid w:val="00242202"/>
    <w:rsid w:val="002444F0"/>
    <w:rsid w:val="00244622"/>
    <w:rsid w:val="0024545C"/>
    <w:rsid w:val="002455AB"/>
    <w:rsid w:val="00245B3E"/>
    <w:rsid w:val="002466EF"/>
    <w:rsid w:val="002468B6"/>
    <w:rsid w:val="00246D57"/>
    <w:rsid w:val="0024762C"/>
    <w:rsid w:val="002478D6"/>
    <w:rsid w:val="00250008"/>
    <w:rsid w:val="00250150"/>
    <w:rsid w:val="00250537"/>
    <w:rsid w:val="00250E74"/>
    <w:rsid w:val="00251450"/>
    <w:rsid w:val="0025210E"/>
    <w:rsid w:val="00252694"/>
    <w:rsid w:val="002527A2"/>
    <w:rsid w:val="002533CF"/>
    <w:rsid w:val="002539EC"/>
    <w:rsid w:val="00253F06"/>
    <w:rsid w:val="002557C5"/>
    <w:rsid w:val="00255A52"/>
    <w:rsid w:val="00255A72"/>
    <w:rsid w:val="00255DFC"/>
    <w:rsid w:val="00257686"/>
    <w:rsid w:val="00260B24"/>
    <w:rsid w:val="00260B4D"/>
    <w:rsid w:val="00261FF1"/>
    <w:rsid w:val="00263455"/>
    <w:rsid w:val="00263542"/>
    <w:rsid w:val="002640C3"/>
    <w:rsid w:val="0026482B"/>
    <w:rsid w:val="00264C32"/>
    <w:rsid w:val="00264FE6"/>
    <w:rsid w:val="00265261"/>
    <w:rsid w:val="00265817"/>
    <w:rsid w:val="00265A60"/>
    <w:rsid w:val="00265C47"/>
    <w:rsid w:val="00266AF4"/>
    <w:rsid w:val="00267D9D"/>
    <w:rsid w:val="00271071"/>
    <w:rsid w:val="00271CE8"/>
    <w:rsid w:val="00271E1F"/>
    <w:rsid w:val="00271F1C"/>
    <w:rsid w:val="00272473"/>
    <w:rsid w:val="002729A9"/>
    <w:rsid w:val="00272B32"/>
    <w:rsid w:val="00272D7C"/>
    <w:rsid w:val="00273CDF"/>
    <w:rsid w:val="00274EB9"/>
    <w:rsid w:val="0027511B"/>
    <w:rsid w:val="0027588F"/>
    <w:rsid w:val="0027630F"/>
    <w:rsid w:val="00276A04"/>
    <w:rsid w:val="00276B78"/>
    <w:rsid w:val="002770A5"/>
    <w:rsid w:val="00277289"/>
    <w:rsid w:val="00277C1A"/>
    <w:rsid w:val="002809B2"/>
    <w:rsid w:val="00280A54"/>
    <w:rsid w:val="00281F83"/>
    <w:rsid w:val="00283486"/>
    <w:rsid w:val="00283A66"/>
    <w:rsid w:val="0028451F"/>
    <w:rsid w:val="00286AC1"/>
    <w:rsid w:val="00286D3E"/>
    <w:rsid w:val="00286F90"/>
    <w:rsid w:val="002871F0"/>
    <w:rsid w:val="00287DFC"/>
    <w:rsid w:val="002905C7"/>
    <w:rsid w:val="00290605"/>
    <w:rsid w:val="00290AA0"/>
    <w:rsid w:val="00290AC4"/>
    <w:rsid w:val="00290D36"/>
    <w:rsid w:val="00291854"/>
    <w:rsid w:val="00291C7F"/>
    <w:rsid w:val="00292906"/>
    <w:rsid w:val="00292C23"/>
    <w:rsid w:val="00293FAD"/>
    <w:rsid w:val="00294235"/>
    <w:rsid w:val="00294B81"/>
    <w:rsid w:val="00294F60"/>
    <w:rsid w:val="00295028"/>
    <w:rsid w:val="002957F0"/>
    <w:rsid w:val="00295F11"/>
    <w:rsid w:val="002960A8"/>
    <w:rsid w:val="00297196"/>
    <w:rsid w:val="0029731D"/>
    <w:rsid w:val="002A0246"/>
    <w:rsid w:val="002A07BB"/>
    <w:rsid w:val="002A0E10"/>
    <w:rsid w:val="002A105D"/>
    <w:rsid w:val="002A1086"/>
    <w:rsid w:val="002A1C08"/>
    <w:rsid w:val="002A2175"/>
    <w:rsid w:val="002A239D"/>
    <w:rsid w:val="002A2998"/>
    <w:rsid w:val="002A346E"/>
    <w:rsid w:val="002A3A69"/>
    <w:rsid w:val="002A3B5E"/>
    <w:rsid w:val="002A445D"/>
    <w:rsid w:val="002A4694"/>
    <w:rsid w:val="002A49F5"/>
    <w:rsid w:val="002A4D4F"/>
    <w:rsid w:val="002A514B"/>
    <w:rsid w:val="002A51D0"/>
    <w:rsid w:val="002A67CA"/>
    <w:rsid w:val="002A6FA6"/>
    <w:rsid w:val="002A719B"/>
    <w:rsid w:val="002A74E3"/>
    <w:rsid w:val="002A7F97"/>
    <w:rsid w:val="002B01CE"/>
    <w:rsid w:val="002B07C5"/>
    <w:rsid w:val="002B0AFF"/>
    <w:rsid w:val="002B189C"/>
    <w:rsid w:val="002B2340"/>
    <w:rsid w:val="002B2EDA"/>
    <w:rsid w:val="002B48D1"/>
    <w:rsid w:val="002B5227"/>
    <w:rsid w:val="002B6253"/>
    <w:rsid w:val="002B6E5D"/>
    <w:rsid w:val="002C015F"/>
    <w:rsid w:val="002C04A4"/>
    <w:rsid w:val="002C0BEB"/>
    <w:rsid w:val="002C2899"/>
    <w:rsid w:val="002C31F2"/>
    <w:rsid w:val="002C31FA"/>
    <w:rsid w:val="002C3852"/>
    <w:rsid w:val="002C388A"/>
    <w:rsid w:val="002C4443"/>
    <w:rsid w:val="002C6280"/>
    <w:rsid w:val="002C726C"/>
    <w:rsid w:val="002C7283"/>
    <w:rsid w:val="002D01AC"/>
    <w:rsid w:val="002D1314"/>
    <w:rsid w:val="002D2E0B"/>
    <w:rsid w:val="002D3CF5"/>
    <w:rsid w:val="002D499E"/>
    <w:rsid w:val="002D49A2"/>
    <w:rsid w:val="002D50B4"/>
    <w:rsid w:val="002D5C52"/>
    <w:rsid w:val="002D7829"/>
    <w:rsid w:val="002E0AF6"/>
    <w:rsid w:val="002E0B67"/>
    <w:rsid w:val="002E1060"/>
    <w:rsid w:val="002E2862"/>
    <w:rsid w:val="002E3626"/>
    <w:rsid w:val="002E36AC"/>
    <w:rsid w:val="002E3A84"/>
    <w:rsid w:val="002E3BCA"/>
    <w:rsid w:val="002E4244"/>
    <w:rsid w:val="002E5A6A"/>
    <w:rsid w:val="002E70C6"/>
    <w:rsid w:val="002E70FD"/>
    <w:rsid w:val="002E72C8"/>
    <w:rsid w:val="002E7303"/>
    <w:rsid w:val="002E7DDC"/>
    <w:rsid w:val="002E7E8B"/>
    <w:rsid w:val="002E7FF6"/>
    <w:rsid w:val="002F049F"/>
    <w:rsid w:val="002F11E6"/>
    <w:rsid w:val="002F134C"/>
    <w:rsid w:val="002F1E33"/>
    <w:rsid w:val="002F24BB"/>
    <w:rsid w:val="002F34AD"/>
    <w:rsid w:val="002F36B1"/>
    <w:rsid w:val="002F3DC6"/>
    <w:rsid w:val="002F3E25"/>
    <w:rsid w:val="002F4274"/>
    <w:rsid w:val="002F4B9B"/>
    <w:rsid w:val="002F5BDF"/>
    <w:rsid w:val="002F6205"/>
    <w:rsid w:val="002F6E0D"/>
    <w:rsid w:val="002F7C65"/>
    <w:rsid w:val="002F7D60"/>
    <w:rsid w:val="002F7E1D"/>
    <w:rsid w:val="0030019B"/>
    <w:rsid w:val="00301D0D"/>
    <w:rsid w:val="0030217E"/>
    <w:rsid w:val="003028A7"/>
    <w:rsid w:val="00303558"/>
    <w:rsid w:val="00304FD4"/>
    <w:rsid w:val="00305AB7"/>
    <w:rsid w:val="003069C7"/>
    <w:rsid w:val="003069CD"/>
    <w:rsid w:val="00306EC6"/>
    <w:rsid w:val="0030767F"/>
    <w:rsid w:val="003076BD"/>
    <w:rsid w:val="003079A7"/>
    <w:rsid w:val="003079DE"/>
    <w:rsid w:val="0031184B"/>
    <w:rsid w:val="003119DF"/>
    <w:rsid w:val="00312664"/>
    <w:rsid w:val="0031346C"/>
    <w:rsid w:val="00313C0B"/>
    <w:rsid w:val="0031453F"/>
    <w:rsid w:val="00315311"/>
    <w:rsid w:val="00315EEE"/>
    <w:rsid w:val="003166AA"/>
    <w:rsid w:val="00317F9F"/>
    <w:rsid w:val="00320C86"/>
    <w:rsid w:val="0032112F"/>
    <w:rsid w:val="00321386"/>
    <w:rsid w:val="00321B3F"/>
    <w:rsid w:val="00321FEA"/>
    <w:rsid w:val="0032221B"/>
    <w:rsid w:val="0032246C"/>
    <w:rsid w:val="003226AC"/>
    <w:rsid w:val="00323F9B"/>
    <w:rsid w:val="003242AB"/>
    <w:rsid w:val="003248BD"/>
    <w:rsid w:val="00325C3D"/>
    <w:rsid w:val="00326313"/>
    <w:rsid w:val="003263D4"/>
    <w:rsid w:val="00327784"/>
    <w:rsid w:val="00327998"/>
    <w:rsid w:val="00327B08"/>
    <w:rsid w:val="00327E2A"/>
    <w:rsid w:val="0033011F"/>
    <w:rsid w:val="003301B9"/>
    <w:rsid w:val="0033073A"/>
    <w:rsid w:val="00331142"/>
    <w:rsid w:val="00332B71"/>
    <w:rsid w:val="00332D66"/>
    <w:rsid w:val="00333453"/>
    <w:rsid w:val="00334338"/>
    <w:rsid w:val="003347E8"/>
    <w:rsid w:val="00335E53"/>
    <w:rsid w:val="003368A8"/>
    <w:rsid w:val="00336B03"/>
    <w:rsid w:val="00340030"/>
    <w:rsid w:val="00340760"/>
    <w:rsid w:val="00340AF2"/>
    <w:rsid w:val="00340F33"/>
    <w:rsid w:val="0034223A"/>
    <w:rsid w:val="003427A9"/>
    <w:rsid w:val="00342ADC"/>
    <w:rsid w:val="00342D34"/>
    <w:rsid w:val="003430E5"/>
    <w:rsid w:val="003431BA"/>
    <w:rsid w:val="00343EE0"/>
    <w:rsid w:val="00345E05"/>
    <w:rsid w:val="00346190"/>
    <w:rsid w:val="003466C9"/>
    <w:rsid w:val="00346CD5"/>
    <w:rsid w:val="00346FAE"/>
    <w:rsid w:val="00351167"/>
    <w:rsid w:val="00351B19"/>
    <w:rsid w:val="0035397F"/>
    <w:rsid w:val="00353C22"/>
    <w:rsid w:val="003545B7"/>
    <w:rsid w:val="003549CB"/>
    <w:rsid w:val="00354BFE"/>
    <w:rsid w:val="00354E2F"/>
    <w:rsid w:val="003550DF"/>
    <w:rsid w:val="003560D5"/>
    <w:rsid w:val="00356A29"/>
    <w:rsid w:val="0035705F"/>
    <w:rsid w:val="00357E72"/>
    <w:rsid w:val="00360856"/>
    <w:rsid w:val="00361646"/>
    <w:rsid w:val="00362195"/>
    <w:rsid w:val="0036301A"/>
    <w:rsid w:val="00363520"/>
    <w:rsid w:val="00364094"/>
    <w:rsid w:val="0036567E"/>
    <w:rsid w:val="00365DA0"/>
    <w:rsid w:val="00366494"/>
    <w:rsid w:val="003667D7"/>
    <w:rsid w:val="00366928"/>
    <w:rsid w:val="0036758E"/>
    <w:rsid w:val="00370150"/>
    <w:rsid w:val="0037082C"/>
    <w:rsid w:val="00370CFE"/>
    <w:rsid w:val="003713E0"/>
    <w:rsid w:val="0037168B"/>
    <w:rsid w:val="003725D7"/>
    <w:rsid w:val="00373261"/>
    <w:rsid w:val="0037398B"/>
    <w:rsid w:val="00374391"/>
    <w:rsid w:val="0037470F"/>
    <w:rsid w:val="00375A50"/>
    <w:rsid w:val="003764D2"/>
    <w:rsid w:val="003769EB"/>
    <w:rsid w:val="00376DF4"/>
    <w:rsid w:val="00377C33"/>
    <w:rsid w:val="00380444"/>
    <w:rsid w:val="003809D8"/>
    <w:rsid w:val="00381087"/>
    <w:rsid w:val="003813F3"/>
    <w:rsid w:val="00381F18"/>
    <w:rsid w:val="00382113"/>
    <w:rsid w:val="0038237D"/>
    <w:rsid w:val="003828F2"/>
    <w:rsid w:val="00382D72"/>
    <w:rsid w:val="0038317C"/>
    <w:rsid w:val="00384299"/>
    <w:rsid w:val="003844EC"/>
    <w:rsid w:val="00384804"/>
    <w:rsid w:val="00384C35"/>
    <w:rsid w:val="00384E35"/>
    <w:rsid w:val="00385924"/>
    <w:rsid w:val="00385A58"/>
    <w:rsid w:val="00386197"/>
    <w:rsid w:val="0038634C"/>
    <w:rsid w:val="00386936"/>
    <w:rsid w:val="00386A89"/>
    <w:rsid w:val="00386D83"/>
    <w:rsid w:val="003874AC"/>
    <w:rsid w:val="00387966"/>
    <w:rsid w:val="00387C3A"/>
    <w:rsid w:val="0039244A"/>
    <w:rsid w:val="003931A6"/>
    <w:rsid w:val="0039522C"/>
    <w:rsid w:val="003952E2"/>
    <w:rsid w:val="00395E0F"/>
    <w:rsid w:val="00396D48"/>
    <w:rsid w:val="0039738F"/>
    <w:rsid w:val="003A1D36"/>
    <w:rsid w:val="003A1E85"/>
    <w:rsid w:val="003A1F51"/>
    <w:rsid w:val="003A3741"/>
    <w:rsid w:val="003A37E9"/>
    <w:rsid w:val="003A3BB6"/>
    <w:rsid w:val="003A415B"/>
    <w:rsid w:val="003A484E"/>
    <w:rsid w:val="003A4D42"/>
    <w:rsid w:val="003A50D1"/>
    <w:rsid w:val="003A5478"/>
    <w:rsid w:val="003A5DA4"/>
    <w:rsid w:val="003A6A67"/>
    <w:rsid w:val="003A79A8"/>
    <w:rsid w:val="003A7C53"/>
    <w:rsid w:val="003A7E88"/>
    <w:rsid w:val="003B0309"/>
    <w:rsid w:val="003B0956"/>
    <w:rsid w:val="003B13DB"/>
    <w:rsid w:val="003B1B0C"/>
    <w:rsid w:val="003B1EA5"/>
    <w:rsid w:val="003B2B1F"/>
    <w:rsid w:val="003B33AF"/>
    <w:rsid w:val="003B39CC"/>
    <w:rsid w:val="003B4977"/>
    <w:rsid w:val="003B505F"/>
    <w:rsid w:val="003B60EB"/>
    <w:rsid w:val="003B67E3"/>
    <w:rsid w:val="003B7522"/>
    <w:rsid w:val="003C00EF"/>
    <w:rsid w:val="003C01F1"/>
    <w:rsid w:val="003C0608"/>
    <w:rsid w:val="003C08BB"/>
    <w:rsid w:val="003C23B2"/>
    <w:rsid w:val="003C3022"/>
    <w:rsid w:val="003C452F"/>
    <w:rsid w:val="003C4D0B"/>
    <w:rsid w:val="003C5BCC"/>
    <w:rsid w:val="003C5DB3"/>
    <w:rsid w:val="003C666D"/>
    <w:rsid w:val="003C6E73"/>
    <w:rsid w:val="003C7E97"/>
    <w:rsid w:val="003D05F3"/>
    <w:rsid w:val="003D07E8"/>
    <w:rsid w:val="003D108B"/>
    <w:rsid w:val="003D18E5"/>
    <w:rsid w:val="003D1B32"/>
    <w:rsid w:val="003D212F"/>
    <w:rsid w:val="003D2433"/>
    <w:rsid w:val="003D250B"/>
    <w:rsid w:val="003D2E29"/>
    <w:rsid w:val="003D4C3E"/>
    <w:rsid w:val="003D5A15"/>
    <w:rsid w:val="003D5F2D"/>
    <w:rsid w:val="003D649A"/>
    <w:rsid w:val="003D6E58"/>
    <w:rsid w:val="003D7673"/>
    <w:rsid w:val="003D7BB9"/>
    <w:rsid w:val="003E162D"/>
    <w:rsid w:val="003E2E48"/>
    <w:rsid w:val="003E3C54"/>
    <w:rsid w:val="003E3CA4"/>
    <w:rsid w:val="003E4019"/>
    <w:rsid w:val="003E41DB"/>
    <w:rsid w:val="003E59C7"/>
    <w:rsid w:val="003E6AA2"/>
    <w:rsid w:val="003F01B0"/>
    <w:rsid w:val="003F1B87"/>
    <w:rsid w:val="003F3213"/>
    <w:rsid w:val="003F36CF"/>
    <w:rsid w:val="003F3CF5"/>
    <w:rsid w:val="003F4956"/>
    <w:rsid w:val="003F61FC"/>
    <w:rsid w:val="003F6E1A"/>
    <w:rsid w:val="003F6EFA"/>
    <w:rsid w:val="003F799B"/>
    <w:rsid w:val="003F7BCA"/>
    <w:rsid w:val="00400700"/>
    <w:rsid w:val="00400822"/>
    <w:rsid w:val="004011EF"/>
    <w:rsid w:val="00402481"/>
    <w:rsid w:val="004028DA"/>
    <w:rsid w:val="00404DEA"/>
    <w:rsid w:val="0040503F"/>
    <w:rsid w:val="0040548E"/>
    <w:rsid w:val="004057B6"/>
    <w:rsid w:val="00406534"/>
    <w:rsid w:val="00406A62"/>
    <w:rsid w:val="0040701D"/>
    <w:rsid w:val="004072B8"/>
    <w:rsid w:val="00407A6B"/>
    <w:rsid w:val="00407D47"/>
    <w:rsid w:val="00407FE6"/>
    <w:rsid w:val="0041039E"/>
    <w:rsid w:val="00411724"/>
    <w:rsid w:val="00411E62"/>
    <w:rsid w:val="00411E66"/>
    <w:rsid w:val="004121E0"/>
    <w:rsid w:val="00413630"/>
    <w:rsid w:val="00413822"/>
    <w:rsid w:val="004143B2"/>
    <w:rsid w:val="00414440"/>
    <w:rsid w:val="0041530F"/>
    <w:rsid w:val="004169D2"/>
    <w:rsid w:val="004170A0"/>
    <w:rsid w:val="0041722D"/>
    <w:rsid w:val="004176FD"/>
    <w:rsid w:val="0041796A"/>
    <w:rsid w:val="00417CFB"/>
    <w:rsid w:val="00420677"/>
    <w:rsid w:val="0042167F"/>
    <w:rsid w:val="00421842"/>
    <w:rsid w:val="00421D50"/>
    <w:rsid w:val="0042257A"/>
    <w:rsid w:val="00422667"/>
    <w:rsid w:val="00422A68"/>
    <w:rsid w:val="00422C90"/>
    <w:rsid w:val="00423657"/>
    <w:rsid w:val="00424006"/>
    <w:rsid w:val="00425248"/>
    <w:rsid w:val="004252B0"/>
    <w:rsid w:val="0042583C"/>
    <w:rsid w:val="00425B9C"/>
    <w:rsid w:val="00425FDE"/>
    <w:rsid w:val="00426788"/>
    <w:rsid w:val="00426DE2"/>
    <w:rsid w:val="00427FC2"/>
    <w:rsid w:val="00430410"/>
    <w:rsid w:val="004310D1"/>
    <w:rsid w:val="0043114C"/>
    <w:rsid w:val="0043213B"/>
    <w:rsid w:val="00433D4A"/>
    <w:rsid w:val="004340F3"/>
    <w:rsid w:val="0043441C"/>
    <w:rsid w:val="004345E1"/>
    <w:rsid w:val="00434EE2"/>
    <w:rsid w:val="00435667"/>
    <w:rsid w:val="00436342"/>
    <w:rsid w:val="00437408"/>
    <w:rsid w:val="00437CB3"/>
    <w:rsid w:val="004401A0"/>
    <w:rsid w:val="00440FA5"/>
    <w:rsid w:val="0044129B"/>
    <w:rsid w:val="00441A86"/>
    <w:rsid w:val="004421F0"/>
    <w:rsid w:val="00442C72"/>
    <w:rsid w:val="004434C7"/>
    <w:rsid w:val="0044374C"/>
    <w:rsid w:val="004438C1"/>
    <w:rsid w:val="004444FC"/>
    <w:rsid w:val="00444888"/>
    <w:rsid w:val="004449E3"/>
    <w:rsid w:val="00444F3C"/>
    <w:rsid w:val="00445734"/>
    <w:rsid w:val="0044647D"/>
    <w:rsid w:val="004478CE"/>
    <w:rsid w:val="004479FA"/>
    <w:rsid w:val="00447BA8"/>
    <w:rsid w:val="004507DC"/>
    <w:rsid w:val="00450FAE"/>
    <w:rsid w:val="004511A0"/>
    <w:rsid w:val="00451AC6"/>
    <w:rsid w:val="00451E53"/>
    <w:rsid w:val="00452100"/>
    <w:rsid w:val="00452E4A"/>
    <w:rsid w:val="00453877"/>
    <w:rsid w:val="00453A84"/>
    <w:rsid w:val="004543F2"/>
    <w:rsid w:val="004547B4"/>
    <w:rsid w:val="00456B0D"/>
    <w:rsid w:val="00457BBC"/>
    <w:rsid w:val="00460392"/>
    <w:rsid w:val="004615E0"/>
    <w:rsid w:val="00462B50"/>
    <w:rsid w:val="00462DFE"/>
    <w:rsid w:val="0046325D"/>
    <w:rsid w:val="00463342"/>
    <w:rsid w:val="004636A3"/>
    <w:rsid w:val="0046410F"/>
    <w:rsid w:val="004642DF"/>
    <w:rsid w:val="00464387"/>
    <w:rsid w:val="00466260"/>
    <w:rsid w:val="0046653F"/>
    <w:rsid w:val="00466626"/>
    <w:rsid w:val="00466815"/>
    <w:rsid w:val="00466C99"/>
    <w:rsid w:val="00467271"/>
    <w:rsid w:val="004673EE"/>
    <w:rsid w:val="00467448"/>
    <w:rsid w:val="00467A83"/>
    <w:rsid w:val="00470B11"/>
    <w:rsid w:val="00470B8A"/>
    <w:rsid w:val="00471F42"/>
    <w:rsid w:val="00472C3F"/>
    <w:rsid w:val="00473B2A"/>
    <w:rsid w:val="00474E71"/>
    <w:rsid w:val="00476846"/>
    <w:rsid w:val="00476E7A"/>
    <w:rsid w:val="004772A8"/>
    <w:rsid w:val="00477639"/>
    <w:rsid w:val="00481005"/>
    <w:rsid w:val="0048129B"/>
    <w:rsid w:val="00482179"/>
    <w:rsid w:val="00482AFC"/>
    <w:rsid w:val="00482B84"/>
    <w:rsid w:val="00483F2D"/>
    <w:rsid w:val="004840F5"/>
    <w:rsid w:val="0048568B"/>
    <w:rsid w:val="0048620E"/>
    <w:rsid w:val="004864E4"/>
    <w:rsid w:val="00486A30"/>
    <w:rsid w:val="00486ABF"/>
    <w:rsid w:val="00487890"/>
    <w:rsid w:val="004906DB"/>
    <w:rsid w:val="00490F11"/>
    <w:rsid w:val="00492CF1"/>
    <w:rsid w:val="0049350B"/>
    <w:rsid w:val="004935ED"/>
    <w:rsid w:val="004936A5"/>
    <w:rsid w:val="00494815"/>
    <w:rsid w:val="004956E7"/>
    <w:rsid w:val="00495957"/>
    <w:rsid w:val="0049641F"/>
    <w:rsid w:val="004A0231"/>
    <w:rsid w:val="004A115A"/>
    <w:rsid w:val="004A1B3A"/>
    <w:rsid w:val="004A21AA"/>
    <w:rsid w:val="004A3170"/>
    <w:rsid w:val="004A325D"/>
    <w:rsid w:val="004A4514"/>
    <w:rsid w:val="004A4D7B"/>
    <w:rsid w:val="004A5CAE"/>
    <w:rsid w:val="004A730C"/>
    <w:rsid w:val="004A7C3A"/>
    <w:rsid w:val="004B08E1"/>
    <w:rsid w:val="004B286E"/>
    <w:rsid w:val="004B3A10"/>
    <w:rsid w:val="004B3B3D"/>
    <w:rsid w:val="004B3EE2"/>
    <w:rsid w:val="004B46D3"/>
    <w:rsid w:val="004B4A8F"/>
    <w:rsid w:val="004B4ABD"/>
    <w:rsid w:val="004B5B22"/>
    <w:rsid w:val="004B7C96"/>
    <w:rsid w:val="004B7FA5"/>
    <w:rsid w:val="004C128A"/>
    <w:rsid w:val="004C158B"/>
    <w:rsid w:val="004C1A9B"/>
    <w:rsid w:val="004C1FB6"/>
    <w:rsid w:val="004C2174"/>
    <w:rsid w:val="004C2425"/>
    <w:rsid w:val="004C294E"/>
    <w:rsid w:val="004C33C6"/>
    <w:rsid w:val="004C3429"/>
    <w:rsid w:val="004C38D4"/>
    <w:rsid w:val="004C4347"/>
    <w:rsid w:val="004C5FFE"/>
    <w:rsid w:val="004C763A"/>
    <w:rsid w:val="004D1472"/>
    <w:rsid w:val="004D1FDE"/>
    <w:rsid w:val="004D2344"/>
    <w:rsid w:val="004D2384"/>
    <w:rsid w:val="004D2B59"/>
    <w:rsid w:val="004D317F"/>
    <w:rsid w:val="004D7197"/>
    <w:rsid w:val="004D7404"/>
    <w:rsid w:val="004D7B5D"/>
    <w:rsid w:val="004E1438"/>
    <w:rsid w:val="004E1867"/>
    <w:rsid w:val="004E20C5"/>
    <w:rsid w:val="004E23AB"/>
    <w:rsid w:val="004E3241"/>
    <w:rsid w:val="004E466F"/>
    <w:rsid w:val="004E4BEB"/>
    <w:rsid w:val="004E4C58"/>
    <w:rsid w:val="004E57F1"/>
    <w:rsid w:val="004E6852"/>
    <w:rsid w:val="004E6E23"/>
    <w:rsid w:val="004E7737"/>
    <w:rsid w:val="004F079B"/>
    <w:rsid w:val="004F08C3"/>
    <w:rsid w:val="004F1283"/>
    <w:rsid w:val="004F13FC"/>
    <w:rsid w:val="004F2200"/>
    <w:rsid w:val="004F26E9"/>
    <w:rsid w:val="004F3651"/>
    <w:rsid w:val="004F40F8"/>
    <w:rsid w:val="004F4BA1"/>
    <w:rsid w:val="004F523A"/>
    <w:rsid w:val="004F5C43"/>
    <w:rsid w:val="004F63FF"/>
    <w:rsid w:val="004F68D0"/>
    <w:rsid w:val="004F6EA6"/>
    <w:rsid w:val="004F746B"/>
    <w:rsid w:val="004F7514"/>
    <w:rsid w:val="004F7FB0"/>
    <w:rsid w:val="00501689"/>
    <w:rsid w:val="0050170C"/>
    <w:rsid w:val="005026D2"/>
    <w:rsid w:val="0050305A"/>
    <w:rsid w:val="00504360"/>
    <w:rsid w:val="00506053"/>
    <w:rsid w:val="00506673"/>
    <w:rsid w:val="0050707A"/>
    <w:rsid w:val="005070D5"/>
    <w:rsid w:val="00507ADF"/>
    <w:rsid w:val="005104CA"/>
    <w:rsid w:val="0051105A"/>
    <w:rsid w:val="005112F4"/>
    <w:rsid w:val="00511910"/>
    <w:rsid w:val="00511BD6"/>
    <w:rsid w:val="00512923"/>
    <w:rsid w:val="00512AB4"/>
    <w:rsid w:val="00512CC1"/>
    <w:rsid w:val="00512F32"/>
    <w:rsid w:val="00513E4D"/>
    <w:rsid w:val="0051442A"/>
    <w:rsid w:val="00514804"/>
    <w:rsid w:val="005149AF"/>
    <w:rsid w:val="00514A32"/>
    <w:rsid w:val="00517336"/>
    <w:rsid w:val="0051781D"/>
    <w:rsid w:val="00517951"/>
    <w:rsid w:val="00517D0C"/>
    <w:rsid w:val="005202CA"/>
    <w:rsid w:val="00520CD5"/>
    <w:rsid w:val="00520E21"/>
    <w:rsid w:val="0052150E"/>
    <w:rsid w:val="00522B8C"/>
    <w:rsid w:val="0052301A"/>
    <w:rsid w:val="00523E52"/>
    <w:rsid w:val="00524F61"/>
    <w:rsid w:val="005260CC"/>
    <w:rsid w:val="00526720"/>
    <w:rsid w:val="00526EA3"/>
    <w:rsid w:val="0053243A"/>
    <w:rsid w:val="00532A4A"/>
    <w:rsid w:val="00532B20"/>
    <w:rsid w:val="0053317C"/>
    <w:rsid w:val="005333F1"/>
    <w:rsid w:val="00533B3F"/>
    <w:rsid w:val="00534B7E"/>
    <w:rsid w:val="00534C5C"/>
    <w:rsid w:val="005354FA"/>
    <w:rsid w:val="00535553"/>
    <w:rsid w:val="00535732"/>
    <w:rsid w:val="005367D0"/>
    <w:rsid w:val="00536A88"/>
    <w:rsid w:val="00537199"/>
    <w:rsid w:val="00537E2C"/>
    <w:rsid w:val="00540110"/>
    <w:rsid w:val="005408AD"/>
    <w:rsid w:val="00541952"/>
    <w:rsid w:val="00542DF8"/>
    <w:rsid w:val="005438EB"/>
    <w:rsid w:val="005439A7"/>
    <w:rsid w:val="00543A8B"/>
    <w:rsid w:val="00543CC7"/>
    <w:rsid w:val="0054454F"/>
    <w:rsid w:val="00545704"/>
    <w:rsid w:val="00547606"/>
    <w:rsid w:val="00547AEB"/>
    <w:rsid w:val="00547F87"/>
    <w:rsid w:val="00550B0F"/>
    <w:rsid w:val="00551BC4"/>
    <w:rsid w:val="005520F4"/>
    <w:rsid w:val="00552664"/>
    <w:rsid w:val="00553AC7"/>
    <w:rsid w:val="00555300"/>
    <w:rsid w:val="00555320"/>
    <w:rsid w:val="00555E20"/>
    <w:rsid w:val="00556543"/>
    <w:rsid w:val="00556696"/>
    <w:rsid w:val="005566C6"/>
    <w:rsid w:val="0055694D"/>
    <w:rsid w:val="00562758"/>
    <w:rsid w:val="00563843"/>
    <w:rsid w:val="00563D04"/>
    <w:rsid w:val="00563F64"/>
    <w:rsid w:val="00564B96"/>
    <w:rsid w:val="00564F0A"/>
    <w:rsid w:val="00564F7A"/>
    <w:rsid w:val="00565124"/>
    <w:rsid w:val="005661A1"/>
    <w:rsid w:val="00566376"/>
    <w:rsid w:val="00567281"/>
    <w:rsid w:val="00567A51"/>
    <w:rsid w:val="00567FB2"/>
    <w:rsid w:val="00570A83"/>
    <w:rsid w:val="00570A98"/>
    <w:rsid w:val="0057102B"/>
    <w:rsid w:val="005710AE"/>
    <w:rsid w:val="00571C99"/>
    <w:rsid w:val="00572346"/>
    <w:rsid w:val="0057458D"/>
    <w:rsid w:val="0057465A"/>
    <w:rsid w:val="0057520E"/>
    <w:rsid w:val="00575529"/>
    <w:rsid w:val="005762AD"/>
    <w:rsid w:val="005777C5"/>
    <w:rsid w:val="005803FD"/>
    <w:rsid w:val="0058066F"/>
    <w:rsid w:val="00580A99"/>
    <w:rsid w:val="00580B24"/>
    <w:rsid w:val="00581571"/>
    <w:rsid w:val="00581C69"/>
    <w:rsid w:val="00581E62"/>
    <w:rsid w:val="00582180"/>
    <w:rsid w:val="005822B7"/>
    <w:rsid w:val="00582CDA"/>
    <w:rsid w:val="00583B53"/>
    <w:rsid w:val="00583FC8"/>
    <w:rsid w:val="0058444E"/>
    <w:rsid w:val="00584528"/>
    <w:rsid w:val="005859DB"/>
    <w:rsid w:val="00586A42"/>
    <w:rsid w:val="005874B0"/>
    <w:rsid w:val="0058758C"/>
    <w:rsid w:val="00587D86"/>
    <w:rsid w:val="00590F73"/>
    <w:rsid w:val="00591067"/>
    <w:rsid w:val="00591D28"/>
    <w:rsid w:val="00592443"/>
    <w:rsid w:val="00592B7A"/>
    <w:rsid w:val="00592C9D"/>
    <w:rsid w:val="0059337C"/>
    <w:rsid w:val="005963E0"/>
    <w:rsid w:val="00596B22"/>
    <w:rsid w:val="00596EBE"/>
    <w:rsid w:val="005A0F6E"/>
    <w:rsid w:val="005A1BD1"/>
    <w:rsid w:val="005A2D6F"/>
    <w:rsid w:val="005A3F8D"/>
    <w:rsid w:val="005B05BD"/>
    <w:rsid w:val="005B06EE"/>
    <w:rsid w:val="005B0734"/>
    <w:rsid w:val="005B0B90"/>
    <w:rsid w:val="005B242F"/>
    <w:rsid w:val="005B2FD4"/>
    <w:rsid w:val="005B38F6"/>
    <w:rsid w:val="005B643C"/>
    <w:rsid w:val="005B6806"/>
    <w:rsid w:val="005B6C84"/>
    <w:rsid w:val="005B779C"/>
    <w:rsid w:val="005C123B"/>
    <w:rsid w:val="005C1E6A"/>
    <w:rsid w:val="005C271A"/>
    <w:rsid w:val="005C36A6"/>
    <w:rsid w:val="005C36EC"/>
    <w:rsid w:val="005C3BE6"/>
    <w:rsid w:val="005C5A9F"/>
    <w:rsid w:val="005C5D29"/>
    <w:rsid w:val="005C602E"/>
    <w:rsid w:val="005C66CD"/>
    <w:rsid w:val="005D0AD0"/>
    <w:rsid w:val="005D1707"/>
    <w:rsid w:val="005D33B4"/>
    <w:rsid w:val="005D3BA7"/>
    <w:rsid w:val="005D453D"/>
    <w:rsid w:val="005D46CB"/>
    <w:rsid w:val="005D6090"/>
    <w:rsid w:val="005D6CC6"/>
    <w:rsid w:val="005D6E92"/>
    <w:rsid w:val="005D734C"/>
    <w:rsid w:val="005D76D3"/>
    <w:rsid w:val="005D7965"/>
    <w:rsid w:val="005E021E"/>
    <w:rsid w:val="005E06C8"/>
    <w:rsid w:val="005E153B"/>
    <w:rsid w:val="005E27BD"/>
    <w:rsid w:val="005E39AF"/>
    <w:rsid w:val="005E39DA"/>
    <w:rsid w:val="005E3AFE"/>
    <w:rsid w:val="005E3EB3"/>
    <w:rsid w:val="005E43B8"/>
    <w:rsid w:val="005E4D54"/>
    <w:rsid w:val="005E54B7"/>
    <w:rsid w:val="005E5C4E"/>
    <w:rsid w:val="005E67A5"/>
    <w:rsid w:val="005E69E4"/>
    <w:rsid w:val="005E72F4"/>
    <w:rsid w:val="005F088A"/>
    <w:rsid w:val="005F0E27"/>
    <w:rsid w:val="005F117D"/>
    <w:rsid w:val="005F1579"/>
    <w:rsid w:val="005F2347"/>
    <w:rsid w:val="005F2568"/>
    <w:rsid w:val="005F3680"/>
    <w:rsid w:val="005F3804"/>
    <w:rsid w:val="005F6DBF"/>
    <w:rsid w:val="005F726B"/>
    <w:rsid w:val="005F7751"/>
    <w:rsid w:val="005F7C07"/>
    <w:rsid w:val="00600D4E"/>
    <w:rsid w:val="00601633"/>
    <w:rsid w:val="00601F45"/>
    <w:rsid w:val="00602176"/>
    <w:rsid w:val="00603091"/>
    <w:rsid w:val="006030DD"/>
    <w:rsid w:val="00604999"/>
    <w:rsid w:val="00605534"/>
    <w:rsid w:val="006058C7"/>
    <w:rsid w:val="00606208"/>
    <w:rsid w:val="00606316"/>
    <w:rsid w:val="006071A7"/>
    <w:rsid w:val="006102AE"/>
    <w:rsid w:val="006103B7"/>
    <w:rsid w:val="00610BDB"/>
    <w:rsid w:val="00610BFB"/>
    <w:rsid w:val="00611E68"/>
    <w:rsid w:val="006120BF"/>
    <w:rsid w:val="00612EB7"/>
    <w:rsid w:val="00613E7A"/>
    <w:rsid w:val="00615147"/>
    <w:rsid w:val="00616502"/>
    <w:rsid w:val="00616638"/>
    <w:rsid w:val="00616B06"/>
    <w:rsid w:val="0061739B"/>
    <w:rsid w:val="006174F9"/>
    <w:rsid w:val="0061755B"/>
    <w:rsid w:val="00617D45"/>
    <w:rsid w:val="0062050A"/>
    <w:rsid w:val="00622B15"/>
    <w:rsid w:val="00623337"/>
    <w:rsid w:val="006234E5"/>
    <w:rsid w:val="00623E4C"/>
    <w:rsid w:val="00623F69"/>
    <w:rsid w:val="0062411D"/>
    <w:rsid w:val="00624FF3"/>
    <w:rsid w:val="0062581C"/>
    <w:rsid w:val="00625845"/>
    <w:rsid w:val="00625B49"/>
    <w:rsid w:val="00625DC5"/>
    <w:rsid w:val="00626DE2"/>
    <w:rsid w:val="00627AF2"/>
    <w:rsid w:val="00627F78"/>
    <w:rsid w:val="006306D0"/>
    <w:rsid w:val="00630A65"/>
    <w:rsid w:val="00630CCE"/>
    <w:rsid w:val="00631ECA"/>
    <w:rsid w:val="006330D3"/>
    <w:rsid w:val="006339F3"/>
    <w:rsid w:val="00634643"/>
    <w:rsid w:val="00634F4B"/>
    <w:rsid w:val="006356AB"/>
    <w:rsid w:val="006356BF"/>
    <w:rsid w:val="0063627D"/>
    <w:rsid w:val="00636414"/>
    <w:rsid w:val="006406A8"/>
    <w:rsid w:val="006407A7"/>
    <w:rsid w:val="00640AC3"/>
    <w:rsid w:val="00641057"/>
    <w:rsid w:val="0064231C"/>
    <w:rsid w:val="00644AF6"/>
    <w:rsid w:val="006454E3"/>
    <w:rsid w:val="00645DF0"/>
    <w:rsid w:val="006460DB"/>
    <w:rsid w:val="0064643F"/>
    <w:rsid w:val="00647CAE"/>
    <w:rsid w:val="00650AEA"/>
    <w:rsid w:val="00650E61"/>
    <w:rsid w:val="00650F80"/>
    <w:rsid w:val="00652CE0"/>
    <w:rsid w:val="00653857"/>
    <w:rsid w:val="0065391A"/>
    <w:rsid w:val="006540C2"/>
    <w:rsid w:val="0065473D"/>
    <w:rsid w:val="00654C32"/>
    <w:rsid w:val="00655A5D"/>
    <w:rsid w:val="00655C54"/>
    <w:rsid w:val="006567F3"/>
    <w:rsid w:val="00656B8F"/>
    <w:rsid w:val="00657746"/>
    <w:rsid w:val="00657C85"/>
    <w:rsid w:val="00662126"/>
    <w:rsid w:val="006644E8"/>
    <w:rsid w:val="00664D92"/>
    <w:rsid w:val="00665491"/>
    <w:rsid w:val="00665DDE"/>
    <w:rsid w:val="0066718A"/>
    <w:rsid w:val="00667402"/>
    <w:rsid w:val="0067022C"/>
    <w:rsid w:val="0067072D"/>
    <w:rsid w:val="00670A3B"/>
    <w:rsid w:val="00670F3B"/>
    <w:rsid w:val="00671379"/>
    <w:rsid w:val="00671412"/>
    <w:rsid w:val="00671677"/>
    <w:rsid w:val="00671804"/>
    <w:rsid w:val="0067247E"/>
    <w:rsid w:val="00672912"/>
    <w:rsid w:val="00672D05"/>
    <w:rsid w:val="006732A7"/>
    <w:rsid w:val="006736DE"/>
    <w:rsid w:val="00673A04"/>
    <w:rsid w:val="00673AB9"/>
    <w:rsid w:val="00673BED"/>
    <w:rsid w:val="006757CA"/>
    <w:rsid w:val="00675D64"/>
    <w:rsid w:val="0067631C"/>
    <w:rsid w:val="00676F10"/>
    <w:rsid w:val="00680968"/>
    <w:rsid w:val="006812F6"/>
    <w:rsid w:val="006813B8"/>
    <w:rsid w:val="00683FF1"/>
    <w:rsid w:val="00684469"/>
    <w:rsid w:val="006847FA"/>
    <w:rsid w:val="00684F5D"/>
    <w:rsid w:val="00685938"/>
    <w:rsid w:val="006877F0"/>
    <w:rsid w:val="00690526"/>
    <w:rsid w:val="00691495"/>
    <w:rsid w:val="00691B2D"/>
    <w:rsid w:val="00691F9D"/>
    <w:rsid w:val="0069233C"/>
    <w:rsid w:val="00692349"/>
    <w:rsid w:val="006923BE"/>
    <w:rsid w:val="006923EA"/>
    <w:rsid w:val="00692B6C"/>
    <w:rsid w:val="006930CC"/>
    <w:rsid w:val="006933D3"/>
    <w:rsid w:val="0069353B"/>
    <w:rsid w:val="00694BF3"/>
    <w:rsid w:val="006954FE"/>
    <w:rsid w:val="00696208"/>
    <w:rsid w:val="00697070"/>
    <w:rsid w:val="006971E1"/>
    <w:rsid w:val="006975AC"/>
    <w:rsid w:val="006A083A"/>
    <w:rsid w:val="006A09C3"/>
    <w:rsid w:val="006A0DD1"/>
    <w:rsid w:val="006A17F4"/>
    <w:rsid w:val="006A25E2"/>
    <w:rsid w:val="006A2D2A"/>
    <w:rsid w:val="006A2E9B"/>
    <w:rsid w:val="006A34D4"/>
    <w:rsid w:val="006A55C8"/>
    <w:rsid w:val="006A5AFD"/>
    <w:rsid w:val="006A5F90"/>
    <w:rsid w:val="006A7BFE"/>
    <w:rsid w:val="006A7DFA"/>
    <w:rsid w:val="006B04D0"/>
    <w:rsid w:val="006B0777"/>
    <w:rsid w:val="006B0C92"/>
    <w:rsid w:val="006B29A4"/>
    <w:rsid w:val="006B31B5"/>
    <w:rsid w:val="006B3408"/>
    <w:rsid w:val="006B3D05"/>
    <w:rsid w:val="006B405B"/>
    <w:rsid w:val="006B51F1"/>
    <w:rsid w:val="006B6112"/>
    <w:rsid w:val="006B6C33"/>
    <w:rsid w:val="006C018C"/>
    <w:rsid w:val="006C0667"/>
    <w:rsid w:val="006C0AB4"/>
    <w:rsid w:val="006C0F9B"/>
    <w:rsid w:val="006C10DC"/>
    <w:rsid w:val="006C1BF9"/>
    <w:rsid w:val="006C1CB0"/>
    <w:rsid w:val="006C3440"/>
    <w:rsid w:val="006C36FA"/>
    <w:rsid w:val="006C414C"/>
    <w:rsid w:val="006C4671"/>
    <w:rsid w:val="006C4A6A"/>
    <w:rsid w:val="006C512D"/>
    <w:rsid w:val="006C5AA8"/>
    <w:rsid w:val="006C6784"/>
    <w:rsid w:val="006C6E9C"/>
    <w:rsid w:val="006C739D"/>
    <w:rsid w:val="006D2089"/>
    <w:rsid w:val="006D2A8D"/>
    <w:rsid w:val="006D366F"/>
    <w:rsid w:val="006D3A18"/>
    <w:rsid w:val="006D3B88"/>
    <w:rsid w:val="006D4332"/>
    <w:rsid w:val="006D480F"/>
    <w:rsid w:val="006D4AC5"/>
    <w:rsid w:val="006D4E16"/>
    <w:rsid w:val="006D55E4"/>
    <w:rsid w:val="006D63F5"/>
    <w:rsid w:val="006D67DA"/>
    <w:rsid w:val="006D6AD4"/>
    <w:rsid w:val="006D7BE7"/>
    <w:rsid w:val="006E1749"/>
    <w:rsid w:val="006E29D8"/>
    <w:rsid w:val="006E30DC"/>
    <w:rsid w:val="006E4E3C"/>
    <w:rsid w:val="006E53C6"/>
    <w:rsid w:val="006E6156"/>
    <w:rsid w:val="006E6E44"/>
    <w:rsid w:val="006E6F70"/>
    <w:rsid w:val="006F05D8"/>
    <w:rsid w:val="006F0C62"/>
    <w:rsid w:val="006F0D4F"/>
    <w:rsid w:val="006F3A82"/>
    <w:rsid w:val="006F4073"/>
    <w:rsid w:val="006F54EC"/>
    <w:rsid w:val="006F6C11"/>
    <w:rsid w:val="006F7555"/>
    <w:rsid w:val="00700014"/>
    <w:rsid w:val="007004BD"/>
    <w:rsid w:val="00703131"/>
    <w:rsid w:val="00704577"/>
    <w:rsid w:val="00705528"/>
    <w:rsid w:val="007057BC"/>
    <w:rsid w:val="00705D28"/>
    <w:rsid w:val="00705E3B"/>
    <w:rsid w:val="00706BDE"/>
    <w:rsid w:val="00707ACC"/>
    <w:rsid w:val="00710562"/>
    <w:rsid w:val="0071089F"/>
    <w:rsid w:val="00710FF7"/>
    <w:rsid w:val="00711178"/>
    <w:rsid w:val="007121AF"/>
    <w:rsid w:val="00712313"/>
    <w:rsid w:val="00712C3E"/>
    <w:rsid w:val="007131BB"/>
    <w:rsid w:val="00714855"/>
    <w:rsid w:val="00715368"/>
    <w:rsid w:val="0071609D"/>
    <w:rsid w:val="007165AC"/>
    <w:rsid w:val="007179BF"/>
    <w:rsid w:val="00717C09"/>
    <w:rsid w:val="00720DAF"/>
    <w:rsid w:val="00721EC7"/>
    <w:rsid w:val="00721F35"/>
    <w:rsid w:val="007225E1"/>
    <w:rsid w:val="00722A73"/>
    <w:rsid w:val="00722D38"/>
    <w:rsid w:val="007230F6"/>
    <w:rsid w:val="00723227"/>
    <w:rsid w:val="0072394A"/>
    <w:rsid w:val="007257C4"/>
    <w:rsid w:val="00725F1D"/>
    <w:rsid w:val="00726AB3"/>
    <w:rsid w:val="00727013"/>
    <w:rsid w:val="0072779D"/>
    <w:rsid w:val="00727BEC"/>
    <w:rsid w:val="00730F11"/>
    <w:rsid w:val="007310FE"/>
    <w:rsid w:val="0073183A"/>
    <w:rsid w:val="00732488"/>
    <w:rsid w:val="007336F7"/>
    <w:rsid w:val="007342F4"/>
    <w:rsid w:val="0073462F"/>
    <w:rsid w:val="00734784"/>
    <w:rsid w:val="00734D6A"/>
    <w:rsid w:val="00735297"/>
    <w:rsid w:val="007355A9"/>
    <w:rsid w:val="00735609"/>
    <w:rsid w:val="007358CC"/>
    <w:rsid w:val="007359FB"/>
    <w:rsid w:val="0073613F"/>
    <w:rsid w:val="00736848"/>
    <w:rsid w:val="00736FE0"/>
    <w:rsid w:val="00737406"/>
    <w:rsid w:val="00737DD8"/>
    <w:rsid w:val="00741058"/>
    <w:rsid w:val="00741E3D"/>
    <w:rsid w:val="0074208F"/>
    <w:rsid w:val="00743130"/>
    <w:rsid w:val="007438E5"/>
    <w:rsid w:val="0074447C"/>
    <w:rsid w:val="0074509B"/>
    <w:rsid w:val="0074628E"/>
    <w:rsid w:val="00746968"/>
    <w:rsid w:val="0074722B"/>
    <w:rsid w:val="00747E8C"/>
    <w:rsid w:val="00750878"/>
    <w:rsid w:val="00750F23"/>
    <w:rsid w:val="00750F8C"/>
    <w:rsid w:val="007512C3"/>
    <w:rsid w:val="007527B8"/>
    <w:rsid w:val="00755309"/>
    <w:rsid w:val="007554F7"/>
    <w:rsid w:val="00755660"/>
    <w:rsid w:val="00755868"/>
    <w:rsid w:val="00755F22"/>
    <w:rsid w:val="007561A5"/>
    <w:rsid w:val="00756841"/>
    <w:rsid w:val="00756D4C"/>
    <w:rsid w:val="00756E39"/>
    <w:rsid w:val="007570AC"/>
    <w:rsid w:val="0075710D"/>
    <w:rsid w:val="00757625"/>
    <w:rsid w:val="00757C20"/>
    <w:rsid w:val="007609C0"/>
    <w:rsid w:val="00760EF2"/>
    <w:rsid w:val="00760F68"/>
    <w:rsid w:val="00761FBF"/>
    <w:rsid w:val="007620CC"/>
    <w:rsid w:val="00762B27"/>
    <w:rsid w:val="007633F6"/>
    <w:rsid w:val="00765952"/>
    <w:rsid w:val="0076613D"/>
    <w:rsid w:val="0076674A"/>
    <w:rsid w:val="00766EAF"/>
    <w:rsid w:val="00770803"/>
    <w:rsid w:val="00770FEE"/>
    <w:rsid w:val="00772335"/>
    <w:rsid w:val="00772555"/>
    <w:rsid w:val="00772766"/>
    <w:rsid w:val="00772A0D"/>
    <w:rsid w:val="00773AEB"/>
    <w:rsid w:val="00774114"/>
    <w:rsid w:val="00774171"/>
    <w:rsid w:val="00774275"/>
    <w:rsid w:val="00780061"/>
    <w:rsid w:val="00780504"/>
    <w:rsid w:val="00780969"/>
    <w:rsid w:val="00780A9F"/>
    <w:rsid w:val="00782713"/>
    <w:rsid w:val="00783062"/>
    <w:rsid w:val="00783AE6"/>
    <w:rsid w:val="00784438"/>
    <w:rsid w:val="00784F60"/>
    <w:rsid w:val="00785196"/>
    <w:rsid w:val="0078571F"/>
    <w:rsid w:val="00785B31"/>
    <w:rsid w:val="007870FF"/>
    <w:rsid w:val="0079053D"/>
    <w:rsid w:val="00790E39"/>
    <w:rsid w:val="00791286"/>
    <w:rsid w:val="007915A6"/>
    <w:rsid w:val="00791995"/>
    <w:rsid w:val="00792858"/>
    <w:rsid w:val="00794162"/>
    <w:rsid w:val="0079458B"/>
    <w:rsid w:val="00794919"/>
    <w:rsid w:val="0079544A"/>
    <w:rsid w:val="00795F93"/>
    <w:rsid w:val="00796924"/>
    <w:rsid w:val="00796BBF"/>
    <w:rsid w:val="00796F64"/>
    <w:rsid w:val="00797FAE"/>
    <w:rsid w:val="00797FB2"/>
    <w:rsid w:val="007A0806"/>
    <w:rsid w:val="007A1DB7"/>
    <w:rsid w:val="007A20F4"/>
    <w:rsid w:val="007A20F6"/>
    <w:rsid w:val="007A3F03"/>
    <w:rsid w:val="007A402B"/>
    <w:rsid w:val="007A48B0"/>
    <w:rsid w:val="007A5212"/>
    <w:rsid w:val="007A5306"/>
    <w:rsid w:val="007A64FA"/>
    <w:rsid w:val="007A657D"/>
    <w:rsid w:val="007A7049"/>
    <w:rsid w:val="007A70F9"/>
    <w:rsid w:val="007A7D50"/>
    <w:rsid w:val="007B1157"/>
    <w:rsid w:val="007B1B95"/>
    <w:rsid w:val="007B2593"/>
    <w:rsid w:val="007B2813"/>
    <w:rsid w:val="007B2B42"/>
    <w:rsid w:val="007B35F7"/>
    <w:rsid w:val="007B444F"/>
    <w:rsid w:val="007B47C5"/>
    <w:rsid w:val="007B521A"/>
    <w:rsid w:val="007B6417"/>
    <w:rsid w:val="007B70C0"/>
    <w:rsid w:val="007B73AE"/>
    <w:rsid w:val="007B7BC7"/>
    <w:rsid w:val="007B7E90"/>
    <w:rsid w:val="007C067B"/>
    <w:rsid w:val="007C06EC"/>
    <w:rsid w:val="007C1237"/>
    <w:rsid w:val="007C1276"/>
    <w:rsid w:val="007C172A"/>
    <w:rsid w:val="007C2553"/>
    <w:rsid w:val="007C30E9"/>
    <w:rsid w:val="007C405F"/>
    <w:rsid w:val="007C4E7A"/>
    <w:rsid w:val="007C5432"/>
    <w:rsid w:val="007C564C"/>
    <w:rsid w:val="007C5B00"/>
    <w:rsid w:val="007C608D"/>
    <w:rsid w:val="007C7CA6"/>
    <w:rsid w:val="007D0CC4"/>
    <w:rsid w:val="007D0E8E"/>
    <w:rsid w:val="007D2822"/>
    <w:rsid w:val="007D308B"/>
    <w:rsid w:val="007D41A6"/>
    <w:rsid w:val="007D42F2"/>
    <w:rsid w:val="007D4A33"/>
    <w:rsid w:val="007D592F"/>
    <w:rsid w:val="007D65CB"/>
    <w:rsid w:val="007D74FE"/>
    <w:rsid w:val="007D779B"/>
    <w:rsid w:val="007D7890"/>
    <w:rsid w:val="007D7CF1"/>
    <w:rsid w:val="007E0709"/>
    <w:rsid w:val="007E0B40"/>
    <w:rsid w:val="007E146F"/>
    <w:rsid w:val="007E16B9"/>
    <w:rsid w:val="007E1EDD"/>
    <w:rsid w:val="007E2828"/>
    <w:rsid w:val="007E292E"/>
    <w:rsid w:val="007E3FE9"/>
    <w:rsid w:val="007E5A69"/>
    <w:rsid w:val="007E5C19"/>
    <w:rsid w:val="007E7396"/>
    <w:rsid w:val="007E7467"/>
    <w:rsid w:val="007E78F6"/>
    <w:rsid w:val="007F0B92"/>
    <w:rsid w:val="007F0F39"/>
    <w:rsid w:val="007F0F6F"/>
    <w:rsid w:val="007F247E"/>
    <w:rsid w:val="007F294D"/>
    <w:rsid w:val="007F3220"/>
    <w:rsid w:val="007F3E3F"/>
    <w:rsid w:val="007F4C0A"/>
    <w:rsid w:val="007F5345"/>
    <w:rsid w:val="007F54A7"/>
    <w:rsid w:val="007F6286"/>
    <w:rsid w:val="007F7392"/>
    <w:rsid w:val="007F77C6"/>
    <w:rsid w:val="007F7D13"/>
    <w:rsid w:val="007F7E05"/>
    <w:rsid w:val="00800088"/>
    <w:rsid w:val="00801BC8"/>
    <w:rsid w:val="00802D65"/>
    <w:rsid w:val="00803337"/>
    <w:rsid w:val="008033A2"/>
    <w:rsid w:val="008035F7"/>
    <w:rsid w:val="00803E8B"/>
    <w:rsid w:val="00804182"/>
    <w:rsid w:val="008047E1"/>
    <w:rsid w:val="00805D5E"/>
    <w:rsid w:val="0080654C"/>
    <w:rsid w:val="0081073F"/>
    <w:rsid w:val="008112F0"/>
    <w:rsid w:val="00811692"/>
    <w:rsid w:val="00811DF4"/>
    <w:rsid w:val="00811F2F"/>
    <w:rsid w:val="008122C5"/>
    <w:rsid w:val="00812AA3"/>
    <w:rsid w:val="00812AC0"/>
    <w:rsid w:val="008137DA"/>
    <w:rsid w:val="00813E8E"/>
    <w:rsid w:val="00814061"/>
    <w:rsid w:val="00814EA1"/>
    <w:rsid w:val="0081557C"/>
    <w:rsid w:val="00815C94"/>
    <w:rsid w:val="0081641E"/>
    <w:rsid w:val="00816C57"/>
    <w:rsid w:val="00817BAE"/>
    <w:rsid w:val="00820C04"/>
    <w:rsid w:val="0082152B"/>
    <w:rsid w:val="00821C0B"/>
    <w:rsid w:val="0082225C"/>
    <w:rsid w:val="00822408"/>
    <w:rsid w:val="008231EE"/>
    <w:rsid w:val="008232FE"/>
    <w:rsid w:val="008234B7"/>
    <w:rsid w:val="00823907"/>
    <w:rsid w:val="00824000"/>
    <w:rsid w:val="00824009"/>
    <w:rsid w:val="0082404D"/>
    <w:rsid w:val="00824DFD"/>
    <w:rsid w:val="00826010"/>
    <w:rsid w:val="00830931"/>
    <w:rsid w:val="00832CBB"/>
    <w:rsid w:val="0083351E"/>
    <w:rsid w:val="008342DD"/>
    <w:rsid w:val="00834D52"/>
    <w:rsid w:val="0083527A"/>
    <w:rsid w:val="00835385"/>
    <w:rsid w:val="00836216"/>
    <w:rsid w:val="00836270"/>
    <w:rsid w:val="00836E54"/>
    <w:rsid w:val="0083726E"/>
    <w:rsid w:val="00840635"/>
    <w:rsid w:val="00840683"/>
    <w:rsid w:val="00840929"/>
    <w:rsid w:val="00840C4E"/>
    <w:rsid w:val="00840D1C"/>
    <w:rsid w:val="00840FEB"/>
    <w:rsid w:val="00841917"/>
    <w:rsid w:val="00843807"/>
    <w:rsid w:val="0084399F"/>
    <w:rsid w:val="00844CAE"/>
    <w:rsid w:val="00845672"/>
    <w:rsid w:val="00846C0B"/>
    <w:rsid w:val="008478FB"/>
    <w:rsid w:val="00847F8B"/>
    <w:rsid w:val="0085018E"/>
    <w:rsid w:val="0085041E"/>
    <w:rsid w:val="00850ECD"/>
    <w:rsid w:val="00852AD9"/>
    <w:rsid w:val="00853088"/>
    <w:rsid w:val="00853424"/>
    <w:rsid w:val="0085347A"/>
    <w:rsid w:val="00853D3B"/>
    <w:rsid w:val="00854371"/>
    <w:rsid w:val="008545F3"/>
    <w:rsid w:val="00854AD5"/>
    <w:rsid w:val="008554E6"/>
    <w:rsid w:val="008563C3"/>
    <w:rsid w:val="0085671F"/>
    <w:rsid w:val="00857594"/>
    <w:rsid w:val="0085776B"/>
    <w:rsid w:val="00857791"/>
    <w:rsid w:val="00860224"/>
    <w:rsid w:val="008603D9"/>
    <w:rsid w:val="008603FE"/>
    <w:rsid w:val="0086106B"/>
    <w:rsid w:val="00861783"/>
    <w:rsid w:val="00862421"/>
    <w:rsid w:val="00864266"/>
    <w:rsid w:val="008647BF"/>
    <w:rsid w:val="00865DD8"/>
    <w:rsid w:val="00865E95"/>
    <w:rsid w:val="00866C39"/>
    <w:rsid w:val="00866F89"/>
    <w:rsid w:val="00867057"/>
    <w:rsid w:val="00870D1C"/>
    <w:rsid w:val="00871470"/>
    <w:rsid w:val="0087158D"/>
    <w:rsid w:val="00872CAC"/>
    <w:rsid w:val="00872DCE"/>
    <w:rsid w:val="008734A2"/>
    <w:rsid w:val="0087438D"/>
    <w:rsid w:val="008746F6"/>
    <w:rsid w:val="0087559B"/>
    <w:rsid w:val="00875822"/>
    <w:rsid w:val="008765F5"/>
    <w:rsid w:val="00876D83"/>
    <w:rsid w:val="00877F72"/>
    <w:rsid w:val="00880167"/>
    <w:rsid w:val="00880BA9"/>
    <w:rsid w:val="00881041"/>
    <w:rsid w:val="0088119D"/>
    <w:rsid w:val="0088587E"/>
    <w:rsid w:val="00885D88"/>
    <w:rsid w:val="0088688C"/>
    <w:rsid w:val="008870D7"/>
    <w:rsid w:val="00887741"/>
    <w:rsid w:val="00887843"/>
    <w:rsid w:val="00887AFB"/>
    <w:rsid w:val="00891D2B"/>
    <w:rsid w:val="008927EB"/>
    <w:rsid w:val="008934DA"/>
    <w:rsid w:val="00893DEA"/>
    <w:rsid w:val="00894124"/>
    <w:rsid w:val="0089430B"/>
    <w:rsid w:val="008967C5"/>
    <w:rsid w:val="00896952"/>
    <w:rsid w:val="00896C60"/>
    <w:rsid w:val="00897126"/>
    <w:rsid w:val="00897977"/>
    <w:rsid w:val="008A01C5"/>
    <w:rsid w:val="008A10B8"/>
    <w:rsid w:val="008A1243"/>
    <w:rsid w:val="008A253E"/>
    <w:rsid w:val="008A2630"/>
    <w:rsid w:val="008A2D4C"/>
    <w:rsid w:val="008A379A"/>
    <w:rsid w:val="008A46B5"/>
    <w:rsid w:val="008A46F6"/>
    <w:rsid w:val="008A562E"/>
    <w:rsid w:val="008A75E3"/>
    <w:rsid w:val="008B0730"/>
    <w:rsid w:val="008B122E"/>
    <w:rsid w:val="008B1272"/>
    <w:rsid w:val="008B1992"/>
    <w:rsid w:val="008B4C6E"/>
    <w:rsid w:val="008B57E3"/>
    <w:rsid w:val="008B5CD5"/>
    <w:rsid w:val="008B6FFF"/>
    <w:rsid w:val="008B7350"/>
    <w:rsid w:val="008B7BD0"/>
    <w:rsid w:val="008C00A9"/>
    <w:rsid w:val="008C0E95"/>
    <w:rsid w:val="008C1A92"/>
    <w:rsid w:val="008C333F"/>
    <w:rsid w:val="008C3AA4"/>
    <w:rsid w:val="008C3D16"/>
    <w:rsid w:val="008C3F53"/>
    <w:rsid w:val="008C4151"/>
    <w:rsid w:val="008C4EB5"/>
    <w:rsid w:val="008C51DF"/>
    <w:rsid w:val="008C56B1"/>
    <w:rsid w:val="008C5A9E"/>
    <w:rsid w:val="008C5C93"/>
    <w:rsid w:val="008C6F1E"/>
    <w:rsid w:val="008C7271"/>
    <w:rsid w:val="008C7592"/>
    <w:rsid w:val="008C7992"/>
    <w:rsid w:val="008D0A41"/>
    <w:rsid w:val="008D0D9B"/>
    <w:rsid w:val="008D1796"/>
    <w:rsid w:val="008D179C"/>
    <w:rsid w:val="008D1D33"/>
    <w:rsid w:val="008D2026"/>
    <w:rsid w:val="008D2FD0"/>
    <w:rsid w:val="008D334E"/>
    <w:rsid w:val="008D363A"/>
    <w:rsid w:val="008D3F13"/>
    <w:rsid w:val="008D51F1"/>
    <w:rsid w:val="008D5BC7"/>
    <w:rsid w:val="008D5C0B"/>
    <w:rsid w:val="008D5EB6"/>
    <w:rsid w:val="008D6C83"/>
    <w:rsid w:val="008D78D7"/>
    <w:rsid w:val="008E0C27"/>
    <w:rsid w:val="008E1CDB"/>
    <w:rsid w:val="008E2C2B"/>
    <w:rsid w:val="008E3490"/>
    <w:rsid w:val="008E44BB"/>
    <w:rsid w:val="008E5402"/>
    <w:rsid w:val="008E5C42"/>
    <w:rsid w:val="008E6024"/>
    <w:rsid w:val="008E656D"/>
    <w:rsid w:val="008E7557"/>
    <w:rsid w:val="008E7CF0"/>
    <w:rsid w:val="008E7D9F"/>
    <w:rsid w:val="008F03AD"/>
    <w:rsid w:val="008F048D"/>
    <w:rsid w:val="008F1302"/>
    <w:rsid w:val="008F2227"/>
    <w:rsid w:val="008F2AED"/>
    <w:rsid w:val="008F2ECA"/>
    <w:rsid w:val="008F386A"/>
    <w:rsid w:val="008F3A15"/>
    <w:rsid w:val="008F3E58"/>
    <w:rsid w:val="008F4249"/>
    <w:rsid w:val="008F45A1"/>
    <w:rsid w:val="008F5072"/>
    <w:rsid w:val="008F65BB"/>
    <w:rsid w:val="008F6803"/>
    <w:rsid w:val="008F78AE"/>
    <w:rsid w:val="00900123"/>
    <w:rsid w:val="00900748"/>
    <w:rsid w:val="00900F20"/>
    <w:rsid w:val="009010F2"/>
    <w:rsid w:val="00902392"/>
    <w:rsid w:val="009034A7"/>
    <w:rsid w:val="00904267"/>
    <w:rsid w:val="00904CC5"/>
    <w:rsid w:val="009053DF"/>
    <w:rsid w:val="0090553E"/>
    <w:rsid w:val="0090746D"/>
    <w:rsid w:val="00907793"/>
    <w:rsid w:val="00910DC3"/>
    <w:rsid w:val="00910EC1"/>
    <w:rsid w:val="009114B5"/>
    <w:rsid w:val="009127E6"/>
    <w:rsid w:val="00914C37"/>
    <w:rsid w:val="00916183"/>
    <w:rsid w:val="0091644B"/>
    <w:rsid w:val="00916C84"/>
    <w:rsid w:val="009209DD"/>
    <w:rsid w:val="0092195B"/>
    <w:rsid w:val="0092257D"/>
    <w:rsid w:val="009235F0"/>
    <w:rsid w:val="009243A8"/>
    <w:rsid w:val="00924B08"/>
    <w:rsid w:val="00924D2C"/>
    <w:rsid w:val="00925459"/>
    <w:rsid w:val="00925AE3"/>
    <w:rsid w:val="009279D0"/>
    <w:rsid w:val="00927F7C"/>
    <w:rsid w:val="009300E1"/>
    <w:rsid w:val="009302A4"/>
    <w:rsid w:val="009310B3"/>
    <w:rsid w:val="00931293"/>
    <w:rsid w:val="009324BC"/>
    <w:rsid w:val="00933799"/>
    <w:rsid w:val="00933BA9"/>
    <w:rsid w:val="00933C9B"/>
    <w:rsid w:val="0093508D"/>
    <w:rsid w:val="00935C4C"/>
    <w:rsid w:val="00935CB5"/>
    <w:rsid w:val="009360BE"/>
    <w:rsid w:val="00936AF1"/>
    <w:rsid w:val="00937C93"/>
    <w:rsid w:val="00940642"/>
    <w:rsid w:val="009408B4"/>
    <w:rsid w:val="00940C6A"/>
    <w:rsid w:val="00941BD7"/>
    <w:rsid w:val="00941FE9"/>
    <w:rsid w:val="00942B32"/>
    <w:rsid w:val="0094378B"/>
    <w:rsid w:val="0094403C"/>
    <w:rsid w:val="0094409F"/>
    <w:rsid w:val="0094462E"/>
    <w:rsid w:val="00945F0F"/>
    <w:rsid w:val="0094650F"/>
    <w:rsid w:val="00946ECA"/>
    <w:rsid w:val="00946EEA"/>
    <w:rsid w:val="00947545"/>
    <w:rsid w:val="00947848"/>
    <w:rsid w:val="00947AAC"/>
    <w:rsid w:val="009501AE"/>
    <w:rsid w:val="00950399"/>
    <w:rsid w:val="00950F23"/>
    <w:rsid w:val="009514FC"/>
    <w:rsid w:val="00952B0B"/>
    <w:rsid w:val="0095373F"/>
    <w:rsid w:val="00953BA8"/>
    <w:rsid w:val="009541BC"/>
    <w:rsid w:val="009551F8"/>
    <w:rsid w:val="0095574B"/>
    <w:rsid w:val="0095646C"/>
    <w:rsid w:val="00956650"/>
    <w:rsid w:val="00956D2F"/>
    <w:rsid w:val="00957058"/>
    <w:rsid w:val="009575DF"/>
    <w:rsid w:val="00957716"/>
    <w:rsid w:val="009577F8"/>
    <w:rsid w:val="00957995"/>
    <w:rsid w:val="00960D77"/>
    <w:rsid w:val="00961045"/>
    <w:rsid w:val="00962295"/>
    <w:rsid w:val="0096277C"/>
    <w:rsid w:val="00962EFA"/>
    <w:rsid w:val="00963196"/>
    <w:rsid w:val="00963F7A"/>
    <w:rsid w:val="00964949"/>
    <w:rsid w:val="00964D4A"/>
    <w:rsid w:val="009654BA"/>
    <w:rsid w:val="00965786"/>
    <w:rsid w:val="0096612D"/>
    <w:rsid w:val="009665BC"/>
    <w:rsid w:val="00966A6C"/>
    <w:rsid w:val="00966EA3"/>
    <w:rsid w:val="009674B1"/>
    <w:rsid w:val="00970ABF"/>
    <w:rsid w:val="00972F6D"/>
    <w:rsid w:val="00973517"/>
    <w:rsid w:val="00973C04"/>
    <w:rsid w:val="0097481F"/>
    <w:rsid w:val="0097512B"/>
    <w:rsid w:val="0097558D"/>
    <w:rsid w:val="00975D2E"/>
    <w:rsid w:val="00976D34"/>
    <w:rsid w:val="00977BF6"/>
    <w:rsid w:val="009808CA"/>
    <w:rsid w:val="00980C16"/>
    <w:rsid w:val="00981408"/>
    <w:rsid w:val="009816AF"/>
    <w:rsid w:val="00981881"/>
    <w:rsid w:val="009828C7"/>
    <w:rsid w:val="00983196"/>
    <w:rsid w:val="00984AEF"/>
    <w:rsid w:val="00984F94"/>
    <w:rsid w:val="009855B9"/>
    <w:rsid w:val="0098569C"/>
    <w:rsid w:val="00985CDE"/>
    <w:rsid w:val="009862E9"/>
    <w:rsid w:val="00987F9F"/>
    <w:rsid w:val="00990437"/>
    <w:rsid w:val="0099047A"/>
    <w:rsid w:val="009916FA"/>
    <w:rsid w:val="00993358"/>
    <w:rsid w:val="00994218"/>
    <w:rsid w:val="00994B04"/>
    <w:rsid w:val="00995A07"/>
    <w:rsid w:val="00995D52"/>
    <w:rsid w:val="009969C7"/>
    <w:rsid w:val="009A073B"/>
    <w:rsid w:val="009A10C1"/>
    <w:rsid w:val="009A12F4"/>
    <w:rsid w:val="009A2209"/>
    <w:rsid w:val="009A2941"/>
    <w:rsid w:val="009A37E0"/>
    <w:rsid w:val="009A48C5"/>
    <w:rsid w:val="009A5524"/>
    <w:rsid w:val="009A6740"/>
    <w:rsid w:val="009A72E2"/>
    <w:rsid w:val="009A7616"/>
    <w:rsid w:val="009B0B57"/>
    <w:rsid w:val="009B2343"/>
    <w:rsid w:val="009B2E10"/>
    <w:rsid w:val="009B301E"/>
    <w:rsid w:val="009B3A61"/>
    <w:rsid w:val="009B3D0B"/>
    <w:rsid w:val="009B4785"/>
    <w:rsid w:val="009B4A1A"/>
    <w:rsid w:val="009B4B43"/>
    <w:rsid w:val="009B4F17"/>
    <w:rsid w:val="009B5445"/>
    <w:rsid w:val="009B57E0"/>
    <w:rsid w:val="009B755C"/>
    <w:rsid w:val="009C0061"/>
    <w:rsid w:val="009C16BF"/>
    <w:rsid w:val="009C2C8F"/>
    <w:rsid w:val="009C3171"/>
    <w:rsid w:val="009C3957"/>
    <w:rsid w:val="009C3A4F"/>
    <w:rsid w:val="009C3E70"/>
    <w:rsid w:val="009C4461"/>
    <w:rsid w:val="009C57C3"/>
    <w:rsid w:val="009C59B2"/>
    <w:rsid w:val="009D009D"/>
    <w:rsid w:val="009D080E"/>
    <w:rsid w:val="009D3CA1"/>
    <w:rsid w:val="009D41C2"/>
    <w:rsid w:val="009D57E2"/>
    <w:rsid w:val="009D67A4"/>
    <w:rsid w:val="009D7C7B"/>
    <w:rsid w:val="009E1032"/>
    <w:rsid w:val="009E3835"/>
    <w:rsid w:val="009E3986"/>
    <w:rsid w:val="009E50D4"/>
    <w:rsid w:val="009E512D"/>
    <w:rsid w:val="009E603E"/>
    <w:rsid w:val="009E6EBD"/>
    <w:rsid w:val="009E7241"/>
    <w:rsid w:val="009F0BF0"/>
    <w:rsid w:val="009F0F5B"/>
    <w:rsid w:val="009F1659"/>
    <w:rsid w:val="009F2515"/>
    <w:rsid w:val="009F3252"/>
    <w:rsid w:val="009F3807"/>
    <w:rsid w:val="009F488A"/>
    <w:rsid w:val="009F48F6"/>
    <w:rsid w:val="009F5028"/>
    <w:rsid w:val="009F62B7"/>
    <w:rsid w:val="009F6AC4"/>
    <w:rsid w:val="009F7E0E"/>
    <w:rsid w:val="00A00136"/>
    <w:rsid w:val="00A01476"/>
    <w:rsid w:val="00A01CA5"/>
    <w:rsid w:val="00A01E1D"/>
    <w:rsid w:val="00A02451"/>
    <w:rsid w:val="00A0307E"/>
    <w:rsid w:val="00A036D6"/>
    <w:rsid w:val="00A038E3"/>
    <w:rsid w:val="00A03F6A"/>
    <w:rsid w:val="00A042D9"/>
    <w:rsid w:val="00A04501"/>
    <w:rsid w:val="00A04595"/>
    <w:rsid w:val="00A0464C"/>
    <w:rsid w:val="00A0481F"/>
    <w:rsid w:val="00A06EBE"/>
    <w:rsid w:val="00A0735C"/>
    <w:rsid w:val="00A07B82"/>
    <w:rsid w:val="00A1105A"/>
    <w:rsid w:val="00A12190"/>
    <w:rsid w:val="00A13F18"/>
    <w:rsid w:val="00A14304"/>
    <w:rsid w:val="00A14B6B"/>
    <w:rsid w:val="00A14DA9"/>
    <w:rsid w:val="00A157A4"/>
    <w:rsid w:val="00A16404"/>
    <w:rsid w:val="00A16B18"/>
    <w:rsid w:val="00A17714"/>
    <w:rsid w:val="00A17831"/>
    <w:rsid w:val="00A200CF"/>
    <w:rsid w:val="00A2029E"/>
    <w:rsid w:val="00A21632"/>
    <w:rsid w:val="00A232B5"/>
    <w:rsid w:val="00A23E11"/>
    <w:rsid w:val="00A2438F"/>
    <w:rsid w:val="00A24EDD"/>
    <w:rsid w:val="00A25386"/>
    <w:rsid w:val="00A2592D"/>
    <w:rsid w:val="00A26067"/>
    <w:rsid w:val="00A261E8"/>
    <w:rsid w:val="00A268A0"/>
    <w:rsid w:val="00A27284"/>
    <w:rsid w:val="00A32892"/>
    <w:rsid w:val="00A32BE2"/>
    <w:rsid w:val="00A32CC3"/>
    <w:rsid w:val="00A3308C"/>
    <w:rsid w:val="00A3352A"/>
    <w:rsid w:val="00A3352D"/>
    <w:rsid w:val="00A3509E"/>
    <w:rsid w:val="00A35235"/>
    <w:rsid w:val="00A3528D"/>
    <w:rsid w:val="00A355D6"/>
    <w:rsid w:val="00A35C67"/>
    <w:rsid w:val="00A35FEA"/>
    <w:rsid w:val="00A36958"/>
    <w:rsid w:val="00A36DB4"/>
    <w:rsid w:val="00A370D5"/>
    <w:rsid w:val="00A41C9C"/>
    <w:rsid w:val="00A41E64"/>
    <w:rsid w:val="00A41EA5"/>
    <w:rsid w:val="00A450C2"/>
    <w:rsid w:val="00A454E7"/>
    <w:rsid w:val="00A45614"/>
    <w:rsid w:val="00A45C8A"/>
    <w:rsid w:val="00A46692"/>
    <w:rsid w:val="00A4721C"/>
    <w:rsid w:val="00A50D43"/>
    <w:rsid w:val="00A51E78"/>
    <w:rsid w:val="00A52825"/>
    <w:rsid w:val="00A53029"/>
    <w:rsid w:val="00A53802"/>
    <w:rsid w:val="00A53E6B"/>
    <w:rsid w:val="00A54B58"/>
    <w:rsid w:val="00A55E0A"/>
    <w:rsid w:val="00A561FA"/>
    <w:rsid w:val="00A567BC"/>
    <w:rsid w:val="00A60D96"/>
    <w:rsid w:val="00A616E0"/>
    <w:rsid w:val="00A61C92"/>
    <w:rsid w:val="00A6285A"/>
    <w:rsid w:val="00A62EBD"/>
    <w:rsid w:val="00A63F78"/>
    <w:rsid w:val="00A65862"/>
    <w:rsid w:val="00A662BE"/>
    <w:rsid w:val="00A6666B"/>
    <w:rsid w:val="00A66EC7"/>
    <w:rsid w:val="00A67148"/>
    <w:rsid w:val="00A67846"/>
    <w:rsid w:val="00A67C0E"/>
    <w:rsid w:val="00A70BF0"/>
    <w:rsid w:val="00A70D41"/>
    <w:rsid w:val="00A71AD8"/>
    <w:rsid w:val="00A722FC"/>
    <w:rsid w:val="00A72A41"/>
    <w:rsid w:val="00A742BA"/>
    <w:rsid w:val="00A7437A"/>
    <w:rsid w:val="00A74847"/>
    <w:rsid w:val="00A74B3A"/>
    <w:rsid w:val="00A74D7A"/>
    <w:rsid w:val="00A74EBA"/>
    <w:rsid w:val="00A75451"/>
    <w:rsid w:val="00A755EA"/>
    <w:rsid w:val="00A7610E"/>
    <w:rsid w:val="00A76C5F"/>
    <w:rsid w:val="00A76F4C"/>
    <w:rsid w:val="00A771C4"/>
    <w:rsid w:val="00A7790E"/>
    <w:rsid w:val="00A80387"/>
    <w:rsid w:val="00A80A5F"/>
    <w:rsid w:val="00A81F0D"/>
    <w:rsid w:val="00A82926"/>
    <w:rsid w:val="00A82B7B"/>
    <w:rsid w:val="00A82E08"/>
    <w:rsid w:val="00A836DB"/>
    <w:rsid w:val="00A83930"/>
    <w:rsid w:val="00A83B9D"/>
    <w:rsid w:val="00A846A0"/>
    <w:rsid w:val="00A84B50"/>
    <w:rsid w:val="00A84CF2"/>
    <w:rsid w:val="00A8551B"/>
    <w:rsid w:val="00A86DAE"/>
    <w:rsid w:val="00A90903"/>
    <w:rsid w:val="00A90EAD"/>
    <w:rsid w:val="00A915BE"/>
    <w:rsid w:val="00A92F5C"/>
    <w:rsid w:val="00A932F7"/>
    <w:rsid w:val="00A9343D"/>
    <w:rsid w:val="00A93535"/>
    <w:rsid w:val="00A93592"/>
    <w:rsid w:val="00A9393D"/>
    <w:rsid w:val="00A93970"/>
    <w:rsid w:val="00A94978"/>
    <w:rsid w:val="00A9639D"/>
    <w:rsid w:val="00A96A6B"/>
    <w:rsid w:val="00A96D8E"/>
    <w:rsid w:val="00A9708E"/>
    <w:rsid w:val="00A971C3"/>
    <w:rsid w:val="00A97D35"/>
    <w:rsid w:val="00AA0C10"/>
    <w:rsid w:val="00AA0FD0"/>
    <w:rsid w:val="00AA151C"/>
    <w:rsid w:val="00AA1630"/>
    <w:rsid w:val="00AA325D"/>
    <w:rsid w:val="00AA3267"/>
    <w:rsid w:val="00AA37DB"/>
    <w:rsid w:val="00AA4ABD"/>
    <w:rsid w:val="00AA5290"/>
    <w:rsid w:val="00AA530E"/>
    <w:rsid w:val="00AA5A97"/>
    <w:rsid w:val="00AA67A1"/>
    <w:rsid w:val="00AA67B3"/>
    <w:rsid w:val="00AA6DB8"/>
    <w:rsid w:val="00AA7411"/>
    <w:rsid w:val="00AA780D"/>
    <w:rsid w:val="00AB06B2"/>
    <w:rsid w:val="00AB1662"/>
    <w:rsid w:val="00AB1786"/>
    <w:rsid w:val="00AB1B1C"/>
    <w:rsid w:val="00AB242F"/>
    <w:rsid w:val="00AB270F"/>
    <w:rsid w:val="00AB299B"/>
    <w:rsid w:val="00AB2E23"/>
    <w:rsid w:val="00AB314D"/>
    <w:rsid w:val="00AB3601"/>
    <w:rsid w:val="00AB3C56"/>
    <w:rsid w:val="00AB4BE2"/>
    <w:rsid w:val="00AB591E"/>
    <w:rsid w:val="00AB5A14"/>
    <w:rsid w:val="00AB5C90"/>
    <w:rsid w:val="00AB5DE4"/>
    <w:rsid w:val="00AB5E06"/>
    <w:rsid w:val="00AC0C42"/>
    <w:rsid w:val="00AC1286"/>
    <w:rsid w:val="00AC192E"/>
    <w:rsid w:val="00AC1D98"/>
    <w:rsid w:val="00AC2105"/>
    <w:rsid w:val="00AC2AF3"/>
    <w:rsid w:val="00AC2DA2"/>
    <w:rsid w:val="00AC33DB"/>
    <w:rsid w:val="00AC4800"/>
    <w:rsid w:val="00AC485B"/>
    <w:rsid w:val="00AC5FEB"/>
    <w:rsid w:val="00AC6184"/>
    <w:rsid w:val="00AC6200"/>
    <w:rsid w:val="00AC6CA0"/>
    <w:rsid w:val="00AD0236"/>
    <w:rsid w:val="00AD085B"/>
    <w:rsid w:val="00AD0C5A"/>
    <w:rsid w:val="00AD2405"/>
    <w:rsid w:val="00AD299B"/>
    <w:rsid w:val="00AD480A"/>
    <w:rsid w:val="00AD5068"/>
    <w:rsid w:val="00AD58C8"/>
    <w:rsid w:val="00AD606C"/>
    <w:rsid w:val="00AD67E6"/>
    <w:rsid w:val="00AD6B96"/>
    <w:rsid w:val="00AD6C8F"/>
    <w:rsid w:val="00AD75B7"/>
    <w:rsid w:val="00AD7A69"/>
    <w:rsid w:val="00AD7EF8"/>
    <w:rsid w:val="00AE0159"/>
    <w:rsid w:val="00AE0602"/>
    <w:rsid w:val="00AE061D"/>
    <w:rsid w:val="00AE0C9E"/>
    <w:rsid w:val="00AE0FC9"/>
    <w:rsid w:val="00AE3B05"/>
    <w:rsid w:val="00AE44E9"/>
    <w:rsid w:val="00AE47CF"/>
    <w:rsid w:val="00AE49C0"/>
    <w:rsid w:val="00AE4B78"/>
    <w:rsid w:val="00AE56F3"/>
    <w:rsid w:val="00AE678E"/>
    <w:rsid w:val="00AE68AA"/>
    <w:rsid w:val="00AE6B69"/>
    <w:rsid w:val="00AE6C80"/>
    <w:rsid w:val="00AE6D57"/>
    <w:rsid w:val="00AE74A0"/>
    <w:rsid w:val="00AE79BF"/>
    <w:rsid w:val="00AF006B"/>
    <w:rsid w:val="00AF1CF5"/>
    <w:rsid w:val="00AF28DC"/>
    <w:rsid w:val="00AF31B8"/>
    <w:rsid w:val="00AF3258"/>
    <w:rsid w:val="00AF3953"/>
    <w:rsid w:val="00AF48DD"/>
    <w:rsid w:val="00AF4D36"/>
    <w:rsid w:val="00AF54FE"/>
    <w:rsid w:val="00AF585A"/>
    <w:rsid w:val="00B001FD"/>
    <w:rsid w:val="00B00C52"/>
    <w:rsid w:val="00B01245"/>
    <w:rsid w:val="00B01FFB"/>
    <w:rsid w:val="00B02223"/>
    <w:rsid w:val="00B027DE"/>
    <w:rsid w:val="00B02C3D"/>
    <w:rsid w:val="00B02D3D"/>
    <w:rsid w:val="00B0357A"/>
    <w:rsid w:val="00B035E8"/>
    <w:rsid w:val="00B03921"/>
    <w:rsid w:val="00B04D03"/>
    <w:rsid w:val="00B062F3"/>
    <w:rsid w:val="00B063BB"/>
    <w:rsid w:val="00B069E8"/>
    <w:rsid w:val="00B06C6F"/>
    <w:rsid w:val="00B06F9C"/>
    <w:rsid w:val="00B06FC2"/>
    <w:rsid w:val="00B07297"/>
    <w:rsid w:val="00B074BF"/>
    <w:rsid w:val="00B1199F"/>
    <w:rsid w:val="00B13C2B"/>
    <w:rsid w:val="00B15349"/>
    <w:rsid w:val="00B15B46"/>
    <w:rsid w:val="00B16E92"/>
    <w:rsid w:val="00B172DC"/>
    <w:rsid w:val="00B1747F"/>
    <w:rsid w:val="00B20897"/>
    <w:rsid w:val="00B2254A"/>
    <w:rsid w:val="00B23F12"/>
    <w:rsid w:val="00B24804"/>
    <w:rsid w:val="00B259D4"/>
    <w:rsid w:val="00B263B0"/>
    <w:rsid w:val="00B26D0D"/>
    <w:rsid w:val="00B27A86"/>
    <w:rsid w:val="00B27CEF"/>
    <w:rsid w:val="00B304EE"/>
    <w:rsid w:val="00B3053B"/>
    <w:rsid w:val="00B30C61"/>
    <w:rsid w:val="00B31B69"/>
    <w:rsid w:val="00B32A9B"/>
    <w:rsid w:val="00B34D6A"/>
    <w:rsid w:val="00B3555C"/>
    <w:rsid w:val="00B35A48"/>
    <w:rsid w:val="00B369AF"/>
    <w:rsid w:val="00B36A0E"/>
    <w:rsid w:val="00B36CC9"/>
    <w:rsid w:val="00B3708A"/>
    <w:rsid w:val="00B37A01"/>
    <w:rsid w:val="00B37FAE"/>
    <w:rsid w:val="00B40BB3"/>
    <w:rsid w:val="00B41C84"/>
    <w:rsid w:val="00B42868"/>
    <w:rsid w:val="00B429B4"/>
    <w:rsid w:val="00B42AB6"/>
    <w:rsid w:val="00B42CB5"/>
    <w:rsid w:val="00B42DE3"/>
    <w:rsid w:val="00B4345A"/>
    <w:rsid w:val="00B43B39"/>
    <w:rsid w:val="00B43E59"/>
    <w:rsid w:val="00B44E8F"/>
    <w:rsid w:val="00B45B18"/>
    <w:rsid w:val="00B46374"/>
    <w:rsid w:val="00B465F7"/>
    <w:rsid w:val="00B46FE3"/>
    <w:rsid w:val="00B473D3"/>
    <w:rsid w:val="00B476D2"/>
    <w:rsid w:val="00B47781"/>
    <w:rsid w:val="00B50CCA"/>
    <w:rsid w:val="00B50DBC"/>
    <w:rsid w:val="00B51A3C"/>
    <w:rsid w:val="00B525FC"/>
    <w:rsid w:val="00B52BB7"/>
    <w:rsid w:val="00B5350F"/>
    <w:rsid w:val="00B53878"/>
    <w:rsid w:val="00B53A6E"/>
    <w:rsid w:val="00B53E0F"/>
    <w:rsid w:val="00B53F4D"/>
    <w:rsid w:val="00B54936"/>
    <w:rsid w:val="00B549D5"/>
    <w:rsid w:val="00B54C14"/>
    <w:rsid w:val="00B55A48"/>
    <w:rsid w:val="00B55ABA"/>
    <w:rsid w:val="00B566A5"/>
    <w:rsid w:val="00B600D1"/>
    <w:rsid w:val="00B6040B"/>
    <w:rsid w:val="00B61513"/>
    <w:rsid w:val="00B61E94"/>
    <w:rsid w:val="00B62385"/>
    <w:rsid w:val="00B64117"/>
    <w:rsid w:val="00B64B8B"/>
    <w:rsid w:val="00B64C17"/>
    <w:rsid w:val="00B66C5F"/>
    <w:rsid w:val="00B66D60"/>
    <w:rsid w:val="00B67EE5"/>
    <w:rsid w:val="00B67F51"/>
    <w:rsid w:val="00B70384"/>
    <w:rsid w:val="00B7066C"/>
    <w:rsid w:val="00B706FB"/>
    <w:rsid w:val="00B71056"/>
    <w:rsid w:val="00B71935"/>
    <w:rsid w:val="00B71F5F"/>
    <w:rsid w:val="00B728A2"/>
    <w:rsid w:val="00B7442E"/>
    <w:rsid w:val="00B74435"/>
    <w:rsid w:val="00B77BBC"/>
    <w:rsid w:val="00B77CF0"/>
    <w:rsid w:val="00B80897"/>
    <w:rsid w:val="00B81AD5"/>
    <w:rsid w:val="00B81CD8"/>
    <w:rsid w:val="00B82B1D"/>
    <w:rsid w:val="00B843B5"/>
    <w:rsid w:val="00B848A9"/>
    <w:rsid w:val="00B85369"/>
    <w:rsid w:val="00B85847"/>
    <w:rsid w:val="00B85867"/>
    <w:rsid w:val="00B858ED"/>
    <w:rsid w:val="00B85A89"/>
    <w:rsid w:val="00B876BF"/>
    <w:rsid w:val="00B87E24"/>
    <w:rsid w:val="00B87F70"/>
    <w:rsid w:val="00B90654"/>
    <w:rsid w:val="00B909FB"/>
    <w:rsid w:val="00B90CEB"/>
    <w:rsid w:val="00B91508"/>
    <w:rsid w:val="00B922E0"/>
    <w:rsid w:val="00B926FC"/>
    <w:rsid w:val="00B92799"/>
    <w:rsid w:val="00B93757"/>
    <w:rsid w:val="00B9424E"/>
    <w:rsid w:val="00B94399"/>
    <w:rsid w:val="00B94666"/>
    <w:rsid w:val="00B94677"/>
    <w:rsid w:val="00B94890"/>
    <w:rsid w:val="00B94E61"/>
    <w:rsid w:val="00B96C30"/>
    <w:rsid w:val="00B96DBB"/>
    <w:rsid w:val="00B970B7"/>
    <w:rsid w:val="00B97EDD"/>
    <w:rsid w:val="00B97FCE"/>
    <w:rsid w:val="00BA02AC"/>
    <w:rsid w:val="00BA08A2"/>
    <w:rsid w:val="00BA0F9A"/>
    <w:rsid w:val="00BA15A4"/>
    <w:rsid w:val="00BA1BA1"/>
    <w:rsid w:val="00BA1BC8"/>
    <w:rsid w:val="00BA207F"/>
    <w:rsid w:val="00BA2BFE"/>
    <w:rsid w:val="00BA2FEF"/>
    <w:rsid w:val="00BA3DAB"/>
    <w:rsid w:val="00BA4036"/>
    <w:rsid w:val="00BA487E"/>
    <w:rsid w:val="00BA58C6"/>
    <w:rsid w:val="00BA618C"/>
    <w:rsid w:val="00BA651F"/>
    <w:rsid w:val="00BA6DD1"/>
    <w:rsid w:val="00BA6E95"/>
    <w:rsid w:val="00BA6FF0"/>
    <w:rsid w:val="00BB0260"/>
    <w:rsid w:val="00BB0E8A"/>
    <w:rsid w:val="00BB172B"/>
    <w:rsid w:val="00BB197A"/>
    <w:rsid w:val="00BB2003"/>
    <w:rsid w:val="00BB2D11"/>
    <w:rsid w:val="00BB3450"/>
    <w:rsid w:val="00BB370D"/>
    <w:rsid w:val="00BB48B3"/>
    <w:rsid w:val="00BB5EB0"/>
    <w:rsid w:val="00BB6D6F"/>
    <w:rsid w:val="00BB7387"/>
    <w:rsid w:val="00BC09A3"/>
    <w:rsid w:val="00BC1327"/>
    <w:rsid w:val="00BC15BA"/>
    <w:rsid w:val="00BC17C1"/>
    <w:rsid w:val="00BC28A5"/>
    <w:rsid w:val="00BC2D6D"/>
    <w:rsid w:val="00BC493F"/>
    <w:rsid w:val="00BC4D39"/>
    <w:rsid w:val="00BC7ECC"/>
    <w:rsid w:val="00BD103E"/>
    <w:rsid w:val="00BD1624"/>
    <w:rsid w:val="00BD17EE"/>
    <w:rsid w:val="00BD22CB"/>
    <w:rsid w:val="00BD2BE5"/>
    <w:rsid w:val="00BD34BD"/>
    <w:rsid w:val="00BD3829"/>
    <w:rsid w:val="00BD3F6D"/>
    <w:rsid w:val="00BD5436"/>
    <w:rsid w:val="00BD5E7D"/>
    <w:rsid w:val="00BD6075"/>
    <w:rsid w:val="00BD6E29"/>
    <w:rsid w:val="00BD707E"/>
    <w:rsid w:val="00BD76EE"/>
    <w:rsid w:val="00BD771A"/>
    <w:rsid w:val="00BD7820"/>
    <w:rsid w:val="00BE01AB"/>
    <w:rsid w:val="00BE0536"/>
    <w:rsid w:val="00BE110B"/>
    <w:rsid w:val="00BE16C0"/>
    <w:rsid w:val="00BE1927"/>
    <w:rsid w:val="00BE20FD"/>
    <w:rsid w:val="00BE22B2"/>
    <w:rsid w:val="00BE2D2F"/>
    <w:rsid w:val="00BE2D67"/>
    <w:rsid w:val="00BE2DC0"/>
    <w:rsid w:val="00BE33D6"/>
    <w:rsid w:val="00BE346E"/>
    <w:rsid w:val="00BE3FA6"/>
    <w:rsid w:val="00BE560D"/>
    <w:rsid w:val="00BE577D"/>
    <w:rsid w:val="00BE5866"/>
    <w:rsid w:val="00BE7037"/>
    <w:rsid w:val="00BE72A2"/>
    <w:rsid w:val="00BE7471"/>
    <w:rsid w:val="00BE796C"/>
    <w:rsid w:val="00BF038F"/>
    <w:rsid w:val="00BF12A4"/>
    <w:rsid w:val="00BF228B"/>
    <w:rsid w:val="00BF3E3B"/>
    <w:rsid w:val="00BF433D"/>
    <w:rsid w:val="00BF4371"/>
    <w:rsid w:val="00BF4A39"/>
    <w:rsid w:val="00BF4F55"/>
    <w:rsid w:val="00BF5126"/>
    <w:rsid w:val="00BF514B"/>
    <w:rsid w:val="00BF6D4A"/>
    <w:rsid w:val="00BF7D98"/>
    <w:rsid w:val="00BF7E9B"/>
    <w:rsid w:val="00C0137E"/>
    <w:rsid w:val="00C015EA"/>
    <w:rsid w:val="00C01BAE"/>
    <w:rsid w:val="00C02363"/>
    <w:rsid w:val="00C0285E"/>
    <w:rsid w:val="00C03D6A"/>
    <w:rsid w:val="00C04007"/>
    <w:rsid w:val="00C0414F"/>
    <w:rsid w:val="00C0435B"/>
    <w:rsid w:val="00C04417"/>
    <w:rsid w:val="00C04F6E"/>
    <w:rsid w:val="00C052EC"/>
    <w:rsid w:val="00C05D2E"/>
    <w:rsid w:val="00C05D86"/>
    <w:rsid w:val="00C06ADD"/>
    <w:rsid w:val="00C06B77"/>
    <w:rsid w:val="00C070B4"/>
    <w:rsid w:val="00C07F50"/>
    <w:rsid w:val="00C10A80"/>
    <w:rsid w:val="00C10D39"/>
    <w:rsid w:val="00C10F17"/>
    <w:rsid w:val="00C120EA"/>
    <w:rsid w:val="00C12FA3"/>
    <w:rsid w:val="00C134FD"/>
    <w:rsid w:val="00C14194"/>
    <w:rsid w:val="00C1469B"/>
    <w:rsid w:val="00C15515"/>
    <w:rsid w:val="00C15CF1"/>
    <w:rsid w:val="00C16BDC"/>
    <w:rsid w:val="00C16D50"/>
    <w:rsid w:val="00C16FC9"/>
    <w:rsid w:val="00C178E9"/>
    <w:rsid w:val="00C20717"/>
    <w:rsid w:val="00C20F5D"/>
    <w:rsid w:val="00C212D9"/>
    <w:rsid w:val="00C2215B"/>
    <w:rsid w:val="00C22356"/>
    <w:rsid w:val="00C22E9A"/>
    <w:rsid w:val="00C23AE8"/>
    <w:rsid w:val="00C23D7F"/>
    <w:rsid w:val="00C24388"/>
    <w:rsid w:val="00C2441F"/>
    <w:rsid w:val="00C2467E"/>
    <w:rsid w:val="00C272ED"/>
    <w:rsid w:val="00C278AF"/>
    <w:rsid w:val="00C3018D"/>
    <w:rsid w:val="00C3090A"/>
    <w:rsid w:val="00C30D4D"/>
    <w:rsid w:val="00C30D6C"/>
    <w:rsid w:val="00C317F3"/>
    <w:rsid w:val="00C319A8"/>
    <w:rsid w:val="00C31DFF"/>
    <w:rsid w:val="00C31EE5"/>
    <w:rsid w:val="00C31FF3"/>
    <w:rsid w:val="00C320AD"/>
    <w:rsid w:val="00C32615"/>
    <w:rsid w:val="00C33AD3"/>
    <w:rsid w:val="00C34830"/>
    <w:rsid w:val="00C34D3A"/>
    <w:rsid w:val="00C358E7"/>
    <w:rsid w:val="00C35E69"/>
    <w:rsid w:val="00C36522"/>
    <w:rsid w:val="00C366FB"/>
    <w:rsid w:val="00C36DC6"/>
    <w:rsid w:val="00C37E90"/>
    <w:rsid w:val="00C400CE"/>
    <w:rsid w:val="00C40F14"/>
    <w:rsid w:val="00C41424"/>
    <w:rsid w:val="00C41D57"/>
    <w:rsid w:val="00C41EE6"/>
    <w:rsid w:val="00C42231"/>
    <w:rsid w:val="00C430AE"/>
    <w:rsid w:val="00C43610"/>
    <w:rsid w:val="00C43649"/>
    <w:rsid w:val="00C4401A"/>
    <w:rsid w:val="00C44E5C"/>
    <w:rsid w:val="00C45263"/>
    <w:rsid w:val="00C45846"/>
    <w:rsid w:val="00C45934"/>
    <w:rsid w:val="00C45FB1"/>
    <w:rsid w:val="00C46C75"/>
    <w:rsid w:val="00C50E60"/>
    <w:rsid w:val="00C50F88"/>
    <w:rsid w:val="00C51075"/>
    <w:rsid w:val="00C511A5"/>
    <w:rsid w:val="00C51615"/>
    <w:rsid w:val="00C5188F"/>
    <w:rsid w:val="00C51A76"/>
    <w:rsid w:val="00C51CFF"/>
    <w:rsid w:val="00C522F1"/>
    <w:rsid w:val="00C537EC"/>
    <w:rsid w:val="00C540D9"/>
    <w:rsid w:val="00C54DC7"/>
    <w:rsid w:val="00C554B1"/>
    <w:rsid w:val="00C557C9"/>
    <w:rsid w:val="00C55C03"/>
    <w:rsid w:val="00C56192"/>
    <w:rsid w:val="00C5637C"/>
    <w:rsid w:val="00C566CA"/>
    <w:rsid w:val="00C60A87"/>
    <w:rsid w:val="00C61081"/>
    <w:rsid w:val="00C618A1"/>
    <w:rsid w:val="00C61AFB"/>
    <w:rsid w:val="00C61BB9"/>
    <w:rsid w:val="00C61F2A"/>
    <w:rsid w:val="00C62600"/>
    <w:rsid w:val="00C62911"/>
    <w:rsid w:val="00C62B2F"/>
    <w:rsid w:val="00C64A08"/>
    <w:rsid w:val="00C64D63"/>
    <w:rsid w:val="00C654BC"/>
    <w:rsid w:val="00C65879"/>
    <w:rsid w:val="00C66055"/>
    <w:rsid w:val="00C66418"/>
    <w:rsid w:val="00C67574"/>
    <w:rsid w:val="00C678B4"/>
    <w:rsid w:val="00C67F98"/>
    <w:rsid w:val="00C70668"/>
    <w:rsid w:val="00C71A8D"/>
    <w:rsid w:val="00C71E7B"/>
    <w:rsid w:val="00C723C7"/>
    <w:rsid w:val="00C728EE"/>
    <w:rsid w:val="00C72E58"/>
    <w:rsid w:val="00C7333B"/>
    <w:rsid w:val="00C73A07"/>
    <w:rsid w:val="00C73C00"/>
    <w:rsid w:val="00C75558"/>
    <w:rsid w:val="00C759A6"/>
    <w:rsid w:val="00C7651C"/>
    <w:rsid w:val="00C76AB9"/>
    <w:rsid w:val="00C76C15"/>
    <w:rsid w:val="00C77362"/>
    <w:rsid w:val="00C7737B"/>
    <w:rsid w:val="00C77C82"/>
    <w:rsid w:val="00C77ED2"/>
    <w:rsid w:val="00C806A8"/>
    <w:rsid w:val="00C808F8"/>
    <w:rsid w:val="00C81C58"/>
    <w:rsid w:val="00C81FED"/>
    <w:rsid w:val="00C82C39"/>
    <w:rsid w:val="00C83471"/>
    <w:rsid w:val="00C835F3"/>
    <w:rsid w:val="00C84487"/>
    <w:rsid w:val="00C848F2"/>
    <w:rsid w:val="00C86488"/>
    <w:rsid w:val="00C867FC"/>
    <w:rsid w:val="00C86B9F"/>
    <w:rsid w:val="00C86C6E"/>
    <w:rsid w:val="00C87994"/>
    <w:rsid w:val="00C9023D"/>
    <w:rsid w:val="00C9026A"/>
    <w:rsid w:val="00C907D6"/>
    <w:rsid w:val="00C910FF"/>
    <w:rsid w:val="00C91662"/>
    <w:rsid w:val="00C925BC"/>
    <w:rsid w:val="00C92B01"/>
    <w:rsid w:val="00C936BF"/>
    <w:rsid w:val="00C9555E"/>
    <w:rsid w:val="00C9579E"/>
    <w:rsid w:val="00C97627"/>
    <w:rsid w:val="00CA06BE"/>
    <w:rsid w:val="00CA13AD"/>
    <w:rsid w:val="00CA1D11"/>
    <w:rsid w:val="00CA44A0"/>
    <w:rsid w:val="00CA49F5"/>
    <w:rsid w:val="00CA4AB2"/>
    <w:rsid w:val="00CA6026"/>
    <w:rsid w:val="00CA6487"/>
    <w:rsid w:val="00CA65CD"/>
    <w:rsid w:val="00CA669E"/>
    <w:rsid w:val="00CA7006"/>
    <w:rsid w:val="00CA76FE"/>
    <w:rsid w:val="00CA7BB2"/>
    <w:rsid w:val="00CA7C31"/>
    <w:rsid w:val="00CA7F15"/>
    <w:rsid w:val="00CB068B"/>
    <w:rsid w:val="00CB0DB5"/>
    <w:rsid w:val="00CB18FB"/>
    <w:rsid w:val="00CB1A0C"/>
    <w:rsid w:val="00CB31FA"/>
    <w:rsid w:val="00CB3320"/>
    <w:rsid w:val="00CB36B0"/>
    <w:rsid w:val="00CB3FD7"/>
    <w:rsid w:val="00CB59AA"/>
    <w:rsid w:val="00CB680F"/>
    <w:rsid w:val="00CB6C85"/>
    <w:rsid w:val="00CB7287"/>
    <w:rsid w:val="00CB7948"/>
    <w:rsid w:val="00CC0BC8"/>
    <w:rsid w:val="00CC1974"/>
    <w:rsid w:val="00CC1AFF"/>
    <w:rsid w:val="00CC1DBD"/>
    <w:rsid w:val="00CC2DC4"/>
    <w:rsid w:val="00CC4029"/>
    <w:rsid w:val="00CC4CAB"/>
    <w:rsid w:val="00CC5615"/>
    <w:rsid w:val="00CC6E6A"/>
    <w:rsid w:val="00CC7F7E"/>
    <w:rsid w:val="00CD0BC2"/>
    <w:rsid w:val="00CD0BCF"/>
    <w:rsid w:val="00CD0BEE"/>
    <w:rsid w:val="00CD1C4C"/>
    <w:rsid w:val="00CD32C3"/>
    <w:rsid w:val="00CD40DF"/>
    <w:rsid w:val="00CD42F8"/>
    <w:rsid w:val="00CD469C"/>
    <w:rsid w:val="00CD4F12"/>
    <w:rsid w:val="00CD51E1"/>
    <w:rsid w:val="00CD6F0F"/>
    <w:rsid w:val="00CD712B"/>
    <w:rsid w:val="00CD79CB"/>
    <w:rsid w:val="00CE0C3A"/>
    <w:rsid w:val="00CE1345"/>
    <w:rsid w:val="00CE176A"/>
    <w:rsid w:val="00CE2360"/>
    <w:rsid w:val="00CE23CC"/>
    <w:rsid w:val="00CE3BBA"/>
    <w:rsid w:val="00CE5820"/>
    <w:rsid w:val="00CE5868"/>
    <w:rsid w:val="00CE67E1"/>
    <w:rsid w:val="00CE6900"/>
    <w:rsid w:val="00CE7954"/>
    <w:rsid w:val="00CF0251"/>
    <w:rsid w:val="00CF02CA"/>
    <w:rsid w:val="00CF10CB"/>
    <w:rsid w:val="00CF1694"/>
    <w:rsid w:val="00CF3500"/>
    <w:rsid w:val="00CF3764"/>
    <w:rsid w:val="00CF4716"/>
    <w:rsid w:val="00CF4E47"/>
    <w:rsid w:val="00CF57DA"/>
    <w:rsid w:val="00CF63E9"/>
    <w:rsid w:val="00CF6442"/>
    <w:rsid w:val="00D008F1"/>
    <w:rsid w:val="00D00CE7"/>
    <w:rsid w:val="00D01F2D"/>
    <w:rsid w:val="00D02064"/>
    <w:rsid w:val="00D02F1A"/>
    <w:rsid w:val="00D03382"/>
    <w:rsid w:val="00D042BA"/>
    <w:rsid w:val="00D0434C"/>
    <w:rsid w:val="00D04717"/>
    <w:rsid w:val="00D05A0B"/>
    <w:rsid w:val="00D06AB4"/>
    <w:rsid w:val="00D07075"/>
    <w:rsid w:val="00D07947"/>
    <w:rsid w:val="00D10306"/>
    <w:rsid w:val="00D10D06"/>
    <w:rsid w:val="00D11330"/>
    <w:rsid w:val="00D1166D"/>
    <w:rsid w:val="00D11763"/>
    <w:rsid w:val="00D119DE"/>
    <w:rsid w:val="00D12808"/>
    <w:rsid w:val="00D1287E"/>
    <w:rsid w:val="00D13605"/>
    <w:rsid w:val="00D139D6"/>
    <w:rsid w:val="00D14530"/>
    <w:rsid w:val="00D146BC"/>
    <w:rsid w:val="00D14A6B"/>
    <w:rsid w:val="00D14A82"/>
    <w:rsid w:val="00D14C23"/>
    <w:rsid w:val="00D1519F"/>
    <w:rsid w:val="00D16CF1"/>
    <w:rsid w:val="00D177CE"/>
    <w:rsid w:val="00D17963"/>
    <w:rsid w:val="00D17E42"/>
    <w:rsid w:val="00D20402"/>
    <w:rsid w:val="00D206F8"/>
    <w:rsid w:val="00D209CD"/>
    <w:rsid w:val="00D20B7F"/>
    <w:rsid w:val="00D20D0B"/>
    <w:rsid w:val="00D21346"/>
    <w:rsid w:val="00D216B6"/>
    <w:rsid w:val="00D21770"/>
    <w:rsid w:val="00D21B2F"/>
    <w:rsid w:val="00D23C87"/>
    <w:rsid w:val="00D2463E"/>
    <w:rsid w:val="00D24889"/>
    <w:rsid w:val="00D249F4"/>
    <w:rsid w:val="00D24AD4"/>
    <w:rsid w:val="00D2531D"/>
    <w:rsid w:val="00D25CEE"/>
    <w:rsid w:val="00D2665D"/>
    <w:rsid w:val="00D27992"/>
    <w:rsid w:val="00D30378"/>
    <w:rsid w:val="00D308BD"/>
    <w:rsid w:val="00D30935"/>
    <w:rsid w:val="00D30CA5"/>
    <w:rsid w:val="00D30FEA"/>
    <w:rsid w:val="00D31482"/>
    <w:rsid w:val="00D325C9"/>
    <w:rsid w:val="00D32AAF"/>
    <w:rsid w:val="00D32BC3"/>
    <w:rsid w:val="00D331F7"/>
    <w:rsid w:val="00D333F4"/>
    <w:rsid w:val="00D3430D"/>
    <w:rsid w:val="00D3493D"/>
    <w:rsid w:val="00D356D3"/>
    <w:rsid w:val="00D35AAC"/>
    <w:rsid w:val="00D35FAC"/>
    <w:rsid w:val="00D3635E"/>
    <w:rsid w:val="00D36C1C"/>
    <w:rsid w:val="00D412DA"/>
    <w:rsid w:val="00D41C28"/>
    <w:rsid w:val="00D43300"/>
    <w:rsid w:val="00D43575"/>
    <w:rsid w:val="00D435D3"/>
    <w:rsid w:val="00D44FAF"/>
    <w:rsid w:val="00D45BCE"/>
    <w:rsid w:val="00D45F3F"/>
    <w:rsid w:val="00D46606"/>
    <w:rsid w:val="00D504CF"/>
    <w:rsid w:val="00D507BD"/>
    <w:rsid w:val="00D5108A"/>
    <w:rsid w:val="00D51ABF"/>
    <w:rsid w:val="00D51E83"/>
    <w:rsid w:val="00D52DE2"/>
    <w:rsid w:val="00D52F09"/>
    <w:rsid w:val="00D53F26"/>
    <w:rsid w:val="00D5467D"/>
    <w:rsid w:val="00D561DD"/>
    <w:rsid w:val="00D578A7"/>
    <w:rsid w:val="00D57946"/>
    <w:rsid w:val="00D6029D"/>
    <w:rsid w:val="00D604AC"/>
    <w:rsid w:val="00D60A79"/>
    <w:rsid w:val="00D62C0E"/>
    <w:rsid w:val="00D637E2"/>
    <w:rsid w:val="00D646DF"/>
    <w:rsid w:val="00D6484E"/>
    <w:rsid w:val="00D64C16"/>
    <w:rsid w:val="00D650B1"/>
    <w:rsid w:val="00D657D5"/>
    <w:rsid w:val="00D65AD5"/>
    <w:rsid w:val="00D65FC1"/>
    <w:rsid w:val="00D6624F"/>
    <w:rsid w:val="00D66DAE"/>
    <w:rsid w:val="00D70CC8"/>
    <w:rsid w:val="00D71A6F"/>
    <w:rsid w:val="00D72B87"/>
    <w:rsid w:val="00D72D4B"/>
    <w:rsid w:val="00D730F8"/>
    <w:rsid w:val="00D732C2"/>
    <w:rsid w:val="00D73C84"/>
    <w:rsid w:val="00D73CA3"/>
    <w:rsid w:val="00D74643"/>
    <w:rsid w:val="00D74749"/>
    <w:rsid w:val="00D757FA"/>
    <w:rsid w:val="00D761DD"/>
    <w:rsid w:val="00D77BEC"/>
    <w:rsid w:val="00D80029"/>
    <w:rsid w:val="00D808C0"/>
    <w:rsid w:val="00D81033"/>
    <w:rsid w:val="00D81481"/>
    <w:rsid w:val="00D817CA"/>
    <w:rsid w:val="00D81CC1"/>
    <w:rsid w:val="00D82F38"/>
    <w:rsid w:val="00D847EF"/>
    <w:rsid w:val="00D8498B"/>
    <w:rsid w:val="00D852BA"/>
    <w:rsid w:val="00D85B4B"/>
    <w:rsid w:val="00D86F28"/>
    <w:rsid w:val="00D87025"/>
    <w:rsid w:val="00D87153"/>
    <w:rsid w:val="00D90300"/>
    <w:rsid w:val="00D909F3"/>
    <w:rsid w:val="00D90B2F"/>
    <w:rsid w:val="00D91616"/>
    <w:rsid w:val="00D91746"/>
    <w:rsid w:val="00D91A1B"/>
    <w:rsid w:val="00D929F4"/>
    <w:rsid w:val="00D92D76"/>
    <w:rsid w:val="00D93674"/>
    <w:rsid w:val="00D93B95"/>
    <w:rsid w:val="00D94240"/>
    <w:rsid w:val="00D94386"/>
    <w:rsid w:val="00D9442D"/>
    <w:rsid w:val="00D94BBE"/>
    <w:rsid w:val="00D94F7C"/>
    <w:rsid w:val="00D95364"/>
    <w:rsid w:val="00D9540B"/>
    <w:rsid w:val="00D956EA"/>
    <w:rsid w:val="00D95C1A"/>
    <w:rsid w:val="00D96213"/>
    <w:rsid w:val="00D964E3"/>
    <w:rsid w:val="00D96699"/>
    <w:rsid w:val="00D9684B"/>
    <w:rsid w:val="00D96AB6"/>
    <w:rsid w:val="00D96B80"/>
    <w:rsid w:val="00D97E16"/>
    <w:rsid w:val="00DA05AC"/>
    <w:rsid w:val="00DA062B"/>
    <w:rsid w:val="00DA1765"/>
    <w:rsid w:val="00DA1B57"/>
    <w:rsid w:val="00DA1BDC"/>
    <w:rsid w:val="00DA2334"/>
    <w:rsid w:val="00DA2359"/>
    <w:rsid w:val="00DA2473"/>
    <w:rsid w:val="00DA255A"/>
    <w:rsid w:val="00DA2662"/>
    <w:rsid w:val="00DA279F"/>
    <w:rsid w:val="00DA3B1C"/>
    <w:rsid w:val="00DA4146"/>
    <w:rsid w:val="00DA5FEF"/>
    <w:rsid w:val="00DA76AE"/>
    <w:rsid w:val="00DA7873"/>
    <w:rsid w:val="00DB1538"/>
    <w:rsid w:val="00DB2934"/>
    <w:rsid w:val="00DB2CAC"/>
    <w:rsid w:val="00DB461B"/>
    <w:rsid w:val="00DB4988"/>
    <w:rsid w:val="00DB4A07"/>
    <w:rsid w:val="00DB4EE4"/>
    <w:rsid w:val="00DB502C"/>
    <w:rsid w:val="00DB5A69"/>
    <w:rsid w:val="00DB65B1"/>
    <w:rsid w:val="00DB6C28"/>
    <w:rsid w:val="00DB7B43"/>
    <w:rsid w:val="00DC05F0"/>
    <w:rsid w:val="00DC112D"/>
    <w:rsid w:val="00DC12E2"/>
    <w:rsid w:val="00DC189F"/>
    <w:rsid w:val="00DC2920"/>
    <w:rsid w:val="00DC5056"/>
    <w:rsid w:val="00DC51D5"/>
    <w:rsid w:val="00DC5565"/>
    <w:rsid w:val="00DC58FB"/>
    <w:rsid w:val="00DC5F5C"/>
    <w:rsid w:val="00DC677A"/>
    <w:rsid w:val="00DD059D"/>
    <w:rsid w:val="00DD0E26"/>
    <w:rsid w:val="00DD13AE"/>
    <w:rsid w:val="00DD1781"/>
    <w:rsid w:val="00DD26FB"/>
    <w:rsid w:val="00DD301B"/>
    <w:rsid w:val="00DD390F"/>
    <w:rsid w:val="00DD488A"/>
    <w:rsid w:val="00DD4CB9"/>
    <w:rsid w:val="00DD5AD1"/>
    <w:rsid w:val="00DE1164"/>
    <w:rsid w:val="00DE12E5"/>
    <w:rsid w:val="00DE18C8"/>
    <w:rsid w:val="00DE2022"/>
    <w:rsid w:val="00DE2703"/>
    <w:rsid w:val="00DE30E3"/>
    <w:rsid w:val="00DE35A4"/>
    <w:rsid w:val="00DE3F49"/>
    <w:rsid w:val="00DE4434"/>
    <w:rsid w:val="00DE4BD1"/>
    <w:rsid w:val="00DE4E85"/>
    <w:rsid w:val="00DE5236"/>
    <w:rsid w:val="00DE63E3"/>
    <w:rsid w:val="00DE6F91"/>
    <w:rsid w:val="00DE784E"/>
    <w:rsid w:val="00DF021F"/>
    <w:rsid w:val="00DF09DF"/>
    <w:rsid w:val="00DF207B"/>
    <w:rsid w:val="00DF23AA"/>
    <w:rsid w:val="00DF2DEC"/>
    <w:rsid w:val="00DF3176"/>
    <w:rsid w:val="00DF3BBE"/>
    <w:rsid w:val="00DF3D73"/>
    <w:rsid w:val="00DF43BF"/>
    <w:rsid w:val="00DF45F0"/>
    <w:rsid w:val="00DF517A"/>
    <w:rsid w:val="00DF624A"/>
    <w:rsid w:val="00DF72C5"/>
    <w:rsid w:val="00DF741E"/>
    <w:rsid w:val="00DF7654"/>
    <w:rsid w:val="00DF7BCF"/>
    <w:rsid w:val="00DF7C4C"/>
    <w:rsid w:val="00E00C67"/>
    <w:rsid w:val="00E017DE"/>
    <w:rsid w:val="00E02509"/>
    <w:rsid w:val="00E02F51"/>
    <w:rsid w:val="00E0434C"/>
    <w:rsid w:val="00E05ECB"/>
    <w:rsid w:val="00E0613B"/>
    <w:rsid w:val="00E065AD"/>
    <w:rsid w:val="00E06E96"/>
    <w:rsid w:val="00E10063"/>
    <w:rsid w:val="00E1051E"/>
    <w:rsid w:val="00E10972"/>
    <w:rsid w:val="00E10CA3"/>
    <w:rsid w:val="00E10EBB"/>
    <w:rsid w:val="00E115D4"/>
    <w:rsid w:val="00E134DE"/>
    <w:rsid w:val="00E13F84"/>
    <w:rsid w:val="00E140A7"/>
    <w:rsid w:val="00E14192"/>
    <w:rsid w:val="00E14B65"/>
    <w:rsid w:val="00E15064"/>
    <w:rsid w:val="00E155DD"/>
    <w:rsid w:val="00E15942"/>
    <w:rsid w:val="00E1605C"/>
    <w:rsid w:val="00E16704"/>
    <w:rsid w:val="00E16E60"/>
    <w:rsid w:val="00E17F11"/>
    <w:rsid w:val="00E17FE6"/>
    <w:rsid w:val="00E20A79"/>
    <w:rsid w:val="00E232E4"/>
    <w:rsid w:val="00E24EF5"/>
    <w:rsid w:val="00E267C5"/>
    <w:rsid w:val="00E27624"/>
    <w:rsid w:val="00E27F58"/>
    <w:rsid w:val="00E32023"/>
    <w:rsid w:val="00E32B2F"/>
    <w:rsid w:val="00E34178"/>
    <w:rsid w:val="00E356ED"/>
    <w:rsid w:val="00E3776B"/>
    <w:rsid w:val="00E404CA"/>
    <w:rsid w:val="00E41FFB"/>
    <w:rsid w:val="00E423A6"/>
    <w:rsid w:val="00E43599"/>
    <w:rsid w:val="00E43DB7"/>
    <w:rsid w:val="00E43EA1"/>
    <w:rsid w:val="00E4464A"/>
    <w:rsid w:val="00E46A73"/>
    <w:rsid w:val="00E46CB6"/>
    <w:rsid w:val="00E47B26"/>
    <w:rsid w:val="00E5006C"/>
    <w:rsid w:val="00E50489"/>
    <w:rsid w:val="00E5062B"/>
    <w:rsid w:val="00E51608"/>
    <w:rsid w:val="00E5262C"/>
    <w:rsid w:val="00E52ECC"/>
    <w:rsid w:val="00E53A16"/>
    <w:rsid w:val="00E544E2"/>
    <w:rsid w:val="00E54AD9"/>
    <w:rsid w:val="00E551BF"/>
    <w:rsid w:val="00E55FD8"/>
    <w:rsid w:val="00E56372"/>
    <w:rsid w:val="00E5685D"/>
    <w:rsid w:val="00E56F79"/>
    <w:rsid w:val="00E57295"/>
    <w:rsid w:val="00E57301"/>
    <w:rsid w:val="00E574A5"/>
    <w:rsid w:val="00E57986"/>
    <w:rsid w:val="00E60925"/>
    <w:rsid w:val="00E60968"/>
    <w:rsid w:val="00E60A4E"/>
    <w:rsid w:val="00E60A88"/>
    <w:rsid w:val="00E617CB"/>
    <w:rsid w:val="00E62ACE"/>
    <w:rsid w:val="00E63421"/>
    <w:rsid w:val="00E63D81"/>
    <w:rsid w:val="00E659FD"/>
    <w:rsid w:val="00E66843"/>
    <w:rsid w:val="00E66F02"/>
    <w:rsid w:val="00E66FA0"/>
    <w:rsid w:val="00E675B1"/>
    <w:rsid w:val="00E679A3"/>
    <w:rsid w:val="00E70407"/>
    <w:rsid w:val="00E7128C"/>
    <w:rsid w:val="00E715A2"/>
    <w:rsid w:val="00E719DA"/>
    <w:rsid w:val="00E71A27"/>
    <w:rsid w:val="00E723EA"/>
    <w:rsid w:val="00E72409"/>
    <w:rsid w:val="00E72B4A"/>
    <w:rsid w:val="00E72DB0"/>
    <w:rsid w:val="00E73776"/>
    <w:rsid w:val="00E73B60"/>
    <w:rsid w:val="00E74851"/>
    <w:rsid w:val="00E75A0D"/>
    <w:rsid w:val="00E75B31"/>
    <w:rsid w:val="00E77679"/>
    <w:rsid w:val="00E7794B"/>
    <w:rsid w:val="00E77E60"/>
    <w:rsid w:val="00E77E9A"/>
    <w:rsid w:val="00E80098"/>
    <w:rsid w:val="00E802B7"/>
    <w:rsid w:val="00E80DD6"/>
    <w:rsid w:val="00E82303"/>
    <w:rsid w:val="00E83444"/>
    <w:rsid w:val="00E83A45"/>
    <w:rsid w:val="00E83C77"/>
    <w:rsid w:val="00E83EEC"/>
    <w:rsid w:val="00E872CE"/>
    <w:rsid w:val="00E87F43"/>
    <w:rsid w:val="00E90C0A"/>
    <w:rsid w:val="00E912CE"/>
    <w:rsid w:val="00E9171E"/>
    <w:rsid w:val="00E9177D"/>
    <w:rsid w:val="00E91A52"/>
    <w:rsid w:val="00E92EB6"/>
    <w:rsid w:val="00E93AF7"/>
    <w:rsid w:val="00E93EB5"/>
    <w:rsid w:val="00E94321"/>
    <w:rsid w:val="00E94546"/>
    <w:rsid w:val="00E94599"/>
    <w:rsid w:val="00E94B6C"/>
    <w:rsid w:val="00E95273"/>
    <w:rsid w:val="00E9758A"/>
    <w:rsid w:val="00E97C01"/>
    <w:rsid w:val="00EA17D3"/>
    <w:rsid w:val="00EA1FA2"/>
    <w:rsid w:val="00EA2546"/>
    <w:rsid w:val="00EA3E6A"/>
    <w:rsid w:val="00EA4140"/>
    <w:rsid w:val="00EA4305"/>
    <w:rsid w:val="00EA444D"/>
    <w:rsid w:val="00EA6313"/>
    <w:rsid w:val="00EA6A52"/>
    <w:rsid w:val="00EA6F5F"/>
    <w:rsid w:val="00EB0513"/>
    <w:rsid w:val="00EB06E4"/>
    <w:rsid w:val="00EB2177"/>
    <w:rsid w:val="00EB223A"/>
    <w:rsid w:val="00EB2DCA"/>
    <w:rsid w:val="00EB2DFF"/>
    <w:rsid w:val="00EB332A"/>
    <w:rsid w:val="00EB3899"/>
    <w:rsid w:val="00EB3D8F"/>
    <w:rsid w:val="00EB595C"/>
    <w:rsid w:val="00EB65A1"/>
    <w:rsid w:val="00EB6B43"/>
    <w:rsid w:val="00EB735D"/>
    <w:rsid w:val="00EB7AB1"/>
    <w:rsid w:val="00EC0709"/>
    <w:rsid w:val="00EC0AD8"/>
    <w:rsid w:val="00EC0FFA"/>
    <w:rsid w:val="00EC1FBD"/>
    <w:rsid w:val="00EC39F0"/>
    <w:rsid w:val="00EC3CEB"/>
    <w:rsid w:val="00EC3F91"/>
    <w:rsid w:val="00EC4000"/>
    <w:rsid w:val="00EC413D"/>
    <w:rsid w:val="00EC5107"/>
    <w:rsid w:val="00EC5B39"/>
    <w:rsid w:val="00EC679F"/>
    <w:rsid w:val="00EC6DF6"/>
    <w:rsid w:val="00EC6EDD"/>
    <w:rsid w:val="00EC7AE9"/>
    <w:rsid w:val="00ED0E4F"/>
    <w:rsid w:val="00ED2A2B"/>
    <w:rsid w:val="00ED305E"/>
    <w:rsid w:val="00ED376F"/>
    <w:rsid w:val="00ED3F35"/>
    <w:rsid w:val="00ED4331"/>
    <w:rsid w:val="00ED557E"/>
    <w:rsid w:val="00ED58BB"/>
    <w:rsid w:val="00ED5D9C"/>
    <w:rsid w:val="00ED63C0"/>
    <w:rsid w:val="00ED6AD5"/>
    <w:rsid w:val="00ED7896"/>
    <w:rsid w:val="00ED79CD"/>
    <w:rsid w:val="00ED7A16"/>
    <w:rsid w:val="00ED7CFB"/>
    <w:rsid w:val="00EE09AD"/>
    <w:rsid w:val="00EE0A2D"/>
    <w:rsid w:val="00EE0BB1"/>
    <w:rsid w:val="00EE1034"/>
    <w:rsid w:val="00EE17EA"/>
    <w:rsid w:val="00EE1B04"/>
    <w:rsid w:val="00EE1BEB"/>
    <w:rsid w:val="00EE1EAA"/>
    <w:rsid w:val="00EE203F"/>
    <w:rsid w:val="00EE257C"/>
    <w:rsid w:val="00EE2824"/>
    <w:rsid w:val="00EE28F9"/>
    <w:rsid w:val="00EE2BE4"/>
    <w:rsid w:val="00EE38DA"/>
    <w:rsid w:val="00EE3B5C"/>
    <w:rsid w:val="00EE4C68"/>
    <w:rsid w:val="00EE4F4D"/>
    <w:rsid w:val="00EE51AC"/>
    <w:rsid w:val="00EE626B"/>
    <w:rsid w:val="00EE627A"/>
    <w:rsid w:val="00EE6BE1"/>
    <w:rsid w:val="00EE6C2E"/>
    <w:rsid w:val="00EE6CEE"/>
    <w:rsid w:val="00EF0472"/>
    <w:rsid w:val="00EF0756"/>
    <w:rsid w:val="00EF0E7D"/>
    <w:rsid w:val="00EF1BD7"/>
    <w:rsid w:val="00EF1FCC"/>
    <w:rsid w:val="00EF29F8"/>
    <w:rsid w:val="00EF34EC"/>
    <w:rsid w:val="00EF3DA7"/>
    <w:rsid w:val="00EF4916"/>
    <w:rsid w:val="00EF4DD5"/>
    <w:rsid w:val="00EF5A5D"/>
    <w:rsid w:val="00EF5D36"/>
    <w:rsid w:val="00EF7942"/>
    <w:rsid w:val="00F001FB"/>
    <w:rsid w:val="00F002DB"/>
    <w:rsid w:val="00F00370"/>
    <w:rsid w:val="00F0157B"/>
    <w:rsid w:val="00F01C43"/>
    <w:rsid w:val="00F037A6"/>
    <w:rsid w:val="00F04575"/>
    <w:rsid w:val="00F04E97"/>
    <w:rsid w:val="00F0503D"/>
    <w:rsid w:val="00F05183"/>
    <w:rsid w:val="00F06E88"/>
    <w:rsid w:val="00F06FA5"/>
    <w:rsid w:val="00F10CD5"/>
    <w:rsid w:val="00F11DAB"/>
    <w:rsid w:val="00F12749"/>
    <w:rsid w:val="00F12D73"/>
    <w:rsid w:val="00F13AAA"/>
    <w:rsid w:val="00F15ECB"/>
    <w:rsid w:val="00F1647F"/>
    <w:rsid w:val="00F16CB2"/>
    <w:rsid w:val="00F1735A"/>
    <w:rsid w:val="00F17526"/>
    <w:rsid w:val="00F205BF"/>
    <w:rsid w:val="00F2082D"/>
    <w:rsid w:val="00F22341"/>
    <w:rsid w:val="00F225FA"/>
    <w:rsid w:val="00F2472B"/>
    <w:rsid w:val="00F25398"/>
    <w:rsid w:val="00F25855"/>
    <w:rsid w:val="00F26C21"/>
    <w:rsid w:val="00F26CCF"/>
    <w:rsid w:val="00F26F51"/>
    <w:rsid w:val="00F271B6"/>
    <w:rsid w:val="00F27208"/>
    <w:rsid w:val="00F2733C"/>
    <w:rsid w:val="00F3023C"/>
    <w:rsid w:val="00F30885"/>
    <w:rsid w:val="00F354FF"/>
    <w:rsid w:val="00F3560B"/>
    <w:rsid w:val="00F35F5D"/>
    <w:rsid w:val="00F360ED"/>
    <w:rsid w:val="00F365BD"/>
    <w:rsid w:val="00F36E22"/>
    <w:rsid w:val="00F41B19"/>
    <w:rsid w:val="00F42FB7"/>
    <w:rsid w:val="00F430BE"/>
    <w:rsid w:val="00F44157"/>
    <w:rsid w:val="00F4419A"/>
    <w:rsid w:val="00F4557C"/>
    <w:rsid w:val="00F45C82"/>
    <w:rsid w:val="00F46FFD"/>
    <w:rsid w:val="00F472E7"/>
    <w:rsid w:val="00F47453"/>
    <w:rsid w:val="00F51096"/>
    <w:rsid w:val="00F5272C"/>
    <w:rsid w:val="00F5394A"/>
    <w:rsid w:val="00F53960"/>
    <w:rsid w:val="00F54E78"/>
    <w:rsid w:val="00F55669"/>
    <w:rsid w:val="00F556EC"/>
    <w:rsid w:val="00F5687E"/>
    <w:rsid w:val="00F56DC2"/>
    <w:rsid w:val="00F56FC9"/>
    <w:rsid w:val="00F57A74"/>
    <w:rsid w:val="00F57DCE"/>
    <w:rsid w:val="00F61D73"/>
    <w:rsid w:val="00F62539"/>
    <w:rsid w:val="00F625D2"/>
    <w:rsid w:val="00F62C19"/>
    <w:rsid w:val="00F62F75"/>
    <w:rsid w:val="00F635E8"/>
    <w:rsid w:val="00F64270"/>
    <w:rsid w:val="00F64498"/>
    <w:rsid w:val="00F64554"/>
    <w:rsid w:val="00F6455A"/>
    <w:rsid w:val="00F64912"/>
    <w:rsid w:val="00F65622"/>
    <w:rsid w:val="00F65A82"/>
    <w:rsid w:val="00F65E5E"/>
    <w:rsid w:val="00F65F29"/>
    <w:rsid w:val="00F65F93"/>
    <w:rsid w:val="00F670FE"/>
    <w:rsid w:val="00F672EF"/>
    <w:rsid w:val="00F67852"/>
    <w:rsid w:val="00F67877"/>
    <w:rsid w:val="00F70818"/>
    <w:rsid w:val="00F709FC"/>
    <w:rsid w:val="00F71112"/>
    <w:rsid w:val="00F712BB"/>
    <w:rsid w:val="00F72273"/>
    <w:rsid w:val="00F72E59"/>
    <w:rsid w:val="00F73176"/>
    <w:rsid w:val="00F73675"/>
    <w:rsid w:val="00F73898"/>
    <w:rsid w:val="00F738A1"/>
    <w:rsid w:val="00F754B0"/>
    <w:rsid w:val="00F75D63"/>
    <w:rsid w:val="00F75F7B"/>
    <w:rsid w:val="00F7606B"/>
    <w:rsid w:val="00F765A7"/>
    <w:rsid w:val="00F80577"/>
    <w:rsid w:val="00F823D0"/>
    <w:rsid w:val="00F8260D"/>
    <w:rsid w:val="00F836FF"/>
    <w:rsid w:val="00F8423B"/>
    <w:rsid w:val="00F85218"/>
    <w:rsid w:val="00F853E8"/>
    <w:rsid w:val="00F854BB"/>
    <w:rsid w:val="00F85503"/>
    <w:rsid w:val="00F85677"/>
    <w:rsid w:val="00F8602F"/>
    <w:rsid w:val="00F86A4D"/>
    <w:rsid w:val="00F8745A"/>
    <w:rsid w:val="00F901D0"/>
    <w:rsid w:val="00F90608"/>
    <w:rsid w:val="00F90F1B"/>
    <w:rsid w:val="00F91CAD"/>
    <w:rsid w:val="00F92573"/>
    <w:rsid w:val="00F9353E"/>
    <w:rsid w:val="00F9386C"/>
    <w:rsid w:val="00F93AC5"/>
    <w:rsid w:val="00F93C8E"/>
    <w:rsid w:val="00F94D97"/>
    <w:rsid w:val="00F953B3"/>
    <w:rsid w:val="00F9571F"/>
    <w:rsid w:val="00F970CB"/>
    <w:rsid w:val="00F970CD"/>
    <w:rsid w:val="00F9725C"/>
    <w:rsid w:val="00F97765"/>
    <w:rsid w:val="00FA0033"/>
    <w:rsid w:val="00FA09BF"/>
    <w:rsid w:val="00FA11F9"/>
    <w:rsid w:val="00FA1252"/>
    <w:rsid w:val="00FA39AF"/>
    <w:rsid w:val="00FA3C33"/>
    <w:rsid w:val="00FA40B3"/>
    <w:rsid w:val="00FA41AD"/>
    <w:rsid w:val="00FA566F"/>
    <w:rsid w:val="00FA5805"/>
    <w:rsid w:val="00FA5874"/>
    <w:rsid w:val="00FA66BA"/>
    <w:rsid w:val="00FA73CB"/>
    <w:rsid w:val="00FA76A3"/>
    <w:rsid w:val="00FB0AF9"/>
    <w:rsid w:val="00FB0D24"/>
    <w:rsid w:val="00FB0F89"/>
    <w:rsid w:val="00FB1FEC"/>
    <w:rsid w:val="00FB223A"/>
    <w:rsid w:val="00FB2738"/>
    <w:rsid w:val="00FB2C60"/>
    <w:rsid w:val="00FB2EF0"/>
    <w:rsid w:val="00FB37F9"/>
    <w:rsid w:val="00FB3A9F"/>
    <w:rsid w:val="00FB449F"/>
    <w:rsid w:val="00FB4D88"/>
    <w:rsid w:val="00FB64DA"/>
    <w:rsid w:val="00FB64FE"/>
    <w:rsid w:val="00FB6AD7"/>
    <w:rsid w:val="00FB72A3"/>
    <w:rsid w:val="00FB752C"/>
    <w:rsid w:val="00FB75C4"/>
    <w:rsid w:val="00FB76DF"/>
    <w:rsid w:val="00FC0D32"/>
    <w:rsid w:val="00FC0DB3"/>
    <w:rsid w:val="00FC1228"/>
    <w:rsid w:val="00FC1B36"/>
    <w:rsid w:val="00FC1B8C"/>
    <w:rsid w:val="00FC2D5B"/>
    <w:rsid w:val="00FC2E86"/>
    <w:rsid w:val="00FC3061"/>
    <w:rsid w:val="00FC37CE"/>
    <w:rsid w:val="00FC5963"/>
    <w:rsid w:val="00FC658A"/>
    <w:rsid w:val="00FC6B49"/>
    <w:rsid w:val="00FD0892"/>
    <w:rsid w:val="00FD0B76"/>
    <w:rsid w:val="00FD0D50"/>
    <w:rsid w:val="00FD2084"/>
    <w:rsid w:val="00FD2391"/>
    <w:rsid w:val="00FD248F"/>
    <w:rsid w:val="00FD25B4"/>
    <w:rsid w:val="00FD2A85"/>
    <w:rsid w:val="00FD2C3E"/>
    <w:rsid w:val="00FD2F70"/>
    <w:rsid w:val="00FD4299"/>
    <w:rsid w:val="00FD44FC"/>
    <w:rsid w:val="00FD4567"/>
    <w:rsid w:val="00FD4B5B"/>
    <w:rsid w:val="00FD4CF6"/>
    <w:rsid w:val="00FD52DD"/>
    <w:rsid w:val="00FD54D5"/>
    <w:rsid w:val="00FD5CAC"/>
    <w:rsid w:val="00FD6087"/>
    <w:rsid w:val="00FE0C19"/>
    <w:rsid w:val="00FE0CB3"/>
    <w:rsid w:val="00FE0EEA"/>
    <w:rsid w:val="00FE150F"/>
    <w:rsid w:val="00FE1B46"/>
    <w:rsid w:val="00FE1BE1"/>
    <w:rsid w:val="00FE1E44"/>
    <w:rsid w:val="00FE29F3"/>
    <w:rsid w:val="00FE2ACA"/>
    <w:rsid w:val="00FE2ECD"/>
    <w:rsid w:val="00FE3711"/>
    <w:rsid w:val="00FE7F07"/>
    <w:rsid w:val="00FF02C1"/>
    <w:rsid w:val="00FF096B"/>
    <w:rsid w:val="00FF131E"/>
    <w:rsid w:val="00FF2B3C"/>
    <w:rsid w:val="00FF38EB"/>
    <w:rsid w:val="00FF3E91"/>
    <w:rsid w:val="00FF4471"/>
    <w:rsid w:val="00FF4D67"/>
    <w:rsid w:val="00FF6895"/>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annotation text" w:uiPriority="99"/>
    <w:lsdException w:name="footer" w:uiPriority="99"/>
    <w:lsdException w:name="index heading" w:semiHidden="1"/>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21F0"/>
    <w:rPr>
      <w:rFonts w:ascii="Calibri" w:hAnsi="Calibri"/>
      <w:sz w:val="22"/>
      <w:lang w:eastAsia="en-US"/>
    </w:rPr>
  </w:style>
  <w:style w:type="paragraph" w:styleId="Heading1">
    <w:name w:val="heading 1"/>
    <w:next w:val="BodyText"/>
    <w:qFormat/>
    <w:rsid w:val="00AC4800"/>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basedOn w:val="Normal"/>
    <w:next w:val="BodyText"/>
    <w:qFormat/>
    <w:rsid w:val="00AC4800"/>
    <w:pPr>
      <w:keepNext/>
      <w:numPr>
        <w:ilvl w:val="1"/>
        <w:numId w:val="8"/>
      </w:numPr>
      <w:tabs>
        <w:tab w:val="left" w:pos="851"/>
      </w:tabs>
      <w:spacing w:before="240"/>
      <w:outlineLvl w:val="1"/>
    </w:pPr>
    <w:rPr>
      <w:b/>
      <w:color w:val="00A1DE"/>
      <w:sz w:val="40"/>
      <w:szCs w:val="28"/>
    </w:rPr>
  </w:style>
  <w:style w:type="paragraph" w:styleId="Heading3">
    <w:name w:val="heading 3"/>
    <w:aliases w:val="h3"/>
    <w:basedOn w:val="Normal"/>
    <w:next w:val="BodyText"/>
    <w:qFormat/>
    <w:rsid w:val="00AC4800"/>
    <w:pPr>
      <w:keepNext/>
      <w:numPr>
        <w:ilvl w:val="2"/>
        <w:numId w:val="8"/>
      </w:numPr>
      <w:spacing w:before="240"/>
      <w:outlineLvl w:val="2"/>
    </w:pPr>
    <w:rPr>
      <w:color w:val="00A1DE"/>
      <w:sz w:val="28"/>
    </w:rPr>
  </w:style>
  <w:style w:type="paragraph" w:styleId="Heading4">
    <w:name w:val="heading 4"/>
    <w:basedOn w:val="Normal"/>
    <w:next w:val="BodyText"/>
    <w:qFormat/>
    <w:rsid w:val="00AC4800"/>
    <w:pPr>
      <w:keepNext/>
      <w:numPr>
        <w:ilvl w:val="3"/>
        <w:numId w:val="8"/>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04220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AC4800"/>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9114B5"/>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AC4800"/>
    <w:pPr>
      <w:numPr>
        <w:numId w:val="11"/>
      </w:numPr>
      <w:spacing w:before="6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9114B5"/>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ind w:left="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F65E5E"/>
    <w:pPr>
      <w:pBdr>
        <w:top w:val="single" w:sz="4" w:space="1" w:color="931638"/>
      </w:pBdr>
    </w:pPr>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9114B5"/>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6B29A4"/>
    <w:pPr>
      <w:numPr>
        <w:numId w:val="6"/>
      </w:numPr>
      <w:spacing w:before="60"/>
      <w:jc w:val="both"/>
    </w:pPr>
  </w:style>
  <w:style w:type="paragraph" w:customStyle="1" w:styleId="Bullet3">
    <w:name w:val="Bullet 3"/>
    <w:basedOn w:val="Normal"/>
    <w:qFormat/>
    <w:rsid w:val="006B29A4"/>
    <w:pPr>
      <w:numPr>
        <w:numId w:val="7"/>
      </w:numPr>
      <w:spacing w:before="60"/>
      <w:ind w:left="1134" w:firstLine="567"/>
      <w:jc w:val="both"/>
    </w:pPr>
  </w:style>
  <w:style w:type="paragraph" w:customStyle="1" w:styleId="FooterSecurity">
    <w:name w:val="Footer Security"/>
    <w:basedOn w:val="Normal"/>
    <w:qFormat/>
    <w:rsid w:val="00BE3FA6"/>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9114B5"/>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002DB"/>
    <w:pPr>
      <w:tabs>
        <w:tab w:val="center" w:pos="4513"/>
        <w:tab w:val="right" w:pos="9026"/>
      </w:tabs>
    </w:pPr>
  </w:style>
  <w:style w:type="character" w:customStyle="1" w:styleId="FooterChar">
    <w:name w:val="Footer Char"/>
    <w:basedOn w:val="DefaultParagraphFont"/>
    <w:link w:val="Footer"/>
    <w:uiPriority w:val="99"/>
    <w:rsid w:val="00F002DB"/>
    <w:rPr>
      <w:rFonts w:ascii="Calibri" w:hAnsi="Calibri"/>
      <w:sz w:val="22"/>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D730F8"/>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1,ft Char1,Footnote Text Char1 Char Char1"/>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04220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C07F50"/>
    <w:rPr>
      <w:rFonts w:ascii="Calibri" w:hAnsi="Calibri"/>
      <w:b/>
      <w:color w:val="931638"/>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uiPriority w:val="99"/>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basedOn w:val="DefaultParagraphFont"/>
    <w:link w:val="Bullet1"/>
    <w:rsid w:val="002478D6"/>
    <w:rPr>
      <w:rFonts w:ascii="Calibri" w:hAnsi="Calibri" w:cs="Arial"/>
      <w:sz w:val="22"/>
    </w:rPr>
  </w:style>
  <w:style w:type="character" w:styleId="BookTitle">
    <w:name w:val="Book Title"/>
    <w:uiPriority w:val="33"/>
    <w:qFormat/>
    <w:rsid w:val="00202247"/>
    <w:rPr>
      <w:i/>
      <w:iCs/>
      <w:smallCaps/>
      <w:spacing w:val="5"/>
    </w:rPr>
  </w:style>
  <w:style w:type="paragraph" w:styleId="CommentText">
    <w:name w:val="annotation text"/>
    <w:basedOn w:val="Normal"/>
    <w:link w:val="CommentTextChar"/>
    <w:uiPriority w:val="99"/>
    <w:unhideWhenUsed/>
    <w:rsid w:val="00202247"/>
    <w:rPr>
      <w:rFonts w:ascii="Arial" w:eastAsiaTheme="minorHAnsi" w:hAnsi="Arial" w:cs="Arial"/>
      <w:sz w:val="20"/>
    </w:rPr>
  </w:style>
  <w:style w:type="character" w:customStyle="1" w:styleId="CommentTextChar">
    <w:name w:val="Comment Text Char"/>
    <w:basedOn w:val="DefaultParagraphFont"/>
    <w:link w:val="CommentText"/>
    <w:uiPriority w:val="99"/>
    <w:rsid w:val="00202247"/>
    <w:rPr>
      <w:rFonts w:ascii="Arial" w:eastAsiaTheme="minorHAnsi" w:hAnsi="Arial" w:cs="Arial"/>
      <w:lang w:eastAsia="en-US"/>
    </w:rPr>
  </w:style>
  <w:style w:type="paragraph" w:customStyle="1" w:styleId="blocktextarial">
    <w:name w:val="blocktextarial"/>
    <w:basedOn w:val="Normal"/>
    <w:rsid w:val="00707ACC"/>
    <w:pPr>
      <w:spacing w:after="27"/>
    </w:pPr>
    <w:rPr>
      <w:rFonts w:ascii="Arial" w:hAnsi="Arial" w:cs="Arial"/>
      <w:color w:val="000000"/>
      <w:sz w:val="24"/>
      <w:szCs w:val="24"/>
      <w:lang w:eastAsia="en-AU"/>
    </w:rPr>
  </w:style>
  <w:style w:type="paragraph" w:styleId="NormalWeb">
    <w:name w:val="Normal (Web)"/>
    <w:basedOn w:val="Normal"/>
    <w:uiPriority w:val="99"/>
    <w:unhideWhenUsed/>
    <w:rsid w:val="00474E71"/>
    <w:pPr>
      <w:spacing w:before="100" w:beforeAutospacing="1" w:after="100" w:afterAutospacing="1"/>
    </w:pPr>
    <w:rPr>
      <w:rFonts w:ascii="Times New Roman" w:hAnsi="Times New Roman"/>
      <w:sz w:val="24"/>
      <w:szCs w:val="24"/>
      <w:lang w:eastAsia="en-AU"/>
    </w:rPr>
  </w:style>
  <w:style w:type="table" w:customStyle="1" w:styleId="LightList-Accent11">
    <w:name w:val="Light List - Accent 11"/>
    <w:basedOn w:val="TableNormal"/>
    <w:uiPriority w:val="61"/>
    <w:rsid w:val="007F6286"/>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2">
    <w:name w:val="List Bullet 2"/>
    <w:basedOn w:val="Normal"/>
    <w:rsid w:val="00B96C30"/>
    <w:pPr>
      <w:numPr>
        <w:numId w:val="19"/>
      </w:numPr>
      <w:tabs>
        <w:tab w:val="left" w:pos="902"/>
      </w:tabs>
      <w:spacing w:after="120"/>
    </w:pPr>
    <w:rPr>
      <w:rFonts w:ascii="Arial" w:hAnsi="Arial"/>
      <w:szCs w:val="24"/>
      <w:lang w:eastAsia="en-AU"/>
    </w:rPr>
  </w:style>
  <w:style w:type="paragraph" w:styleId="ListNumber2">
    <w:name w:val="List Number 2"/>
    <w:basedOn w:val="ListBullet2"/>
    <w:rsid w:val="00910DC3"/>
    <w:pPr>
      <w:numPr>
        <w:numId w:val="20"/>
      </w:numPr>
      <w:tabs>
        <w:tab w:val="clear" w:pos="902"/>
      </w:tabs>
    </w:pPr>
  </w:style>
  <w:style w:type="character" w:customStyle="1" w:styleId="FootnoteTextChar1">
    <w:name w:val="Footnote Text Char1"/>
    <w:aliases w:val="Footnote Text Char Char,single space Char,ft Char,Footnote Text Char1 Char Char"/>
    <w:semiHidden/>
    <w:rsid w:val="0088587E"/>
    <w:rPr>
      <w:rFonts w:ascii="Arial" w:hAnsi="Arial"/>
      <w:lang w:val="en-AU" w:eastAsia="en-US" w:bidi="ar-SA"/>
    </w:rPr>
  </w:style>
  <w:style w:type="paragraph" w:customStyle="1" w:styleId="Default">
    <w:name w:val="Default"/>
    <w:rsid w:val="00584528"/>
    <w:pPr>
      <w:autoSpaceDE w:val="0"/>
      <w:autoSpaceDN w:val="0"/>
      <w:adjustRightInd w:val="0"/>
    </w:pPr>
    <w:rPr>
      <w:rFonts w:ascii="Calibri" w:hAnsi="Calibri" w:cs="Calibri"/>
      <w:color w:val="000000"/>
      <w:sz w:val="24"/>
      <w:szCs w:val="24"/>
    </w:rPr>
  </w:style>
  <w:style w:type="paragraph" w:styleId="BodyText2">
    <w:name w:val="Body Text 2"/>
    <w:basedOn w:val="Normal"/>
    <w:link w:val="BodyText2Char"/>
    <w:rsid w:val="00584528"/>
    <w:pPr>
      <w:spacing w:after="120" w:line="480" w:lineRule="auto"/>
    </w:pPr>
  </w:style>
  <w:style w:type="character" w:customStyle="1" w:styleId="BodyText2Char">
    <w:name w:val="Body Text 2 Char"/>
    <w:basedOn w:val="DefaultParagraphFont"/>
    <w:link w:val="BodyText2"/>
    <w:rsid w:val="00584528"/>
    <w:rPr>
      <w:rFonts w:ascii="Calibri" w:hAnsi="Calibri"/>
      <w:sz w:val="22"/>
      <w:lang w:eastAsia="en-US"/>
    </w:rPr>
  </w:style>
  <w:style w:type="character" w:styleId="FollowedHyperlink">
    <w:name w:val="FollowedHyperlink"/>
    <w:basedOn w:val="DefaultParagraphFont"/>
    <w:rsid w:val="00735609"/>
    <w:rPr>
      <w:color w:val="800080" w:themeColor="followedHyperlink"/>
      <w:u w:val="single"/>
    </w:rPr>
  </w:style>
  <w:style w:type="numbering" w:customStyle="1" w:styleId="NoList1">
    <w:name w:val="No List1"/>
    <w:next w:val="NoList"/>
    <w:uiPriority w:val="99"/>
    <w:semiHidden/>
    <w:unhideWhenUsed/>
    <w:rsid w:val="00C9555E"/>
  </w:style>
  <w:style w:type="paragraph" w:styleId="Date">
    <w:name w:val="Date"/>
    <w:basedOn w:val="Normal"/>
    <w:next w:val="Normal"/>
    <w:link w:val="DateChar"/>
    <w:rsid w:val="00C9555E"/>
    <w:pPr>
      <w:spacing w:before="240"/>
      <w:jc w:val="both"/>
    </w:pPr>
  </w:style>
  <w:style w:type="character" w:customStyle="1" w:styleId="DateChar">
    <w:name w:val="Date Char"/>
    <w:basedOn w:val="DefaultParagraphFont"/>
    <w:link w:val="Date"/>
    <w:rsid w:val="00C9555E"/>
    <w:rPr>
      <w:rFonts w:ascii="Calibri" w:hAnsi="Calibri"/>
      <w:sz w:val="22"/>
      <w:lang w:eastAsia="en-US"/>
    </w:rPr>
  </w:style>
  <w:style w:type="character" w:styleId="EndnoteReference">
    <w:name w:val="endnote reference"/>
    <w:basedOn w:val="DefaultParagraphFont"/>
    <w:rsid w:val="00C9555E"/>
    <w:rPr>
      <w:rFonts w:ascii="Calibri" w:hAnsi="Calibri"/>
      <w:sz w:val="20"/>
      <w:vertAlign w:val="superscript"/>
    </w:rPr>
  </w:style>
  <w:style w:type="paragraph" w:styleId="EndnoteText">
    <w:name w:val="endnote text"/>
    <w:basedOn w:val="Normal"/>
    <w:link w:val="EndnoteTextChar"/>
    <w:rsid w:val="00C9555E"/>
    <w:pPr>
      <w:spacing w:before="60"/>
      <w:jc w:val="both"/>
    </w:pPr>
    <w:rPr>
      <w:sz w:val="20"/>
    </w:rPr>
  </w:style>
  <w:style w:type="character" w:customStyle="1" w:styleId="EndnoteTextChar">
    <w:name w:val="Endnote Text Char"/>
    <w:basedOn w:val="DefaultParagraphFont"/>
    <w:link w:val="EndnoteText"/>
    <w:rsid w:val="00C9555E"/>
    <w:rPr>
      <w:rFonts w:ascii="Calibri" w:hAnsi="Calibri"/>
      <w:lang w:eastAsia="en-US"/>
    </w:rPr>
  </w:style>
  <w:style w:type="paragraph" w:customStyle="1" w:styleId="FooterLine1Landscape">
    <w:name w:val="Footer Line 1 Landscape"/>
    <w:basedOn w:val="FooterLine1"/>
    <w:qFormat/>
    <w:rsid w:val="00C9555E"/>
    <w:pPr>
      <w:tabs>
        <w:tab w:val="right" w:pos="13466"/>
      </w:tabs>
      <w:spacing w:before="240"/>
      <w:jc w:val="both"/>
    </w:pPr>
    <w:rPr>
      <w:rFonts w:cs="Calibri"/>
    </w:rPr>
  </w:style>
  <w:style w:type="paragraph" w:customStyle="1" w:styleId="FooterLine2">
    <w:name w:val="Footer Line 2"/>
    <w:basedOn w:val="FooterLine1"/>
    <w:qFormat/>
    <w:rsid w:val="00C9555E"/>
    <w:pPr>
      <w:tabs>
        <w:tab w:val="left" w:pos="3969"/>
        <w:tab w:val="left" w:pos="8222"/>
      </w:tabs>
      <w:spacing w:before="60"/>
    </w:pPr>
  </w:style>
  <w:style w:type="paragraph" w:styleId="Quote">
    <w:name w:val="Quote"/>
    <w:basedOn w:val="Normal"/>
    <w:next w:val="Normal"/>
    <w:link w:val="QuoteChar"/>
    <w:uiPriority w:val="29"/>
    <w:qFormat/>
    <w:rsid w:val="00C9555E"/>
    <w:pPr>
      <w:spacing w:before="240"/>
      <w:jc w:val="both"/>
    </w:pPr>
    <w:rPr>
      <w:i/>
      <w:iCs/>
      <w:color w:val="565656"/>
    </w:rPr>
  </w:style>
  <w:style w:type="character" w:customStyle="1" w:styleId="QuoteChar">
    <w:name w:val="Quote Char"/>
    <w:basedOn w:val="DefaultParagraphFont"/>
    <w:link w:val="Quote"/>
    <w:uiPriority w:val="29"/>
    <w:rsid w:val="00C9555E"/>
    <w:rPr>
      <w:rFonts w:ascii="Calibri" w:hAnsi="Calibri"/>
      <w:i/>
      <w:iCs/>
      <w:color w:val="565656"/>
      <w:sz w:val="22"/>
      <w:lang w:eastAsia="en-US"/>
    </w:rPr>
  </w:style>
  <w:style w:type="paragraph" w:styleId="Salutation">
    <w:name w:val="Salutation"/>
    <w:basedOn w:val="Normal"/>
    <w:next w:val="Normal"/>
    <w:link w:val="SalutationChar"/>
    <w:rsid w:val="00C9555E"/>
    <w:pPr>
      <w:spacing w:before="240"/>
      <w:jc w:val="both"/>
    </w:pPr>
  </w:style>
  <w:style w:type="character" w:customStyle="1" w:styleId="SalutationChar">
    <w:name w:val="Salutation Char"/>
    <w:basedOn w:val="DefaultParagraphFont"/>
    <w:link w:val="Salutation"/>
    <w:rsid w:val="00C9555E"/>
    <w:rPr>
      <w:rFonts w:ascii="Calibri" w:hAnsi="Calibri"/>
      <w:sz w:val="22"/>
      <w:lang w:eastAsia="en-US"/>
    </w:rPr>
  </w:style>
  <w:style w:type="paragraph" w:styleId="Signature">
    <w:name w:val="Signature"/>
    <w:basedOn w:val="Normal"/>
    <w:link w:val="SignatureChar"/>
    <w:rsid w:val="00C9555E"/>
    <w:pPr>
      <w:spacing w:before="240"/>
      <w:ind w:left="4252"/>
      <w:jc w:val="both"/>
    </w:pPr>
    <w:rPr>
      <w:rFonts w:ascii="Arial" w:hAnsi="Arial"/>
    </w:rPr>
  </w:style>
  <w:style w:type="character" w:customStyle="1" w:styleId="SignatureChar">
    <w:name w:val="Signature Char"/>
    <w:basedOn w:val="DefaultParagraphFont"/>
    <w:link w:val="Signature"/>
    <w:rsid w:val="00C9555E"/>
    <w:rPr>
      <w:rFonts w:ascii="Arial" w:hAnsi="Arial"/>
      <w:sz w:val="22"/>
      <w:lang w:eastAsia="en-US"/>
    </w:rPr>
  </w:style>
  <w:style w:type="paragraph" w:styleId="TOCHeading">
    <w:name w:val="TOC Heading"/>
    <w:basedOn w:val="Heading1"/>
    <w:next w:val="Normal"/>
    <w:uiPriority w:val="39"/>
    <w:semiHidden/>
    <w:unhideWhenUsed/>
    <w:qFormat/>
    <w:rsid w:val="00C9555E"/>
    <w:pPr>
      <w:pageBreakBefore w:val="0"/>
      <w:numPr>
        <w:numId w:val="0"/>
      </w:numPr>
      <w:spacing w:before="480"/>
      <w:outlineLvl w:val="9"/>
    </w:pPr>
    <w:rPr>
      <w:rFonts w:eastAsiaTheme="majorEastAsia" w:cstheme="majorBidi"/>
      <w:bCs/>
      <w:color w:val="auto"/>
      <w:kern w:val="0"/>
      <w:sz w:val="28"/>
      <w:szCs w:val="28"/>
    </w:rPr>
  </w:style>
  <w:style w:type="numbering" w:customStyle="1" w:styleId="NoList11">
    <w:name w:val="No List11"/>
    <w:next w:val="NoList"/>
    <w:uiPriority w:val="99"/>
    <w:semiHidden/>
    <w:unhideWhenUsed/>
    <w:rsid w:val="00C9555E"/>
  </w:style>
  <w:style w:type="paragraph" w:customStyle="1" w:styleId="CODEFRAME">
    <w:name w:val="CODE FRAME"/>
    <w:basedOn w:val="Normal"/>
    <w:rsid w:val="00C9555E"/>
    <w:rPr>
      <w:rFonts w:ascii="Arial" w:hAnsi="Arial" w:cs="Arial"/>
      <w:sz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annotation text" w:uiPriority="99"/>
    <w:lsdException w:name="footer" w:uiPriority="99"/>
    <w:lsdException w:name="index heading" w:semiHidden="1"/>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21F0"/>
    <w:rPr>
      <w:rFonts w:ascii="Calibri" w:hAnsi="Calibri"/>
      <w:sz w:val="22"/>
      <w:lang w:eastAsia="en-US"/>
    </w:rPr>
  </w:style>
  <w:style w:type="paragraph" w:styleId="Heading1">
    <w:name w:val="heading 1"/>
    <w:next w:val="BodyText"/>
    <w:qFormat/>
    <w:rsid w:val="00AC4800"/>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basedOn w:val="Normal"/>
    <w:next w:val="BodyText"/>
    <w:qFormat/>
    <w:rsid w:val="00AC4800"/>
    <w:pPr>
      <w:keepNext/>
      <w:numPr>
        <w:ilvl w:val="1"/>
        <w:numId w:val="8"/>
      </w:numPr>
      <w:tabs>
        <w:tab w:val="left" w:pos="851"/>
      </w:tabs>
      <w:spacing w:before="240"/>
      <w:outlineLvl w:val="1"/>
    </w:pPr>
    <w:rPr>
      <w:b/>
      <w:color w:val="00A1DE"/>
      <w:sz w:val="40"/>
      <w:szCs w:val="28"/>
    </w:rPr>
  </w:style>
  <w:style w:type="paragraph" w:styleId="Heading3">
    <w:name w:val="heading 3"/>
    <w:aliases w:val="h3"/>
    <w:basedOn w:val="Normal"/>
    <w:next w:val="BodyText"/>
    <w:qFormat/>
    <w:rsid w:val="00AC4800"/>
    <w:pPr>
      <w:keepNext/>
      <w:numPr>
        <w:ilvl w:val="2"/>
        <w:numId w:val="8"/>
      </w:numPr>
      <w:spacing w:before="240"/>
      <w:outlineLvl w:val="2"/>
    </w:pPr>
    <w:rPr>
      <w:color w:val="00A1DE"/>
      <w:sz w:val="28"/>
    </w:rPr>
  </w:style>
  <w:style w:type="paragraph" w:styleId="Heading4">
    <w:name w:val="heading 4"/>
    <w:basedOn w:val="Normal"/>
    <w:next w:val="BodyText"/>
    <w:qFormat/>
    <w:rsid w:val="00AC4800"/>
    <w:pPr>
      <w:keepNext/>
      <w:numPr>
        <w:ilvl w:val="3"/>
        <w:numId w:val="8"/>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04220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AC4800"/>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9114B5"/>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AC4800"/>
    <w:pPr>
      <w:numPr>
        <w:numId w:val="11"/>
      </w:numPr>
      <w:spacing w:before="6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9114B5"/>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ind w:left="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F65E5E"/>
    <w:pPr>
      <w:pBdr>
        <w:top w:val="single" w:sz="4" w:space="1" w:color="931638"/>
      </w:pBdr>
    </w:pPr>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9114B5"/>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6B29A4"/>
    <w:pPr>
      <w:numPr>
        <w:numId w:val="6"/>
      </w:numPr>
      <w:spacing w:before="60"/>
      <w:jc w:val="both"/>
    </w:pPr>
  </w:style>
  <w:style w:type="paragraph" w:customStyle="1" w:styleId="Bullet3">
    <w:name w:val="Bullet 3"/>
    <w:basedOn w:val="Normal"/>
    <w:qFormat/>
    <w:rsid w:val="006B29A4"/>
    <w:pPr>
      <w:numPr>
        <w:numId w:val="7"/>
      </w:numPr>
      <w:spacing w:before="60"/>
      <w:ind w:left="1134" w:firstLine="567"/>
      <w:jc w:val="both"/>
    </w:pPr>
  </w:style>
  <w:style w:type="paragraph" w:customStyle="1" w:styleId="FooterSecurity">
    <w:name w:val="Footer Security"/>
    <w:basedOn w:val="Normal"/>
    <w:qFormat/>
    <w:rsid w:val="00BE3FA6"/>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9114B5"/>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002DB"/>
    <w:pPr>
      <w:tabs>
        <w:tab w:val="center" w:pos="4513"/>
        <w:tab w:val="right" w:pos="9026"/>
      </w:tabs>
    </w:pPr>
  </w:style>
  <w:style w:type="character" w:customStyle="1" w:styleId="FooterChar">
    <w:name w:val="Footer Char"/>
    <w:basedOn w:val="DefaultParagraphFont"/>
    <w:link w:val="Footer"/>
    <w:uiPriority w:val="99"/>
    <w:rsid w:val="00F002DB"/>
    <w:rPr>
      <w:rFonts w:ascii="Calibri" w:hAnsi="Calibri"/>
      <w:sz w:val="22"/>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D730F8"/>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1,ft Char1,Footnote Text Char1 Char Char1"/>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04220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C07F50"/>
    <w:rPr>
      <w:rFonts w:ascii="Calibri" w:hAnsi="Calibri"/>
      <w:b/>
      <w:color w:val="931638"/>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uiPriority w:val="99"/>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basedOn w:val="DefaultParagraphFont"/>
    <w:link w:val="Bullet1"/>
    <w:rsid w:val="002478D6"/>
    <w:rPr>
      <w:rFonts w:ascii="Calibri" w:hAnsi="Calibri" w:cs="Arial"/>
      <w:sz w:val="22"/>
    </w:rPr>
  </w:style>
  <w:style w:type="character" w:styleId="BookTitle">
    <w:name w:val="Book Title"/>
    <w:uiPriority w:val="33"/>
    <w:qFormat/>
    <w:rsid w:val="00202247"/>
    <w:rPr>
      <w:i/>
      <w:iCs/>
      <w:smallCaps/>
      <w:spacing w:val="5"/>
    </w:rPr>
  </w:style>
  <w:style w:type="paragraph" w:styleId="CommentText">
    <w:name w:val="annotation text"/>
    <w:basedOn w:val="Normal"/>
    <w:link w:val="CommentTextChar"/>
    <w:uiPriority w:val="99"/>
    <w:unhideWhenUsed/>
    <w:rsid w:val="00202247"/>
    <w:rPr>
      <w:rFonts w:ascii="Arial" w:eastAsiaTheme="minorHAnsi" w:hAnsi="Arial" w:cs="Arial"/>
      <w:sz w:val="20"/>
    </w:rPr>
  </w:style>
  <w:style w:type="character" w:customStyle="1" w:styleId="CommentTextChar">
    <w:name w:val="Comment Text Char"/>
    <w:basedOn w:val="DefaultParagraphFont"/>
    <w:link w:val="CommentText"/>
    <w:uiPriority w:val="99"/>
    <w:rsid w:val="00202247"/>
    <w:rPr>
      <w:rFonts w:ascii="Arial" w:eastAsiaTheme="minorHAnsi" w:hAnsi="Arial" w:cs="Arial"/>
      <w:lang w:eastAsia="en-US"/>
    </w:rPr>
  </w:style>
  <w:style w:type="paragraph" w:customStyle="1" w:styleId="blocktextarial">
    <w:name w:val="blocktextarial"/>
    <w:basedOn w:val="Normal"/>
    <w:rsid w:val="00707ACC"/>
    <w:pPr>
      <w:spacing w:after="27"/>
    </w:pPr>
    <w:rPr>
      <w:rFonts w:ascii="Arial" w:hAnsi="Arial" w:cs="Arial"/>
      <w:color w:val="000000"/>
      <w:sz w:val="24"/>
      <w:szCs w:val="24"/>
      <w:lang w:eastAsia="en-AU"/>
    </w:rPr>
  </w:style>
  <w:style w:type="paragraph" w:styleId="NormalWeb">
    <w:name w:val="Normal (Web)"/>
    <w:basedOn w:val="Normal"/>
    <w:uiPriority w:val="99"/>
    <w:unhideWhenUsed/>
    <w:rsid w:val="00474E71"/>
    <w:pPr>
      <w:spacing w:before="100" w:beforeAutospacing="1" w:after="100" w:afterAutospacing="1"/>
    </w:pPr>
    <w:rPr>
      <w:rFonts w:ascii="Times New Roman" w:hAnsi="Times New Roman"/>
      <w:sz w:val="24"/>
      <w:szCs w:val="24"/>
      <w:lang w:eastAsia="en-AU"/>
    </w:rPr>
  </w:style>
  <w:style w:type="table" w:customStyle="1" w:styleId="LightList-Accent11">
    <w:name w:val="Light List - Accent 11"/>
    <w:basedOn w:val="TableNormal"/>
    <w:uiPriority w:val="61"/>
    <w:rsid w:val="007F6286"/>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2">
    <w:name w:val="List Bullet 2"/>
    <w:basedOn w:val="Normal"/>
    <w:rsid w:val="00B96C30"/>
    <w:pPr>
      <w:numPr>
        <w:numId w:val="19"/>
      </w:numPr>
      <w:tabs>
        <w:tab w:val="left" w:pos="902"/>
      </w:tabs>
      <w:spacing w:after="120"/>
    </w:pPr>
    <w:rPr>
      <w:rFonts w:ascii="Arial" w:hAnsi="Arial"/>
      <w:szCs w:val="24"/>
      <w:lang w:eastAsia="en-AU"/>
    </w:rPr>
  </w:style>
  <w:style w:type="paragraph" w:styleId="ListNumber2">
    <w:name w:val="List Number 2"/>
    <w:basedOn w:val="ListBullet2"/>
    <w:rsid w:val="00910DC3"/>
    <w:pPr>
      <w:numPr>
        <w:numId w:val="20"/>
      </w:numPr>
      <w:tabs>
        <w:tab w:val="clear" w:pos="902"/>
      </w:tabs>
    </w:pPr>
  </w:style>
  <w:style w:type="character" w:customStyle="1" w:styleId="FootnoteTextChar1">
    <w:name w:val="Footnote Text Char1"/>
    <w:aliases w:val="Footnote Text Char Char,single space Char,ft Char,Footnote Text Char1 Char Char"/>
    <w:semiHidden/>
    <w:rsid w:val="0088587E"/>
    <w:rPr>
      <w:rFonts w:ascii="Arial" w:hAnsi="Arial"/>
      <w:lang w:val="en-AU" w:eastAsia="en-US" w:bidi="ar-SA"/>
    </w:rPr>
  </w:style>
  <w:style w:type="paragraph" w:customStyle="1" w:styleId="Default">
    <w:name w:val="Default"/>
    <w:rsid w:val="00584528"/>
    <w:pPr>
      <w:autoSpaceDE w:val="0"/>
      <w:autoSpaceDN w:val="0"/>
      <w:adjustRightInd w:val="0"/>
    </w:pPr>
    <w:rPr>
      <w:rFonts w:ascii="Calibri" w:hAnsi="Calibri" w:cs="Calibri"/>
      <w:color w:val="000000"/>
      <w:sz w:val="24"/>
      <w:szCs w:val="24"/>
    </w:rPr>
  </w:style>
  <w:style w:type="paragraph" w:styleId="BodyText2">
    <w:name w:val="Body Text 2"/>
    <w:basedOn w:val="Normal"/>
    <w:link w:val="BodyText2Char"/>
    <w:rsid w:val="00584528"/>
    <w:pPr>
      <w:spacing w:after="120" w:line="480" w:lineRule="auto"/>
    </w:pPr>
  </w:style>
  <w:style w:type="character" w:customStyle="1" w:styleId="BodyText2Char">
    <w:name w:val="Body Text 2 Char"/>
    <w:basedOn w:val="DefaultParagraphFont"/>
    <w:link w:val="BodyText2"/>
    <w:rsid w:val="00584528"/>
    <w:rPr>
      <w:rFonts w:ascii="Calibri" w:hAnsi="Calibri"/>
      <w:sz w:val="22"/>
      <w:lang w:eastAsia="en-US"/>
    </w:rPr>
  </w:style>
  <w:style w:type="character" w:styleId="FollowedHyperlink">
    <w:name w:val="FollowedHyperlink"/>
    <w:basedOn w:val="DefaultParagraphFont"/>
    <w:rsid w:val="00735609"/>
    <w:rPr>
      <w:color w:val="800080" w:themeColor="followedHyperlink"/>
      <w:u w:val="single"/>
    </w:rPr>
  </w:style>
  <w:style w:type="numbering" w:customStyle="1" w:styleId="NoList1">
    <w:name w:val="No List1"/>
    <w:next w:val="NoList"/>
    <w:uiPriority w:val="99"/>
    <w:semiHidden/>
    <w:unhideWhenUsed/>
    <w:rsid w:val="00C9555E"/>
  </w:style>
  <w:style w:type="paragraph" w:styleId="Date">
    <w:name w:val="Date"/>
    <w:basedOn w:val="Normal"/>
    <w:next w:val="Normal"/>
    <w:link w:val="DateChar"/>
    <w:rsid w:val="00C9555E"/>
    <w:pPr>
      <w:spacing w:before="240"/>
      <w:jc w:val="both"/>
    </w:pPr>
  </w:style>
  <w:style w:type="character" w:customStyle="1" w:styleId="DateChar">
    <w:name w:val="Date Char"/>
    <w:basedOn w:val="DefaultParagraphFont"/>
    <w:link w:val="Date"/>
    <w:rsid w:val="00C9555E"/>
    <w:rPr>
      <w:rFonts w:ascii="Calibri" w:hAnsi="Calibri"/>
      <w:sz w:val="22"/>
      <w:lang w:eastAsia="en-US"/>
    </w:rPr>
  </w:style>
  <w:style w:type="character" w:styleId="EndnoteReference">
    <w:name w:val="endnote reference"/>
    <w:basedOn w:val="DefaultParagraphFont"/>
    <w:rsid w:val="00C9555E"/>
    <w:rPr>
      <w:rFonts w:ascii="Calibri" w:hAnsi="Calibri"/>
      <w:sz w:val="20"/>
      <w:vertAlign w:val="superscript"/>
    </w:rPr>
  </w:style>
  <w:style w:type="paragraph" w:styleId="EndnoteText">
    <w:name w:val="endnote text"/>
    <w:basedOn w:val="Normal"/>
    <w:link w:val="EndnoteTextChar"/>
    <w:rsid w:val="00C9555E"/>
    <w:pPr>
      <w:spacing w:before="60"/>
      <w:jc w:val="both"/>
    </w:pPr>
    <w:rPr>
      <w:sz w:val="20"/>
    </w:rPr>
  </w:style>
  <w:style w:type="character" w:customStyle="1" w:styleId="EndnoteTextChar">
    <w:name w:val="Endnote Text Char"/>
    <w:basedOn w:val="DefaultParagraphFont"/>
    <w:link w:val="EndnoteText"/>
    <w:rsid w:val="00C9555E"/>
    <w:rPr>
      <w:rFonts w:ascii="Calibri" w:hAnsi="Calibri"/>
      <w:lang w:eastAsia="en-US"/>
    </w:rPr>
  </w:style>
  <w:style w:type="paragraph" w:customStyle="1" w:styleId="FooterLine1Landscape">
    <w:name w:val="Footer Line 1 Landscape"/>
    <w:basedOn w:val="FooterLine1"/>
    <w:qFormat/>
    <w:rsid w:val="00C9555E"/>
    <w:pPr>
      <w:tabs>
        <w:tab w:val="right" w:pos="13466"/>
      </w:tabs>
      <w:spacing w:before="240"/>
      <w:jc w:val="both"/>
    </w:pPr>
    <w:rPr>
      <w:rFonts w:cs="Calibri"/>
    </w:rPr>
  </w:style>
  <w:style w:type="paragraph" w:customStyle="1" w:styleId="FooterLine2">
    <w:name w:val="Footer Line 2"/>
    <w:basedOn w:val="FooterLine1"/>
    <w:qFormat/>
    <w:rsid w:val="00C9555E"/>
    <w:pPr>
      <w:tabs>
        <w:tab w:val="left" w:pos="3969"/>
        <w:tab w:val="left" w:pos="8222"/>
      </w:tabs>
      <w:spacing w:before="60"/>
    </w:pPr>
  </w:style>
  <w:style w:type="paragraph" w:styleId="Quote">
    <w:name w:val="Quote"/>
    <w:basedOn w:val="Normal"/>
    <w:next w:val="Normal"/>
    <w:link w:val="QuoteChar"/>
    <w:uiPriority w:val="29"/>
    <w:qFormat/>
    <w:rsid w:val="00C9555E"/>
    <w:pPr>
      <w:spacing w:before="240"/>
      <w:jc w:val="both"/>
    </w:pPr>
    <w:rPr>
      <w:i/>
      <w:iCs/>
      <w:color w:val="565656"/>
    </w:rPr>
  </w:style>
  <w:style w:type="character" w:customStyle="1" w:styleId="QuoteChar">
    <w:name w:val="Quote Char"/>
    <w:basedOn w:val="DefaultParagraphFont"/>
    <w:link w:val="Quote"/>
    <w:uiPriority w:val="29"/>
    <w:rsid w:val="00C9555E"/>
    <w:rPr>
      <w:rFonts w:ascii="Calibri" w:hAnsi="Calibri"/>
      <w:i/>
      <w:iCs/>
      <w:color w:val="565656"/>
      <w:sz w:val="22"/>
      <w:lang w:eastAsia="en-US"/>
    </w:rPr>
  </w:style>
  <w:style w:type="paragraph" w:styleId="Salutation">
    <w:name w:val="Salutation"/>
    <w:basedOn w:val="Normal"/>
    <w:next w:val="Normal"/>
    <w:link w:val="SalutationChar"/>
    <w:rsid w:val="00C9555E"/>
    <w:pPr>
      <w:spacing w:before="240"/>
      <w:jc w:val="both"/>
    </w:pPr>
  </w:style>
  <w:style w:type="character" w:customStyle="1" w:styleId="SalutationChar">
    <w:name w:val="Salutation Char"/>
    <w:basedOn w:val="DefaultParagraphFont"/>
    <w:link w:val="Salutation"/>
    <w:rsid w:val="00C9555E"/>
    <w:rPr>
      <w:rFonts w:ascii="Calibri" w:hAnsi="Calibri"/>
      <w:sz w:val="22"/>
      <w:lang w:eastAsia="en-US"/>
    </w:rPr>
  </w:style>
  <w:style w:type="paragraph" w:styleId="Signature">
    <w:name w:val="Signature"/>
    <w:basedOn w:val="Normal"/>
    <w:link w:val="SignatureChar"/>
    <w:rsid w:val="00C9555E"/>
    <w:pPr>
      <w:spacing w:before="240"/>
      <w:ind w:left="4252"/>
      <w:jc w:val="both"/>
    </w:pPr>
    <w:rPr>
      <w:rFonts w:ascii="Arial" w:hAnsi="Arial"/>
    </w:rPr>
  </w:style>
  <w:style w:type="character" w:customStyle="1" w:styleId="SignatureChar">
    <w:name w:val="Signature Char"/>
    <w:basedOn w:val="DefaultParagraphFont"/>
    <w:link w:val="Signature"/>
    <w:rsid w:val="00C9555E"/>
    <w:rPr>
      <w:rFonts w:ascii="Arial" w:hAnsi="Arial"/>
      <w:sz w:val="22"/>
      <w:lang w:eastAsia="en-US"/>
    </w:rPr>
  </w:style>
  <w:style w:type="paragraph" w:styleId="TOCHeading">
    <w:name w:val="TOC Heading"/>
    <w:basedOn w:val="Heading1"/>
    <w:next w:val="Normal"/>
    <w:uiPriority w:val="39"/>
    <w:semiHidden/>
    <w:unhideWhenUsed/>
    <w:qFormat/>
    <w:rsid w:val="00C9555E"/>
    <w:pPr>
      <w:pageBreakBefore w:val="0"/>
      <w:numPr>
        <w:numId w:val="0"/>
      </w:numPr>
      <w:spacing w:before="480"/>
      <w:outlineLvl w:val="9"/>
    </w:pPr>
    <w:rPr>
      <w:rFonts w:eastAsiaTheme="majorEastAsia" w:cstheme="majorBidi"/>
      <w:bCs/>
      <w:color w:val="auto"/>
      <w:kern w:val="0"/>
      <w:sz w:val="28"/>
      <w:szCs w:val="28"/>
    </w:rPr>
  </w:style>
  <w:style w:type="numbering" w:customStyle="1" w:styleId="NoList11">
    <w:name w:val="No List11"/>
    <w:next w:val="NoList"/>
    <w:uiPriority w:val="99"/>
    <w:semiHidden/>
    <w:unhideWhenUsed/>
    <w:rsid w:val="00C9555E"/>
  </w:style>
  <w:style w:type="paragraph" w:customStyle="1" w:styleId="CODEFRAME">
    <w:name w:val="CODE FRAME"/>
    <w:basedOn w:val="Normal"/>
    <w:rsid w:val="00C9555E"/>
    <w:rPr>
      <w:rFonts w:ascii="Arial" w:hAnsi="Arial" w:cs="Arial"/>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08479600">
      <w:bodyDiv w:val="1"/>
      <w:marLeft w:val="0"/>
      <w:marRight w:val="0"/>
      <w:marTop w:val="0"/>
      <w:marBottom w:val="0"/>
      <w:divBdr>
        <w:top w:val="none" w:sz="0" w:space="0" w:color="auto"/>
        <w:left w:val="none" w:sz="0" w:space="0" w:color="auto"/>
        <w:bottom w:val="none" w:sz="0" w:space="0" w:color="auto"/>
        <w:right w:val="none" w:sz="0" w:space="0" w:color="auto"/>
      </w:divBdr>
    </w:div>
    <w:div w:id="151802909">
      <w:bodyDiv w:val="1"/>
      <w:marLeft w:val="0"/>
      <w:marRight w:val="0"/>
      <w:marTop w:val="0"/>
      <w:marBottom w:val="0"/>
      <w:divBdr>
        <w:top w:val="none" w:sz="0" w:space="0" w:color="auto"/>
        <w:left w:val="none" w:sz="0" w:space="0" w:color="auto"/>
        <w:bottom w:val="none" w:sz="0" w:space="0" w:color="auto"/>
        <w:right w:val="none" w:sz="0" w:space="0" w:color="auto"/>
      </w:divBdr>
    </w:div>
    <w:div w:id="173614429">
      <w:bodyDiv w:val="1"/>
      <w:marLeft w:val="0"/>
      <w:marRight w:val="0"/>
      <w:marTop w:val="0"/>
      <w:marBottom w:val="0"/>
      <w:divBdr>
        <w:top w:val="none" w:sz="0" w:space="0" w:color="auto"/>
        <w:left w:val="none" w:sz="0" w:space="0" w:color="auto"/>
        <w:bottom w:val="none" w:sz="0" w:space="0" w:color="auto"/>
        <w:right w:val="none" w:sz="0" w:space="0" w:color="auto"/>
      </w:divBdr>
      <w:divsChild>
        <w:div w:id="1219320268">
          <w:marLeft w:val="0"/>
          <w:marRight w:val="0"/>
          <w:marTop w:val="0"/>
          <w:marBottom w:val="0"/>
          <w:divBdr>
            <w:top w:val="none" w:sz="0" w:space="0" w:color="auto"/>
            <w:left w:val="none" w:sz="0" w:space="0" w:color="auto"/>
            <w:bottom w:val="none" w:sz="0" w:space="0" w:color="auto"/>
            <w:right w:val="none" w:sz="0" w:space="0" w:color="auto"/>
          </w:divBdr>
          <w:divsChild>
            <w:div w:id="20839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7079">
      <w:bodyDiv w:val="1"/>
      <w:marLeft w:val="0"/>
      <w:marRight w:val="0"/>
      <w:marTop w:val="0"/>
      <w:marBottom w:val="0"/>
      <w:divBdr>
        <w:top w:val="none" w:sz="0" w:space="0" w:color="auto"/>
        <w:left w:val="none" w:sz="0" w:space="0" w:color="auto"/>
        <w:bottom w:val="none" w:sz="0" w:space="0" w:color="auto"/>
        <w:right w:val="none" w:sz="0" w:space="0" w:color="auto"/>
      </w:divBdr>
    </w:div>
    <w:div w:id="184173317">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68778327">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296641073">
      <w:bodyDiv w:val="1"/>
      <w:marLeft w:val="0"/>
      <w:marRight w:val="0"/>
      <w:marTop w:val="0"/>
      <w:marBottom w:val="0"/>
      <w:divBdr>
        <w:top w:val="none" w:sz="0" w:space="0" w:color="auto"/>
        <w:left w:val="none" w:sz="0" w:space="0" w:color="auto"/>
        <w:bottom w:val="none" w:sz="0" w:space="0" w:color="auto"/>
        <w:right w:val="none" w:sz="0" w:space="0" w:color="auto"/>
      </w:divBdr>
      <w:divsChild>
        <w:div w:id="370424756">
          <w:marLeft w:val="0"/>
          <w:marRight w:val="0"/>
          <w:marTop w:val="0"/>
          <w:marBottom w:val="0"/>
          <w:divBdr>
            <w:top w:val="none" w:sz="0" w:space="0" w:color="auto"/>
            <w:left w:val="none" w:sz="0" w:space="0" w:color="auto"/>
            <w:bottom w:val="none" w:sz="0" w:space="0" w:color="auto"/>
            <w:right w:val="none" w:sz="0" w:space="0" w:color="auto"/>
          </w:divBdr>
          <w:divsChild>
            <w:div w:id="51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0276722">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85315612">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29224575">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43636771">
      <w:bodyDiv w:val="1"/>
      <w:marLeft w:val="0"/>
      <w:marRight w:val="0"/>
      <w:marTop w:val="0"/>
      <w:marBottom w:val="0"/>
      <w:divBdr>
        <w:top w:val="none" w:sz="0" w:space="0" w:color="auto"/>
        <w:left w:val="none" w:sz="0" w:space="0" w:color="auto"/>
        <w:bottom w:val="none" w:sz="0" w:space="0" w:color="auto"/>
        <w:right w:val="none" w:sz="0" w:space="0" w:color="auto"/>
      </w:divBdr>
      <w:divsChild>
        <w:div w:id="477113204">
          <w:marLeft w:val="0"/>
          <w:marRight w:val="0"/>
          <w:marTop w:val="0"/>
          <w:marBottom w:val="0"/>
          <w:divBdr>
            <w:top w:val="none" w:sz="0" w:space="0" w:color="auto"/>
            <w:left w:val="none" w:sz="0" w:space="0" w:color="auto"/>
            <w:bottom w:val="none" w:sz="0" w:space="0" w:color="auto"/>
            <w:right w:val="none" w:sz="0" w:space="0" w:color="auto"/>
          </w:divBdr>
          <w:divsChild>
            <w:div w:id="15376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1614663">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691491413">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23678394">
      <w:bodyDiv w:val="1"/>
      <w:marLeft w:val="0"/>
      <w:marRight w:val="0"/>
      <w:marTop w:val="0"/>
      <w:marBottom w:val="0"/>
      <w:divBdr>
        <w:top w:val="none" w:sz="0" w:space="0" w:color="auto"/>
        <w:left w:val="none" w:sz="0" w:space="0" w:color="auto"/>
        <w:bottom w:val="none" w:sz="0" w:space="0" w:color="auto"/>
        <w:right w:val="none" w:sz="0" w:space="0" w:color="auto"/>
      </w:divBdr>
      <w:divsChild>
        <w:div w:id="338000092">
          <w:marLeft w:val="0"/>
          <w:marRight w:val="0"/>
          <w:marTop w:val="0"/>
          <w:marBottom w:val="0"/>
          <w:divBdr>
            <w:top w:val="none" w:sz="0" w:space="0" w:color="auto"/>
            <w:left w:val="none" w:sz="0" w:space="0" w:color="auto"/>
            <w:bottom w:val="none" w:sz="0" w:space="0" w:color="auto"/>
            <w:right w:val="none" w:sz="0" w:space="0" w:color="auto"/>
          </w:divBdr>
          <w:divsChild>
            <w:div w:id="7212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1253">
      <w:bodyDiv w:val="1"/>
      <w:marLeft w:val="0"/>
      <w:marRight w:val="0"/>
      <w:marTop w:val="0"/>
      <w:marBottom w:val="0"/>
      <w:divBdr>
        <w:top w:val="none" w:sz="0" w:space="0" w:color="auto"/>
        <w:left w:val="none" w:sz="0" w:space="0" w:color="auto"/>
        <w:bottom w:val="none" w:sz="0" w:space="0" w:color="auto"/>
        <w:right w:val="none" w:sz="0" w:space="0" w:color="auto"/>
      </w:divBdr>
      <w:divsChild>
        <w:div w:id="833186414">
          <w:marLeft w:val="0"/>
          <w:marRight w:val="0"/>
          <w:marTop w:val="0"/>
          <w:marBottom w:val="0"/>
          <w:divBdr>
            <w:top w:val="none" w:sz="0" w:space="0" w:color="auto"/>
            <w:left w:val="none" w:sz="0" w:space="0" w:color="auto"/>
            <w:bottom w:val="none" w:sz="0" w:space="0" w:color="auto"/>
            <w:right w:val="none" w:sz="0" w:space="0" w:color="auto"/>
          </w:divBdr>
          <w:divsChild>
            <w:div w:id="21330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796415056">
      <w:bodyDiv w:val="1"/>
      <w:marLeft w:val="0"/>
      <w:marRight w:val="0"/>
      <w:marTop w:val="0"/>
      <w:marBottom w:val="0"/>
      <w:divBdr>
        <w:top w:val="none" w:sz="0" w:space="0" w:color="auto"/>
        <w:left w:val="none" w:sz="0" w:space="0" w:color="auto"/>
        <w:bottom w:val="none" w:sz="0" w:space="0" w:color="auto"/>
        <w:right w:val="none" w:sz="0" w:space="0" w:color="auto"/>
      </w:divBdr>
    </w:div>
    <w:div w:id="810249266">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01865364">
      <w:bodyDiv w:val="1"/>
      <w:marLeft w:val="0"/>
      <w:marRight w:val="0"/>
      <w:marTop w:val="0"/>
      <w:marBottom w:val="0"/>
      <w:divBdr>
        <w:top w:val="none" w:sz="0" w:space="0" w:color="auto"/>
        <w:left w:val="none" w:sz="0" w:space="0" w:color="auto"/>
        <w:bottom w:val="none" w:sz="0" w:space="0" w:color="auto"/>
        <w:right w:val="none" w:sz="0" w:space="0" w:color="auto"/>
      </w:divBdr>
      <w:divsChild>
        <w:div w:id="742414220">
          <w:marLeft w:val="0"/>
          <w:marRight w:val="0"/>
          <w:marTop w:val="0"/>
          <w:marBottom w:val="0"/>
          <w:divBdr>
            <w:top w:val="none" w:sz="0" w:space="0" w:color="auto"/>
            <w:left w:val="none" w:sz="0" w:space="0" w:color="auto"/>
            <w:bottom w:val="none" w:sz="0" w:space="0" w:color="auto"/>
            <w:right w:val="none" w:sz="0" w:space="0" w:color="auto"/>
          </w:divBdr>
          <w:divsChild>
            <w:div w:id="232739787">
              <w:marLeft w:val="0"/>
              <w:marRight w:val="0"/>
              <w:marTop w:val="0"/>
              <w:marBottom w:val="0"/>
              <w:divBdr>
                <w:top w:val="none" w:sz="0" w:space="0" w:color="auto"/>
                <w:left w:val="none" w:sz="0" w:space="0" w:color="auto"/>
                <w:bottom w:val="none" w:sz="0" w:space="0" w:color="auto"/>
                <w:right w:val="none" w:sz="0" w:space="0" w:color="auto"/>
              </w:divBdr>
              <w:divsChild>
                <w:div w:id="546113270">
                  <w:marLeft w:val="0"/>
                  <w:marRight w:val="0"/>
                  <w:marTop w:val="0"/>
                  <w:marBottom w:val="0"/>
                  <w:divBdr>
                    <w:top w:val="none" w:sz="0" w:space="0" w:color="auto"/>
                    <w:left w:val="none" w:sz="0" w:space="0" w:color="auto"/>
                    <w:bottom w:val="none" w:sz="0" w:space="0" w:color="auto"/>
                    <w:right w:val="none" w:sz="0" w:space="0" w:color="auto"/>
                  </w:divBdr>
                  <w:divsChild>
                    <w:div w:id="320696132">
                      <w:marLeft w:val="0"/>
                      <w:marRight w:val="0"/>
                      <w:marTop w:val="0"/>
                      <w:marBottom w:val="0"/>
                      <w:divBdr>
                        <w:top w:val="none" w:sz="0" w:space="0" w:color="auto"/>
                        <w:left w:val="none" w:sz="0" w:space="0" w:color="auto"/>
                        <w:bottom w:val="none" w:sz="0" w:space="0" w:color="auto"/>
                        <w:right w:val="none" w:sz="0" w:space="0" w:color="auto"/>
                      </w:divBdr>
                      <w:divsChild>
                        <w:div w:id="3687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92371025">
      <w:bodyDiv w:val="1"/>
      <w:marLeft w:val="0"/>
      <w:marRight w:val="0"/>
      <w:marTop w:val="0"/>
      <w:marBottom w:val="0"/>
      <w:divBdr>
        <w:top w:val="none" w:sz="0" w:space="0" w:color="auto"/>
        <w:left w:val="none" w:sz="0" w:space="0" w:color="auto"/>
        <w:bottom w:val="none" w:sz="0" w:space="0" w:color="auto"/>
        <w:right w:val="none" w:sz="0" w:space="0" w:color="auto"/>
      </w:divBdr>
    </w:div>
    <w:div w:id="1010260963">
      <w:bodyDiv w:val="1"/>
      <w:marLeft w:val="0"/>
      <w:marRight w:val="0"/>
      <w:marTop w:val="0"/>
      <w:marBottom w:val="0"/>
      <w:divBdr>
        <w:top w:val="none" w:sz="0" w:space="0" w:color="auto"/>
        <w:left w:val="none" w:sz="0" w:space="0" w:color="auto"/>
        <w:bottom w:val="none" w:sz="0" w:space="0" w:color="auto"/>
        <w:right w:val="none" w:sz="0" w:space="0" w:color="auto"/>
      </w:divBdr>
      <w:divsChild>
        <w:div w:id="24328441">
          <w:marLeft w:val="0"/>
          <w:marRight w:val="0"/>
          <w:marTop w:val="0"/>
          <w:marBottom w:val="0"/>
          <w:divBdr>
            <w:top w:val="none" w:sz="0" w:space="0" w:color="auto"/>
            <w:left w:val="none" w:sz="0" w:space="0" w:color="auto"/>
            <w:bottom w:val="none" w:sz="0" w:space="0" w:color="auto"/>
            <w:right w:val="none" w:sz="0" w:space="0" w:color="auto"/>
          </w:divBdr>
          <w:divsChild>
            <w:div w:id="13395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7046">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40801102">
      <w:bodyDiv w:val="1"/>
      <w:marLeft w:val="0"/>
      <w:marRight w:val="0"/>
      <w:marTop w:val="0"/>
      <w:marBottom w:val="0"/>
      <w:divBdr>
        <w:top w:val="none" w:sz="0" w:space="0" w:color="auto"/>
        <w:left w:val="none" w:sz="0" w:space="0" w:color="auto"/>
        <w:bottom w:val="none" w:sz="0" w:space="0" w:color="auto"/>
        <w:right w:val="none" w:sz="0" w:space="0" w:color="auto"/>
      </w:divBdr>
      <w:divsChild>
        <w:div w:id="673726674">
          <w:marLeft w:val="0"/>
          <w:marRight w:val="0"/>
          <w:marTop w:val="0"/>
          <w:marBottom w:val="0"/>
          <w:divBdr>
            <w:top w:val="none" w:sz="0" w:space="0" w:color="auto"/>
            <w:left w:val="none" w:sz="0" w:space="0" w:color="auto"/>
            <w:bottom w:val="none" w:sz="0" w:space="0" w:color="auto"/>
            <w:right w:val="none" w:sz="0" w:space="0" w:color="auto"/>
          </w:divBdr>
          <w:divsChild>
            <w:div w:id="10755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11593">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282691816">
      <w:bodyDiv w:val="1"/>
      <w:marLeft w:val="0"/>
      <w:marRight w:val="0"/>
      <w:marTop w:val="0"/>
      <w:marBottom w:val="0"/>
      <w:divBdr>
        <w:top w:val="none" w:sz="0" w:space="0" w:color="auto"/>
        <w:left w:val="none" w:sz="0" w:space="0" w:color="auto"/>
        <w:bottom w:val="none" w:sz="0" w:space="0" w:color="auto"/>
        <w:right w:val="none" w:sz="0" w:space="0" w:color="auto"/>
      </w:divBdr>
    </w:div>
    <w:div w:id="1323700688">
      <w:bodyDiv w:val="1"/>
      <w:marLeft w:val="0"/>
      <w:marRight w:val="0"/>
      <w:marTop w:val="0"/>
      <w:marBottom w:val="0"/>
      <w:divBdr>
        <w:top w:val="none" w:sz="0" w:space="0" w:color="auto"/>
        <w:left w:val="none" w:sz="0" w:space="0" w:color="auto"/>
        <w:bottom w:val="none" w:sz="0" w:space="0" w:color="auto"/>
        <w:right w:val="none" w:sz="0" w:space="0" w:color="auto"/>
      </w:divBdr>
      <w:divsChild>
        <w:div w:id="1582762353">
          <w:marLeft w:val="0"/>
          <w:marRight w:val="0"/>
          <w:marTop w:val="0"/>
          <w:marBottom w:val="0"/>
          <w:divBdr>
            <w:top w:val="none" w:sz="0" w:space="0" w:color="auto"/>
            <w:left w:val="none" w:sz="0" w:space="0" w:color="auto"/>
            <w:bottom w:val="none" w:sz="0" w:space="0" w:color="auto"/>
            <w:right w:val="none" w:sz="0" w:space="0" w:color="auto"/>
          </w:divBdr>
          <w:divsChild>
            <w:div w:id="3934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97283">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49715293">
      <w:bodyDiv w:val="1"/>
      <w:marLeft w:val="0"/>
      <w:marRight w:val="0"/>
      <w:marTop w:val="0"/>
      <w:marBottom w:val="0"/>
      <w:divBdr>
        <w:top w:val="none" w:sz="0" w:space="0" w:color="auto"/>
        <w:left w:val="none" w:sz="0" w:space="0" w:color="auto"/>
        <w:bottom w:val="none" w:sz="0" w:space="0" w:color="auto"/>
        <w:right w:val="none" w:sz="0" w:space="0" w:color="auto"/>
      </w:divBdr>
    </w:div>
    <w:div w:id="1350792004">
      <w:bodyDiv w:val="1"/>
      <w:marLeft w:val="0"/>
      <w:marRight w:val="0"/>
      <w:marTop w:val="0"/>
      <w:marBottom w:val="0"/>
      <w:divBdr>
        <w:top w:val="none" w:sz="0" w:space="0" w:color="auto"/>
        <w:left w:val="none" w:sz="0" w:space="0" w:color="auto"/>
        <w:bottom w:val="none" w:sz="0" w:space="0" w:color="auto"/>
        <w:right w:val="none" w:sz="0" w:space="0" w:color="auto"/>
      </w:divBdr>
    </w:div>
    <w:div w:id="1365443719">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00329000">
      <w:bodyDiv w:val="1"/>
      <w:marLeft w:val="0"/>
      <w:marRight w:val="0"/>
      <w:marTop w:val="0"/>
      <w:marBottom w:val="0"/>
      <w:divBdr>
        <w:top w:val="none" w:sz="0" w:space="0" w:color="auto"/>
        <w:left w:val="none" w:sz="0" w:space="0" w:color="auto"/>
        <w:bottom w:val="none" w:sz="0" w:space="0" w:color="auto"/>
        <w:right w:val="none" w:sz="0" w:space="0" w:color="auto"/>
      </w:divBdr>
    </w:div>
    <w:div w:id="1419600127">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8841812">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33686959">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7305917">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46084442">
      <w:bodyDiv w:val="1"/>
      <w:marLeft w:val="0"/>
      <w:marRight w:val="0"/>
      <w:marTop w:val="0"/>
      <w:marBottom w:val="0"/>
      <w:divBdr>
        <w:top w:val="none" w:sz="0" w:space="0" w:color="auto"/>
        <w:left w:val="none" w:sz="0" w:space="0" w:color="auto"/>
        <w:bottom w:val="none" w:sz="0" w:space="0" w:color="auto"/>
        <w:right w:val="none" w:sz="0" w:space="0" w:color="auto"/>
      </w:divBdr>
    </w:div>
    <w:div w:id="1708219514">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4350001">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48907481">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1.xml"/><Relationship Id="rId21" Type="http://schemas.openxmlformats.org/officeDocument/2006/relationships/hyperlink" Target="http://www.facsia.gov.au/guides_acts/ssg/ss-aclist/ss_a.html" TargetMode="External"/><Relationship Id="rId34" Type="http://schemas.openxmlformats.org/officeDocument/2006/relationships/oleObject" Target="embeddings/Microsoft_PowerPoint_97-2003_Presentation3.ppt"/><Relationship Id="rId42" Type="http://schemas.openxmlformats.org/officeDocument/2006/relationships/image" Target="media/image8.emf"/><Relationship Id="rId47" Type="http://schemas.openxmlformats.org/officeDocument/2006/relationships/hyperlink" Target="http://www.fahcsia.gov.au/sa/families/pubs/cpsim_vim_wa/Pages/default.aspx" TargetMode="External"/><Relationship Id="rId50" Type="http://schemas.openxmlformats.org/officeDocument/2006/relationships/header" Target="header10.xml"/><Relationship Id="rId55" Type="http://schemas.openxmlformats.org/officeDocument/2006/relationships/hyperlink" Target="http://www.deloitte.com/dtt/home/0%2C1044%2Csid%25253D5518%2C00.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6.emf"/><Relationship Id="rId38" Type="http://schemas.openxmlformats.org/officeDocument/2006/relationships/footer" Target="footer10.xml"/><Relationship Id="rId46" Type="http://schemas.openxmlformats.org/officeDocument/2006/relationships/hyperlink" Target="http://www.community.nsw.gov.au/docswr/_assets/main/lib100040/income_management.pdf"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facsia.gov.au/guides_acts/ssg/ss-aclist/ss_p.html" TargetMode="External"/><Relationship Id="rId29" Type="http://schemas.openxmlformats.org/officeDocument/2006/relationships/image" Target="media/image4.emf"/><Relationship Id="rId41" Type="http://schemas.openxmlformats.org/officeDocument/2006/relationships/footer" Target="footer12.xml"/><Relationship Id="rId54" Type="http://schemas.openxmlformats.org/officeDocument/2006/relationships/hyperlink" Target="file:///\\ausydcl001\users$\NMongan\Kate\www.deloitte.com\au\ab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oleObject" Target="embeddings/Microsoft_PowerPoint_97-2003_Presentation2.ppt"/><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www.facsia.gov.au/sa/indigenous/pubs/nter_reports/Documents/redesign_consultations/default.htm" TargetMode="External"/><Relationship Id="rId53" Type="http://schemas.openxmlformats.org/officeDocument/2006/relationships/hyperlink" Target="http://www.deloitte.com/au/economics"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fahcsia.gov.au/sa/indigenous/pubs/jobs/amm_courses/Pages/default.aspx" TargetMode="External"/><Relationship Id="rId28" Type="http://schemas.openxmlformats.org/officeDocument/2006/relationships/footer" Target="footer9.xml"/><Relationship Id="rId36" Type="http://schemas.openxmlformats.org/officeDocument/2006/relationships/oleObject" Target="embeddings/oleObject1.bin"/><Relationship Id="rId49" Type="http://schemas.openxmlformats.org/officeDocument/2006/relationships/footer" Target="footer13.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5.emf"/><Relationship Id="rId44" Type="http://schemas.openxmlformats.org/officeDocument/2006/relationships/hyperlink" Target="http://www.fahcsia.gov.au/about/publicationsarticles/research/occasional/Documents/op34/OP34.pdf" TargetMode="External"/><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facsia.gov.au/guides_acts/ssg/ss-aclist/ss_v.html" TargetMode="External"/><Relationship Id="rId27" Type="http://schemas.openxmlformats.org/officeDocument/2006/relationships/header" Target="header6.xml"/><Relationship Id="rId30" Type="http://schemas.openxmlformats.org/officeDocument/2006/relationships/oleObject" Target="embeddings/Microsoft_PowerPoint_97-2003_Presentation1.ppt"/><Relationship Id="rId35" Type="http://schemas.openxmlformats.org/officeDocument/2006/relationships/image" Target="media/image7.emf"/><Relationship Id="rId43" Type="http://schemas.openxmlformats.org/officeDocument/2006/relationships/hyperlink" Target="http://www.aida.org.au/viewpublications.aspx?id=3" TargetMode="External"/><Relationship Id="rId48" Type="http://schemas.openxmlformats.org/officeDocument/2006/relationships/header" Target="header9.xml"/><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footer" Target="footer1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10B97-3CB4-432F-A354-6992DA3D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77</Pages>
  <Words>24157</Words>
  <Characters>141286</Characters>
  <Application>Microsoft Office Word</Application>
  <DocSecurity>4</DocSecurity>
  <Lines>1177</Lines>
  <Paragraphs>330</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165113</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pentaylor</dc:creator>
  <cp:lastModifiedBy>STUBBINGS, Melissa</cp:lastModifiedBy>
  <cp:revision>2</cp:revision>
  <cp:lastPrinted>2012-07-05T03:23:00Z</cp:lastPrinted>
  <dcterms:created xsi:type="dcterms:W3CDTF">2013-04-26T07:15:00Z</dcterms:created>
  <dcterms:modified xsi:type="dcterms:W3CDTF">2013-04-26T07:15:00Z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10 April 2012</vt:lpwstr>
  </property>
  <property fmtid="{D5CDD505-2E9C-101B-9397-08002B2CF9AE}" pid="3" name="Report Company">
    <vt:lpwstr/>
  </property>
  <property fmtid="{D5CDD505-2E9C-101B-9397-08002B2CF9AE}" pid="4" name="Report Title">
    <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
  </property>
</Properties>
</file>