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E3" w:rsidRDefault="007E205C" w:rsidP="00415DE3">
      <w:pPr>
        <w:spacing w:before="0" w:after="0"/>
        <w:ind w:left="-850" w:right="-427" w:firstLine="850"/>
      </w:pPr>
      <w:r>
        <w:rPr>
          <w:noProof/>
        </w:rPr>
        <w:drawing>
          <wp:inline distT="0" distB="0" distL="0" distR="0" wp14:anchorId="52E227D1" wp14:editId="491E6719">
            <wp:extent cx="6626431" cy="973647"/>
            <wp:effectExtent l="0" t="0" r="3175" b="0"/>
            <wp:docPr id="1" name="Picture 1"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1043" cy="972855"/>
                    </a:xfrm>
                    <a:prstGeom prst="rect">
                      <a:avLst/>
                    </a:prstGeom>
                  </pic:spPr>
                </pic:pic>
              </a:graphicData>
            </a:graphic>
          </wp:inline>
        </w:drawing>
      </w:r>
    </w:p>
    <w:p w:rsidR="00415DE3" w:rsidRPr="003060CD" w:rsidRDefault="00321E2B" w:rsidP="003060CD">
      <w:pPr>
        <w:spacing w:before="0" w:after="0"/>
        <w:ind w:left="-850" w:right="-427" w:firstLine="850"/>
        <w:jc w:val="right"/>
        <w:rPr>
          <w:sz w:val="20"/>
          <w:szCs w:val="20"/>
        </w:rPr>
      </w:pPr>
      <w:r>
        <w:rPr>
          <w:sz w:val="20"/>
          <w:szCs w:val="20"/>
        </w:rPr>
        <w:t xml:space="preserve">Updated: </w:t>
      </w:r>
      <w:r w:rsidR="00744AEA">
        <w:rPr>
          <w:sz w:val="20"/>
          <w:szCs w:val="20"/>
        </w:rPr>
        <w:t>March</w:t>
      </w:r>
      <w:r>
        <w:rPr>
          <w:sz w:val="20"/>
          <w:szCs w:val="20"/>
        </w:rPr>
        <w:t xml:space="preserve"> 20</w:t>
      </w:r>
      <w:r w:rsidR="003E1FDE">
        <w:rPr>
          <w:sz w:val="20"/>
          <w:szCs w:val="20"/>
        </w:rPr>
        <w:t>2</w:t>
      </w:r>
      <w:r w:rsidR="00D7064D">
        <w:rPr>
          <w:sz w:val="20"/>
          <w:szCs w:val="20"/>
        </w:rPr>
        <w:t>3</w:t>
      </w:r>
    </w:p>
    <w:p w:rsidR="007E205C" w:rsidRPr="00597B87" w:rsidRDefault="007E205C" w:rsidP="00E020F5">
      <w:pPr>
        <w:pStyle w:val="Title"/>
      </w:pPr>
      <w:r w:rsidRPr="00E020F5">
        <w:t>National</w:t>
      </w:r>
      <w:r w:rsidRPr="00597B87">
        <w:t xml:space="preserve"> Rental Affordability Scheme (NRAS)</w:t>
      </w:r>
    </w:p>
    <w:p w:rsidR="00C80192" w:rsidRPr="00754D44" w:rsidRDefault="007E205C" w:rsidP="00E020F5">
      <w:pPr>
        <w:pStyle w:val="Heading1"/>
      </w:pPr>
      <w:r>
        <w:t xml:space="preserve">NRAS </w:t>
      </w:r>
      <w:r w:rsidR="00D1335E">
        <w:t>Household Income</w:t>
      </w:r>
      <w:r>
        <w:t xml:space="preserve"> (indexation)</w:t>
      </w:r>
    </w:p>
    <w:p w:rsidR="00C80192" w:rsidRDefault="00A63F23" w:rsidP="00E020F5">
      <w:pPr>
        <w:pStyle w:val="Heading2"/>
      </w:pPr>
      <w:r>
        <w:t>Introduction</w:t>
      </w:r>
    </w:p>
    <w:p w:rsidR="00D1335E" w:rsidRDefault="00D1335E" w:rsidP="00A63F23">
      <w:r>
        <w:t>In order to be eligible for an incentive under NRAS, approved participants must ensure dwellings are rented to eligible tenants</w:t>
      </w:r>
      <w:r w:rsidR="00906DC7">
        <w:t>.</w:t>
      </w:r>
    </w:p>
    <w:p w:rsidR="00906DC7" w:rsidRDefault="00906DC7" w:rsidP="00A63F23">
      <w:r>
        <w:t xml:space="preserve">The gross income limits for households of eligible tenants are specified in the </w:t>
      </w:r>
      <w:r w:rsidR="00A23F8C">
        <w:t>National Rental Affor</w:t>
      </w:r>
      <w:r w:rsidR="00932CDB">
        <w:t>dability Scheme Regulations 2020</w:t>
      </w:r>
      <w:r>
        <w:t>. Each year, household income limits are indexed according to percentage changes in the All Groups component of the Consumer Price Index so that the income limits effectively maintain the same target group of tenants over the life of the Scheme.</w:t>
      </w:r>
    </w:p>
    <w:p w:rsidR="00906DC7" w:rsidRDefault="00906DC7" w:rsidP="00A63F23">
      <w:r>
        <w:t>Income levels are assessed against gross income limits according to the household composition. For NRAS purposes, a household is considered to be all persons who are tenants of the dwelling. All persons who ordinarily reside in an NRAS home must have their income included as a member of the household.</w:t>
      </w:r>
    </w:p>
    <w:p w:rsidR="00906DC7" w:rsidRDefault="00906DC7" w:rsidP="00A63F23">
      <w:r>
        <w:t xml:space="preserve">A household’s gross income for the 12 months prior to commencement of tenancy of an NRAS dwelling must be equal to or less than the relevant income limit for the household’s composition. Household income may increase above the income limit in subsequent years. However, a dwelling ceases to be eligible for an incentive if the tenants’ household income exceeds the applicable household income limit by 25 per cent or more in two consecutive eligibility years. </w:t>
      </w:r>
      <w:r w:rsidRPr="00906DC7">
        <w:t xml:space="preserve">An eligibility year is the 12 month period beginning on the anniversary of the start of the tenancy. </w:t>
      </w:r>
      <w:r>
        <w:t xml:space="preserve"> </w:t>
      </w:r>
    </w:p>
    <w:p w:rsidR="00A63F23" w:rsidRPr="00A63F23" w:rsidRDefault="00906DC7" w:rsidP="00E020F5">
      <w:pPr>
        <w:pStyle w:val="Heading2"/>
      </w:pPr>
      <w:r>
        <w:t>Initial Household Income Limits for the 20</w:t>
      </w:r>
      <w:r w:rsidR="003E1FDE">
        <w:t>2</w:t>
      </w:r>
      <w:r w:rsidR="00D7064D">
        <w:t>3-24</w:t>
      </w:r>
      <w:r>
        <w:t xml:space="preserve"> NRAS </w:t>
      </w:r>
      <w:r w:rsidR="00A34E0E">
        <w:t>y</w:t>
      </w:r>
      <w:r>
        <w:t>ear</w:t>
      </w:r>
    </w:p>
    <w:p w:rsidR="00906DC7" w:rsidRDefault="00906DC7" w:rsidP="00321E2B">
      <w:pPr>
        <w:rPr>
          <w:lang w:val="en-GB" w:eastAsia="en-US"/>
        </w:rPr>
      </w:pPr>
      <w:r>
        <w:rPr>
          <w:lang w:val="en-GB" w:eastAsia="en-US"/>
        </w:rPr>
        <w:t>The initial household income limits for the 20</w:t>
      </w:r>
      <w:r w:rsidR="003E1FDE">
        <w:rPr>
          <w:lang w:val="en-GB" w:eastAsia="en-US"/>
        </w:rPr>
        <w:t>2</w:t>
      </w:r>
      <w:r w:rsidR="00D7064D">
        <w:rPr>
          <w:lang w:val="en-GB" w:eastAsia="en-US"/>
        </w:rPr>
        <w:t>3-24</w:t>
      </w:r>
      <w:r>
        <w:rPr>
          <w:lang w:val="en-GB" w:eastAsia="en-US"/>
        </w:rPr>
        <w:t xml:space="preserve"> NRAS year</w:t>
      </w:r>
      <w:r w:rsidR="00B07ADA">
        <w:rPr>
          <w:lang w:val="en-GB" w:eastAsia="en-US"/>
        </w:rPr>
        <w:t xml:space="preserve"> (i.e. the period 1 May 20</w:t>
      </w:r>
      <w:r w:rsidR="003E1FDE">
        <w:rPr>
          <w:lang w:val="en-GB" w:eastAsia="en-US"/>
        </w:rPr>
        <w:t>2</w:t>
      </w:r>
      <w:r w:rsidR="00D7064D">
        <w:rPr>
          <w:lang w:val="en-GB" w:eastAsia="en-US"/>
        </w:rPr>
        <w:t>3</w:t>
      </w:r>
      <w:r w:rsidR="00B07ADA">
        <w:rPr>
          <w:lang w:val="en-GB" w:eastAsia="en-US"/>
        </w:rPr>
        <w:t xml:space="preserve"> to 30 April 202</w:t>
      </w:r>
      <w:r w:rsidR="00D7064D">
        <w:rPr>
          <w:lang w:val="en-GB" w:eastAsia="en-US"/>
        </w:rPr>
        <w:t>4</w:t>
      </w:r>
      <w:r w:rsidR="00B07ADA">
        <w:rPr>
          <w:lang w:val="en-GB" w:eastAsia="en-US"/>
        </w:rPr>
        <w:t>)</w:t>
      </w:r>
      <w:r>
        <w:rPr>
          <w:lang w:val="en-GB" w:eastAsia="en-US"/>
        </w:rPr>
        <w:t xml:space="preserve"> are:</w:t>
      </w:r>
    </w:p>
    <w:tbl>
      <w:tblPr>
        <w:tblStyle w:val="TableGrid1"/>
        <w:tblW w:w="0" w:type="auto"/>
        <w:tblInd w:w="250" w:type="dxa"/>
        <w:tblLook w:val="0000" w:firstRow="0" w:lastRow="0" w:firstColumn="0" w:lastColumn="0" w:noHBand="0" w:noVBand="0"/>
        <w:tblDescription w:val="Rents Component — Weighted average of eight capital cities — 2.4% increase in 2015-16"/>
      </w:tblPr>
      <w:tblGrid>
        <w:gridCol w:w="3998"/>
        <w:gridCol w:w="3373"/>
      </w:tblGrid>
      <w:tr w:rsidR="00744AEA" w:rsidRPr="00906DC7" w:rsidTr="00E85299">
        <w:trPr>
          <w:trHeight w:val="567"/>
          <w:tblHeader/>
        </w:trPr>
        <w:tc>
          <w:tcPr>
            <w:tcW w:w="3998" w:type="dxa"/>
            <w:shd w:val="clear" w:color="auto" w:fill="005A70" w:themeFill="accent1"/>
          </w:tcPr>
          <w:p w:rsidR="00744AEA" w:rsidRPr="00906DC7" w:rsidRDefault="00906DC7" w:rsidP="00DA7C3E">
            <w:pPr>
              <w:spacing w:after="120" w:line="276" w:lineRule="auto"/>
              <w:rPr>
                <w:rFonts w:asciiTheme="minorHAnsi" w:eastAsia="Cambria" w:hAnsiTheme="minorHAnsi" w:cstheme="minorHAnsi"/>
                <w:b/>
                <w:color w:val="FFFFFF"/>
                <w:spacing w:val="0"/>
                <w:position w:val="-2"/>
                <w:szCs w:val="22"/>
                <w:lang w:val="en-GB"/>
              </w:rPr>
            </w:pPr>
            <w:r>
              <w:rPr>
                <w:rFonts w:asciiTheme="minorHAnsi" w:eastAsia="Cambria" w:hAnsiTheme="minorHAnsi" w:cstheme="minorHAnsi"/>
                <w:b/>
                <w:color w:val="FFFFFF"/>
                <w:spacing w:val="0"/>
                <w:position w:val="-2"/>
                <w:szCs w:val="22"/>
                <w:lang w:val="en-GB"/>
              </w:rPr>
              <w:t>20</w:t>
            </w:r>
            <w:r w:rsidR="00D7064D">
              <w:rPr>
                <w:rFonts w:asciiTheme="minorHAnsi" w:eastAsia="Cambria" w:hAnsiTheme="minorHAnsi" w:cstheme="minorHAnsi"/>
                <w:b/>
                <w:color w:val="FFFFFF"/>
                <w:spacing w:val="0"/>
                <w:position w:val="-2"/>
                <w:szCs w:val="22"/>
                <w:lang w:val="en-GB"/>
              </w:rPr>
              <w:t>23</w:t>
            </w:r>
            <w:r>
              <w:rPr>
                <w:rFonts w:asciiTheme="minorHAnsi" w:eastAsia="Cambria" w:hAnsiTheme="minorHAnsi" w:cstheme="minorHAnsi"/>
                <w:b/>
                <w:color w:val="FFFFFF"/>
                <w:spacing w:val="0"/>
                <w:position w:val="-2"/>
                <w:szCs w:val="22"/>
                <w:lang w:val="en-GB"/>
              </w:rPr>
              <w:t>-2</w:t>
            </w:r>
            <w:r w:rsidR="00D7064D">
              <w:rPr>
                <w:rFonts w:asciiTheme="minorHAnsi" w:eastAsia="Cambria" w:hAnsiTheme="minorHAnsi" w:cstheme="minorHAnsi"/>
                <w:b/>
                <w:color w:val="FFFFFF"/>
                <w:spacing w:val="0"/>
                <w:position w:val="-2"/>
                <w:szCs w:val="22"/>
                <w:lang w:val="en-GB"/>
              </w:rPr>
              <w:t>4</w:t>
            </w:r>
            <w:r>
              <w:rPr>
                <w:rFonts w:asciiTheme="minorHAnsi" w:eastAsia="Cambria" w:hAnsiTheme="minorHAnsi" w:cstheme="minorHAnsi"/>
                <w:b/>
                <w:color w:val="FFFFFF"/>
                <w:spacing w:val="0"/>
                <w:position w:val="-2"/>
                <w:szCs w:val="22"/>
                <w:lang w:val="en-GB"/>
              </w:rPr>
              <w:t xml:space="preserve"> NRAS Year</w:t>
            </w:r>
          </w:p>
        </w:tc>
        <w:tc>
          <w:tcPr>
            <w:tcW w:w="3373" w:type="dxa"/>
            <w:shd w:val="clear" w:color="auto" w:fill="005A70" w:themeFill="accent1"/>
          </w:tcPr>
          <w:p w:rsidR="00744AEA" w:rsidRPr="00906DC7" w:rsidRDefault="00906DC7" w:rsidP="002D21C7">
            <w:pPr>
              <w:spacing w:after="120" w:line="276" w:lineRule="auto"/>
              <w:jc w:val="center"/>
              <w:rPr>
                <w:rFonts w:asciiTheme="minorHAnsi" w:eastAsia="Cambria" w:hAnsiTheme="minorHAnsi" w:cstheme="minorHAnsi"/>
                <w:b/>
                <w:color w:val="FFFFFF"/>
                <w:spacing w:val="0"/>
                <w:position w:val="-2"/>
                <w:szCs w:val="22"/>
                <w:lang w:val="en-GB"/>
              </w:rPr>
            </w:pPr>
            <w:r>
              <w:rPr>
                <w:rFonts w:asciiTheme="minorHAnsi" w:eastAsia="Cambria" w:hAnsiTheme="minorHAnsi" w:cstheme="minorHAnsi"/>
                <w:b/>
                <w:color w:val="FFFFFF"/>
                <w:spacing w:val="0"/>
                <w:position w:val="-2"/>
                <w:szCs w:val="22"/>
                <w:lang w:val="en-GB"/>
              </w:rPr>
              <w:t xml:space="preserve">Initial </w:t>
            </w:r>
            <w:r w:rsidRPr="00906DC7">
              <w:rPr>
                <w:rFonts w:asciiTheme="minorHAnsi" w:eastAsia="Cambria" w:hAnsiTheme="minorHAnsi" w:cstheme="minorHAnsi"/>
                <w:b/>
                <w:color w:val="FFFFFF"/>
                <w:spacing w:val="0"/>
                <w:position w:val="-2"/>
                <w:szCs w:val="22"/>
                <w:lang w:val="en-GB"/>
              </w:rPr>
              <w:t>Income Limit</w:t>
            </w:r>
          </w:p>
        </w:tc>
      </w:tr>
      <w:tr w:rsidR="003E1FDE" w:rsidRPr="00AF130A" w:rsidTr="00E85299">
        <w:tc>
          <w:tcPr>
            <w:tcW w:w="3998" w:type="dxa"/>
          </w:tcPr>
          <w:p w:rsidR="003E1FDE" w:rsidRPr="00AF130A" w:rsidRDefault="003E1FDE" w:rsidP="003E1FDE">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First adult</w:t>
            </w:r>
          </w:p>
        </w:tc>
        <w:tc>
          <w:tcPr>
            <w:tcW w:w="3373" w:type="dxa"/>
          </w:tcPr>
          <w:p w:rsidR="003E1FDE" w:rsidRPr="00A35071" w:rsidRDefault="00D7064D" w:rsidP="004A5087">
            <w:pPr>
              <w:jc w:val="center"/>
            </w:pPr>
            <w:r>
              <w:t>$58,905</w:t>
            </w:r>
          </w:p>
        </w:tc>
      </w:tr>
      <w:tr w:rsidR="003E1FDE" w:rsidRPr="00AF130A" w:rsidTr="00E85299">
        <w:tc>
          <w:tcPr>
            <w:tcW w:w="3998" w:type="dxa"/>
          </w:tcPr>
          <w:p w:rsidR="003E1FDE" w:rsidRPr="00AF130A" w:rsidRDefault="003E1FDE" w:rsidP="003E1FDE">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First adult – sole parent</w:t>
            </w:r>
          </w:p>
        </w:tc>
        <w:tc>
          <w:tcPr>
            <w:tcW w:w="3373" w:type="dxa"/>
          </w:tcPr>
          <w:p w:rsidR="003E1FDE" w:rsidRPr="00A35071" w:rsidRDefault="00AC3F0B" w:rsidP="00D7064D">
            <w:pPr>
              <w:jc w:val="center"/>
            </w:pPr>
            <w:r>
              <w:t>$</w:t>
            </w:r>
            <w:r w:rsidR="00D7064D">
              <w:t>61,957</w:t>
            </w:r>
          </w:p>
        </w:tc>
      </w:tr>
      <w:tr w:rsidR="003E1FDE" w:rsidRPr="00906DC7" w:rsidTr="00E85299">
        <w:tc>
          <w:tcPr>
            <w:tcW w:w="3998" w:type="dxa"/>
          </w:tcPr>
          <w:p w:rsidR="003E1FDE" w:rsidRPr="00906DC7" w:rsidRDefault="003E1FDE" w:rsidP="003E1FDE">
            <w:pPr>
              <w:spacing w:after="120" w:line="276" w:lineRule="auto"/>
              <w:rPr>
                <w:rFonts w:asciiTheme="minorHAnsi" w:eastAsia="Cambria" w:hAnsiTheme="minorHAnsi" w:cstheme="minorHAnsi"/>
                <w:color w:val="000000"/>
                <w:spacing w:val="0"/>
                <w:position w:val="-2"/>
                <w:szCs w:val="22"/>
                <w:lang w:val="en-GB"/>
              </w:rPr>
            </w:pPr>
            <w:r w:rsidRPr="00906DC7">
              <w:rPr>
                <w:rFonts w:asciiTheme="minorHAnsi" w:eastAsia="Cambria" w:hAnsiTheme="minorHAnsi" w:cstheme="minorHAnsi"/>
                <w:color w:val="000000"/>
                <w:spacing w:val="0"/>
                <w:position w:val="-2"/>
                <w:szCs w:val="22"/>
                <w:lang w:val="en-GB"/>
              </w:rPr>
              <w:t xml:space="preserve">Each </w:t>
            </w:r>
            <w:r>
              <w:rPr>
                <w:rFonts w:asciiTheme="minorHAnsi" w:eastAsia="Cambria" w:hAnsiTheme="minorHAnsi" w:cstheme="minorHAnsi"/>
                <w:color w:val="000000"/>
                <w:spacing w:val="0"/>
                <w:position w:val="-2"/>
                <w:szCs w:val="22"/>
                <w:lang w:val="en-GB"/>
              </w:rPr>
              <w:t>additional adult</w:t>
            </w:r>
          </w:p>
        </w:tc>
        <w:tc>
          <w:tcPr>
            <w:tcW w:w="3373" w:type="dxa"/>
          </w:tcPr>
          <w:p w:rsidR="003E1FDE" w:rsidRPr="00A35071" w:rsidRDefault="003E1FDE" w:rsidP="00D7064D">
            <w:pPr>
              <w:jc w:val="center"/>
            </w:pPr>
            <w:r w:rsidRPr="00A35071">
              <w:t>$</w:t>
            </w:r>
            <w:r w:rsidR="00D7064D">
              <w:t>22,536</w:t>
            </w:r>
          </w:p>
        </w:tc>
      </w:tr>
      <w:tr w:rsidR="003E1FDE" w:rsidRPr="00906DC7" w:rsidTr="00E85299">
        <w:tc>
          <w:tcPr>
            <w:tcW w:w="3998" w:type="dxa"/>
          </w:tcPr>
          <w:p w:rsidR="003E1FDE" w:rsidRPr="00906DC7" w:rsidRDefault="003E1FDE" w:rsidP="003E1FDE">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Each child*</w:t>
            </w:r>
          </w:p>
        </w:tc>
        <w:tc>
          <w:tcPr>
            <w:tcW w:w="3373" w:type="dxa"/>
          </w:tcPr>
          <w:p w:rsidR="003E1FDE" w:rsidRDefault="00AC3F0B" w:rsidP="00D7064D">
            <w:pPr>
              <w:jc w:val="center"/>
            </w:pPr>
            <w:r>
              <w:t>$</w:t>
            </w:r>
            <w:r w:rsidR="00D7064D">
              <w:t>19,541</w:t>
            </w:r>
          </w:p>
        </w:tc>
      </w:tr>
    </w:tbl>
    <w:p w:rsidR="00F028CE" w:rsidRPr="00F028CE" w:rsidRDefault="00F028CE" w:rsidP="00F028CE">
      <w:pPr>
        <w:rPr>
          <w:sz w:val="20"/>
          <w:lang w:val="en-GB" w:eastAsia="en-US"/>
        </w:rPr>
      </w:pPr>
      <w:r w:rsidRPr="00F028CE">
        <w:rPr>
          <w:sz w:val="20"/>
          <w:lang w:val="en-GB" w:eastAsia="en-US"/>
        </w:rPr>
        <w:lastRenderedPageBreak/>
        <w:t xml:space="preserve">*Child means </w:t>
      </w:r>
      <w:r>
        <w:rPr>
          <w:sz w:val="20"/>
          <w:lang w:val="en-GB" w:eastAsia="en-US"/>
        </w:rPr>
        <w:t>a person under 18 years of age who is financially dependent on an eligible tenant.</w:t>
      </w:r>
      <w:r w:rsidR="00A23F8C">
        <w:rPr>
          <w:sz w:val="20"/>
          <w:lang w:val="en-GB" w:eastAsia="en-US"/>
        </w:rPr>
        <w:t xml:space="preserve"> If a person under 18 years of age is financially independent, they are considered an adult for NRAS purposes.</w:t>
      </w:r>
    </w:p>
    <w:p w:rsidR="009924A8" w:rsidRDefault="00F028CE" w:rsidP="00F028CE">
      <w:pPr>
        <w:rPr>
          <w:lang w:val="en-GB" w:eastAsia="en-US"/>
        </w:rPr>
      </w:pPr>
      <w:r>
        <w:rPr>
          <w:lang w:val="en-GB" w:eastAsia="en-US"/>
        </w:rPr>
        <w:t>For example, if a household consists of a sole parent with two children, regardless of whether the parent has sole or shared custody, the gross household income for the 12 month period prior to entering the dwelling must be equal to or less than $</w:t>
      </w:r>
      <w:r w:rsidR="00D7064D">
        <w:rPr>
          <w:lang w:val="en-GB" w:eastAsia="en-US"/>
        </w:rPr>
        <w:t>101,039</w:t>
      </w:r>
      <w:r>
        <w:rPr>
          <w:lang w:val="en-GB" w:eastAsia="en-US"/>
        </w:rPr>
        <w:t xml:space="preserve"> (i.e. $</w:t>
      </w:r>
      <w:r w:rsidR="00D7064D">
        <w:rPr>
          <w:lang w:val="en-GB" w:eastAsia="en-US"/>
        </w:rPr>
        <w:t>61,957</w:t>
      </w:r>
      <w:r>
        <w:rPr>
          <w:lang w:val="en-GB" w:eastAsia="en-US"/>
        </w:rPr>
        <w:t xml:space="preserve"> + $</w:t>
      </w:r>
      <w:r w:rsidR="00D7064D">
        <w:rPr>
          <w:lang w:val="en-GB" w:eastAsia="en-US"/>
        </w:rPr>
        <w:t>19,541</w:t>
      </w:r>
      <w:r>
        <w:rPr>
          <w:lang w:val="en-GB" w:eastAsia="en-US"/>
        </w:rPr>
        <w:t>+ $</w:t>
      </w:r>
      <w:r w:rsidR="00D7064D" w:rsidRPr="00D7064D">
        <w:rPr>
          <w:lang w:val="en-GB" w:eastAsia="en-US"/>
        </w:rPr>
        <w:t>19,541</w:t>
      </w:r>
      <w:r>
        <w:rPr>
          <w:lang w:val="en-GB" w:eastAsia="en-US"/>
        </w:rPr>
        <w:t>).</w:t>
      </w:r>
    </w:p>
    <w:p w:rsidR="00F028CE" w:rsidRPr="00F028CE" w:rsidRDefault="00F028CE" w:rsidP="00F028CE">
      <w:pPr>
        <w:rPr>
          <w:lang w:val="en-GB" w:eastAsia="en-US"/>
        </w:rPr>
      </w:pPr>
      <w:r>
        <w:rPr>
          <w:lang w:val="en-GB" w:eastAsia="en-US"/>
        </w:rPr>
        <w:t>For ease of application, the initial and existing household income limits for various household compositions are shown in the table below.</w:t>
      </w:r>
    </w:p>
    <w:tbl>
      <w:tblPr>
        <w:tblStyle w:val="TableGrid1"/>
        <w:tblW w:w="0" w:type="auto"/>
        <w:tblInd w:w="250" w:type="dxa"/>
        <w:tblLook w:val="0000" w:firstRow="0" w:lastRow="0" w:firstColumn="0" w:lastColumn="0" w:noHBand="0" w:noVBand="0"/>
        <w:tblDescription w:val="Rents Component — Weighted average of eight capital cities — 2.4% increase in 2015-16"/>
      </w:tblPr>
      <w:tblGrid>
        <w:gridCol w:w="3856"/>
        <w:gridCol w:w="2552"/>
        <w:gridCol w:w="2835"/>
      </w:tblGrid>
      <w:tr w:rsidR="00B07ADA" w:rsidRPr="00DF1F5E" w:rsidTr="00E85299">
        <w:trPr>
          <w:trHeight w:val="567"/>
          <w:tblHeader/>
        </w:trPr>
        <w:tc>
          <w:tcPr>
            <w:tcW w:w="9243" w:type="dxa"/>
            <w:gridSpan w:val="3"/>
            <w:shd w:val="clear" w:color="auto" w:fill="005A70" w:themeFill="accent1"/>
          </w:tcPr>
          <w:p w:rsidR="00B07ADA" w:rsidRPr="00DF1F5E" w:rsidRDefault="00B07ADA" w:rsidP="004A5087">
            <w:pPr>
              <w:spacing w:after="120" w:line="276" w:lineRule="auto"/>
              <w:jc w:val="center"/>
              <w:rPr>
                <w:rFonts w:asciiTheme="minorHAnsi" w:eastAsia="Cambria" w:hAnsiTheme="minorHAnsi" w:cstheme="minorHAnsi"/>
                <w:b/>
                <w:color w:val="F8F8F8" w:themeColor="background2"/>
                <w:spacing w:val="0"/>
                <w:position w:val="-2"/>
                <w:lang w:val="en-GB"/>
              </w:rPr>
            </w:pPr>
            <w:bookmarkStart w:id="0" w:name="_GoBack"/>
            <w:bookmarkEnd w:id="0"/>
            <w:r>
              <w:rPr>
                <w:rFonts w:asciiTheme="minorHAnsi" w:eastAsia="Cambria" w:hAnsiTheme="minorHAnsi" w:cstheme="minorHAnsi"/>
                <w:b/>
                <w:color w:val="F8F8F8" w:themeColor="background2"/>
                <w:spacing w:val="0"/>
                <w:position w:val="-2"/>
                <w:lang w:val="en-GB"/>
              </w:rPr>
              <w:t>20</w:t>
            </w:r>
            <w:r w:rsidR="003E1FDE">
              <w:rPr>
                <w:rFonts w:asciiTheme="minorHAnsi" w:eastAsia="Cambria" w:hAnsiTheme="minorHAnsi" w:cstheme="minorHAnsi"/>
                <w:b/>
                <w:color w:val="F8F8F8" w:themeColor="background2"/>
                <w:spacing w:val="0"/>
                <w:position w:val="-2"/>
                <w:lang w:val="en-GB"/>
              </w:rPr>
              <w:t>2</w:t>
            </w:r>
            <w:r w:rsidR="005F1E98">
              <w:rPr>
                <w:rFonts w:asciiTheme="minorHAnsi" w:eastAsia="Cambria" w:hAnsiTheme="minorHAnsi" w:cstheme="minorHAnsi"/>
                <w:b/>
                <w:color w:val="F8F8F8" w:themeColor="background2"/>
                <w:spacing w:val="0"/>
                <w:position w:val="-2"/>
                <w:lang w:val="en-GB"/>
              </w:rPr>
              <w:t>3-24</w:t>
            </w:r>
            <w:r>
              <w:rPr>
                <w:rFonts w:asciiTheme="minorHAnsi" w:eastAsia="Cambria" w:hAnsiTheme="minorHAnsi" w:cstheme="minorHAnsi"/>
                <w:b/>
                <w:color w:val="F8F8F8" w:themeColor="background2"/>
                <w:spacing w:val="0"/>
                <w:position w:val="-2"/>
                <w:lang w:val="en-GB"/>
              </w:rPr>
              <w:t xml:space="preserve"> NRAS Year</w:t>
            </w:r>
          </w:p>
        </w:tc>
      </w:tr>
      <w:tr w:rsidR="00B07ADA" w:rsidRPr="00DF1F5E" w:rsidTr="00E85299">
        <w:trPr>
          <w:trHeight w:val="567"/>
          <w:tblHeader/>
        </w:trPr>
        <w:tc>
          <w:tcPr>
            <w:tcW w:w="3856" w:type="dxa"/>
            <w:shd w:val="clear" w:color="auto" w:fill="005A70" w:themeFill="accent1"/>
          </w:tcPr>
          <w:p w:rsidR="00B07ADA" w:rsidRPr="00DF1F5E" w:rsidRDefault="00B07ADA" w:rsidP="00A23F8C">
            <w:pPr>
              <w:spacing w:after="120" w:line="276" w:lineRule="auto"/>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 xml:space="preserve">Household </w:t>
            </w:r>
            <w:r w:rsidR="002D21C7">
              <w:rPr>
                <w:rFonts w:asciiTheme="minorHAnsi" w:eastAsia="Cambria" w:hAnsiTheme="minorHAnsi" w:cstheme="minorHAnsi"/>
                <w:b/>
                <w:color w:val="F8F8F8" w:themeColor="background2"/>
                <w:spacing w:val="0"/>
                <w:position w:val="-2"/>
                <w:lang w:val="en-GB"/>
              </w:rPr>
              <w:br/>
            </w:r>
            <w:r>
              <w:rPr>
                <w:rFonts w:asciiTheme="minorHAnsi" w:eastAsia="Cambria" w:hAnsiTheme="minorHAnsi" w:cstheme="minorHAnsi"/>
                <w:b/>
                <w:color w:val="F8F8F8" w:themeColor="background2"/>
                <w:spacing w:val="0"/>
                <w:position w:val="-2"/>
                <w:lang w:val="en-GB"/>
              </w:rPr>
              <w:t>Composition</w:t>
            </w:r>
          </w:p>
        </w:tc>
        <w:tc>
          <w:tcPr>
            <w:tcW w:w="2552" w:type="dxa"/>
            <w:shd w:val="clear" w:color="auto" w:fill="005A70" w:themeFill="accent1"/>
          </w:tcPr>
          <w:p w:rsidR="00B07ADA" w:rsidRPr="00DF1F5E" w:rsidRDefault="00B07ADA" w:rsidP="002D21C7">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 xml:space="preserve">Initial </w:t>
            </w:r>
            <w:r w:rsidR="002D21C7">
              <w:rPr>
                <w:rFonts w:asciiTheme="minorHAnsi" w:eastAsia="Cambria" w:hAnsiTheme="minorHAnsi" w:cstheme="minorHAnsi"/>
                <w:b/>
                <w:color w:val="F8F8F8" w:themeColor="background2"/>
                <w:spacing w:val="0"/>
                <w:position w:val="-2"/>
                <w:lang w:val="en-GB"/>
              </w:rPr>
              <w:br/>
            </w:r>
            <w:r>
              <w:rPr>
                <w:rFonts w:asciiTheme="minorHAnsi" w:eastAsia="Cambria" w:hAnsiTheme="minorHAnsi" w:cstheme="minorHAnsi"/>
                <w:b/>
                <w:color w:val="F8F8F8" w:themeColor="background2"/>
                <w:spacing w:val="0"/>
                <w:position w:val="-2"/>
                <w:lang w:val="en-GB"/>
              </w:rPr>
              <w:t>Income Limit</w:t>
            </w:r>
          </w:p>
        </w:tc>
        <w:tc>
          <w:tcPr>
            <w:tcW w:w="2835" w:type="dxa"/>
            <w:shd w:val="clear" w:color="auto" w:fill="005A70" w:themeFill="accent1"/>
          </w:tcPr>
          <w:p w:rsidR="00B07ADA" w:rsidRDefault="00B07ADA" w:rsidP="002D21C7">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Existing Tenant Income Limit*</w:t>
            </w:r>
          </w:p>
        </w:tc>
      </w:tr>
      <w:tr w:rsidR="005F1E98" w:rsidRPr="001F3242" w:rsidTr="00E85299">
        <w:trPr>
          <w:trHeight w:val="567"/>
          <w:tblHeader/>
        </w:trPr>
        <w:tc>
          <w:tcPr>
            <w:tcW w:w="3856" w:type="dxa"/>
          </w:tcPr>
          <w:p w:rsidR="005F1E98" w:rsidRPr="001F3242" w:rsidRDefault="005F1E98" w:rsidP="005F1E98">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One adult</w:t>
            </w:r>
          </w:p>
        </w:tc>
        <w:tc>
          <w:tcPr>
            <w:tcW w:w="2552" w:type="dxa"/>
          </w:tcPr>
          <w:p w:rsidR="005F1E98" w:rsidRPr="00EE5269" w:rsidRDefault="005F1E98" w:rsidP="005F1E98">
            <w:pPr>
              <w:jc w:val="center"/>
            </w:pPr>
            <w:r>
              <w:t>$58,905</w:t>
            </w:r>
          </w:p>
        </w:tc>
        <w:tc>
          <w:tcPr>
            <w:tcW w:w="2835" w:type="dxa"/>
          </w:tcPr>
          <w:p w:rsidR="005F1E98" w:rsidRPr="00EE5269" w:rsidRDefault="005F1E98" w:rsidP="005F1E98">
            <w:pPr>
              <w:jc w:val="center"/>
            </w:pPr>
            <w:r>
              <w:t>$73</w:t>
            </w:r>
            <w:r w:rsidR="004515AD">
              <w:t>,</w:t>
            </w:r>
            <w:r>
              <w:t>631</w:t>
            </w:r>
          </w:p>
        </w:tc>
      </w:tr>
      <w:tr w:rsidR="005F1E98" w:rsidRPr="001F3242" w:rsidTr="00E85299">
        <w:tc>
          <w:tcPr>
            <w:tcW w:w="3856" w:type="dxa"/>
          </w:tcPr>
          <w:p w:rsidR="005F1E98" w:rsidRPr="001F3242" w:rsidRDefault="005F1E98" w:rsidP="005F1E98">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Two adults</w:t>
            </w:r>
          </w:p>
        </w:tc>
        <w:tc>
          <w:tcPr>
            <w:tcW w:w="2552" w:type="dxa"/>
          </w:tcPr>
          <w:p w:rsidR="005F1E98" w:rsidRPr="00EE5269" w:rsidRDefault="005F1E98" w:rsidP="005F1E98">
            <w:pPr>
              <w:jc w:val="center"/>
            </w:pPr>
            <w:r>
              <w:t>$81,441</w:t>
            </w:r>
          </w:p>
        </w:tc>
        <w:tc>
          <w:tcPr>
            <w:tcW w:w="2835" w:type="dxa"/>
          </w:tcPr>
          <w:p w:rsidR="005F1E98" w:rsidRPr="00EE5269" w:rsidRDefault="005F1E98" w:rsidP="005F1E98">
            <w:pPr>
              <w:jc w:val="center"/>
            </w:pPr>
            <w:r>
              <w:t>$101,801</w:t>
            </w:r>
          </w:p>
        </w:tc>
      </w:tr>
      <w:tr w:rsidR="005F1E98" w:rsidRPr="001F3242" w:rsidTr="00E85299">
        <w:tc>
          <w:tcPr>
            <w:tcW w:w="3856" w:type="dxa"/>
          </w:tcPr>
          <w:p w:rsidR="005F1E98" w:rsidRPr="001F3242" w:rsidRDefault="005F1E98" w:rsidP="005F1E98">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Three adults</w:t>
            </w:r>
          </w:p>
        </w:tc>
        <w:tc>
          <w:tcPr>
            <w:tcW w:w="2552" w:type="dxa"/>
          </w:tcPr>
          <w:p w:rsidR="005F1E98" w:rsidRPr="00EE5269" w:rsidRDefault="005F1E98" w:rsidP="005F1E98">
            <w:pPr>
              <w:jc w:val="center"/>
            </w:pPr>
            <w:r>
              <w:t>$103,977</w:t>
            </w:r>
          </w:p>
        </w:tc>
        <w:tc>
          <w:tcPr>
            <w:tcW w:w="2835" w:type="dxa"/>
          </w:tcPr>
          <w:p w:rsidR="005F1E98" w:rsidRPr="00EE5269" w:rsidRDefault="005F1E98" w:rsidP="005F1E98">
            <w:pPr>
              <w:jc w:val="center"/>
            </w:pPr>
            <w:r>
              <w:t>$129,971</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Four adults</w:t>
            </w:r>
          </w:p>
        </w:tc>
        <w:tc>
          <w:tcPr>
            <w:tcW w:w="2552" w:type="dxa"/>
          </w:tcPr>
          <w:p w:rsidR="003E1FDE" w:rsidRPr="00EE5269" w:rsidRDefault="003E1FDE" w:rsidP="005F1E98">
            <w:pPr>
              <w:jc w:val="center"/>
            </w:pPr>
            <w:r>
              <w:t>$</w:t>
            </w:r>
            <w:r w:rsidR="005F1E98">
              <w:t>126,513</w:t>
            </w:r>
          </w:p>
        </w:tc>
        <w:tc>
          <w:tcPr>
            <w:tcW w:w="2835" w:type="dxa"/>
          </w:tcPr>
          <w:p w:rsidR="003E1FDE" w:rsidRPr="00EE5269" w:rsidRDefault="003E1FDE" w:rsidP="005F1E98">
            <w:pPr>
              <w:jc w:val="center"/>
            </w:pPr>
            <w:r>
              <w:t>$</w:t>
            </w:r>
            <w:r w:rsidR="005F1E98">
              <w:t>158,141</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one child</w:t>
            </w:r>
          </w:p>
        </w:tc>
        <w:tc>
          <w:tcPr>
            <w:tcW w:w="2552" w:type="dxa"/>
          </w:tcPr>
          <w:p w:rsidR="003E1FDE" w:rsidRPr="00EE5269" w:rsidRDefault="003E1FDE" w:rsidP="005F1E98">
            <w:pPr>
              <w:jc w:val="center"/>
            </w:pPr>
            <w:r>
              <w:t>$</w:t>
            </w:r>
            <w:r w:rsidR="005F1E98">
              <w:t>81,498</w:t>
            </w:r>
          </w:p>
        </w:tc>
        <w:tc>
          <w:tcPr>
            <w:tcW w:w="2835" w:type="dxa"/>
          </w:tcPr>
          <w:p w:rsidR="003E1FDE" w:rsidRPr="00EE5269" w:rsidRDefault="003E1FDE" w:rsidP="005F1E98">
            <w:pPr>
              <w:jc w:val="center"/>
            </w:pPr>
            <w:r>
              <w:t>$</w:t>
            </w:r>
            <w:r w:rsidR="005F1E98">
              <w:t>101,873</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two children</w:t>
            </w:r>
          </w:p>
        </w:tc>
        <w:tc>
          <w:tcPr>
            <w:tcW w:w="2552" w:type="dxa"/>
          </w:tcPr>
          <w:p w:rsidR="003E1FDE" w:rsidRPr="00EE5269" w:rsidRDefault="003E1FDE" w:rsidP="005F1E98">
            <w:pPr>
              <w:jc w:val="center"/>
            </w:pPr>
            <w:r>
              <w:t>$</w:t>
            </w:r>
            <w:r w:rsidR="005F1E98">
              <w:t>101,039</w:t>
            </w:r>
          </w:p>
        </w:tc>
        <w:tc>
          <w:tcPr>
            <w:tcW w:w="2835" w:type="dxa"/>
          </w:tcPr>
          <w:p w:rsidR="003E1FDE" w:rsidRPr="00EE5269" w:rsidRDefault="003E1FDE" w:rsidP="005F1E98">
            <w:pPr>
              <w:jc w:val="center"/>
            </w:pPr>
            <w:r>
              <w:t>$</w:t>
            </w:r>
            <w:r w:rsidR="005F1E98">
              <w:t>126,299</w:t>
            </w:r>
          </w:p>
        </w:tc>
      </w:tr>
      <w:tr w:rsidR="003E1FDE" w:rsidRPr="001F3242" w:rsidTr="00E85299">
        <w:tc>
          <w:tcPr>
            <w:tcW w:w="3856" w:type="dxa"/>
          </w:tcPr>
          <w:p w:rsidR="003E1FDE"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three children</w:t>
            </w:r>
          </w:p>
        </w:tc>
        <w:tc>
          <w:tcPr>
            <w:tcW w:w="2552" w:type="dxa"/>
          </w:tcPr>
          <w:p w:rsidR="003E1FDE" w:rsidRPr="00EE5269" w:rsidRDefault="003E1FDE" w:rsidP="005F1E98">
            <w:pPr>
              <w:jc w:val="center"/>
            </w:pPr>
            <w:r>
              <w:t>$</w:t>
            </w:r>
            <w:r w:rsidR="005F1E98">
              <w:t>120,580</w:t>
            </w:r>
          </w:p>
        </w:tc>
        <w:tc>
          <w:tcPr>
            <w:tcW w:w="2835" w:type="dxa"/>
          </w:tcPr>
          <w:p w:rsidR="003E1FDE" w:rsidRPr="00EE5269" w:rsidRDefault="003E1FDE" w:rsidP="005F1E98">
            <w:pPr>
              <w:jc w:val="center"/>
            </w:pPr>
            <w:r>
              <w:t>$</w:t>
            </w:r>
            <w:r w:rsidR="005F1E98">
              <w:t>150,725</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one child</w:t>
            </w:r>
          </w:p>
        </w:tc>
        <w:tc>
          <w:tcPr>
            <w:tcW w:w="2552" w:type="dxa"/>
          </w:tcPr>
          <w:p w:rsidR="003E1FDE" w:rsidRPr="00EE5269" w:rsidRDefault="003E1FDE" w:rsidP="005F1E98">
            <w:pPr>
              <w:jc w:val="center"/>
            </w:pPr>
            <w:r>
              <w:t>$</w:t>
            </w:r>
            <w:r w:rsidR="005F1E98">
              <w:t>100,982</w:t>
            </w:r>
          </w:p>
        </w:tc>
        <w:tc>
          <w:tcPr>
            <w:tcW w:w="2835" w:type="dxa"/>
          </w:tcPr>
          <w:p w:rsidR="003E1FDE" w:rsidRPr="00EE5269" w:rsidRDefault="003E1FDE" w:rsidP="005F1E98">
            <w:pPr>
              <w:jc w:val="center"/>
            </w:pPr>
            <w:r>
              <w:t>$</w:t>
            </w:r>
            <w:r w:rsidR="005F1E98">
              <w:t>126,228</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two children</w:t>
            </w:r>
          </w:p>
        </w:tc>
        <w:tc>
          <w:tcPr>
            <w:tcW w:w="2552" w:type="dxa"/>
          </w:tcPr>
          <w:p w:rsidR="003E1FDE" w:rsidRPr="00EE5269" w:rsidRDefault="003E1FDE" w:rsidP="005F1E98">
            <w:pPr>
              <w:jc w:val="center"/>
            </w:pPr>
            <w:r>
              <w:t>$</w:t>
            </w:r>
            <w:r w:rsidR="005F1E98">
              <w:t>120,523</w:t>
            </w:r>
          </w:p>
        </w:tc>
        <w:tc>
          <w:tcPr>
            <w:tcW w:w="2835" w:type="dxa"/>
          </w:tcPr>
          <w:p w:rsidR="003E1FDE" w:rsidRPr="00EE5269" w:rsidRDefault="003E1FDE" w:rsidP="005F1E98">
            <w:pPr>
              <w:jc w:val="center"/>
            </w:pPr>
            <w:r>
              <w:t>$</w:t>
            </w:r>
            <w:r w:rsidR="005F1E98">
              <w:t>150,654</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three children</w:t>
            </w:r>
          </w:p>
        </w:tc>
        <w:tc>
          <w:tcPr>
            <w:tcW w:w="2552" w:type="dxa"/>
          </w:tcPr>
          <w:p w:rsidR="003E1FDE" w:rsidRPr="00EE5269" w:rsidRDefault="003E1FDE" w:rsidP="00AC3F0B">
            <w:pPr>
              <w:jc w:val="center"/>
            </w:pPr>
            <w:r>
              <w:t>$</w:t>
            </w:r>
            <w:r w:rsidR="005F1E98">
              <w:t>140,064</w:t>
            </w:r>
          </w:p>
        </w:tc>
        <w:tc>
          <w:tcPr>
            <w:tcW w:w="2835" w:type="dxa"/>
          </w:tcPr>
          <w:p w:rsidR="003E1FDE" w:rsidRDefault="003E1FDE" w:rsidP="005F1E98">
            <w:pPr>
              <w:jc w:val="center"/>
            </w:pPr>
            <w:r>
              <w:t>$</w:t>
            </w:r>
            <w:r w:rsidR="005F1E98">
              <w:t>175,080</w:t>
            </w:r>
          </w:p>
        </w:tc>
      </w:tr>
    </w:tbl>
    <w:p w:rsidR="00CB05BE" w:rsidRPr="00B07ADA" w:rsidRDefault="00B07ADA" w:rsidP="008D4E4B">
      <w:pPr>
        <w:rPr>
          <w:sz w:val="20"/>
          <w:lang w:val="en-GB" w:eastAsia="en-US"/>
        </w:rPr>
      </w:pPr>
      <w:r w:rsidRPr="00B07ADA">
        <w:rPr>
          <w:sz w:val="20"/>
          <w:lang w:val="en-GB" w:eastAsia="en-US"/>
        </w:rPr>
        <w:t xml:space="preserve">*This </w:t>
      </w:r>
      <w:r>
        <w:rPr>
          <w:sz w:val="20"/>
          <w:lang w:val="en-GB" w:eastAsia="en-US"/>
        </w:rPr>
        <w:t xml:space="preserve">column shows figures which are 25 per cent more than the initial household income limits. If the combined gross household income of existing tenants exceeds the initial </w:t>
      </w:r>
      <w:r w:rsidR="00A83450">
        <w:rPr>
          <w:sz w:val="20"/>
          <w:lang w:val="en-GB" w:eastAsia="en-US"/>
        </w:rPr>
        <w:t xml:space="preserve">income </w:t>
      </w:r>
      <w:r>
        <w:rPr>
          <w:sz w:val="20"/>
          <w:lang w:val="en-GB" w:eastAsia="en-US"/>
        </w:rPr>
        <w:t>limit by 25 per cent or more (i.e. is at or is more than the existing tenant income limit) in two consecutive eligibility years, the tenants will cease to be eligible tenants.</w:t>
      </w:r>
    </w:p>
    <w:p w:rsidR="00B07ADA" w:rsidRPr="004649E2" w:rsidRDefault="00B07ADA" w:rsidP="008D4E4B"/>
    <w:sectPr w:rsidR="00B07ADA" w:rsidRPr="004649E2" w:rsidSect="00A23F8C">
      <w:headerReference w:type="even" r:id="rId9"/>
      <w:headerReference w:type="default" r:id="rId10"/>
      <w:footerReference w:type="even" r:id="rId11"/>
      <w:footerReference w:type="default" r:id="rId12"/>
      <w:headerReference w:type="first" r:id="rId13"/>
      <w:footerReference w:type="first" r:id="rId14"/>
      <w:pgSz w:w="11906" w:h="16838" w:code="9"/>
      <w:pgMar w:top="1112" w:right="851" w:bottom="28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C6" w:rsidRDefault="00B86AC6">
      <w:r>
        <w:separator/>
      </w:r>
    </w:p>
  </w:endnote>
  <w:endnote w:type="continuationSeparator" w:id="0">
    <w:p w:rsidR="00B86AC6" w:rsidRDefault="00B8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02" w:rsidRDefault="00D67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59687"/>
      <w:docPartObj>
        <w:docPartGallery w:val="Page Numbers (Bottom of Page)"/>
        <w:docPartUnique/>
      </w:docPartObj>
    </w:sdtPr>
    <w:sdtEndPr>
      <w:rPr>
        <w:noProof/>
      </w:rPr>
    </w:sdtEndPr>
    <w:sdtContent>
      <w:p w:rsidR="00AF130A" w:rsidRDefault="00AF130A">
        <w:pPr>
          <w:pStyle w:val="Footer"/>
          <w:jc w:val="right"/>
        </w:pPr>
        <w:r>
          <w:fldChar w:fldCharType="begin"/>
        </w:r>
        <w:r>
          <w:instrText xml:space="preserve"> PAGE   \* MERGEFORMAT </w:instrText>
        </w:r>
        <w:r>
          <w:fldChar w:fldCharType="separate"/>
        </w:r>
        <w:r w:rsidR="00D67A02">
          <w:rPr>
            <w:noProof/>
          </w:rPr>
          <w:t>2</w:t>
        </w:r>
        <w:r>
          <w:rPr>
            <w:noProof/>
          </w:rPr>
          <w:fldChar w:fldCharType="end"/>
        </w:r>
      </w:p>
    </w:sdtContent>
  </w:sdt>
  <w:p w:rsidR="00AF130A" w:rsidRDefault="00AF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02" w:rsidRDefault="00D67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C6" w:rsidRDefault="00B86AC6">
      <w:r>
        <w:separator/>
      </w:r>
    </w:p>
  </w:footnote>
  <w:footnote w:type="continuationSeparator" w:id="0">
    <w:p w:rsidR="00B86AC6" w:rsidRDefault="00B86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02" w:rsidRDefault="00D67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02" w:rsidRDefault="00D67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02" w:rsidRDefault="00D67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5C"/>
    <w:rsid w:val="00002C18"/>
    <w:rsid w:val="0000501B"/>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021"/>
    <w:rsid w:val="000D0178"/>
    <w:rsid w:val="000D4703"/>
    <w:rsid w:val="000D4F28"/>
    <w:rsid w:val="000D693C"/>
    <w:rsid w:val="000E12D4"/>
    <w:rsid w:val="00104669"/>
    <w:rsid w:val="00110028"/>
    <w:rsid w:val="00116EDF"/>
    <w:rsid w:val="00124B26"/>
    <w:rsid w:val="00130C4E"/>
    <w:rsid w:val="00131B54"/>
    <w:rsid w:val="001354B7"/>
    <w:rsid w:val="001404FA"/>
    <w:rsid w:val="00140EEE"/>
    <w:rsid w:val="001413C5"/>
    <w:rsid w:val="00142956"/>
    <w:rsid w:val="00143502"/>
    <w:rsid w:val="00144494"/>
    <w:rsid w:val="00144868"/>
    <w:rsid w:val="00157709"/>
    <w:rsid w:val="00167330"/>
    <w:rsid w:val="00167CF4"/>
    <w:rsid w:val="0017633E"/>
    <w:rsid w:val="00185F6A"/>
    <w:rsid w:val="001943DD"/>
    <w:rsid w:val="00195374"/>
    <w:rsid w:val="001A127F"/>
    <w:rsid w:val="001A1F53"/>
    <w:rsid w:val="001A3CA4"/>
    <w:rsid w:val="001A3EA4"/>
    <w:rsid w:val="001B3AEC"/>
    <w:rsid w:val="001B5000"/>
    <w:rsid w:val="001B6F28"/>
    <w:rsid w:val="001D4585"/>
    <w:rsid w:val="001D5D54"/>
    <w:rsid w:val="001E41C8"/>
    <w:rsid w:val="001F3242"/>
    <w:rsid w:val="001F3AD7"/>
    <w:rsid w:val="001F45EB"/>
    <w:rsid w:val="001F7DE9"/>
    <w:rsid w:val="00207630"/>
    <w:rsid w:val="00213082"/>
    <w:rsid w:val="002147ED"/>
    <w:rsid w:val="00216E38"/>
    <w:rsid w:val="0021714E"/>
    <w:rsid w:val="00222187"/>
    <w:rsid w:val="00222C8D"/>
    <w:rsid w:val="00222E33"/>
    <w:rsid w:val="00227B95"/>
    <w:rsid w:val="00231C0C"/>
    <w:rsid w:val="0023523A"/>
    <w:rsid w:val="002353DF"/>
    <w:rsid w:val="00235F71"/>
    <w:rsid w:val="0024501C"/>
    <w:rsid w:val="0025272A"/>
    <w:rsid w:val="00271922"/>
    <w:rsid w:val="0027204E"/>
    <w:rsid w:val="00273412"/>
    <w:rsid w:val="00274ACF"/>
    <w:rsid w:val="00284F21"/>
    <w:rsid w:val="00285F1B"/>
    <w:rsid w:val="00295831"/>
    <w:rsid w:val="00296F1B"/>
    <w:rsid w:val="002A6DF5"/>
    <w:rsid w:val="002D00B0"/>
    <w:rsid w:val="002D21C7"/>
    <w:rsid w:val="002D2E16"/>
    <w:rsid w:val="002F19EF"/>
    <w:rsid w:val="00302415"/>
    <w:rsid w:val="003060CD"/>
    <w:rsid w:val="0030693C"/>
    <w:rsid w:val="003102F6"/>
    <w:rsid w:val="00313304"/>
    <w:rsid w:val="00313C48"/>
    <w:rsid w:val="00314D15"/>
    <w:rsid w:val="003162AD"/>
    <w:rsid w:val="00321148"/>
    <w:rsid w:val="00321798"/>
    <w:rsid w:val="00321E2B"/>
    <w:rsid w:val="00325F44"/>
    <w:rsid w:val="00326976"/>
    <w:rsid w:val="003311D7"/>
    <w:rsid w:val="00332B8B"/>
    <w:rsid w:val="00340EDC"/>
    <w:rsid w:val="00342476"/>
    <w:rsid w:val="00347104"/>
    <w:rsid w:val="0035213F"/>
    <w:rsid w:val="003555D2"/>
    <w:rsid w:val="00363DF3"/>
    <w:rsid w:val="003656B1"/>
    <w:rsid w:val="0037056B"/>
    <w:rsid w:val="00377173"/>
    <w:rsid w:val="003774DA"/>
    <w:rsid w:val="00392557"/>
    <w:rsid w:val="003945C0"/>
    <w:rsid w:val="003A06C2"/>
    <w:rsid w:val="003B5728"/>
    <w:rsid w:val="003B6D2E"/>
    <w:rsid w:val="003C430D"/>
    <w:rsid w:val="003C68E4"/>
    <w:rsid w:val="003C7404"/>
    <w:rsid w:val="003D3C5A"/>
    <w:rsid w:val="003D404A"/>
    <w:rsid w:val="003E1FDE"/>
    <w:rsid w:val="003E6FDA"/>
    <w:rsid w:val="003F1545"/>
    <w:rsid w:val="003F3072"/>
    <w:rsid w:val="00401A2A"/>
    <w:rsid w:val="004103D7"/>
    <w:rsid w:val="0041307C"/>
    <w:rsid w:val="00415DE3"/>
    <w:rsid w:val="004167B4"/>
    <w:rsid w:val="00430D7E"/>
    <w:rsid w:val="00433B04"/>
    <w:rsid w:val="00440BD3"/>
    <w:rsid w:val="00446F93"/>
    <w:rsid w:val="004515AD"/>
    <w:rsid w:val="004649E2"/>
    <w:rsid w:val="00464E8C"/>
    <w:rsid w:val="00466D36"/>
    <w:rsid w:val="00467185"/>
    <w:rsid w:val="0047050C"/>
    <w:rsid w:val="00475504"/>
    <w:rsid w:val="00475D01"/>
    <w:rsid w:val="00480F21"/>
    <w:rsid w:val="00484D5E"/>
    <w:rsid w:val="00484FED"/>
    <w:rsid w:val="00495AF1"/>
    <w:rsid w:val="004A5087"/>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7284F"/>
    <w:rsid w:val="005822A3"/>
    <w:rsid w:val="0059070B"/>
    <w:rsid w:val="00594445"/>
    <w:rsid w:val="00597B87"/>
    <w:rsid w:val="005B1225"/>
    <w:rsid w:val="005C09F4"/>
    <w:rsid w:val="005C561A"/>
    <w:rsid w:val="005C5B93"/>
    <w:rsid w:val="005C66FF"/>
    <w:rsid w:val="005C785A"/>
    <w:rsid w:val="005D03CA"/>
    <w:rsid w:val="005D45AB"/>
    <w:rsid w:val="005D67E9"/>
    <w:rsid w:val="005E4662"/>
    <w:rsid w:val="005E5764"/>
    <w:rsid w:val="005F093F"/>
    <w:rsid w:val="005F1E98"/>
    <w:rsid w:val="005F214A"/>
    <w:rsid w:val="005F22F6"/>
    <w:rsid w:val="005F6BD6"/>
    <w:rsid w:val="00601C99"/>
    <w:rsid w:val="00607597"/>
    <w:rsid w:val="00610E24"/>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1663"/>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4872"/>
    <w:rsid w:val="00725FB2"/>
    <w:rsid w:val="00730C64"/>
    <w:rsid w:val="007322AF"/>
    <w:rsid w:val="00735477"/>
    <w:rsid w:val="00736DCA"/>
    <w:rsid w:val="00742399"/>
    <w:rsid w:val="00744AEA"/>
    <w:rsid w:val="007457E8"/>
    <w:rsid w:val="0074640C"/>
    <w:rsid w:val="0075003D"/>
    <w:rsid w:val="00751B37"/>
    <w:rsid w:val="00754D44"/>
    <w:rsid w:val="00767B7E"/>
    <w:rsid w:val="0077113E"/>
    <w:rsid w:val="007746A9"/>
    <w:rsid w:val="00785465"/>
    <w:rsid w:val="00787656"/>
    <w:rsid w:val="007A67EA"/>
    <w:rsid w:val="007B15AF"/>
    <w:rsid w:val="007B7E83"/>
    <w:rsid w:val="007C1631"/>
    <w:rsid w:val="007C444F"/>
    <w:rsid w:val="007C636F"/>
    <w:rsid w:val="007D0EF8"/>
    <w:rsid w:val="007D39EB"/>
    <w:rsid w:val="007D7FDC"/>
    <w:rsid w:val="007E205C"/>
    <w:rsid w:val="008005C4"/>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0281"/>
    <w:rsid w:val="009037B6"/>
    <w:rsid w:val="00906CBE"/>
    <w:rsid w:val="00906DC7"/>
    <w:rsid w:val="00906FFA"/>
    <w:rsid w:val="00910384"/>
    <w:rsid w:val="009139C0"/>
    <w:rsid w:val="009161C8"/>
    <w:rsid w:val="009164AD"/>
    <w:rsid w:val="00922289"/>
    <w:rsid w:val="00932CDB"/>
    <w:rsid w:val="00936F46"/>
    <w:rsid w:val="0094271E"/>
    <w:rsid w:val="00943142"/>
    <w:rsid w:val="00943A29"/>
    <w:rsid w:val="0095197E"/>
    <w:rsid w:val="00952AB2"/>
    <w:rsid w:val="009551E0"/>
    <w:rsid w:val="00955801"/>
    <w:rsid w:val="0095654E"/>
    <w:rsid w:val="00956F3C"/>
    <w:rsid w:val="0095779B"/>
    <w:rsid w:val="0096485D"/>
    <w:rsid w:val="00964E4F"/>
    <w:rsid w:val="009900F0"/>
    <w:rsid w:val="00991769"/>
    <w:rsid w:val="009924A8"/>
    <w:rsid w:val="00994E9F"/>
    <w:rsid w:val="00996931"/>
    <w:rsid w:val="009A0F18"/>
    <w:rsid w:val="009A4CD8"/>
    <w:rsid w:val="009A6AFA"/>
    <w:rsid w:val="009B3ED1"/>
    <w:rsid w:val="009C206F"/>
    <w:rsid w:val="009C433C"/>
    <w:rsid w:val="009D28B7"/>
    <w:rsid w:val="009D7E1A"/>
    <w:rsid w:val="009E2162"/>
    <w:rsid w:val="009F2F95"/>
    <w:rsid w:val="00A006EB"/>
    <w:rsid w:val="00A03709"/>
    <w:rsid w:val="00A03E6E"/>
    <w:rsid w:val="00A06C77"/>
    <w:rsid w:val="00A10147"/>
    <w:rsid w:val="00A10259"/>
    <w:rsid w:val="00A13D26"/>
    <w:rsid w:val="00A146A5"/>
    <w:rsid w:val="00A17411"/>
    <w:rsid w:val="00A2223D"/>
    <w:rsid w:val="00A223EF"/>
    <w:rsid w:val="00A23F8C"/>
    <w:rsid w:val="00A34A74"/>
    <w:rsid w:val="00A34E0E"/>
    <w:rsid w:val="00A35351"/>
    <w:rsid w:val="00A42ADE"/>
    <w:rsid w:val="00A57170"/>
    <w:rsid w:val="00A60693"/>
    <w:rsid w:val="00A63F23"/>
    <w:rsid w:val="00A67728"/>
    <w:rsid w:val="00A714A5"/>
    <w:rsid w:val="00A81A4F"/>
    <w:rsid w:val="00A82E14"/>
    <w:rsid w:val="00A83450"/>
    <w:rsid w:val="00A867FA"/>
    <w:rsid w:val="00A901E9"/>
    <w:rsid w:val="00A954B4"/>
    <w:rsid w:val="00A9762C"/>
    <w:rsid w:val="00AA3FC5"/>
    <w:rsid w:val="00AA4067"/>
    <w:rsid w:val="00AA4AD0"/>
    <w:rsid w:val="00AB1A5B"/>
    <w:rsid w:val="00AB6130"/>
    <w:rsid w:val="00AC0A54"/>
    <w:rsid w:val="00AC125E"/>
    <w:rsid w:val="00AC3F0B"/>
    <w:rsid w:val="00AC45DF"/>
    <w:rsid w:val="00AC474D"/>
    <w:rsid w:val="00AC4DFD"/>
    <w:rsid w:val="00AC58FD"/>
    <w:rsid w:val="00AC60CD"/>
    <w:rsid w:val="00AD300A"/>
    <w:rsid w:val="00AD60E6"/>
    <w:rsid w:val="00AD793A"/>
    <w:rsid w:val="00AE457D"/>
    <w:rsid w:val="00AE5956"/>
    <w:rsid w:val="00AE619F"/>
    <w:rsid w:val="00AF130A"/>
    <w:rsid w:val="00AF373A"/>
    <w:rsid w:val="00AF7EFE"/>
    <w:rsid w:val="00B03BEE"/>
    <w:rsid w:val="00B049AA"/>
    <w:rsid w:val="00B0517E"/>
    <w:rsid w:val="00B056E2"/>
    <w:rsid w:val="00B07ADA"/>
    <w:rsid w:val="00B11314"/>
    <w:rsid w:val="00B1192C"/>
    <w:rsid w:val="00B138E3"/>
    <w:rsid w:val="00B23267"/>
    <w:rsid w:val="00B25891"/>
    <w:rsid w:val="00B25C0F"/>
    <w:rsid w:val="00B27149"/>
    <w:rsid w:val="00B40D26"/>
    <w:rsid w:val="00B4451B"/>
    <w:rsid w:val="00B51316"/>
    <w:rsid w:val="00B72D62"/>
    <w:rsid w:val="00B843C8"/>
    <w:rsid w:val="00B86AC6"/>
    <w:rsid w:val="00B92E0D"/>
    <w:rsid w:val="00B951E2"/>
    <w:rsid w:val="00B96F37"/>
    <w:rsid w:val="00BA607C"/>
    <w:rsid w:val="00BB3E2A"/>
    <w:rsid w:val="00BC16F5"/>
    <w:rsid w:val="00BC287D"/>
    <w:rsid w:val="00BC4A76"/>
    <w:rsid w:val="00BD32E5"/>
    <w:rsid w:val="00BD7ADD"/>
    <w:rsid w:val="00BE41C3"/>
    <w:rsid w:val="00BE6767"/>
    <w:rsid w:val="00BE68D7"/>
    <w:rsid w:val="00BF0784"/>
    <w:rsid w:val="00BF45E7"/>
    <w:rsid w:val="00BF7763"/>
    <w:rsid w:val="00C04D5E"/>
    <w:rsid w:val="00C24EA2"/>
    <w:rsid w:val="00C24F70"/>
    <w:rsid w:val="00C25D5B"/>
    <w:rsid w:val="00C26165"/>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D4D0E"/>
    <w:rsid w:val="00CE214C"/>
    <w:rsid w:val="00CE28DE"/>
    <w:rsid w:val="00CE3835"/>
    <w:rsid w:val="00CE6858"/>
    <w:rsid w:val="00CF50BE"/>
    <w:rsid w:val="00CF553B"/>
    <w:rsid w:val="00CF6A52"/>
    <w:rsid w:val="00D03583"/>
    <w:rsid w:val="00D117B4"/>
    <w:rsid w:val="00D1335E"/>
    <w:rsid w:val="00D169F7"/>
    <w:rsid w:val="00D21382"/>
    <w:rsid w:val="00D26D01"/>
    <w:rsid w:val="00D33270"/>
    <w:rsid w:val="00D33DA3"/>
    <w:rsid w:val="00D45D9D"/>
    <w:rsid w:val="00D4723B"/>
    <w:rsid w:val="00D55EE8"/>
    <w:rsid w:val="00D5785A"/>
    <w:rsid w:val="00D64C48"/>
    <w:rsid w:val="00D67A02"/>
    <w:rsid w:val="00D7064D"/>
    <w:rsid w:val="00D731C4"/>
    <w:rsid w:val="00D76BB8"/>
    <w:rsid w:val="00D81BAA"/>
    <w:rsid w:val="00D85BE0"/>
    <w:rsid w:val="00D87C1A"/>
    <w:rsid w:val="00D87F42"/>
    <w:rsid w:val="00D87FD7"/>
    <w:rsid w:val="00D92167"/>
    <w:rsid w:val="00D9502B"/>
    <w:rsid w:val="00D95BDB"/>
    <w:rsid w:val="00D97047"/>
    <w:rsid w:val="00D97108"/>
    <w:rsid w:val="00DA7C3E"/>
    <w:rsid w:val="00DC5665"/>
    <w:rsid w:val="00DD46FC"/>
    <w:rsid w:val="00DD4F44"/>
    <w:rsid w:val="00DD5D8B"/>
    <w:rsid w:val="00DE0F9E"/>
    <w:rsid w:val="00DE5D76"/>
    <w:rsid w:val="00DF1F5E"/>
    <w:rsid w:val="00E020F5"/>
    <w:rsid w:val="00E04C8D"/>
    <w:rsid w:val="00E128D8"/>
    <w:rsid w:val="00E30D45"/>
    <w:rsid w:val="00E42FE4"/>
    <w:rsid w:val="00E4456C"/>
    <w:rsid w:val="00E4609D"/>
    <w:rsid w:val="00E46FAA"/>
    <w:rsid w:val="00E50FB5"/>
    <w:rsid w:val="00E5750B"/>
    <w:rsid w:val="00E60E2E"/>
    <w:rsid w:val="00E63A24"/>
    <w:rsid w:val="00E66339"/>
    <w:rsid w:val="00E67913"/>
    <w:rsid w:val="00E71A2D"/>
    <w:rsid w:val="00E83E88"/>
    <w:rsid w:val="00E85299"/>
    <w:rsid w:val="00E8698A"/>
    <w:rsid w:val="00E923F2"/>
    <w:rsid w:val="00EA31CC"/>
    <w:rsid w:val="00EB14DF"/>
    <w:rsid w:val="00EB2B64"/>
    <w:rsid w:val="00EB3A07"/>
    <w:rsid w:val="00EB4143"/>
    <w:rsid w:val="00EB4728"/>
    <w:rsid w:val="00EB4E7F"/>
    <w:rsid w:val="00EC207A"/>
    <w:rsid w:val="00EC3F31"/>
    <w:rsid w:val="00EC4CC2"/>
    <w:rsid w:val="00ED3C91"/>
    <w:rsid w:val="00ED4112"/>
    <w:rsid w:val="00EF1347"/>
    <w:rsid w:val="00EF2BEB"/>
    <w:rsid w:val="00F01129"/>
    <w:rsid w:val="00F028CE"/>
    <w:rsid w:val="00F03D93"/>
    <w:rsid w:val="00F03D9E"/>
    <w:rsid w:val="00F227BF"/>
    <w:rsid w:val="00F374B2"/>
    <w:rsid w:val="00F40AFC"/>
    <w:rsid w:val="00F4730E"/>
    <w:rsid w:val="00F50A92"/>
    <w:rsid w:val="00F53F24"/>
    <w:rsid w:val="00F54BEC"/>
    <w:rsid w:val="00F63341"/>
    <w:rsid w:val="00F7536E"/>
    <w:rsid w:val="00F77D4C"/>
    <w:rsid w:val="00F81F93"/>
    <w:rsid w:val="00F839A8"/>
    <w:rsid w:val="00F8626D"/>
    <w:rsid w:val="00F86F1B"/>
    <w:rsid w:val="00F92A21"/>
    <w:rsid w:val="00F92E9B"/>
    <w:rsid w:val="00F95814"/>
    <w:rsid w:val="00FA01D9"/>
    <w:rsid w:val="00FA031C"/>
    <w:rsid w:val="00FB13C1"/>
    <w:rsid w:val="00FB420B"/>
    <w:rsid w:val="00FC1C5F"/>
    <w:rsid w:val="00FC5A4D"/>
    <w:rsid w:val="00FC5C0C"/>
    <w:rsid w:val="00FC64EF"/>
    <w:rsid w:val="00FD2673"/>
    <w:rsid w:val="00FD2870"/>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Subtitle"/>
    <w:link w:val="TitleChar"/>
    <w:uiPriority w:val="99"/>
    <w:qFormat/>
    <w:rsid w:val="00597B87"/>
    <w:pPr>
      <w:spacing w:before="360" w:after="480"/>
    </w:pPr>
    <w:rPr>
      <w:rFonts w:ascii="Georgia" w:eastAsia="Times New Roman" w:hAnsi="Georgia" w:cs="Arial"/>
      <w:bCs/>
      <w:iCs w:val="0"/>
      <w:color w:val="005A70"/>
      <w:spacing w:val="0"/>
      <w:kern w:val="28"/>
      <w:sz w:val="48"/>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97B87"/>
    <w:rPr>
      <w:rFonts w:ascii="Georgia" w:hAnsi="Georgia" w:cs="Arial"/>
      <w:bCs/>
      <w:color w:val="005A70"/>
      <w:kern w:val="28"/>
      <w:sz w:val="48"/>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TableGrid1">
    <w:name w:val="Table Grid1"/>
    <w:basedOn w:val="TableNormal"/>
    <w:next w:val="TableGrid"/>
    <w:uiPriority w:val="59"/>
    <w:rsid w:val="00A63F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1DA4-7011-4C7C-84DB-45E7D428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2745</Characters>
  <Application>Microsoft Office Word</Application>
  <DocSecurity>0</DocSecurity>
  <Lines>85</Lines>
  <Paragraphs>58</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cp:lastModifiedBy/>
  <cp:revision>1</cp:revision>
  <dcterms:created xsi:type="dcterms:W3CDTF">2023-03-15T22:10:00Z</dcterms:created>
  <dcterms:modified xsi:type="dcterms:W3CDTF">2023-03-15T22:11:00Z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UNOFFICIAL</vt:lpwstr>
  </property>
  <property fmtid="{D5CDD505-2E9C-101B-9397-08002B2CF9AE}" pid="5" name="PM_Qualifier">
    <vt:lpwstr/>
  </property>
  <property fmtid="{D5CDD505-2E9C-101B-9397-08002B2CF9AE}" pid="6" name="PM_DisplayValueSecClassificationWithQualifier">
    <vt:lpwstr>UNOFFICIAL</vt:lpwstr>
  </property>
  <property fmtid="{D5CDD505-2E9C-101B-9397-08002B2CF9AE}" pid="7" name="PM_InsertionValue">
    <vt:lpwstr>UNOFFICIAL</vt:lpwstr>
  </property>
  <property fmtid="{D5CDD505-2E9C-101B-9397-08002B2CF9AE}" pid="8" name="PM_Originator_Hash_SHA1">
    <vt:lpwstr>9CFEDE0AD9FDAE0286D351E87B4647470E8026DF</vt:lpwstr>
  </property>
  <property fmtid="{D5CDD505-2E9C-101B-9397-08002B2CF9AE}" pid="9" name="PM_Originating_FileId">
    <vt:lpwstr>D9408C40B3D8403EA1AEA63245EFDE8B</vt:lpwstr>
  </property>
  <property fmtid="{D5CDD505-2E9C-101B-9397-08002B2CF9AE}" pid="10" name="PM_ProtectiveMarkingValue_Footer">
    <vt:lpwstr>UNOFFICIAL</vt:lpwstr>
  </property>
  <property fmtid="{D5CDD505-2E9C-101B-9397-08002B2CF9AE}" pid="11" name="PM_ProtectiveMarkingValue_Header">
    <vt:lpwstr>UNOFFICIAL</vt:lpwstr>
  </property>
  <property fmtid="{D5CDD505-2E9C-101B-9397-08002B2CF9AE}" pid="12" name="PM_OriginationTimeStamp">
    <vt:lpwstr>2023-03-15T22:11:03Z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31EE3B5BD541C4AAADBFAC22A7E2C460</vt:lpwstr>
  </property>
  <property fmtid="{D5CDD505-2E9C-101B-9397-08002B2CF9AE}" pid="21" name="PM_Hash_Salt">
    <vt:lpwstr>0EB65F2C3BB551C75268F94A6D37D763</vt:lpwstr>
  </property>
  <property fmtid="{D5CDD505-2E9C-101B-9397-08002B2CF9AE}" pid="22" name="PM_Hash_SHA1">
    <vt:lpwstr>D3A33DA2B5F67DD6E90E094B7ED2BEA355AF64D7</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