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1C15" w14:textId="61DA6B5E" w:rsidR="003F0E09" w:rsidRDefault="003F0E09" w:rsidP="003F0E09">
      <w:pPr>
        <w:spacing w:after="0"/>
        <w:ind w:left="-85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E92147F" wp14:editId="7EC8365C">
            <wp:extent cx="6955790" cy="1320800"/>
            <wp:effectExtent l="0" t="0" r="0" b="0"/>
            <wp:docPr id="2" name="Picture 2" descr="Australian Government, Department of Social Services logo with purple coloured people and buildings." title="Department of Social Servic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Government, Department of Social Services logo with purple coloured people and buildings." title="Department of Social Services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88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4A8F" w14:textId="77777777" w:rsidR="003F0E09" w:rsidRDefault="003F0E09" w:rsidP="003F0E09">
      <w:pPr>
        <w:spacing w:after="240" w:line="240" w:lineRule="auto"/>
        <w:ind w:left="142" w:right="-427" w:hanging="142"/>
        <w:jc w:val="right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March 2021</w:t>
      </w:r>
    </w:p>
    <w:p w14:paraId="7F645698" w14:textId="77777777" w:rsidR="003F0E09" w:rsidRDefault="003F0E09" w:rsidP="003F0E09">
      <w:pPr>
        <w:spacing w:before="240" w:after="120" w:line="240" w:lineRule="auto"/>
        <w:outlineLvl w:val="0"/>
        <w:rPr>
          <w:rFonts w:ascii="Georgia" w:hAnsi="Georgia"/>
          <w:sz w:val="36"/>
          <w:szCs w:val="36"/>
        </w:rPr>
      </w:pPr>
      <w:r>
        <w:rPr>
          <w:rFonts w:ascii="Georgia" w:hAnsi="Georgia" w:cs="Arial"/>
          <w:bCs/>
          <w:color w:val="500778"/>
          <w:kern w:val="28"/>
          <w:sz w:val="52"/>
          <w:szCs w:val="52"/>
        </w:rPr>
        <w:t>National Rental Affordability Scheme</w:t>
      </w:r>
    </w:p>
    <w:p w14:paraId="475AEECB" w14:textId="77777777" w:rsidR="003F0E09" w:rsidRDefault="003F0E09" w:rsidP="003F0E09">
      <w:pPr>
        <w:spacing w:before="120" w:after="240" w:line="240" w:lineRule="auto"/>
        <w:outlineLvl w:val="0"/>
        <w:rPr>
          <w:rFonts w:ascii="Georgia" w:hAnsi="Georgia" w:cs="Arial"/>
          <w:bCs/>
          <w:color w:val="500778"/>
          <w:kern w:val="28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Coronavirus </w:t>
      </w:r>
    </w:p>
    <w:p w14:paraId="0687B90B" w14:textId="77777777" w:rsidR="003F0E09" w:rsidRDefault="003F0E09" w:rsidP="003F0E09">
      <w:pPr>
        <w:shd w:val="clear" w:color="auto" w:fill="FFFFFF" w:themeFill="background1"/>
        <w:spacing w:after="0" w:line="240" w:lineRule="auto"/>
        <w:rPr>
          <w:rFonts w:eastAsia="Times New Roman" w:cs="Arial"/>
          <w:color w:val="1A1A1A"/>
          <w:sz w:val="24"/>
          <w:szCs w:val="24"/>
          <w:lang w:eastAsia="en-AU"/>
        </w:rPr>
      </w:pPr>
      <w:r>
        <w:rPr>
          <w:rFonts w:eastAsia="Times New Roman" w:cs="Arial"/>
          <w:color w:val="1A1A1A"/>
          <w:sz w:val="24"/>
          <w:szCs w:val="24"/>
          <w:lang w:eastAsia="en-AU"/>
        </w:rPr>
        <w:t>The coronavirus represents a significant challenge for Australia’s community and economy.</w:t>
      </w:r>
    </w:p>
    <w:p w14:paraId="1FD27F90" w14:textId="77777777" w:rsidR="003F0E09" w:rsidRDefault="003F0E09" w:rsidP="003F0E09">
      <w:pPr>
        <w:shd w:val="clear" w:color="auto" w:fill="FFFFFF" w:themeFill="background1"/>
        <w:spacing w:after="0" w:line="240" w:lineRule="auto"/>
        <w:rPr>
          <w:rFonts w:eastAsia="Times New Roman" w:cs="Arial"/>
          <w:color w:val="1A1A1A"/>
          <w:sz w:val="24"/>
          <w:szCs w:val="24"/>
          <w:lang w:eastAsia="en-AU"/>
        </w:rPr>
      </w:pPr>
    </w:p>
    <w:p w14:paraId="6974835D" w14:textId="77777777" w:rsidR="003F0E09" w:rsidRDefault="003F0E09" w:rsidP="003F0E09">
      <w:pPr>
        <w:rPr>
          <w:sz w:val="24"/>
          <w:szCs w:val="24"/>
        </w:rPr>
      </w:pPr>
      <w:r>
        <w:rPr>
          <w:rFonts w:eastAsia="Times New Roman" w:cs="Arial"/>
          <w:color w:val="1A1A1A"/>
          <w:sz w:val="24"/>
          <w:szCs w:val="24"/>
          <w:lang w:eastAsia="en-AU"/>
        </w:rPr>
        <w:t xml:space="preserve">The department continues to undertake its day-to-day work managing the National Rental Affordability Scheme (NRAS, the Scheme), and explore ways we can support approved participants, tenancy managers, investors and tenants during this </w:t>
      </w:r>
      <w:r>
        <w:rPr>
          <w:sz w:val="24"/>
          <w:szCs w:val="24"/>
        </w:rPr>
        <w:t>difficult time.</w:t>
      </w:r>
    </w:p>
    <w:p w14:paraId="35E06EA3" w14:textId="1D270A5C" w:rsidR="003F0E09" w:rsidRDefault="003F0E09" w:rsidP="003F0E09">
      <w:pPr>
        <w:spacing w:before="120"/>
        <w:rPr>
          <w:rFonts w:ascii="Georgia" w:hAnsi="Georgia"/>
          <w:color w:val="7030A0"/>
          <w:sz w:val="32"/>
          <w:szCs w:val="24"/>
        </w:rPr>
      </w:pPr>
      <w:r>
        <w:rPr>
          <w:rFonts w:ascii="Georgia" w:hAnsi="Georgia"/>
          <w:color w:val="7030A0"/>
          <w:sz w:val="32"/>
          <w:szCs w:val="24"/>
        </w:rPr>
        <w:t xml:space="preserve">Extension of time for 2019–20 </w:t>
      </w:r>
      <w:r w:rsidR="00142A4F">
        <w:rPr>
          <w:rFonts w:ascii="Georgia" w:hAnsi="Georgia"/>
          <w:color w:val="7030A0"/>
          <w:sz w:val="32"/>
          <w:szCs w:val="24"/>
        </w:rPr>
        <w:t xml:space="preserve">documents and information </w:t>
      </w:r>
    </w:p>
    <w:p w14:paraId="7E01339C" w14:textId="77777777" w:rsidR="003F0E09" w:rsidRDefault="003F0E09" w:rsidP="003F0E09">
      <w:pPr>
        <w:rPr>
          <w:sz w:val="24"/>
          <w:szCs w:val="24"/>
        </w:rPr>
      </w:pPr>
      <w:r>
        <w:rPr>
          <w:sz w:val="24"/>
          <w:szCs w:val="24"/>
        </w:rPr>
        <w:t xml:space="preserve">An authorised delegate of the Secretary of the department agreed an extension of time for all approved participants to provide statements of compliance for the 2019–20 NRAS year </w:t>
      </w:r>
      <w:r>
        <w:rPr>
          <w:b/>
          <w:sz w:val="24"/>
          <w:szCs w:val="24"/>
        </w:rPr>
        <w:t>until 30 September 2020</w:t>
      </w:r>
      <w:r>
        <w:rPr>
          <w:sz w:val="24"/>
          <w:szCs w:val="24"/>
        </w:rPr>
        <w:t xml:space="preserve"> (from the current 30 June 2020) and other required documents and information in relation to the 2019—20 NRAS year </w:t>
      </w:r>
      <w:r>
        <w:rPr>
          <w:b/>
          <w:sz w:val="24"/>
          <w:szCs w:val="24"/>
        </w:rPr>
        <w:t>until 30 November 2020.</w:t>
      </w:r>
    </w:p>
    <w:p w14:paraId="0F25E40E" w14:textId="77777777" w:rsidR="003F0E09" w:rsidRDefault="003F0E09" w:rsidP="003F0E09">
      <w:pPr>
        <w:rPr>
          <w:sz w:val="24"/>
          <w:szCs w:val="24"/>
        </w:rPr>
      </w:pPr>
      <w:r>
        <w:rPr>
          <w:sz w:val="24"/>
          <w:szCs w:val="24"/>
        </w:rPr>
        <w:t>The department experienced minimal disruption to the assessment of approved participants’ statements of compliance. The average time taken to issue incentives was 37 days.</w:t>
      </w:r>
    </w:p>
    <w:p w14:paraId="479CCB27" w14:textId="77777777" w:rsidR="003F0E09" w:rsidRDefault="003F0E09" w:rsidP="003F0E09">
      <w:pPr>
        <w:shd w:val="clear" w:color="auto" w:fill="FFFFFF"/>
        <w:spacing w:after="120" w:line="240" w:lineRule="auto"/>
        <w:rPr>
          <w:rFonts w:ascii="Georgia" w:hAnsi="Georgia"/>
          <w:color w:val="7030A0"/>
          <w:sz w:val="32"/>
        </w:rPr>
      </w:pPr>
      <w:r>
        <w:rPr>
          <w:rFonts w:ascii="Georgia" w:hAnsi="Georgia"/>
          <w:color w:val="7030A0"/>
          <w:sz w:val="32"/>
        </w:rPr>
        <w:t>Tenant eligibility and income</w:t>
      </w:r>
    </w:p>
    <w:p w14:paraId="652A653E" w14:textId="38FEAE13" w:rsidR="003F0E09" w:rsidRDefault="003F0E09" w:rsidP="003F0E09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 a matter of policy, the following Economic Support Payments and monies received from access to temporary early release of superannuation </w:t>
      </w:r>
      <w:r>
        <w:rPr>
          <w:b/>
          <w:sz w:val="24"/>
          <w:szCs w:val="24"/>
        </w:rPr>
        <w:t>will not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be counted as income for the purpose of NRAS and therefore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impact tenant eligibility, these </w:t>
      </w:r>
      <w:r w:rsidR="00652B8A">
        <w:rPr>
          <w:sz w:val="24"/>
          <w:szCs w:val="24"/>
        </w:rPr>
        <w:t>are</w:t>
      </w:r>
      <w:r>
        <w:rPr>
          <w:sz w:val="24"/>
          <w:szCs w:val="24"/>
        </w:rPr>
        <w:t>:</w:t>
      </w:r>
    </w:p>
    <w:p w14:paraId="267ADFB4" w14:textId="77777777" w:rsidR="003F0E09" w:rsidRDefault="003F0E09" w:rsidP="003F0E0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two original $750 Economic Support Payments</w:t>
      </w:r>
      <w:r>
        <w:rPr>
          <w:rFonts w:ascii="Segoe UI" w:hAnsi="Segoe UI" w:cs="Segoe UI"/>
          <w:bCs/>
          <w:lang w:val="en"/>
        </w:rPr>
        <w:t xml:space="preserve">, </w:t>
      </w:r>
    </w:p>
    <w:p w14:paraId="52E4D09C" w14:textId="77777777" w:rsidR="003F0E09" w:rsidRDefault="003F0E09" w:rsidP="003F0E0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and the two additional Economic Support Payments; $250 paid in </w:t>
      </w:r>
      <w:r>
        <w:rPr>
          <w:sz w:val="24"/>
          <w:szCs w:val="24"/>
        </w:rPr>
        <w:br/>
        <w:t>December 2020 and $250 to be paid in March 2021, and</w:t>
      </w:r>
    </w:p>
    <w:p w14:paraId="2F23D0CE" w14:textId="77777777" w:rsidR="003F0E09" w:rsidRDefault="003F0E09" w:rsidP="003F0E0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to $10,000 in 2019–20 and $10,000 in 2020–21 in superannuation payments accessed by individuals affected by coronavirus.</w:t>
      </w:r>
    </w:p>
    <w:p w14:paraId="0C0E4A67" w14:textId="1D68E73F" w:rsidR="003F0E09" w:rsidRDefault="003F0E09" w:rsidP="003F0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Income support payments </w:t>
      </w:r>
      <w:r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counted as income as part of the NRAS eligibility assessment, and as such, the additional fortnightly payment of $550 (</w:t>
      </w:r>
      <w:r>
        <w:rPr>
          <w:rFonts w:cs="Arial"/>
          <w:bCs/>
          <w:sz w:val="24"/>
          <w:szCs w:val="24"/>
          <w:lang w:val="en"/>
        </w:rPr>
        <w:t>Coronavirus Supplement</w:t>
      </w:r>
      <w:r>
        <w:rPr>
          <w:rFonts w:ascii="Roboto" w:hAnsi="Roboto" w:cs="Segoe UI"/>
          <w:b/>
          <w:bCs/>
          <w:sz w:val="24"/>
          <w:szCs w:val="24"/>
          <w:lang w:val="en"/>
        </w:rPr>
        <w:t>)</w:t>
      </w:r>
      <w:r>
        <w:rPr>
          <w:sz w:val="24"/>
          <w:szCs w:val="24"/>
        </w:rPr>
        <w:t xml:space="preserve"> on top of the current income support payment </w:t>
      </w:r>
      <w:r>
        <w:rPr>
          <w:b/>
          <w:sz w:val="24"/>
          <w:szCs w:val="24"/>
        </w:rPr>
        <w:t>will</w:t>
      </w:r>
      <w:r>
        <w:rPr>
          <w:sz w:val="24"/>
          <w:szCs w:val="24"/>
        </w:rPr>
        <w:t xml:space="preserve"> be counted. </w:t>
      </w:r>
      <w:proofErr w:type="spellStart"/>
      <w:r>
        <w:rPr>
          <w:sz w:val="24"/>
          <w:szCs w:val="24"/>
        </w:rPr>
        <w:t>Jobkeeper</w:t>
      </w:r>
      <w:proofErr w:type="spellEnd"/>
      <w:r>
        <w:rPr>
          <w:sz w:val="24"/>
          <w:szCs w:val="24"/>
        </w:rPr>
        <w:t xml:space="preserve"> payments </w:t>
      </w:r>
      <w:r>
        <w:rPr>
          <w:b/>
          <w:sz w:val="24"/>
          <w:szCs w:val="24"/>
        </w:rPr>
        <w:t>will</w:t>
      </w:r>
      <w:r>
        <w:rPr>
          <w:sz w:val="24"/>
          <w:szCs w:val="24"/>
        </w:rPr>
        <w:t xml:space="preserve"> also count for income. </w:t>
      </w:r>
    </w:p>
    <w:p w14:paraId="1B49038C" w14:textId="77777777" w:rsidR="003F0E09" w:rsidRDefault="003F0E09" w:rsidP="003F0E09">
      <w:pPr>
        <w:shd w:val="clear" w:color="auto" w:fill="FFFFFF"/>
        <w:spacing w:after="120" w:line="240" w:lineRule="auto"/>
        <w:rPr>
          <w:rFonts w:ascii="Georgia" w:hAnsi="Georgia"/>
          <w:color w:val="7030A0"/>
          <w:sz w:val="32"/>
        </w:rPr>
      </w:pPr>
      <w:r>
        <w:rPr>
          <w:rFonts w:ascii="Georgia" w:hAnsi="Georgia"/>
          <w:color w:val="7030A0"/>
          <w:sz w:val="32"/>
        </w:rPr>
        <w:t>Statutory Declarations</w:t>
      </w:r>
    </w:p>
    <w:p w14:paraId="5B19D931" w14:textId="77777777" w:rsidR="003F0E09" w:rsidRDefault="003F0E09" w:rsidP="003F0E0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From time to time a statutory declaration may be required as supporting evidence </w:t>
      </w:r>
      <w:r>
        <w:rPr>
          <w:sz w:val="24"/>
          <w:szCs w:val="24"/>
        </w:rPr>
        <w:br/>
        <w:t xml:space="preserve">to meet requirements under the National Rental Affordability Scheme Regulations 2020; for example to support a request to transfer allocations or in relation to tenant income.  </w:t>
      </w:r>
    </w:p>
    <w:p w14:paraId="09AE03A5" w14:textId="77777777" w:rsidR="003F0E09" w:rsidRDefault="003F0E09" w:rsidP="003F0E0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We understand social distancing rules may make it difficult to get documents </w:t>
      </w:r>
      <w:proofErr w:type="gramStart"/>
      <w:r>
        <w:rPr>
          <w:sz w:val="24"/>
          <w:szCs w:val="24"/>
        </w:rPr>
        <w:t>witnessed</w:t>
      </w:r>
      <w:proofErr w:type="gramEnd"/>
      <w:r>
        <w:rPr>
          <w:sz w:val="24"/>
          <w:szCs w:val="24"/>
        </w:rPr>
        <w:t xml:space="preserve"> by an authorised witness such as justice of the peace. In these circumstances, the department can accept alternative forms of declarations in lieu of a statutory declaration. Appropriately authorised digital signatures will also be accepted.</w:t>
      </w:r>
    </w:p>
    <w:p w14:paraId="73CE986C" w14:textId="77777777" w:rsidR="003F0E09" w:rsidRDefault="003F0E09" w:rsidP="003F0E09">
      <w:pPr>
        <w:shd w:val="clear" w:color="auto" w:fill="FFFFFF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In relation to tenant income, tenants may be requested to provide proof of income at a later date. Please note, sole reliance by the approved participant on a statutory declaration or other form of declaration by the tenant without other supporting evidence is at the risk of the approved participant.</w:t>
      </w:r>
    </w:p>
    <w:p w14:paraId="57BA4C03" w14:textId="77777777" w:rsidR="003F0E09" w:rsidRDefault="003F0E09" w:rsidP="003F0E0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Importantly, providing false or misleading information to the department may result in a breach determination under the National Rental Affordability Scheme Regulations 2020.</w:t>
      </w:r>
    </w:p>
    <w:p w14:paraId="0A23E899" w14:textId="77777777" w:rsidR="007B0256" w:rsidRPr="00B91E3E" w:rsidRDefault="007B0256" w:rsidP="00B91E3E"/>
    <w:sectPr w:rsidR="007B0256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1635" w14:textId="77777777" w:rsidR="008C7D42" w:rsidRDefault="008C7D42" w:rsidP="00B04ED8">
      <w:pPr>
        <w:spacing w:after="0" w:line="240" w:lineRule="auto"/>
      </w:pPr>
      <w:r>
        <w:separator/>
      </w:r>
    </w:p>
  </w:endnote>
  <w:endnote w:type="continuationSeparator" w:id="0">
    <w:p w14:paraId="5F62E58F" w14:textId="77777777" w:rsidR="008C7D42" w:rsidRDefault="008C7D4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BD80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4B83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7DE4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46488" w14:textId="77777777" w:rsidR="008C7D42" w:rsidRDefault="008C7D42" w:rsidP="00B04ED8">
      <w:pPr>
        <w:spacing w:after="0" w:line="240" w:lineRule="auto"/>
      </w:pPr>
      <w:r>
        <w:separator/>
      </w:r>
    </w:p>
  </w:footnote>
  <w:footnote w:type="continuationSeparator" w:id="0">
    <w:p w14:paraId="6406CFF0" w14:textId="77777777" w:rsidR="008C7D42" w:rsidRDefault="008C7D4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10F7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ACE1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D53B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533"/>
    <w:multiLevelType w:val="hybridMultilevel"/>
    <w:tmpl w:val="B4B65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0"/>
    <w:rsid w:val="00005633"/>
    <w:rsid w:val="00045168"/>
    <w:rsid w:val="000C5CCD"/>
    <w:rsid w:val="001153F0"/>
    <w:rsid w:val="00142A4F"/>
    <w:rsid w:val="00150BFD"/>
    <w:rsid w:val="00187E96"/>
    <w:rsid w:val="001E630D"/>
    <w:rsid w:val="00284DC9"/>
    <w:rsid w:val="003B2BB8"/>
    <w:rsid w:val="003D34FF"/>
    <w:rsid w:val="003F0E09"/>
    <w:rsid w:val="004B54CA"/>
    <w:rsid w:val="004E5CBF"/>
    <w:rsid w:val="0054752E"/>
    <w:rsid w:val="005C3AA9"/>
    <w:rsid w:val="005E5F21"/>
    <w:rsid w:val="005F1371"/>
    <w:rsid w:val="00621FC5"/>
    <w:rsid w:val="00637B02"/>
    <w:rsid w:val="00652B8A"/>
    <w:rsid w:val="00683A84"/>
    <w:rsid w:val="006A4CE7"/>
    <w:rsid w:val="006B6364"/>
    <w:rsid w:val="00785261"/>
    <w:rsid w:val="007B0256"/>
    <w:rsid w:val="0083177B"/>
    <w:rsid w:val="008C7D42"/>
    <w:rsid w:val="009225F0"/>
    <w:rsid w:val="0093462C"/>
    <w:rsid w:val="00953795"/>
    <w:rsid w:val="00954457"/>
    <w:rsid w:val="009557BF"/>
    <w:rsid w:val="00974189"/>
    <w:rsid w:val="00A36D45"/>
    <w:rsid w:val="00A419C9"/>
    <w:rsid w:val="00AA2CF2"/>
    <w:rsid w:val="00B04ED8"/>
    <w:rsid w:val="00B52A1E"/>
    <w:rsid w:val="00B91E3E"/>
    <w:rsid w:val="00BA2DB9"/>
    <w:rsid w:val="00BE7148"/>
    <w:rsid w:val="00C84DD7"/>
    <w:rsid w:val="00CB5863"/>
    <w:rsid w:val="00D43ACA"/>
    <w:rsid w:val="00DA17AB"/>
    <w:rsid w:val="00DA243A"/>
    <w:rsid w:val="00E273E4"/>
    <w:rsid w:val="00E90B25"/>
    <w:rsid w:val="00E97224"/>
    <w:rsid w:val="00F00453"/>
    <w:rsid w:val="00F30AFE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49C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9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C9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4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2021-03-10T22:58:00Z</dcterms:created>
  <dcterms:modified xsi:type="dcterms:W3CDTF">2021-03-10T23:04:00Z</dcterms:modified>
</cp:coreProperties>
</file>