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142D" w14:textId="7E3DBD25" w:rsidR="00B25176" w:rsidRPr="00013599" w:rsidRDefault="00B25176" w:rsidP="00D761C8">
      <w:pPr>
        <w:jc w:val="center"/>
      </w:pPr>
      <w:r>
        <w:rPr>
          <w:noProof/>
        </w:rPr>
        <w:drawing>
          <wp:inline distT="0" distB="0" distL="0" distR="0" wp14:anchorId="174D8326" wp14:editId="13AD1981">
            <wp:extent cx="3872865" cy="2689225"/>
            <wp:effectExtent l="0" t="0" r="0" b="0"/>
            <wp:docPr id="25" name="Picture 25"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865" cy="2689225"/>
                    </a:xfrm>
                    <a:prstGeom prst="rect">
                      <a:avLst/>
                    </a:prstGeom>
                    <a:noFill/>
                    <a:ln>
                      <a:noFill/>
                    </a:ln>
                  </pic:spPr>
                </pic:pic>
              </a:graphicData>
            </a:graphic>
          </wp:inline>
        </w:drawing>
      </w:r>
    </w:p>
    <w:p w14:paraId="595D8F37" w14:textId="77777777" w:rsidR="003927CA" w:rsidRPr="002A78F0" w:rsidRDefault="00B25176" w:rsidP="002A78F0">
      <w:pPr>
        <w:pStyle w:val="Heading1"/>
        <w:spacing w:before="1320" w:after="240"/>
        <w:jc w:val="center"/>
        <w:rPr>
          <w:rFonts w:eastAsia="Times New Roman" w:cs="Times New Roman"/>
          <w:bCs w:val="0"/>
          <w:color w:val="auto"/>
          <w:sz w:val="52"/>
          <w:szCs w:val="24"/>
        </w:rPr>
      </w:pPr>
      <w:bookmarkStart w:id="0" w:name="_Toc509319655"/>
      <w:bookmarkStart w:id="1" w:name="_Toc496004493"/>
      <w:bookmarkStart w:id="2" w:name="_Toc496005334"/>
      <w:r w:rsidRPr="002A78F0">
        <w:rPr>
          <w:rFonts w:eastAsia="Times New Roman" w:cs="Times New Roman"/>
          <w:bCs w:val="0"/>
          <w:color w:val="auto"/>
          <w:sz w:val="52"/>
          <w:szCs w:val="24"/>
        </w:rPr>
        <w:t>Disability Management Service Participants Not Receiving Income Support Guidelines</w:t>
      </w:r>
      <w:bookmarkEnd w:id="0"/>
    </w:p>
    <w:p w14:paraId="41C2C542" w14:textId="2A503CC7" w:rsidR="00B25176" w:rsidRPr="00DB2C3A" w:rsidRDefault="00700E67" w:rsidP="00DB2C3A">
      <w:pPr>
        <w:jc w:val="center"/>
        <w:rPr>
          <w:b/>
          <w:sz w:val="36"/>
          <w:szCs w:val="36"/>
        </w:rPr>
      </w:pPr>
      <w:r w:rsidRPr="00DB2C3A">
        <w:rPr>
          <w:b/>
          <w:sz w:val="36"/>
          <w:szCs w:val="36"/>
        </w:rPr>
        <w:t>V</w:t>
      </w:r>
      <w:r w:rsidR="006E0B6D" w:rsidRPr="00DB2C3A">
        <w:rPr>
          <w:b/>
          <w:sz w:val="36"/>
          <w:szCs w:val="36"/>
        </w:rPr>
        <w:t xml:space="preserve"> </w:t>
      </w:r>
      <w:r w:rsidRPr="00DB2C3A">
        <w:rPr>
          <w:b/>
          <w:sz w:val="36"/>
          <w:szCs w:val="36"/>
        </w:rPr>
        <w:t>1.</w:t>
      </w:r>
      <w:bookmarkEnd w:id="1"/>
      <w:bookmarkEnd w:id="2"/>
      <w:r w:rsidR="00552947">
        <w:rPr>
          <w:b/>
          <w:sz w:val="36"/>
          <w:szCs w:val="36"/>
        </w:rPr>
        <w:t>4</w:t>
      </w:r>
    </w:p>
    <w:p w14:paraId="2B5F59B1" w14:textId="022DEA42" w:rsidR="00700E67" w:rsidRPr="00700E67" w:rsidRDefault="00700E67" w:rsidP="002A78F0">
      <w:pPr>
        <w:pStyle w:val="Disclaimer"/>
        <w:pBdr>
          <w:top w:val="single" w:sz="4" w:space="1" w:color="auto"/>
          <w:left w:val="single" w:sz="4" w:space="4" w:color="auto"/>
          <w:bottom w:val="single" w:sz="4" w:space="1" w:color="auto"/>
          <w:right w:val="single" w:sz="4" w:space="4" w:color="auto"/>
        </w:pBdr>
        <w:spacing w:before="4080"/>
      </w:pPr>
      <w:r w:rsidRPr="00D761C8">
        <w:rPr>
          <w:b/>
        </w:rPr>
        <w:t>Disclaimer</w:t>
      </w:r>
      <w:r w:rsidRPr="00700E67">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64F7CD0B" w14:textId="4CF4D3E4" w:rsidR="003715F6" w:rsidRDefault="00D761C8" w:rsidP="003715F6">
      <w:pPr>
        <w:spacing w:after="200" w:line="276" w:lineRule="auto"/>
        <w:rPr>
          <w:sz w:val="36"/>
          <w:szCs w:val="36"/>
        </w:rPr>
      </w:pPr>
      <w:bookmarkStart w:id="3" w:name="_Toc496004109"/>
      <w:bookmarkStart w:id="4" w:name="_Toc496004494"/>
      <w:r>
        <w:rPr>
          <w:sz w:val="36"/>
          <w:szCs w:val="36"/>
        </w:rPr>
        <w:br w:type="page"/>
      </w:r>
      <w:bookmarkEnd w:id="3"/>
      <w:bookmarkEnd w:id="4"/>
    </w:p>
    <w:p w14:paraId="0E819BBA" w14:textId="77777777" w:rsidR="00C07A21" w:rsidRPr="00E5560C" w:rsidRDefault="00C07A21" w:rsidP="00E5560C">
      <w:pPr>
        <w:spacing w:after="120"/>
        <w:outlineLvl w:val="1"/>
        <w:rPr>
          <w:rFonts w:cs="Arial"/>
          <w:b/>
          <w:bCs/>
          <w:sz w:val="24"/>
          <w:szCs w:val="24"/>
        </w:rPr>
      </w:pPr>
      <w:bookmarkStart w:id="5" w:name="_Toc496005477"/>
      <w:bookmarkStart w:id="6" w:name="_Toc509319656"/>
      <w:r w:rsidRPr="00E5560C">
        <w:rPr>
          <w:rFonts w:cs="Arial"/>
          <w:b/>
          <w:bCs/>
          <w:sz w:val="24"/>
          <w:szCs w:val="24"/>
        </w:rPr>
        <w:lastRenderedPageBreak/>
        <w:t>Table of Contents</w:t>
      </w:r>
      <w:bookmarkEnd w:id="5"/>
      <w:bookmarkEnd w:id="6"/>
      <w:r w:rsidRPr="00E5560C">
        <w:rPr>
          <w:rFonts w:cs="Arial"/>
          <w:b/>
          <w:bCs/>
          <w:sz w:val="24"/>
          <w:szCs w:val="24"/>
        </w:rPr>
        <w:t xml:space="preserve"> </w:t>
      </w:r>
    </w:p>
    <w:p w14:paraId="34BF778B" w14:textId="6646D709" w:rsidR="005F63D5" w:rsidRPr="00E5560C" w:rsidRDefault="00C07A21" w:rsidP="00152D85">
      <w:pPr>
        <w:pStyle w:val="TOC3"/>
        <w:spacing w:before="120" w:after="120"/>
        <w:rPr>
          <w:rStyle w:val="Hyperlink"/>
          <w:rFonts w:eastAsiaTheme="majorEastAsia"/>
          <w:noProof/>
          <w:color w:val="auto"/>
          <w:sz w:val="22"/>
          <w:szCs w:val="22"/>
        </w:rPr>
      </w:pPr>
      <w:r w:rsidRPr="00C07A21">
        <w:rPr>
          <w:caps/>
          <w:sz w:val="24"/>
        </w:rPr>
        <w:fldChar w:fldCharType="begin"/>
      </w:r>
      <w:r w:rsidRPr="00C07A21">
        <w:instrText xml:space="preserve"> TOC \o "1-3" \h \z \u </w:instrText>
      </w:r>
      <w:r w:rsidRPr="00C07A21">
        <w:rPr>
          <w:caps/>
          <w:sz w:val="24"/>
        </w:rPr>
        <w:fldChar w:fldCharType="separate"/>
      </w:r>
      <w:hyperlink w:anchor="_Toc509319657" w:history="1">
        <w:r w:rsidR="005F63D5" w:rsidRPr="00E5560C">
          <w:rPr>
            <w:rStyle w:val="Hyperlink"/>
            <w:rFonts w:eastAsiaTheme="majorEastAsia"/>
            <w:noProof/>
            <w:color w:val="auto"/>
            <w:sz w:val="22"/>
            <w:szCs w:val="22"/>
          </w:rPr>
          <w:t>Document Change History</w:t>
        </w:r>
        <w:r w:rsidR="005F63D5" w:rsidRPr="00E5560C">
          <w:rPr>
            <w:rStyle w:val="Hyperlink"/>
            <w:rFonts w:eastAsiaTheme="majorEastAsia"/>
            <w:noProof/>
            <w:webHidden/>
            <w:color w:val="auto"/>
            <w:sz w:val="22"/>
            <w:szCs w:val="22"/>
          </w:rPr>
          <w:tab/>
        </w:r>
        <w:r w:rsidR="005F63D5" w:rsidRPr="00E5560C">
          <w:rPr>
            <w:rStyle w:val="Hyperlink"/>
            <w:rFonts w:eastAsiaTheme="majorEastAsia"/>
            <w:noProof/>
            <w:webHidden/>
            <w:color w:val="auto"/>
            <w:sz w:val="22"/>
            <w:szCs w:val="22"/>
          </w:rPr>
          <w:fldChar w:fldCharType="begin"/>
        </w:r>
        <w:r w:rsidR="005F63D5" w:rsidRPr="00E5560C">
          <w:rPr>
            <w:rStyle w:val="Hyperlink"/>
            <w:rFonts w:eastAsiaTheme="majorEastAsia"/>
            <w:noProof/>
            <w:webHidden/>
            <w:color w:val="auto"/>
            <w:sz w:val="22"/>
            <w:szCs w:val="22"/>
          </w:rPr>
          <w:instrText xml:space="preserve"> PAGEREF _Toc509319657 \h </w:instrText>
        </w:r>
        <w:r w:rsidR="005F63D5" w:rsidRPr="00E5560C">
          <w:rPr>
            <w:rStyle w:val="Hyperlink"/>
            <w:rFonts w:eastAsiaTheme="majorEastAsia"/>
            <w:noProof/>
            <w:webHidden/>
            <w:color w:val="auto"/>
            <w:sz w:val="22"/>
            <w:szCs w:val="22"/>
          </w:rPr>
        </w:r>
        <w:r w:rsidR="005F63D5" w:rsidRPr="00E5560C">
          <w:rPr>
            <w:rStyle w:val="Hyperlink"/>
            <w:rFonts w:eastAsiaTheme="majorEastAsia"/>
            <w:noProof/>
            <w:webHidden/>
            <w:color w:val="auto"/>
            <w:sz w:val="22"/>
            <w:szCs w:val="22"/>
          </w:rPr>
          <w:fldChar w:fldCharType="separate"/>
        </w:r>
        <w:r w:rsidR="00E375BD">
          <w:rPr>
            <w:rStyle w:val="Hyperlink"/>
            <w:rFonts w:eastAsiaTheme="majorEastAsia"/>
            <w:noProof/>
            <w:webHidden/>
            <w:color w:val="auto"/>
            <w:sz w:val="22"/>
            <w:szCs w:val="22"/>
          </w:rPr>
          <w:t>3</w:t>
        </w:r>
        <w:r w:rsidR="005F63D5" w:rsidRPr="00E5560C">
          <w:rPr>
            <w:rStyle w:val="Hyperlink"/>
            <w:rFonts w:eastAsiaTheme="majorEastAsia"/>
            <w:noProof/>
            <w:webHidden/>
            <w:color w:val="auto"/>
            <w:sz w:val="22"/>
            <w:szCs w:val="22"/>
          </w:rPr>
          <w:fldChar w:fldCharType="end"/>
        </w:r>
      </w:hyperlink>
    </w:p>
    <w:p w14:paraId="3059E3CB" w14:textId="38D29F54" w:rsidR="005F63D5" w:rsidRPr="00E5560C" w:rsidRDefault="004E08DD" w:rsidP="00152D85">
      <w:pPr>
        <w:pStyle w:val="TOC3"/>
        <w:spacing w:before="120" w:after="120"/>
        <w:rPr>
          <w:rFonts w:eastAsiaTheme="minorEastAsia" w:cstheme="minorBidi"/>
          <w:noProof/>
          <w:sz w:val="22"/>
          <w:szCs w:val="22"/>
        </w:rPr>
      </w:pPr>
      <w:hyperlink w:anchor="_Toc509319658" w:history="1">
        <w:r w:rsidR="005F63D5" w:rsidRPr="00E5560C">
          <w:rPr>
            <w:rStyle w:val="Hyperlink"/>
            <w:rFonts w:eastAsiaTheme="majorEastAsia"/>
            <w:noProof/>
            <w:color w:val="auto"/>
            <w:sz w:val="22"/>
            <w:szCs w:val="22"/>
          </w:rPr>
          <w:t>Background</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_Toc509319658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3</w:t>
        </w:r>
        <w:r w:rsidR="005F63D5" w:rsidRPr="00E5560C">
          <w:rPr>
            <w:noProof/>
            <w:webHidden/>
            <w:sz w:val="22"/>
            <w:szCs w:val="22"/>
          </w:rPr>
          <w:fldChar w:fldCharType="end"/>
        </w:r>
      </w:hyperlink>
    </w:p>
    <w:p w14:paraId="0384A37D" w14:textId="775DFFDE" w:rsidR="005F63D5" w:rsidRPr="00E5560C" w:rsidRDefault="004E08DD" w:rsidP="00152D85">
      <w:pPr>
        <w:pStyle w:val="TOC3"/>
        <w:spacing w:before="120" w:after="120"/>
        <w:rPr>
          <w:rFonts w:eastAsiaTheme="minorEastAsia" w:cstheme="minorBidi"/>
          <w:noProof/>
          <w:sz w:val="22"/>
          <w:szCs w:val="22"/>
        </w:rPr>
      </w:pPr>
      <w:hyperlink w:anchor="_Toc509319659" w:history="1">
        <w:r w:rsidR="005F63D5" w:rsidRPr="00E5560C">
          <w:rPr>
            <w:rStyle w:val="Hyperlink"/>
            <w:rFonts w:eastAsiaTheme="majorEastAsia"/>
            <w:noProof/>
            <w:color w:val="auto"/>
            <w:sz w:val="22"/>
            <w:szCs w:val="22"/>
          </w:rPr>
          <w:t>Disability Employment Services Grant Agreement Clauses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_Toc509319659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4</w:t>
        </w:r>
        <w:r w:rsidR="005F63D5" w:rsidRPr="00E5560C">
          <w:rPr>
            <w:noProof/>
            <w:webHidden/>
            <w:sz w:val="22"/>
            <w:szCs w:val="22"/>
          </w:rPr>
          <w:fldChar w:fldCharType="end"/>
        </w:r>
      </w:hyperlink>
    </w:p>
    <w:p w14:paraId="1280A37E" w14:textId="34D764E5" w:rsidR="005F63D5" w:rsidRPr="00E5560C" w:rsidRDefault="004E08DD" w:rsidP="00152D85">
      <w:pPr>
        <w:pStyle w:val="TOC3"/>
        <w:spacing w:before="120" w:after="120"/>
        <w:rPr>
          <w:rFonts w:eastAsiaTheme="minorEastAsia" w:cstheme="minorBidi"/>
          <w:noProof/>
          <w:sz w:val="22"/>
          <w:szCs w:val="22"/>
        </w:rPr>
      </w:pPr>
      <w:hyperlink w:anchor="_Toc509319660" w:history="1">
        <w:r w:rsidR="005F63D5" w:rsidRPr="00E5560C">
          <w:rPr>
            <w:rStyle w:val="Hyperlink"/>
            <w:rFonts w:eastAsiaTheme="majorEastAsia"/>
            <w:noProof/>
            <w:color w:val="auto"/>
            <w:sz w:val="22"/>
            <w:szCs w:val="22"/>
          </w:rPr>
          <w:t>Reference documents relevant to this guideline</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_Toc509319660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4</w:t>
        </w:r>
        <w:r w:rsidR="005F63D5" w:rsidRPr="00E5560C">
          <w:rPr>
            <w:noProof/>
            <w:webHidden/>
            <w:sz w:val="22"/>
            <w:szCs w:val="22"/>
          </w:rPr>
          <w:fldChar w:fldCharType="end"/>
        </w:r>
      </w:hyperlink>
    </w:p>
    <w:p w14:paraId="6C0CCB46" w14:textId="15B2D38D" w:rsidR="005F63D5" w:rsidRPr="00E5560C" w:rsidRDefault="004E08DD" w:rsidP="00152D85">
      <w:pPr>
        <w:pStyle w:val="TOC3"/>
        <w:spacing w:before="120" w:after="120"/>
        <w:rPr>
          <w:rFonts w:eastAsiaTheme="minorEastAsia" w:cstheme="minorBidi"/>
          <w:noProof/>
          <w:sz w:val="22"/>
          <w:szCs w:val="22"/>
        </w:rPr>
      </w:pPr>
      <w:hyperlink w:anchor="_Toc509319661" w:history="1">
        <w:r w:rsidR="005F63D5" w:rsidRPr="00E5560C">
          <w:rPr>
            <w:rStyle w:val="Hyperlink"/>
            <w:rFonts w:eastAsiaTheme="majorEastAsia"/>
            <w:noProof/>
            <w:color w:val="auto"/>
            <w:sz w:val="22"/>
            <w:szCs w:val="22"/>
          </w:rPr>
          <w:t>Explanatory Note</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_Toc509319661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4</w:t>
        </w:r>
        <w:r w:rsidR="005F63D5" w:rsidRPr="00E5560C">
          <w:rPr>
            <w:noProof/>
            <w:webHidden/>
            <w:sz w:val="22"/>
            <w:szCs w:val="22"/>
          </w:rPr>
          <w:fldChar w:fldCharType="end"/>
        </w:r>
      </w:hyperlink>
    </w:p>
    <w:p w14:paraId="41DF269A" w14:textId="7B0971D0" w:rsidR="005F63D5" w:rsidRPr="00E5560C" w:rsidRDefault="004E08DD" w:rsidP="00152D85">
      <w:pPr>
        <w:pStyle w:val="TOC3"/>
        <w:spacing w:before="120" w:after="120"/>
        <w:rPr>
          <w:rFonts w:eastAsiaTheme="minorEastAsia" w:cstheme="minorBidi"/>
          <w:noProof/>
          <w:sz w:val="22"/>
          <w:szCs w:val="22"/>
        </w:rPr>
      </w:pPr>
      <w:hyperlink w:anchor="_Toc509319662" w:history="1">
        <w:r w:rsidR="005F63D5" w:rsidRPr="00E5560C">
          <w:rPr>
            <w:rStyle w:val="Hyperlink"/>
            <w:rFonts w:eastAsiaTheme="majorEastAsia"/>
            <w:noProof/>
            <w:color w:val="auto"/>
            <w:sz w:val="22"/>
            <w:szCs w:val="22"/>
          </w:rPr>
          <w:t>Participants Not Receiving Income Support Guidelines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_Toc509319662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5</w:t>
        </w:r>
        <w:r w:rsidR="005F63D5" w:rsidRPr="00E5560C">
          <w:rPr>
            <w:noProof/>
            <w:webHidden/>
            <w:sz w:val="22"/>
            <w:szCs w:val="22"/>
          </w:rPr>
          <w:fldChar w:fldCharType="end"/>
        </w:r>
      </w:hyperlink>
    </w:p>
    <w:p w14:paraId="28D8CA9F" w14:textId="6988934B" w:rsidR="005F63D5" w:rsidRDefault="004E08DD" w:rsidP="00152D85">
      <w:pPr>
        <w:pStyle w:val="TOC3"/>
        <w:spacing w:before="120" w:after="120"/>
        <w:rPr>
          <w:rFonts w:eastAsiaTheme="minorEastAsia" w:cstheme="minorBidi"/>
          <w:noProof/>
          <w:sz w:val="22"/>
          <w:szCs w:val="22"/>
        </w:rPr>
      </w:pPr>
      <w:hyperlink w:anchor="_Toc509319663" w:history="1">
        <w:r w:rsidR="005F63D5" w:rsidRPr="00E5560C">
          <w:rPr>
            <w:rStyle w:val="Hyperlink"/>
            <w:rFonts w:eastAsiaTheme="majorEastAsia"/>
            <w:noProof/>
            <w:color w:val="auto"/>
            <w:sz w:val="22"/>
            <w:szCs w:val="22"/>
          </w:rPr>
          <w:t>Attachment A - Income Thresholds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_Toc509319663 \h </w:instrText>
        </w:r>
        <w:r w:rsidR="005F63D5" w:rsidRPr="00E5560C">
          <w:rPr>
            <w:noProof/>
            <w:webHidden/>
            <w:sz w:val="22"/>
            <w:szCs w:val="22"/>
          </w:rPr>
        </w:r>
        <w:r w:rsidR="005F63D5" w:rsidRPr="00E5560C">
          <w:rPr>
            <w:noProof/>
            <w:webHidden/>
            <w:sz w:val="22"/>
            <w:szCs w:val="22"/>
          </w:rPr>
          <w:fldChar w:fldCharType="separate"/>
        </w:r>
        <w:r w:rsidR="00E375BD">
          <w:rPr>
            <w:noProof/>
            <w:webHidden/>
            <w:sz w:val="22"/>
            <w:szCs w:val="22"/>
          </w:rPr>
          <w:t>10</w:t>
        </w:r>
        <w:r w:rsidR="005F63D5" w:rsidRPr="00E5560C">
          <w:rPr>
            <w:noProof/>
            <w:webHidden/>
            <w:sz w:val="22"/>
            <w:szCs w:val="22"/>
          </w:rPr>
          <w:fldChar w:fldCharType="end"/>
        </w:r>
      </w:hyperlink>
    </w:p>
    <w:p w14:paraId="60FF6434" w14:textId="77E9D0FB" w:rsidR="00D761C8" w:rsidRDefault="00C07A21" w:rsidP="009C4690">
      <w:pPr>
        <w:rPr>
          <w:color w:val="000000"/>
          <w:szCs w:val="24"/>
        </w:rPr>
      </w:pPr>
      <w:r w:rsidRPr="00C07A21">
        <w:rPr>
          <w:b/>
          <w:bCs/>
          <w:szCs w:val="24"/>
        </w:rPr>
        <w:fldChar w:fldCharType="end"/>
      </w:r>
      <w:r w:rsidR="00D761C8">
        <w:rPr>
          <w:color w:val="000000"/>
          <w:szCs w:val="24"/>
        </w:rPr>
        <w:br w:type="page"/>
      </w:r>
    </w:p>
    <w:p w14:paraId="76A7ADB3" w14:textId="4901B166" w:rsidR="00B25176" w:rsidRPr="00DB2C3A" w:rsidRDefault="00B25176" w:rsidP="00DB2C3A">
      <w:pPr>
        <w:rPr>
          <w:b/>
          <w:sz w:val="20"/>
          <w:szCs w:val="20"/>
        </w:rPr>
      </w:pPr>
      <w:r w:rsidRPr="00DB2C3A">
        <w:rPr>
          <w:b/>
          <w:sz w:val="20"/>
          <w:szCs w:val="20"/>
        </w:rPr>
        <w:lastRenderedPageBreak/>
        <w:t>Disability Management Service Participants Not Receiving Income Support Guidelines</w:t>
      </w:r>
    </w:p>
    <w:p w14:paraId="680E72E3" w14:textId="6454FE7D" w:rsidR="00B25176" w:rsidRPr="006B25C7" w:rsidRDefault="00B25176" w:rsidP="00223542">
      <w:pPr>
        <w:pStyle w:val="Heading3"/>
        <w:spacing w:before="120" w:after="120"/>
        <w:rPr>
          <w:sz w:val="24"/>
          <w:szCs w:val="24"/>
        </w:rPr>
      </w:pPr>
      <w:bookmarkStart w:id="7" w:name="_Toc496004495"/>
      <w:bookmarkStart w:id="8" w:name="_Toc496005335"/>
      <w:bookmarkStart w:id="9" w:name="_Toc509319657"/>
      <w:r w:rsidRPr="006B25C7">
        <w:rPr>
          <w:sz w:val="24"/>
          <w:szCs w:val="24"/>
        </w:rPr>
        <w:t>Document Change History</w:t>
      </w:r>
      <w:bookmarkEnd w:id="7"/>
      <w:bookmarkEnd w:id="8"/>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8"/>
        <w:gridCol w:w="1668"/>
        <w:gridCol w:w="4012"/>
      </w:tblGrid>
      <w:tr w:rsidR="003E49D5" w:rsidRPr="00B25176" w14:paraId="130363E3" w14:textId="77777777" w:rsidTr="0085661B">
        <w:trPr>
          <w:jc w:val="center"/>
        </w:trPr>
        <w:tc>
          <w:tcPr>
            <w:tcW w:w="925" w:type="pct"/>
            <w:shd w:val="clear" w:color="auto" w:fill="auto"/>
          </w:tcPr>
          <w:p w14:paraId="5EC7E526" w14:textId="77777777" w:rsidR="003E49D5" w:rsidRPr="00DB2C3A" w:rsidRDefault="003E49D5" w:rsidP="00DB2C3A">
            <w:pPr>
              <w:spacing w:before="120" w:after="120"/>
              <w:jc w:val="center"/>
              <w:rPr>
                <w:b/>
              </w:rPr>
            </w:pPr>
            <w:r w:rsidRPr="00DB2C3A">
              <w:rPr>
                <w:b/>
              </w:rPr>
              <w:t>Version</w:t>
            </w:r>
          </w:p>
        </w:tc>
        <w:tc>
          <w:tcPr>
            <w:tcW w:w="925" w:type="pct"/>
            <w:shd w:val="clear" w:color="auto" w:fill="auto"/>
          </w:tcPr>
          <w:p w14:paraId="0DACDEEA" w14:textId="77777777" w:rsidR="003E49D5" w:rsidRPr="00DB2C3A" w:rsidRDefault="003E49D5" w:rsidP="00DB2C3A">
            <w:pPr>
              <w:spacing w:before="120" w:after="120"/>
              <w:jc w:val="center"/>
              <w:rPr>
                <w:b/>
              </w:rPr>
            </w:pPr>
            <w:r w:rsidRPr="00DB2C3A">
              <w:rPr>
                <w:b/>
              </w:rPr>
              <w:t>Effective Date</w:t>
            </w:r>
          </w:p>
        </w:tc>
        <w:tc>
          <w:tcPr>
            <w:tcW w:w="925" w:type="pct"/>
            <w:shd w:val="clear" w:color="auto" w:fill="auto"/>
          </w:tcPr>
          <w:p w14:paraId="3BF07C8B" w14:textId="77777777" w:rsidR="003E49D5" w:rsidRPr="00DB2C3A" w:rsidRDefault="003E49D5" w:rsidP="00DB2C3A">
            <w:pPr>
              <w:spacing w:before="120" w:after="120"/>
              <w:jc w:val="center"/>
              <w:rPr>
                <w:b/>
              </w:rPr>
            </w:pPr>
            <w:r w:rsidRPr="00DB2C3A">
              <w:rPr>
                <w:b/>
              </w:rPr>
              <w:t>End Date</w:t>
            </w:r>
          </w:p>
        </w:tc>
        <w:tc>
          <w:tcPr>
            <w:tcW w:w="2225" w:type="pct"/>
            <w:shd w:val="clear" w:color="auto" w:fill="auto"/>
          </w:tcPr>
          <w:p w14:paraId="13E6A98E" w14:textId="01B27030" w:rsidR="003E49D5" w:rsidRPr="00DB2C3A" w:rsidRDefault="003E49D5" w:rsidP="00DB2C3A">
            <w:pPr>
              <w:spacing w:before="120" w:after="120"/>
              <w:jc w:val="center"/>
              <w:rPr>
                <w:b/>
              </w:rPr>
            </w:pPr>
            <w:r w:rsidRPr="00DB2C3A">
              <w:rPr>
                <w:b/>
              </w:rPr>
              <w:t xml:space="preserve">Change </w:t>
            </w:r>
            <w:r w:rsidR="00797BCE" w:rsidRPr="00DB2C3A">
              <w:rPr>
                <w:b/>
              </w:rPr>
              <w:t xml:space="preserve">and </w:t>
            </w:r>
            <w:r w:rsidRPr="00DB2C3A">
              <w:rPr>
                <w:b/>
              </w:rPr>
              <w:t>Location</w:t>
            </w:r>
          </w:p>
        </w:tc>
      </w:tr>
      <w:tr w:rsidR="00552947" w:rsidRPr="00552947" w14:paraId="08A6CEE7" w14:textId="77777777" w:rsidTr="0085661B">
        <w:trPr>
          <w:jc w:val="center"/>
        </w:trPr>
        <w:tc>
          <w:tcPr>
            <w:tcW w:w="925" w:type="pct"/>
            <w:shd w:val="clear" w:color="auto" w:fill="auto"/>
          </w:tcPr>
          <w:p w14:paraId="686726EA" w14:textId="7EC2FCDB" w:rsidR="00552947" w:rsidRPr="00552947" w:rsidRDefault="00552947" w:rsidP="00DB2C3A">
            <w:pPr>
              <w:spacing w:before="120" w:after="120"/>
              <w:jc w:val="center"/>
            </w:pPr>
            <w:r w:rsidRPr="00552947">
              <w:t>1.4</w:t>
            </w:r>
          </w:p>
        </w:tc>
        <w:tc>
          <w:tcPr>
            <w:tcW w:w="925" w:type="pct"/>
            <w:shd w:val="clear" w:color="auto" w:fill="auto"/>
          </w:tcPr>
          <w:p w14:paraId="584CD026" w14:textId="70259D79" w:rsidR="00552947" w:rsidRPr="00552947" w:rsidRDefault="00552947" w:rsidP="00DB2C3A">
            <w:pPr>
              <w:spacing w:before="120" w:after="120"/>
              <w:jc w:val="center"/>
            </w:pPr>
            <w:r w:rsidRPr="00552947">
              <w:t>9 March 2020</w:t>
            </w:r>
          </w:p>
        </w:tc>
        <w:tc>
          <w:tcPr>
            <w:tcW w:w="925" w:type="pct"/>
            <w:shd w:val="clear" w:color="auto" w:fill="auto"/>
          </w:tcPr>
          <w:p w14:paraId="15DA2649" w14:textId="77777777" w:rsidR="00552947" w:rsidRPr="00552947" w:rsidRDefault="00552947" w:rsidP="00DB2C3A">
            <w:pPr>
              <w:spacing w:before="120" w:after="120"/>
              <w:jc w:val="center"/>
            </w:pPr>
          </w:p>
        </w:tc>
        <w:tc>
          <w:tcPr>
            <w:tcW w:w="2225" w:type="pct"/>
            <w:shd w:val="clear" w:color="auto" w:fill="auto"/>
          </w:tcPr>
          <w:p w14:paraId="6CFB883F" w14:textId="3913CA2B" w:rsidR="00552947" w:rsidRPr="00552947" w:rsidRDefault="00552947" w:rsidP="00DB2C3A">
            <w:pPr>
              <w:spacing w:before="120" w:after="120"/>
              <w:jc w:val="center"/>
            </w:pPr>
            <w:r w:rsidRPr="00552947">
              <w:rPr>
                <w:b/>
              </w:rPr>
              <w:t>Change</w:t>
            </w:r>
            <w:r w:rsidRPr="00552947">
              <w:t>: Department of Employment, Skills, Small and Family Business to Department of Education, Skills and Employment</w:t>
            </w:r>
          </w:p>
        </w:tc>
      </w:tr>
      <w:tr w:rsidR="004D5D87" w:rsidRPr="00B25176" w14:paraId="0DD18916" w14:textId="77777777" w:rsidTr="0085661B">
        <w:trPr>
          <w:jc w:val="center"/>
        </w:trPr>
        <w:tc>
          <w:tcPr>
            <w:tcW w:w="925" w:type="pct"/>
          </w:tcPr>
          <w:p w14:paraId="33A276DE" w14:textId="1079D3EF" w:rsidR="004D5D87" w:rsidRDefault="004D5D87" w:rsidP="00D761C8">
            <w:pPr>
              <w:spacing w:before="120" w:after="120"/>
              <w:jc w:val="center"/>
            </w:pPr>
            <w:r>
              <w:t>1.3</w:t>
            </w:r>
          </w:p>
        </w:tc>
        <w:tc>
          <w:tcPr>
            <w:tcW w:w="925" w:type="pct"/>
          </w:tcPr>
          <w:p w14:paraId="7AB6ED59" w14:textId="505BE52C" w:rsidR="004D5D87" w:rsidRDefault="005C3DAC" w:rsidP="00495E50">
            <w:pPr>
              <w:spacing w:before="120" w:after="120"/>
              <w:jc w:val="center"/>
            </w:pPr>
            <w:r>
              <w:t>2 Dec</w:t>
            </w:r>
            <w:r w:rsidR="000735EE">
              <w:t xml:space="preserve"> 2019</w:t>
            </w:r>
          </w:p>
        </w:tc>
        <w:tc>
          <w:tcPr>
            <w:tcW w:w="925" w:type="pct"/>
          </w:tcPr>
          <w:p w14:paraId="56BC7334" w14:textId="4EA07D27" w:rsidR="004D5D87" w:rsidRPr="00BA68C6" w:rsidRDefault="00552947" w:rsidP="00D761C8">
            <w:pPr>
              <w:spacing w:before="120" w:after="120"/>
              <w:jc w:val="center"/>
            </w:pPr>
            <w:r>
              <w:t>8 March 2020</w:t>
            </w:r>
          </w:p>
        </w:tc>
        <w:tc>
          <w:tcPr>
            <w:tcW w:w="2225" w:type="pct"/>
          </w:tcPr>
          <w:p w14:paraId="169C861B" w14:textId="629ED9C3" w:rsidR="004D5D87" w:rsidRDefault="004D5D87" w:rsidP="008B00A4">
            <w:pPr>
              <w:spacing w:before="120" w:after="120"/>
              <w:rPr>
                <w:b/>
              </w:rPr>
            </w:pPr>
            <w:r>
              <w:rPr>
                <w:b/>
              </w:rPr>
              <w:t xml:space="preserve">Narrative: </w:t>
            </w:r>
            <w:r w:rsidRPr="000735EE">
              <w:t>Updated Income Threshold rates at Attachment A (p9)</w:t>
            </w:r>
          </w:p>
        </w:tc>
      </w:tr>
      <w:tr w:rsidR="00A85FE4" w:rsidRPr="00B25176" w14:paraId="4C8CD2F2" w14:textId="77777777" w:rsidTr="0085661B">
        <w:trPr>
          <w:jc w:val="center"/>
        </w:trPr>
        <w:tc>
          <w:tcPr>
            <w:tcW w:w="925" w:type="pct"/>
          </w:tcPr>
          <w:p w14:paraId="557F91FC" w14:textId="243E1143" w:rsidR="00A85FE4" w:rsidRPr="00BA68C6" w:rsidRDefault="00A85FE4" w:rsidP="00D761C8">
            <w:pPr>
              <w:spacing w:before="120" w:after="120"/>
              <w:jc w:val="center"/>
            </w:pPr>
            <w:r>
              <w:t>1.2</w:t>
            </w:r>
          </w:p>
        </w:tc>
        <w:tc>
          <w:tcPr>
            <w:tcW w:w="925" w:type="pct"/>
          </w:tcPr>
          <w:p w14:paraId="1A106058" w14:textId="12663170" w:rsidR="00A85FE4" w:rsidRDefault="00E90DAF" w:rsidP="00495E50">
            <w:pPr>
              <w:spacing w:before="120" w:after="120"/>
              <w:jc w:val="center"/>
            </w:pPr>
            <w:r>
              <w:t>2 April</w:t>
            </w:r>
            <w:r w:rsidR="00A85FE4">
              <w:t xml:space="preserve"> 2019</w:t>
            </w:r>
          </w:p>
        </w:tc>
        <w:tc>
          <w:tcPr>
            <w:tcW w:w="925" w:type="pct"/>
          </w:tcPr>
          <w:p w14:paraId="014CC3C0" w14:textId="472007D2" w:rsidR="00A85FE4" w:rsidRPr="00BA68C6" w:rsidRDefault="005C3DAC" w:rsidP="00D761C8">
            <w:pPr>
              <w:spacing w:before="120" w:after="120"/>
              <w:jc w:val="center"/>
            </w:pPr>
            <w:r>
              <w:t>1 Dec</w:t>
            </w:r>
            <w:r w:rsidR="000735EE">
              <w:t xml:space="preserve"> 2019</w:t>
            </w:r>
          </w:p>
        </w:tc>
        <w:tc>
          <w:tcPr>
            <w:tcW w:w="2225" w:type="pct"/>
          </w:tcPr>
          <w:p w14:paraId="78FE3D91" w14:textId="4F3E44AF" w:rsidR="00A85FE4" w:rsidRPr="006B25C7" w:rsidRDefault="00E90DAF" w:rsidP="008B00A4">
            <w:pPr>
              <w:spacing w:before="120" w:after="120"/>
              <w:rPr>
                <w:b/>
              </w:rPr>
            </w:pPr>
            <w:r>
              <w:rPr>
                <w:b/>
              </w:rPr>
              <w:t xml:space="preserve">Narrative: </w:t>
            </w:r>
            <w:r w:rsidR="00A85FE4" w:rsidRPr="000735EE">
              <w:t>Updated Income Threshold rates at Attachment A (p9)</w:t>
            </w:r>
          </w:p>
        </w:tc>
      </w:tr>
      <w:tr w:rsidR="007B2EAA" w:rsidRPr="00B25176" w14:paraId="0E1E8A6C" w14:textId="77777777" w:rsidTr="0085661B">
        <w:trPr>
          <w:jc w:val="center"/>
        </w:trPr>
        <w:tc>
          <w:tcPr>
            <w:tcW w:w="925" w:type="pct"/>
          </w:tcPr>
          <w:p w14:paraId="2AB3BBB4" w14:textId="39CAFDF8" w:rsidR="007B2EAA" w:rsidRPr="00BA68C6" w:rsidRDefault="007B2EAA" w:rsidP="00D761C8">
            <w:pPr>
              <w:spacing w:before="120" w:after="120"/>
              <w:jc w:val="center"/>
            </w:pPr>
            <w:r w:rsidRPr="00BA68C6">
              <w:t>1.1</w:t>
            </w:r>
          </w:p>
        </w:tc>
        <w:tc>
          <w:tcPr>
            <w:tcW w:w="925" w:type="pct"/>
          </w:tcPr>
          <w:p w14:paraId="4C34A8FA" w14:textId="3A48E71D" w:rsidR="007B2EAA" w:rsidRPr="00BA68C6" w:rsidRDefault="00495E50" w:rsidP="00495E50">
            <w:pPr>
              <w:spacing w:before="120" w:after="120"/>
              <w:jc w:val="center"/>
            </w:pPr>
            <w:r>
              <w:t>3 Dec 2018</w:t>
            </w:r>
          </w:p>
        </w:tc>
        <w:tc>
          <w:tcPr>
            <w:tcW w:w="925" w:type="pct"/>
          </w:tcPr>
          <w:p w14:paraId="1B436EB1" w14:textId="6CC3F9FA" w:rsidR="007B2EAA" w:rsidRPr="00BA68C6" w:rsidRDefault="0042388E" w:rsidP="00E90DAF">
            <w:pPr>
              <w:spacing w:before="120" w:after="120"/>
              <w:jc w:val="center"/>
            </w:pPr>
            <w:r>
              <w:t>1</w:t>
            </w:r>
            <w:r w:rsidR="00E90DAF">
              <w:t xml:space="preserve"> April</w:t>
            </w:r>
            <w:r w:rsidR="00A85FE4">
              <w:t xml:space="preserve"> 2019</w:t>
            </w:r>
          </w:p>
        </w:tc>
        <w:tc>
          <w:tcPr>
            <w:tcW w:w="2225" w:type="pct"/>
          </w:tcPr>
          <w:p w14:paraId="740DFE0C" w14:textId="77777777" w:rsidR="007B2EAA" w:rsidRPr="00BA68C6" w:rsidRDefault="007B2EAA" w:rsidP="00191722">
            <w:pPr>
              <w:spacing w:before="120" w:after="120"/>
            </w:pPr>
            <w:r w:rsidRPr="006B25C7">
              <w:rPr>
                <w:b/>
              </w:rPr>
              <w:t>Policy:</w:t>
            </w:r>
            <w:r w:rsidRPr="00BA68C6">
              <w:t xml:space="preserve"> Amendments made to reflect changes in the DES Grant Agreement - Direction 2 Terminology: </w:t>
            </w:r>
            <w:r w:rsidR="00C27728" w:rsidRPr="00BA68C6">
              <w:t>‘</w:t>
            </w:r>
            <w:r w:rsidRPr="00BA68C6">
              <w:t>Relationship Manager</w:t>
            </w:r>
            <w:r w:rsidR="00C27728" w:rsidRPr="00BA68C6">
              <w:t>’</w:t>
            </w:r>
            <w:r w:rsidRPr="00BA68C6">
              <w:t xml:space="preserve"> replaces </w:t>
            </w:r>
            <w:r w:rsidR="00C27728" w:rsidRPr="00BA68C6">
              <w:t>‘</w:t>
            </w:r>
            <w:r w:rsidRPr="00BA68C6">
              <w:t>Account Manager</w:t>
            </w:r>
            <w:r w:rsidR="00C27728" w:rsidRPr="00BA68C6">
              <w:t>’</w:t>
            </w:r>
            <w:r w:rsidRPr="00BA68C6">
              <w:t>.</w:t>
            </w:r>
          </w:p>
          <w:p w14:paraId="3FFC079E" w14:textId="77777777" w:rsidR="00D14F04" w:rsidRDefault="00D14F04" w:rsidP="00191722">
            <w:pPr>
              <w:spacing w:before="120" w:after="120"/>
            </w:pPr>
            <w:r w:rsidRPr="006B25C7">
              <w:rPr>
                <w:b/>
              </w:rPr>
              <w:t>Narrative:</w:t>
            </w:r>
            <w:r w:rsidRPr="00BA68C6">
              <w:t xml:space="preserve"> Updated Income Threshold Rates in Attachment A (p9).</w:t>
            </w:r>
          </w:p>
          <w:p w14:paraId="04FA370C" w14:textId="0A511B84" w:rsidR="006B25C7" w:rsidRPr="00BA68C6" w:rsidRDefault="006B25C7" w:rsidP="00191722">
            <w:pPr>
              <w:spacing w:before="120" w:after="120"/>
            </w:pPr>
            <w:r w:rsidRPr="006B25C7">
              <w:rPr>
                <w:rStyle w:val="Strong"/>
                <w:rFonts w:asciiTheme="minorHAnsi" w:hAnsiTheme="minorHAnsi"/>
              </w:rPr>
              <w:t>Formatting:</w:t>
            </w:r>
            <w:r w:rsidRPr="0079702A">
              <w:rPr>
                <w:rStyle w:val="Strong"/>
                <w:rFonts w:asciiTheme="minorHAnsi" w:hAnsiTheme="minorHAnsi"/>
                <w:b w:val="0"/>
              </w:rPr>
              <w:t xml:space="preserve"> Throughout guideline</w:t>
            </w:r>
          </w:p>
        </w:tc>
      </w:tr>
      <w:tr w:rsidR="003E49D5" w:rsidRPr="00B25176" w14:paraId="72AC716D" w14:textId="77777777" w:rsidTr="0085661B">
        <w:trPr>
          <w:jc w:val="center"/>
        </w:trPr>
        <w:tc>
          <w:tcPr>
            <w:tcW w:w="925" w:type="pct"/>
          </w:tcPr>
          <w:p w14:paraId="041BB0E5" w14:textId="76E85752" w:rsidR="003E49D5" w:rsidRPr="00BA68C6" w:rsidRDefault="003E49D5" w:rsidP="00D761C8">
            <w:pPr>
              <w:spacing w:before="120" w:after="120"/>
              <w:jc w:val="center"/>
            </w:pPr>
            <w:r w:rsidRPr="00BA68C6">
              <w:t>1.0</w:t>
            </w:r>
          </w:p>
        </w:tc>
        <w:tc>
          <w:tcPr>
            <w:tcW w:w="925" w:type="pct"/>
          </w:tcPr>
          <w:p w14:paraId="6DAE9640" w14:textId="5D03C9DB" w:rsidR="003E49D5" w:rsidRPr="00BA68C6" w:rsidRDefault="003E49D5" w:rsidP="00D761C8">
            <w:pPr>
              <w:spacing w:before="120" w:after="120"/>
              <w:jc w:val="center"/>
            </w:pPr>
            <w:r w:rsidRPr="00BA68C6">
              <w:t>1 Jul</w:t>
            </w:r>
            <w:r w:rsidR="00DB2C3A" w:rsidRPr="00BA68C6">
              <w:t>y</w:t>
            </w:r>
            <w:r w:rsidRPr="00BA68C6">
              <w:t xml:space="preserve"> 2018</w:t>
            </w:r>
          </w:p>
        </w:tc>
        <w:tc>
          <w:tcPr>
            <w:tcW w:w="925" w:type="pct"/>
          </w:tcPr>
          <w:p w14:paraId="5DC71394" w14:textId="7C621F8A" w:rsidR="003E49D5" w:rsidRPr="00BA68C6" w:rsidRDefault="00495E50" w:rsidP="00D761C8">
            <w:pPr>
              <w:spacing w:before="120" w:after="120"/>
              <w:jc w:val="center"/>
            </w:pPr>
            <w:r>
              <w:t>2 Dec 2018</w:t>
            </w:r>
          </w:p>
        </w:tc>
        <w:tc>
          <w:tcPr>
            <w:tcW w:w="2225" w:type="pct"/>
          </w:tcPr>
          <w:p w14:paraId="3946F832" w14:textId="65176F51" w:rsidR="003E49D5" w:rsidRPr="00BA68C6" w:rsidRDefault="003E49D5" w:rsidP="00191722">
            <w:pPr>
              <w:spacing w:before="120" w:after="120"/>
            </w:pPr>
            <w:r w:rsidRPr="00BA68C6">
              <w:t>Original Version of document</w:t>
            </w:r>
          </w:p>
        </w:tc>
      </w:tr>
    </w:tbl>
    <w:p w14:paraId="5A13356C" w14:textId="77777777" w:rsidR="00B25176" w:rsidRPr="006B25C7" w:rsidRDefault="00B25176" w:rsidP="00AB5F14">
      <w:pPr>
        <w:pStyle w:val="Heading3"/>
        <w:spacing w:before="120" w:after="120" w:line="240" w:lineRule="auto"/>
        <w:rPr>
          <w:sz w:val="24"/>
          <w:szCs w:val="24"/>
        </w:rPr>
      </w:pPr>
      <w:bookmarkStart w:id="10" w:name="_Toc496004496"/>
      <w:bookmarkStart w:id="11" w:name="_Toc496005336"/>
      <w:bookmarkStart w:id="12" w:name="_Toc509319658"/>
      <w:r w:rsidRPr="006B25C7">
        <w:rPr>
          <w:sz w:val="24"/>
          <w:szCs w:val="24"/>
        </w:rPr>
        <w:t>Background</w:t>
      </w:r>
      <w:bookmarkEnd w:id="10"/>
      <w:bookmarkEnd w:id="11"/>
      <w:bookmarkEnd w:id="12"/>
    </w:p>
    <w:p w14:paraId="2DF5528B" w14:textId="77777777" w:rsidR="00B25176" w:rsidRPr="003E49D5" w:rsidRDefault="00B25176" w:rsidP="00AB5F14">
      <w:pPr>
        <w:spacing w:before="120" w:after="120"/>
      </w:pPr>
      <w:r w:rsidRPr="003E49D5">
        <w:t>These Guidelines outline the steps to be taken by Disability Employment Service</w:t>
      </w:r>
      <w:r w:rsidR="002C1139" w:rsidRPr="003E49D5">
        <w:t xml:space="preserve"> - </w:t>
      </w:r>
      <w:r w:rsidRPr="003E49D5">
        <w:t>Disability Management Service (</w:t>
      </w:r>
      <w:r w:rsidR="00A64BC7" w:rsidRPr="003E49D5">
        <w:t>DES-DMS</w:t>
      </w:r>
      <w:r w:rsidRPr="003E49D5">
        <w:t xml:space="preserve">) </w:t>
      </w:r>
      <w:r w:rsidR="002C1139" w:rsidRPr="003E49D5">
        <w:t>P</w:t>
      </w:r>
      <w:r w:rsidR="00D72EEC" w:rsidRPr="003E49D5">
        <w:t xml:space="preserve">roviders </w:t>
      </w:r>
      <w:r w:rsidRPr="003E49D5">
        <w:t xml:space="preserve">to Directly Register and Commence Participants not receiving </w:t>
      </w:r>
      <w:r w:rsidR="002C1139" w:rsidRPr="003E49D5">
        <w:t>I</w:t>
      </w:r>
      <w:r w:rsidRPr="003E49D5">
        <w:t xml:space="preserve">ncome </w:t>
      </w:r>
      <w:r w:rsidR="002C1139" w:rsidRPr="003E49D5">
        <w:t>S</w:t>
      </w:r>
      <w:r w:rsidRPr="003E49D5">
        <w:t xml:space="preserve">upport </w:t>
      </w:r>
      <w:r w:rsidR="002C1139" w:rsidRPr="003E49D5">
        <w:t>P</w:t>
      </w:r>
      <w:r w:rsidRPr="003E49D5">
        <w:t>ayments (non-beneficiaries).</w:t>
      </w:r>
    </w:p>
    <w:p w14:paraId="535D7A70" w14:textId="6F4B8060" w:rsidR="00B25176" w:rsidRPr="003E49D5" w:rsidRDefault="00B25176" w:rsidP="00AB5F14">
      <w:pPr>
        <w:spacing w:before="120" w:after="120"/>
      </w:pPr>
      <w:r w:rsidRPr="003E49D5">
        <w:t xml:space="preserve">The </w:t>
      </w:r>
      <w:r w:rsidRPr="001D1507">
        <w:rPr>
          <w:i/>
        </w:rPr>
        <w:t>Disability Services Act 1986</w:t>
      </w:r>
      <w:r w:rsidRPr="003E49D5">
        <w:t xml:space="preserve"> </w:t>
      </w:r>
      <w:r w:rsidR="006D6FDA" w:rsidRPr="003E49D5">
        <w:t xml:space="preserve">(the Act) </w:t>
      </w:r>
      <w:r w:rsidRPr="003E49D5">
        <w:t xml:space="preserve">allows for access to </w:t>
      </w:r>
      <w:r w:rsidR="00A64BC7" w:rsidRPr="003E49D5">
        <w:t>DES-DMS</w:t>
      </w:r>
      <w:r w:rsidRPr="003E49D5">
        <w:t xml:space="preserve"> for Participants receiving </w:t>
      </w:r>
      <w:r w:rsidR="002C1139" w:rsidRPr="003E49D5">
        <w:t>I</w:t>
      </w:r>
      <w:r w:rsidRPr="003E49D5">
        <w:t>nc</w:t>
      </w:r>
      <w:r w:rsidR="006244FE" w:rsidRPr="003E49D5">
        <w:t xml:space="preserve">ome </w:t>
      </w:r>
      <w:r w:rsidR="002C1139" w:rsidRPr="003E49D5">
        <w:t>S</w:t>
      </w:r>
      <w:r w:rsidR="006244FE" w:rsidRPr="003E49D5">
        <w:t xml:space="preserve">upport </w:t>
      </w:r>
      <w:r w:rsidR="002C1139" w:rsidRPr="003E49D5">
        <w:t>P</w:t>
      </w:r>
      <w:r w:rsidR="006244FE" w:rsidRPr="003E49D5">
        <w:t>ayments. Normally</w:t>
      </w:r>
      <w:r w:rsidR="000B1528">
        <w:t>,</w:t>
      </w:r>
      <w:r w:rsidR="006244FE" w:rsidRPr="003E49D5">
        <w:t xml:space="preserve"> </w:t>
      </w:r>
      <w:r w:rsidR="006D6FDA" w:rsidRPr="003E49D5">
        <w:t>n</w:t>
      </w:r>
      <w:r w:rsidR="006244FE" w:rsidRPr="003E49D5">
        <w:t>on-b</w:t>
      </w:r>
      <w:r w:rsidRPr="003E49D5">
        <w:t xml:space="preserve">eneficiaries are not eligible to participate in </w:t>
      </w:r>
      <w:r w:rsidR="00A64BC7" w:rsidRPr="003E49D5">
        <w:t>DES-DMS</w:t>
      </w:r>
      <w:r w:rsidRPr="003E49D5">
        <w:t>, however</w:t>
      </w:r>
      <w:r w:rsidR="006D6FDA" w:rsidRPr="003E49D5">
        <w:t>,</w:t>
      </w:r>
      <w:r w:rsidRPr="003E49D5">
        <w:t xml:space="preserve"> the Act allows for certain individuals or groups (as determined by the Secretary of the Department of Social Services) to have access to </w:t>
      </w:r>
      <w:r w:rsidR="00A64BC7" w:rsidRPr="003E49D5">
        <w:t>DES-DMS</w:t>
      </w:r>
      <w:r w:rsidRPr="003E49D5">
        <w:t>.</w:t>
      </w:r>
    </w:p>
    <w:p w14:paraId="57427DE8" w14:textId="77777777" w:rsidR="00B25176" w:rsidRPr="003E49D5" w:rsidRDefault="00B25176" w:rsidP="00AB5F14">
      <w:pPr>
        <w:spacing w:before="120" w:after="120"/>
      </w:pPr>
      <w:r w:rsidRPr="003E49D5">
        <w:t xml:space="preserve">Non-beneficiary Participants who are allowed access to the </w:t>
      </w:r>
      <w:r w:rsidR="00A64BC7" w:rsidRPr="003E49D5">
        <w:t>DES-DMS</w:t>
      </w:r>
      <w:r w:rsidRPr="003E49D5">
        <w:t xml:space="preserve"> must meet all general eligibility requirements for </w:t>
      </w:r>
      <w:r w:rsidR="00A64BC7" w:rsidRPr="003E49D5">
        <w:t>DES-DMS</w:t>
      </w:r>
      <w:r w:rsidRPr="003E49D5">
        <w:t xml:space="preserve"> and be one of the following:</w:t>
      </w:r>
    </w:p>
    <w:p w14:paraId="68FE858D" w14:textId="623AD22E" w:rsidR="00B25176" w:rsidRPr="007F4343" w:rsidRDefault="00B25176" w:rsidP="00AB5F14">
      <w:pPr>
        <w:pStyle w:val="ListParagraph"/>
        <w:numPr>
          <w:ilvl w:val="0"/>
          <w:numId w:val="1"/>
        </w:numPr>
        <w:spacing w:before="120" w:after="120"/>
      </w:pPr>
      <w:r w:rsidRPr="007F4343">
        <w:t>eligible for assistance under a Labour Adjustment Package (LAP)</w:t>
      </w:r>
    </w:p>
    <w:p w14:paraId="07567247" w14:textId="059E2B9F" w:rsidR="00B25176" w:rsidRPr="007F4343" w:rsidRDefault="00B25176" w:rsidP="00AB5F14">
      <w:pPr>
        <w:pStyle w:val="ListParagraph"/>
        <w:numPr>
          <w:ilvl w:val="0"/>
          <w:numId w:val="1"/>
        </w:numPr>
        <w:spacing w:before="120" w:after="120"/>
      </w:pPr>
      <w:r w:rsidRPr="007F4343">
        <w:t>under 21 years of age</w:t>
      </w:r>
    </w:p>
    <w:p w14:paraId="1A6AD188" w14:textId="436E3B12" w:rsidR="00B25176" w:rsidRPr="007F4343" w:rsidRDefault="00B25176" w:rsidP="00AB5F14">
      <w:pPr>
        <w:pStyle w:val="ListParagraph"/>
        <w:numPr>
          <w:ilvl w:val="0"/>
          <w:numId w:val="1"/>
        </w:numPr>
        <w:spacing w:before="120" w:after="120"/>
      </w:pPr>
      <w:r w:rsidRPr="007F4343">
        <w:t xml:space="preserve">receiving </w:t>
      </w:r>
      <w:r w:rsidR="004A6A7B">
        <w:t xml:space="preserve">Work Assist </w:t>
      </w:r>
      <w:r w:rsidR="000B48AB">
        <w:t>S</w:t>
      </w:r>
      <w:r w:rsidR="009224C2">
        <w:t>ervices</w:t>
      </w:r>
    </w:p>
    <w:p w14:paraId="0EF509AE" w14:textId="6E64B673" w:rsidR="00B25176" w:rsidRPr="007F4343" w:rsidRDefault="00B25176" w:rsidP="00AB5F14">
      <w:pPr>
        <w:pStyle w:val="ListParagraph"/>
        <w:numPr>
          <w:ilvl w:val="0"/>
          <w:numId w:val="1"/>
        </w:numPr>
        <w:spacing w:before="120" w:after="120"/>
      </w:pPr>
      <w:r w:rsidRPr="007F4343">
        <w:t>considered a Special Class Client</w:t>
      </w:r>
      <w:r w:rsidR="0087536D" w:rsidRPr="007F4343">
        <w:t xml:space="preserve"> (SCC)</w:t>
      </w:r>
      <w:r w:rsidRPr="007F4343">
        <w:t xml:space="preserve"> </w:t>
      </w:r>
    </w:p>
    <w:p w14:paraId="6980FF52" w14:textId="77777777" w:rsidR="00C26904" w:rsidRDefault="00B25176" w:rsidP="00AB5F14">
      <w:pPr>
        <w:pStyle w:val="ListParagraph"/>
        <w:numPr>
          <w:ilvl w:val="0"/>
          <w:numId w:val="1"/>
        </w:numPr>
        <w:spacing w:before="120" w:after="120"/>
      </w:pPr>
      <w:r w:rsidRPr="007F4343">
        <w:t>considered an Eligible School Leaver</w:t>
      </w:r>
      <w:r w:rsidR="0087536D" w:rsidRPr="007F4343">
        <w:t xml:space="preserve"> (ESL)</w:t>
      </w:r>
    </w:p>
    <w:p w14:paraId="14CFE5F3" w14:textId="77777777" w:rsidR="00B25176" w:rsidRPr="007F4343" w:rsidRDefault="00C26904" w:rsidP="00AB5F14">
      <w:pPr>
        <w:pStyle w:val="ListParagraph"/>
        <w:numPr>
          <w:ilvl w:val="0"/>
          <w:numId w:val="1"/>
        </w:numPr>
        <w:spacing w:before="120" w:after="120"/>
      </w:pPr>
      <w:r>
        <w:t>considered a School Leaver Trial Participant</w:t>
      </w:r>
      <w:r w:rsidR="00B25176" w:rsidRPr="007F4343">
        <w:t>; or</w:t>
      </w:r>
    </w:p>
    <w:p w14:paraId="06B56A1B" w14:textId="77777777" w:rsidR="00B25176" w:rsidRPr="007F4343" w:rsidRDefault="00B25176" w:rsidP="00AB5F14">
      <w:pPr>
        <w:pStyle w:val="ListParagraph"/>
        <w:numPr>
          <w:ilvl w:val="0"/>
          <w:numId w:val="1"/>
        </w:numPr>
        <w:spacing w:before="120" w:after="120"/>
      </w:pPr>
      <w:r w:rsidRPr="007F4343">
        <w:t>assessed as having a low income.</w:t>
      </w:r>
    </w:p>
    <w:p w14:paraId="36B7D980" w14:textId="76DCE891" w:rsidR="000834A3" w:rsidRPr="007F4343" w:rsidRDefault="00B25176" w:rsidP="00AB5F14">
      <w:pPr>
        <w:spacing w:before="120" w:after="120"/>
      </w:pPr>
      <w:r w:rsidRPr="007F4343">
        <w:t>These guidelines do not apply to the</w:t>
      </w:r>
      <w:r w:rsidR="001167DF" w:rsidRPr="007F4343">
        <w:t xml:space="preserve"> D</w:t>
      </w:r>
      <w:r w:rsidR="00913D04" w:rsidRPr="007F4343">
        <w:t>ES</w:t>
      </w:r>
      <w:r w:rsidR="001167DF" w:rsidRPr="007F4343">
        <w:t>-</w:t>
      </w:r>
      <w:r w:rsidRPr="007F4343">
        <w:t xml:space="preserve"> Employment Support Service</w:t>
      </w:r>
      <w:r w:rsidR="001167DF" w:rsidRPr="007F4343">
        <w:t xml:space="preserve"> (ESS)</w:t>
      </w:r>
      <w:r w:rsidRPr="007F4343">
        <w:t xml:space="preserve">. </w:t>
      </w:r>
      <w:r w:rsidR="006D0A50">
        <w:t>N</w:t>
      </w:r>
      <w:r w:rsidR="00A42698" w:rsidRPr="007F4343">
        <w:t>on</w:t>
      </w:r>
      <w:r w:rsidR="0066799D">
        <w:noBreakHyphen/>
      </w:r>
      <w:r w:rsidRPr="007F4343">
        <w:t xml:space="preserve">beneficiaries can access </w:t>
      </w:r>
      <w:r w:rsidR="001167DF" w:rsidRPr="007F4343">
        <w:t>DES-ESS</w:t>
      </w:r>
      <w:r w:rsidRPr="007F4343" w:rsidDel="006D0B17">
        <w:t xml:space="preserve"> </w:t>
      </w:r>
      <w:r w:rsidR="002C1139">
        <w:t>provided</w:t>
      </w:r>
      <w:r w:rsidRPr="007F4343">
        <w:t xml:space="preserve"> they meet all general eligibility requirements.</w:t>
      </w:r>
      <w:r w:rsidR="002C1139">
        <w:t xml:space="preserve"> </w:t>
      </w:r>
    </w:p>
    <w:p w14:paraId="406B098A" w14:textId="0C6CBC8E" w:rsidR="00FB245B" w:rsidRDefault="00FB245B" w:rsidP="00AB5F14">
      <w:pPr>
        <w:spacing w:before="120" w:after="120"/>
      </w:pPr>
      <w:r w:rsidRPr="007F4343">
        <w:t>Note: Th</w:t>
      </w:r>
      <w:r w:rsidR="00BD594F">
        <w:t>ese</w:t>
      </w:r>
      <w:r w:rsidRPr="007F4343">
        <w:t xml:space="preserve"> </w:t>
      </w:r>
      <w:r w:rsidR="00BD594F">
        <w:t xml:space="preserve">Guidelines </w:t>
      </w:r>
      <w:r w:rsidRPr="007F4343">
        <w:t xml:space="preserve">should not be read as a stand-alone document, please refer to the Disability Employment Services </w:t>
      </w:r>
      <w:r w:rsidR="0066799D">
        <w:t>Grant Agreement</w:t>
      </w:r>
      <w:r w:rsidRPr="007F4343">
        <w:t>.</w:t>
      </w:r>
      <w:r>
        <w:br w:type="page"/>
      </w:r>
    </w:p>
    <w:p w14:paraId="6559CB8C" w14:textId="64E8ABF3" w:rsidR="00B25176" w:rsidRPr="006B25C7" w:rsidRDefault="00B25176" w:rsidP="00AB5F14">
      <w:pPr>
        <w:pStyle w:val="Heading3"/>
        <w:spacing w:before="120" w:after="120" w:line="240" w:lineRule="auto"/>
        <w:rPr>
          <w:rFonts w:eastAsiaTheme="majorEastAsia"/>
          <w:sz w:val="24"/>
          <w:szCs w:val="24"/>
        </w:rPr>
      </w:pPr>
      <w:bookmarkStart w:id="13" w:name="_Toc496004110"/>
      <w:bookmarkStart w:id="14" w:name="_Toc496004497"/>
      <w:bookmarkStart w:id="15" w:name="_Toc496005337"/>
      <w:bookmarkStart w:id="16" w:name="_Toc509319659"/>
      <w:r w:rsidRPr="006B25C7">
        <w:rPr>
          <w:rFonts w:eastAsiaTheme="majorEastAsia"/>
          <w:sz w:val="24"/>
          <w:szCs w:val="24"/>
        </w:rPr>
        <w:lastRenderedPageBreak/>
        <w:t xml:space="preserve">Disability Employment Services </w:t>
      </w:r>
      <w:r w:rsidR="003E49D5" w:rsidRPr="006B25C7">
        <w:rPr>
          <w:rFonts w:eastAsiaTheme="majorEastAsia"/>
          <w:sz w:val="24"/>
          <w:szCs w:val="24"/>
        </w:rPr>
        <w:t xml:space="preserve">Grant Agreement </w:t>
      </w:r>
      <w:r w:rsidRPr="006B25C7">
        <w:rPr>
          <w:rFonts w:eastAsiaTheme="majorEastAsia"/>
          <w:sz w:val="24"/>
          <w:szCs w:val="24"/>
        </w:rPr>
        <w:t>Clause</w:t>
      </w:r>
      <w:r w:rsidR="00C93547" w:rsidRPr="006B25C7">
        <w:rPr>
          <w:rFonts w:eastAsiaTheme="majorEastAsia"/>
          <w:sz w:val="24"/>
          <w:szCs w:val="24"/>
        </w:rPr>
        <w:t>s</w:t>
      </w:r>
      <w:bookmarkEnd w:id="13"/>
      <w:bookmarkEnd w:id="14"/>
      <w:bookmarkEnd w:id="15"/>
      <w:bookmarkEnd w:id="16"/>
    </w:p>
    <w:p w14:paraId="40E2A096" w14:textId="13D30A60" w:rsidR="00B25176" w:rsidRPr="00D761C8" w:rsidRDefault="004E08DD" w:rsidP="00AB5F14">
      <w:pPr>
        <w:spacing w:before="120" w:after="120"/>
        <w:rPr>
          <w:szCs w:val="24"/>
        </w:rPr>
      </w:pPr>
      <w:hyperlink r:id="rId12" w:anchor="083" w:history="1">
        <w:r w:rsidR="00B25176" w:rsidRPr="00D761C8">
          <w:rPr>
            <w:szCs w:val="24"/>
          </w:rPr>
          <w:t xml:space="preserve">Clause </w:t>
        </w:r>
        <w:r w:rsidR="00950D17">
          <w:rPr>
            <w:szCs w:val="24"/>
          </w:rPr>
          <w:t>87</w:t>
        </w:r>
        <w:r w:rsidR="00950D17" w:rsidRPr="00D761C8">
          <w:rPr>
            <w:szCs w:val="24"/>
          </w:rPr>
          <w:t xml:space="preserve"> </w:t>
        </w:r>
        <w:r w:rsidR="00B25176" w:rsidRPr="00D761C8">
          <w:rPr>
            <w:szCs w:val="24"/>
          </w:rPr>
          <w:t>– Direct Registration of Participants without a referral</w:t>
        </w:r>
      </w:hyperlink>
    </w:p>
    <w:p w14:paraId="51377574" w14:textId="381BCB37" w:rsidR="00B25176" w:rsidRDefault="004E08DD" w:rsidP="00AB5F14">
      <w:pPr>
        <w:spacing w:before="120" w:after="120"/>
        <w:rPr>
          <w:szCs w:val="24"/>
        </w:rPr>
      </w:pPr>
      <w:hyperlink r:id="rId13" w:anchor="088" w:history="1">
        <w:r w:rsidR="00B25176" w:rsidRPr="00D761C8">
          <w:rPr>
            <w:szCs w:val="24"/>
          </w:rPr>
          <w:t xml:space="preserve">Clause </w:t>
        </w:r>
        <w:r w:rsidR="00950D17">
          <w:rPr>
            <w:szCs w:val="24"/>
          </w:rPr>
          <w:t>92</w:t>
        </w:r>
        <w:r w:rsidR="00B25176" w:rsidRPr="00D761C8">
          <w:rPr>
            <w:szCs w:val="24"/>
          </w:rPr>
          <w:t xml:space="preserve"> – Initial </w:t>
        </w:r>
        <w:r w:rsidR="00950D17">
          <w:rPr>
            <w:szCs w:val="24"/>
          </w:rPr>
          <w:t>Interview</w:t>
        </w:r>
      </w:hyperlink>
    </w:p>
    <w:p w14:paraId="1D4FC73D" w14:textId="0369C433" w:rsidR="00AB5F14" w:rsidRDefault="00AB5F14" w:rsidP="00AB5F14">
      <w:pPr>
        <w:spacing w:before="120" w:after="120"/>
        <w:rPr>
          <w:szCs w:val="24"/>
        </w:rPr>
      </w:pPr>
      <w:r w:rsidRPr="00AB5F14">
        <w:rPr>
          <w:szCs w:val="24"/>
        </w:rPr>
        <w:t>Annexure A – Definition</w:t>
      </w:r>
      <w:r>
        <w:rPr>
          <w:szCs w:val="24"/>
        </w:rPr>
        <w:t>s</w:t>
      </w:r>
    </w:p>
    <w:p w14:paraId="6F4F80C7" w14:textId="272087D1" w:rsidR="00CE4A74" w:rsidRPr="006B25C7" w:rsidRDefault="00CE4A74" w:rsidP="00AB5F14">
      <w:pPr>
        <w:pStyle w:val="Heading3"/>
        <w:spacing w:before="120" w:after="120" w:line="240" w:lineRule="auto"/>
        <w:rPr>
          <w:rFonts w:eastAsiaTheme="majorEastAsia"/>
          <w:sz w:val="24"/>
          <w:szCs w:val="24"/>
        </w:rPr>
      </w:pPr>
      <w:bookmarkStart w:id="17" w:name="_Toc509319660"/>
      <w:r w:rsidRPr="006B25C7">
        <w:rPr>
          <w:rFonts w:eastAsiaTheme="majorEastAsia"/>
          <w:sz w:val="24"/>
          <w:szCs w:val="24"/>
        </w:rPr>
        <w:t>Reference documents relevant to this guideline</w:t>
      </w:r>
      <w:bookmarkEnd w:id="17"/>
    </w:p>
    <w:p w14:paraId="55CA5B9F" w14:textId="595EF152" w:rsidR="00CE4A74" w:rsidRDefault="00CE4A74" w:rsidP="00AB5F14">
      <w:pPr>
        <w:spacing w:before="120" w:after="120"/>
        <w:rPr>
          <w:rFonts w:eastAsiaTheme="majorEastAsia"/>
        </w:rPr>
      </w:pPr>
      <w:r>
        <w:rPr>
          <w:rFonts w:eastAsiaTheme="majorEastAsia"/>
        </w:rPr>
        <w:t>Direct Registration Guidelines</w:t>
      </w:r>
    </w:p>
    <w:p w14:paraId="2A5CB5E0" w14:textId="25A25A3D" w:rsidR="00CE4A74" w:rsidRDefault="00CE4A74" w:rsidP="00AB5F14">
      <w:pPr>
        <w:spacing w:before="120" w:after="120"/>
        <w:rPr>
          <w:rFonts w:eastAsiaTheme="majorEastAsia"/>
        </w:rPr>
      </w:pPr>
      <w:r>
        <w:rPr>
          <w:rFonts w:eastAsiaTheme="majorEastAsia"/>
        </w:rPr>
        <w:t>Eligibility, Referral and Commencement Guidelines</w:t>
      </w:r>
    </w:p>
    <w:p w14:paraId="606C8C08" w14:textId="45F07087" w:rsidR="00CE4A74" w:rsidRPr="00337CB3" w:rsidRDefault="00CE4A74" w:rsidP="00AB5F14">
      <w:pPr>
        <w:spacing w:before="120" w:after="120"/>
        <w:rPr>
          <w:rFonts w:eastAsiaTheme="majorEastAsia"/>
        </w:rPr>
      </w:pPr>
      <w:r>
        <w:rPr>
          <w:rFonts w:eastAsiaTheme="majorEastAsia"/>
        </w:rPr>
        <w:t>Disability Management Service – Special Class Clients Guidelines</w:t>
      </w:r>
    </w:p>
    <w:p w14:paraId="7744877A" w14:textId="6925BA3D" w:rsidR="00B25176" w:rsidRPr="006B25C7" w:rsidRDefault="00B25176" w:rsidP="00AB5F14">
      <w:pPr>
        <w:pStyle w:val="Heading3"/>
        <w:spacing w:before="120" w:after="120" w:line="240" w:lineRule="auto"/>
        <w:rPr>
          <w:sz w:val="24"/>
          <w:szCs w:val="24"/>
        </w:rPr>
      </w:pPr>
      <w:bookmarkStart w:id="18" w:name="_Toc496004498"/>
      <w:bookmarkStart w:id="19" w:name="_Toc496005338"/>
      <w:bookmarkStart w:id="20" w:name="_Toc509319661"/>
      <w:r w:rsidRPr="006B25C7">
        <w:rPr>
          <w:sz w:val="24"/>
          <w:szCs w:val="24"/>
        </w:rPr>
        <w:t>Explanatory Note</w:t>
      </w:r>
      <w:bookmarkEnd w:id="18"/>
      <w:bookmarkEnd w:id="19"/>
      <w:bookmarkEnd w:id="20"/>
    </w:p>
    <w:p w14:paraId="75006193" w14:textId="2E409DB3" w:rsidR="003E49D5" w:rsidRDefault="003E49D5" w:rsidP="00AB5F14">
      <w:pPr>
        <w:spacing w:before="120" w:after="120"/>
      </w:pPr>
      <w:r w:rsidRPr="00F83F55">
        <w:t xml:space="preserve">All capitalised terms have the same meaning as in </w:t>
      </w:r>
      <w:r>
        <w:t>Disability Employment Services Grant Agreement.</w:t>
      </w:r>
    </w:p>
    <w:p w14:paraId="2AAC292F" w14:textId="77777777" w:rsidR="003E49D5" w:rsidRPr="00F83F55" w:rsidRDefault="003E49D5" w:rsidP="00AB5F14">
      <w:pPr>
        <w:spacing w:before="120" w:after="120"/>
      </w:pPr>
      <w:r w:rsidRPr="00F83F55">
        <w:t>In this document, “must” means that compliance is mandatory and “should” means that compliance represents best practice.</w:t>
      </w:r>
    </w:p>
    <w:p w14:paraId="3F3AC8F0" w14:textId="335BF521" w:rsidR="00B25176" w:rsidRPr="006B25C7" w:rsidRDefault="00B25176" w:rsidP="006B25C7">
      <w:pPr>
        <w:pStyle w:val="Heading3"/>
        <w:spacing w:before="120" w:after="120"/>
        <w:rPr>
          <w:sz w:val="24"/>
          <w:szCs w:val="24"/>
        </w:rPr>
      </w:pPr>
      <w:r w:rsidRPr="00B25176">
        <w:br w:type="page"/>
      </w:r>
      <w:bookmarkStart w:id="21" w:name="_Toc496004499"/>
      <w:bookmarkStart w:id="22" w:name="_Toc496005339"/>
      <w:bookmarkStart w:id="23" w:name="_Toc509319662"/>
      <w:r w:rsidRPr="00B81734">
        <w:rPr>
          <w:sz w:val="24"/>
          <w:szCs w:val="24"/>
        </w:rPr>
        <w:lastRenderedPageBreak/>
        <w:t>Participants Not Receiving Income Support Guidelines</w:t>
      </w:r>
      <w:bookmarkEnd w:id="21"/>
      <w:bookmarkEnd w:id="22"/>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5891"/>
      </w:tblGrid>
      <w:tr w:rsidR="00B25176" w:rsidRPr="00B25176" w14:paraId="65178FDD" w14:textId="77777777" w:rsidTr="00D761C8">
        <w:trPr>
          <w:tblHeader/>
          <w:jc w:val="center"/>
        </w:trPr>
        <w:tc>
          <w:tcPr>
            <w:tcW w:w="1733" w:type="pct"/>
            <w:shd w:val="clear" w:color="auto" w:fill="auto"/>
          </w:tcPr>
          <w:p w14:paraId="4D3B6D0A" w14:textId="77777777" w:rsidR="00B25176" w:rsidRPr="00D761C8" w:rsidRDefault="00B25176" w:rsidP="00AB5F14">
            <w:pPr>
              <w:spacing w:before="120" w:after="120"/>
              <w:jc w:val="center"/>
              <w:rPr>
                <w:b/>
              </w:rPr>
            </w:pPr>
            <w:r w:rsidRPr="00D761C8">
              <w:rPr>
                <w:b/>
              </w:rPr>
              <w:t>Who is Responsible:</w:t>
            </w:r>
          </w:p>
        </w:tc>
        <w:tc>
          <w:tcPr>
            <w:tcW w:w="3267" w:type="pct"/>
            <w:shd w:val="clear" w:color="auto" w:fill="auto"/>
          </w:tcPr>
          <w:p w14:paraId="7BD2E7E7" w14:textId="77777777" w:rsidR="00B25176" w:rsidRPr="00D761C8" w:rsidRDefault="00B25176" w:rsidP="00AB5F14">
            <w:pPr>
              <w:spacing w:before="120" w:after="120"/>
              <w:jc w:val="center"/>
              <w:rPr>
                <w:b/>
              </w:rPr>
            </w:pPr>
            <w:r w:rsidRPr="00D761C8">
              <w:rPr>
                <w:b/>
              </w:rPr>
              <w:t>What is Required:</w:t>
            </w:r>
          </w:p>
        </w:tc>
      </w:tr>
      <w:tr w:rsidR="00B25176" w:rsidRPr="00B25176" w14:paraId="497F07A7" w14:textId="77777777" w:rsidTr="00D3297E">
        <w:trPr>
          <w:jc w:val="center"/>
        </w:trPr>
        <w:tc>
          <w:tcPr>
            <w:tcW w:w="1733" w:type="pct"/>
          </w:tcPr>
          <w:p w14:paraId="53F6F05E" w14:textId="6ADAEA18" w:rsidR="00B25176" w:rsidRPr="00D761C8" w:rsidRDefault="00B25176" w:rsidP="00AB5F14">
            <w:pPr>
              <w:pStyle w:val="ListParagraph"/>
              <w:numPr>
                <w:ilvl w:val="0"/>
                <w:numId w:val="13"/>
              </w:numPr>
              <w:spacing w:before="120" w:after="120"/>
              <w:jc w:val="both"/>
              <w:rPr>
                <w:b/>
              </w:rPr>
            </w:pPr>
            <w:r w:rsidRPr="00D761C8">
              <w:rPr>
                <w:b/>
              </w:rPr>
              <w:t>Participant</w:t>
            </w:r>
          </w:p>
          <w:p w14:paraId="426ABD58" w14:textId="77777777" w:rsidR="00B25176" w:rsidRPr="007F4343" w:rsidRDefault="006244FE" w:rsidP="00AB5F14">
            <w:pPr>
              <w:spacing w:before="120" w:after="120"/>
              <w:rPr>
                <w:b/>
              </w:rPr>
            </w:pPr>
            <w:r w:rsidRPr="007F4343">
              <w:t xml:space="preserve">A </w:t>
            </w:r>
            <w:r w:rsidR="006D6FDA" w:rsidRPr="007F4343">
              <w:t>n</w:t>
            </w:r>
            <w:r w:rsidR="00B25176" w:rsidRPr="007F4343">
              <w:t xml:space="preserve">on-beneficiary presents to a </w:t>
            </w:r>
            <w:r w:rsidR="00D3297E" w:rsidRPr="007F4343">
              <w:t>DES-DMS</w:t>
            </w:r>
            <w:r w:rsidR="00B25176" w:rsidRPr="007F4343">
              <w:t xml:space="preserve"> </w:t>
            </w:r>
            <w:r w:rsidR="00D3297E" w:rsidRPr="007F4343">
              <w:t>P</w:t>
            </w:r>
            <w:r w:rsidR="00B25176" w:rsidRPr="007F4343">
              <w:t>rovider seeking assistance.</w:t>
            </w:r>
          </w:p>
        </w:tc>
        <w:tc>
          <w:tcPr>
            <w:tcW w:w="3267" w:type="pct"/>
          </w:tcPr>
          <w:p w14:paraId="13EEC16C" w14:textId="77777777" w:rsidR="00B25176" w:rsidRPr="007F4343" w:rsidRDefault="006244FE" w:rsidP="00AB5F14">
            <w:pPr>
              <w:spacing w:before="120" w:after="120"/>
              <w:rPr>
                <w:b/>
              </w:rPr>
            </w:pPr>
            <w:r w:rsidRPr="007F4343">
              <w:t xml:space="preserve">A </w:t>
            </w:r>
            <w:r w:rsidR="006D6FDA" w:rsidRPr="007F4343">
              <w:t>n</w:t>
            </w:r>
            <w:r w:rsidR="00B25176" w:rsidRPr="007F4343">
              <w:t xml:space="preserve">on-beneficiary, or a person whose income support status is uncertain, may present at a </w:t>
            </w:r>
            <w:r w:rsidR="00D3297E" w:rsidRPr="007F4343">
              <w:t>DES-DMS P</w:t>
            </w:r>
            <w:r w:rsidR="00B25176" w:rsidRPr="007F4343">
              <w:t>rovider seeking assistance.</w:t>
            </w:r>
          </w:p>
        </w:tc>
      </w:tr>
      <w:tr w:rsidR="00B25176" w:rsidRPr="00B25176" w14:paraId="29C40C95" w14:textId="77777777" w:rsidTr="00D3297E">
        <w:trPr>
          <w:jc w:val="center"/>
        </w:trPr>
        <w:tc>
          <w:tcPr>
            <w:tcW w:w="1733" w:type="pct"/>
          </w:tcPr>
          <w:p w14:paraId="29556D15" w14:textId="6B539E11" w:rsidR="00B25176" w:rsidRPr="00D761C8" w:rsidRDefault="00D3297E" w:rsidP="00AB5F14">
            <w:pPr>
              <w:pStyle w:val="ListParagraph"/>
              <w:numPr>
                <w:ilvl w:val="0"/>
                <w:numId w:val="13"/>
              </w:numPr>
              <w:spacing w:before="120" w:after="120"/>
              <w:rPr>
                <w:b/>
              </w:rPr>
            </w:pPr>
            <w:r w:rsidRPr="00D761C8">
              <w:rPr>
                <w:b/>
              </w:rPr>
              <w:t>DES-DMS</w:t>
            </w:r>
            <w:r w:rsidR="00B25176" w:rsidRPr="00D761C8">
              <w:rPr>
                <w:b/>
              </w:rPr>
              <w:t xml:space="preserve"> </w:t>
            </w:r>
            <w:r w:rsidRPr="00D761C8">
              <w:rPr>
                <w:b/>
              </w:rPr>
              <w:t>P</w:t>
            </w:r>
            <w:r w:rsidR="00B25176" w:rsidRPr="00D761C8">
              <w:rPr>
                <w:b/>
              </w:rPr>
              <w:t>rovider</w:t>
            </w:r>
          </w:p>
          <w:p w14:paraId="416D19FF" w14:textId="77777777" w:rsidR="00B25176" w:rsidRDefault="00B25176" w:rsidP="00AB5F14">
            <w:pPr>
              <w:spacing w:before="120" w:after="120"/>
            </w:pPr>
            <w:r w:rsidRPr="007F4343">
              <w:t xml:space="preserve">The </w:t>
            </w:r>
            <w:r w:rsidR="00D3297E" w:rsidRPr="007F4343">
              <w:t>DES-DMS</w:t>
            </w:r>
            <w:r w:rsidRPr="007F4343">
              <w:t xml:space="preserve"> </w:t>
            </w:r>
            <w:r w:rsidR="00D3297E" w:rsidRPr="007F4343">
              <w:t>P</w:t>
            </w:r>
            <w:r w:rsidRPr="007F4343">
              <w:t>rovider Directly Registers the Participant.</w:t>
            </w:r>
          </w:p>
          <w:p w14:paraId="66B4BF02" w14:textId="786D523F" w:rsidR="00C662D5" w:rsidRDefault="00C662D5" w:rsidP="00AB5F14">
            <w:pPr>
              <w:spacing w:before="120" w:after="120"/>
            </w:pPr>
            <w:r>
              <w:t>Disability Employment Services Grant Agreement Clause</w:t>
            </w:r>
            <w:r w:rsidR="00C40D6E">
              <w:t xml:space="preserve"> References</w:t>
            </w:r>
            <w:r>
              <w:t>:</w:t>
            </w:r>
          </w:p>
          <w:p w14:paraId="26099FA6" w14:textId="0157D393" w:rsidR="00C662D5" w:rsidRPr="007F4343" w:rsidRDefault="00C662D5" w:rsidP="00AB5F14">
            <w:pPr>
              <w:pStyle w:val="ListParagraph"/>
              <w:numPr>
                <w:ilvl w:val="0"/>
                <w:numId w:val="16"/>
              </w:numPr>
              <w:spacing w:before="120" w:after="120"/>
            </w:pPr>
            <w:r>
              <w:t>Clause 87</w:t>
            </w:r>
          </w:p>
        </w:tc>
        <w:tc>
          <w:tcPr>
            <w:tcW w:w="3267" w:type="pct"/>
          </w:tcPr>
          <w:p w14:paraId="5A3E7965" w14:textId="77777777" w:rsidR="00B25176" w:rsidRPr="007F4343" w:rsidRDefault="00FD72F3" w:rsidP="00AB5F14">
            <w:pPr>
              <w:spacing w:before="120" w:after="120"/>
              <w:rPr>
                <w:i/>
              </w:rPr>
            </w:pPr>
            <w:r w:rsidRPr="007F4343">
              <w:t>N</w:t>
            </w:r>
            <w:r w:rsidR="00B25176" w:rsidRPr="007F4343">
              <w:t xml:space="preserve">on-beneficiaries presenting to a </w:t>
            </w:r>
            <w:r w:rsidR="00D3297E" w:rsidRPr="007F4343">
              <w:t>DES-DMS</w:t>
            </w:r>
            <w:r w:rsidR="00B25176" w:rsidRPr="007F4343">
              <w:t xml:space="preserve"> </w:t>
            </w:r>
            <w:r w:rsidR="00D3297E" w:rsidRPr="007F4343">
              <w:t>P</w:t>
            </w:r>
            <w:r w:rsidR="00B25176" w:rsidRPr="007F4343">
              <w:t xml:space="preserve">rovider may be Directly Registered by the </w:t>
            </w:r>
            <w:r w:rsidR="00D3297E" w:rsidRPr="007F4343">
              <w:t>DES-DMS</w:t>
            </w:r>
            <w:r w:rsidR="00B25176" w:rsidRPr="007F4343">
              <w:t xml:space="preserve"> </w:t>
            </w:r>
            <w:r w:rsidR="00D3297E" w:rsidRPr="007F4343">
              <w:t>P</w:t>
            </w:r>
            <w:r w:rsidR="00B25176" w:rsidRPr="007F4343">
              <w:t xml:space="preserve">rovider in accordance with the </w:t>
            </w:r>
            <w:r w:rsidR="00B25176" w:rsidRPr="007F4343">
              <w:rPr>
                <w:i/>
              </w:rPr>
              <w:t>Direct Registration Guidelines.</w:t>
            </w:r>
            <w:r w:rsidR="00B25176" w:rsidRPr="007F4343">
              <w:t xml:space="preserve"> A Participant’s income support status will not be determined at this point.</w:t>
            </w:r>
          </w:p>
        </w:tc>
      </w:tr>
      <w:tr w:rsidR="00B25176" w:rsidRPr="00B25176" w14:paraId="6B997117" w14:textId="77777777" w:rsidTr="00D3297E">
        <w:trPr>
          <w:jc w:val="center"/>
        </w:trPr>
        <w:tc>
          <w:tcPr>
            <w:tcW w:w="1733" w:type="pct"/>
          </w:tcPr>
          <w:p w14:paraId="61237164" w14:textId="01E3DC0E" w:rsidR="00B25176" w:rsidRPr="00D761C8" w:rsidRDefault="00D3297E" w:rsidP="00AB5F14">
            <w:pPr>
              <w:pStyle w:val="ListParagraph"/>
              <w:numPr>
                <w:ilvl w:val="0"/>
                <w:numId w:val="13"/>
              </w:numPr>
              <w:spacing w:before="120" w:after="120"/>
              <w:rPr>
                <w:b/>
              </w:rPr>
            </w:pPr>
            <w:r w:rsidRPr="00D761C8">
              <w:rPr>
                <w:b/>
              </w:rPr>
              <w:t>DES-DMS Provider</w:t>
            </w:r>
          </w:p>
          <w:p w14:paraId="55684C74" w14:textId="5E60E3F6" w:rsidR="00B25176" w:rsidRPr="007F4343" w:rsidRDefault="00B25176" w:rsidP="00AB5F14">
            <w:pPr>
              <w:spacing w:before="120" w:after="120"/>
              <w:rPr>
                <w:color w:val="000000"/>
              </w:rPr>
            </w:pPr>
            <w:r w:rsidRPr="007F4343">
              <w:rPr>
                <w:color w:val="000000"/>
              </w:rPr>
              <w:t xml:space="preserve">The </w:t>
            </w:r>
            <w:r w:rsidR="00D3297E" w:rsidRPr="007F4343">
              <w:t>DES-DMS</w:t>
            </w:r>
            <w:r w:rsidRPr="007F4343">
              <w:rPr>
                <w:color w:val="000000"/>
              </w:rPr>
              <w:t xml:space="preserve"> </w:t>
            </w:r>
            <w:r w:rsidR="00D3297E" w:rsidRPr="007F4343">
              <w:rPr>
                <w:color w:val="000000"/>
              </w:rPr>
              <w:t>P</w:t>
            </w:r>
            <w:r w:rsidRPr="007F4343">
              <w:rPr>
                <w:color w:val="000000"/>
              </w:rPr>
              <w:t xml:space="preserve">rovider checks whether the Participant requires a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700E67">
              <w:rPr>
                <w:i/>
                <w:lang w:val="en-US"/>
              </w:rPr>
              <w:t xml:space="preserve"> </w:t>
            </w:r>
            <w:r w:rsidRPr="007F4343">
              <w:rPr>
                <w:lang w:val="en-US"/>
              </w:rPr>
              <w:t>applied.</w:t>
            </w:r>
          </w:p>
        </w:tc>
        <w:tc>
          <w:tcPr>
            <w:tcW w:w="3267" w:type="pct"/>
          </w:tcPr>
          <w:p w14:paraId="1D49EAF0" w14:textId="46164B94" w:rsidR="00B25176" w:rsidRPr="007F4343" w:rsidRDefault="00B25176" w:rsidP="00AB5F14">
            <w:pPr>
              <w:spacing w:before="120" w:after="120"/>
            </w:pPr>
            <w:r w:rsidRPr="007F4343">
              <w:t xml:space="preserve">During the Initial Interview, </w:t>
            </w:r>
            <w:r w:rsidR="000F1652">
              <w:t xml:space="preserve">the DES-DMS Provider will use the </w:t>
            </w:r>
            <w:r w:rsidRPr="007F4343">
              <w:t>Department’s IT System</w:t>
            </w:r>
            <w:r w:rsidR="000F1652">
              <w:t xml:space="preserve">s to </w:t>
            </w:r>
            <w:r w:rsidRPr="007F4343">
              <w:t xml:space="preserve">check whether the Participant is receiving </w:t>
            </w:r>
            <w:r w:rsidR="009224C2">
              <w:t xml:space="preserve">an </w:t>
            </w:r>
            <w:r w:rsidR="006D6FDA" w:rsidRPr="007F4343">
              <w:t>I</w:t>
            </w:r>
            <w:r w:rsidRPr="007F4343">
              <w:t xml:space="preserve">ncome </w:t>
            </w:r>
            <w:r w:rsidR="006D6FDA" w:rsidRPr="007F4343">
              <w:t>S</w:t>
            </w:r>
            <w:r w:rsidRPr="007F4343">
              <w:t xml:space="preserve">upport </w:t>
            </w:r>
            <w:r w:rsidR="006D6FDA" w:rsidRPr="007F4343">
              <w:t>P</w:t>
            </w:r>
            <w:r w:rsidRPr="007F4343">
              <w:t>ayment.</w:t>
            </w:r>
          </w:p>
          <w:p w14:paraId="601F1649" w14:textId="0E5E014A" w:rsidR="00B25176" w:rsidRPr="0004307A" w:rsidRDefault="00B25176" w:rsidP="00AB5F14">
            <w:pPr>
              <w:spacing w:before="120" w:after="120"/>
            </w:pPr>
            <w:r w:rsidRPr="007F4343">
              <w:t xml:space="preserve">If the Participant is receiving </w:t>
            </w:r>
            <w:r w:rsidR="006654CE" w:rsidRPr="007F4343">
              <w:t xml:space="preserve">an </w:t>
            </w:r>
            <w:r w:rsidR="007A220B" w:rsidRPr="007F4343">
              <w:t>I</w:t>
            </w:r>
            <w:r w:rsidRPr="007F4343">
              <w:t xml:space="preserve">ncome </w:t>
            </w:r>
            <w:r w:rsidR="007A220B" w:rsidRPr="007F4343">
              <w:t>S</w:t>
            </w:r>
            <w:r w:rsidRPr="007F4343">
              <w:t xml:space="preserve">upport </w:t>
            </w:r>
            <w:r w:rsidR="007A220B" w:rsidRPr="007F4343">
              <w:t>P</w:t>
            </w:r>
            <w:r w:rsidRPr="007F4343">
              <w:t xml:space="preserve">ayment (including </w:t>
            </w:r>
            <w:r w:rsidR="006654CE" w:rsidRPr="007F4343">
              <w:t xml:space="preserve">a </w:t>
            </w:r>
            <w:r w:rsidRPr="007F4343">
              <w:t xml:space="preserve">pension) the </w:t>
            </w:r>
            <w:r w:rsidRPr="007F4343">
              <w:rPr>
                <w:i/>
                <w:lang w:val="en-US"/>
              </w:rPr>
              <w:t xml:space="preserve">DES </w:t>
            </w:r>
            <w:r w:rsidR="00A42698">
              <w:rPr>
                <w:i/>
                <w:lang w:val="en-US"/>
              </w:rPr>
              <w:t>n</w:t>
            </w:r>
            <w:r w:rsidR="00A42698" w:rsidRPr="007F4343">
              <w:rPr>
                <w:i/>
                <w:lang w:val="en-US"/>
              </w:rPr>
              <w:t>on</w:t>
            </w:r>
            <w:r w:rsidRPr="007F4343">
              <w:rPr>
                <w:i/>
                <w:lang w:val="en-US"/>
              </w:rPr>
              <w:t>-</w:t>
            </w:r>
            <w:r w:rsidR="006244FE" w:rsidRPr="007F4343">
              <w:rPr>
                <w:i/>
                <w:lang w:val="en-US"/>
              </w:rPr>
              <w:t>b</w:t>
            </w:r>
            <w:r w:rsidRPr="007F4343">
              <w:rPr>
                <w:i/>
                <w:lang w:val="en-US"/>
              </w:rPr>
              <w:t>eneficiary Income Test for a Waiver of Program Fees</w:t>
            </w:r>
            <w:r w:rsidR="00470BAA" w:rsidRPr="007F4343" w:rsidDel="004E752E">
              <w:t xml:space="preserve"> </w:t>
            </w:r>
            <w:r w:rsidRPr="007F4343">
              <w:t xml:space="preserve">is not required, and the Participant </w:t>
            </w:r>
            <w:proofErr w:type="gramStart"/>
            <w:r w:rsidRPr="007F4343">
              <w:t xml:space="preserve">should be </w:t>
            </w:r>
            <w:r w:rsidR="009224C2">
              <w:t>R</w:t>
            </w:r>
            <w:r w:rsidRPr="007F4343">
              <w:t>eferred</w:t>
            </w:r>
            <w:proofErr w:type="gramEnd"/>
            <w:r w:rsidRPr="007F4343">
              <w:t xml:space="preserve"> to </w:t>
            </w:r>
            <w:r w:rsidR="006D6FDA" w:rsidRPr="007F4343">
              <w:t xml:space="preserve">a </w:t>
            </w:r>
            <w:r w:rsidR="005565FD">
              <w:t>Services Australia</w:t>
            </w:r>
            <w:r w:rsidR="001F7AEB">
              <w:t xml:space="preserve"> Assessor </w:t>
            </w:r>
            <w:r w:rsidRPr="007F4343">
              <w:t xml:space="preserve">for </w:t>
            </w:r>
            <w:r w:rsidR="006D6FDA" w:rsidRPr="007F4343">
              <w:t xml:space="preserve">an </w:t>
            </w:r>
            <w:proofErr w:type="spellStart"/>
            <w:r w:rsidR="006D6FDA" w:rsidRPr="007F4343">
              <w:t>ESAt</w:t>
            </w:r>
            <w:proofErr w:type="spellEnd"/>
            <w:r w:rsidR="00FD72F3" w:rsidRPr="007F4343">
              <w:t>. If</w:t>
            </w:r>
            <w:r w:rsidRPr="007F4343">
              <w:t xml:space="preserve"> recommended by the</w:t>
            </w:r>
            <w:r w:rsidR="006D6FDA" w:rsidRPr="007F4343">
              <w:t xml:space="preserve"> Services</w:t>
            </w:r>
            <w:r w:rsidR="005565FD">
              <w:t xml:space="preserve"> Australia</w:t>
            </w:r>
            <w:r w:rsidR="006D6FDA" w:rsidRPr="007F4343">
              <w:t xml:space="preserve"> Assessor</w:t>
            </w:r>
            <w:r w:rsidRPr="007F4343">
              <w:t xml:space="preserve">, </w:t>
            </w:r>
            <w:r w:rsidR="00FD72F3" w:rsidRPr="007F4343">
              <w:t xml:space="preserve">the job seeker </w:t>
            </w:r>
            <w:proofErr w:type="gramStart"/>
            <w:r w:rsidR="00FD72F3" w:rsidRPr="007F4343">
              <w:t xml:space="preserve">will be </w:t>
            </w:r>
            <w:r w:rsidR="006D6FDA" w:rsidRPr="007F4343">
              <w:t>Referred</w:t>
            </w:r>
            <w:proofErr w:type="gramEnd"/>
            <w:r w:rsidR="006D6FDA" w:rsidRPr="007F4343">
              <w:t xml:space="preserve"> to a DES</w:t>
            </w:r>
            <w:r w:rsidR="004646E5">
              <w:noBreakHyphen/>
            </w:r>
            <w:r w:rsidR="006D6FDA" w:rsidRPr="007F4343">
              <w:t>DMS Provider. The job seeker can then be C</w:t>
            </w:r>
            <w:r w:rsidRPr="007F4343">
              <w:t xml:space="preserve">ommenced in </w:t>
            </w:r>
            <w:r w:rsidR="00D3297E" w:rsidRPr="007F4343">
              <w:t>DES-DMS</w:t>
            </w:r>
            <w:r w:rsidRPr="007F4343">
              <w:t xml:space="preserve"> in accordance with the </w:t>
            </w:r>
            <w:r w:rsidR="00D3297E" w:rsidRPr="007F4343">
              <w:rPr>
                <w:i/>
              </w:rPr>
              <w:t>Eligibility,</w:t>
            </w:r>
            <w:r w:rsidR="00D3297E" w:rsidRPr="007F4343">
              <w:t xml:space="preserve"> </w:t>
            </w:r>
            <w:r w:rsidRPr="007F4343">
              <w:rPr>
                <w:i/>
              </w:rPr>
              <w:t>Referral and Commencement Guidelines.</w:t>
            </w:r>
            <w:r w:rsidR="000F1652">
              <w:rPr>
                <w:i/>
              </w:rPr>
              <w:t xml:space="preserve"> </w:t>
            </w:r>
          </w:p>
          <w:p w14:paraId="515877F9" w14:textId="77777777" w:rsidR="00B25176" w:rsidRPr="00C556D3" w:rsidRDefault="00B25176" w:rsidP="00AB5F14">
            <w:pPr>
              <w:pStyle w:val="ListParagraph"/>
              <w:numPr>
                <w:ilvl w:val="0"/>
                <w:numId w:val="9"/>
              </w:numPr>
              <w:spacing w:before="120" w:after="120"/>
              <w:rPr>
                <w:b/>
              </w:rPr>
            </w:pPr>
            <w:r w:rsidRPr="00C556D3">
              <w:rPr>
                <w:b/>
              </w:rPr>
              <w:t>End of Process</w:t>
            </w:r>
          </w:p>
          <w:p w14:paraId="646DF6D5" w14:textId="6CB77DEB" w:rsidR="00B25176" w:rsidRPr="007F4343" w:rsidRDefault="00B25176" w:rsidP="00AB5F14">
            <w:pPr>
              <w:spacing w:before="120" w:after="120"/>
            </w:pPr>
            <w:r w:rsidRPr="007F4343">
              <w:t xml:space="preserve">If the Participant is receiving an income support supplement from the </w:t>
            </w:r>
            <w:r w:rsidRPr="007F4343">
              <w:rPr>
                <w:b/>
              </w:rPr>
              <w:t>Department of Veterans Affairs</w:t>
            </w:r>
            <w:r w:rsidRPr="007F4343">
              <w:t>, the Department’s IT System</w:t>
            </w:r>
            <w:r w:rsidR="009224C2">
              <w:t>s</w:t>
            </w:r>
            <w:r w:rsidRPr="007F4343">
              <w:t xml:space="preserve"> will not recognise this payment. The </w:t>
            </w:r>
            <w:r w:rsidR="00D3297E" w:rsidRPr="007F4343">
              <w:t>DES-DMS</w:t>
            </w:r>
            <w:r w:rsidRPr="007F4343">
              <w:t xml:space="preserve"> </w:t>
            </w:r>
            <w:r w:rsidR="001167DF" w:rsidRPr="007F4343">
              <w:t>P</w:t>
            </w:r>
            <w:r w:rsidRPr="007F4343">
              <w:t xml:space="preserve">rovider will need to contact the </w:t>
            </w:r>
            <w:r w:rsidR="00552947">
              <w:t>Department of Education, Skills and Employment</w:t>
            </w:r>
            <w:r w:rsidR="00AC6C36" w:rsidRPr="007F4343">
              <w:t xml:space="preserve"> </w:t>
            </w:r>
            <w:r w:rsidRPr="007F4343">
              <w:t xml:space="preserve">IT Helpdesk and request a System Override to allow </w:t>
            </w:r>
            <w:proofErr w:type="gramStart"/>
            <w:r w:rsidRPr="007F4343">
              <w:t>for th</w:t>
            </w:r>
            <w:r w:rsidR="009224C2">
              <w:t>e</w:t>
            </w:r>
            <w:proofErr w:type="gramEnd"/>
            <w:r w:rsidRPr="007F4343">
              <w:t xml:space="preserve"> Participant to be Commenced.</w:t>
            </w:r>
            <w:r w:rsidR="000F1652">
              <w:t xml:space="preserve"> </w:t>
            </w:r>
          </w:p>
          <w:p w14:paraId="36C97C22" w14:textId="77777777" w:rsidR="00B25176" w:rsidRPr="00C556D3" w:rsidRDefault="00B25176" w:rsidP="00AB5F14">
            <w:pPr>
              <w:pStyle w:val="ListParagraph"/>
              <w:numPr>
                <w:ilvl w:val="0"/>
                <w:numId w:val="9"/>
              </w:numPr>
              <w:spacing w:before="120" w:after="120"/>
              <w:rPr>
                <w:b/>
              </w:rPr>
            </w:pPr>
            <w:r w:rsidRPr="00C556D3">
              <w:rPr>
                <w:b/>
              </w:rPr>
              <w:t>End of Process</w:t>
            </w:r>
          </w:p>
          <w:p w14:paraId="5FB71857" w14:textId="43701B65" w:rsidR="00B25176" w:rsidRPr="007F4343" w:rsidRDefault="00B25176" w:rsidP="00AB5F14">
            <w:pPr>
              <w:spacing w:before="120" w:after="120"/>
            </w:pPr>
            <w:r w:rsidRPr="007F4343">
              <w:t xml:space="preserve">Participants not receiving </w:t>
            </w:r>
            <w:r w:rsidR="009224C2">
              <w:t xml:space="preserve">an </w:t>
            </w:r>
            <w:r w:rsidR="006D6FDA" w:rsidRPr="007F4343">
              <w:t>I</w:t>
            </w:r>
            <w:r w:rsidRPr="007F4343">
              <w:t xml:space="preserve">ncome </w:t>
            </w:r>
            <w:r w:rsidR="006D6FDA" w:rsidRPr="007F4343">
              <w:t>S</w:t>
            </w:r>
            <w:r w:rsidRPr="007F4343">
              <w:t xml:space="preserve">upport </w:t>
            </w:r>
            <w:r w:rsidR="006D6FDA" w:rsidRPr="007F4343">
              <w:t xml:space="preserve">Payment </w:t>
            </w:r>
            <w:r w:rsidRPr="007F4343">
              <w:t>may fall into one of three categories:</w:t>
            </w:r>
            <w:r w:rsidR="000F1652">
              <w:t xml:space="preserve"> </w:t>
            </w:r>
          </w:p>
          <w:p w14:paraId="0E2D98E6" w14:textId="77777777"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6D6FDA" w:rsidRPr="007F4343">
              <w:t>I</w:t>
            </w:r>
            <w:r w:rsidRPr="007F4343">
              <w:t xml:space="preserve">ncome </w:t>
            </w:r>
            <w:r w:rsidR="006D6FDA" w:rsidRPr="007F4343">
              <w:t>S</w:t>
            </w:r>
            <w:r w:rsidRPr="007F4343">
              <w:t xml:space="preserve">upport </w:t>
            </w:r>
            <w:r w:rsidR="006D6FDA" w:rsidRPr="007F4343">
              <w:t>P</w:t>
            </w:r>
            <w:r w:rsidRPr="007F4343">
              <w:t xml:space="preserve">ayments, but: </w:t>
            </w:r>
          </w:p>
          <w:p w14:paraId="064F7A7D" w14:textId="3ED7D7F8" w:rsidR="00B25176" w:rsidRPr="007F4343" w:rsidRDefault="00B25176" w:rsidP="00AB5F14">
            <w:pPr>
              <w:pStyle w:val="ListParagraph"/>
              <w:numPr>
                <w:ilvl w:val="0"/>
                <w:numId w:val="2"/>
              </w:numPr>
              <w:spacing w:before="120" w:after="120"/>
            </w:pPr>
            <w:r w:rsidRPr="007F4343">
              <w:t>is under 21 years of age</w:t>
            </w:r>
            <w:r w:rsidR="00E47BFD">
              <w:t>;</w:t>
            </w:r>
            <w:r w:rsidRPr="007F4343">
              <w:t xml:space="preserve"> or</w:t>
            </w:r>
            <w:r w:rsidR="000F1652">
              <w:t xml:space="preserve"> </w:t>
            </w:r>
          </w:p>
          <w:p w14:paraId="321AB31A" w14:textId="77777777" w:rsidR="00B25176" w:rsidRPr="007F4343" w:rsidRDefault="00B25176" w:rsidP="00AB5F14">
            <w:pPr>
              <w:pStyle w:val="ListParagraph"/>
              <w:numPr>
                <w:ilvl w:val="0"/>
                <w:numId w:val="2"/>
              </w:numPr>
              <w:spacing w:before="120" w:after="120"/>
            </w:pPr>
            <w:r w:rsidRPr="007F4343">
              <w:t>is eligible for assistance under a Labour Adjustment Package*</w:t>
            </w:r>
            <w:r w:rsidR="00E47BFD">
              <w:t>.</w:t>
            </w:r>
            <w:r w:rsidRPr="007F4343">
              <w:t xml:space="preserve"> </w:t>
            </w:r>
          </w:p>
          <w:p w14:paraId="02FE7A3A" w14:textId="02A76C82" w:rsidR="00B25176" w:rsidRPr="00C61F97" w:rsidRDefault="005322D0" w:rsidP="00AB5F14">
            <w:pPr>
              <w:spacing w:before="120" w:after="120"/>
            </w:pPr>
            <w:r w:rsidRPr="00B77C06">
              <w:rPr>
                <w:lang w:val="en-US"/>
              </w:rPr>
              <w:t>T</w:t>
            </w:r>
            <w:r w:rsidR="006244FE" w:rsidRPr="00B77C06">
              <w:rPr>
                <w:lang w:val="en-US"/>
              </w:rPr>
              <w:t>he</w:t>
            </w:r>
            <w:r w:rsidRPr="00B77C06">
              <w:rPr>
                <w:lang w:val="en-US"/>
              </w:rPr>
              <w:t xml:space="preserve">n </w:t>
            </w:r>
            <w:r>
              <w:rPr>
                <w:lang w:val="en-US"/>
              </w:rPr>
              <w:t>a</w:t>
            </w:r>
            <w:r w:rsidR="006244FE" w:rsidRPr="007F4343">
              <w:rPr>
                <w:i/>
                <w:lang w:val="en-US"/>
              </w:rPr>
              <w:t xml:space="preserve"> DES </w:t>
            </w:r>
            <w:r w:rsidR="00A42698">
              <w:rPr>
                <w:i/>
                <w:lang w:val="en-US"/>
              </w:rPr>
              <w:t>n</w:t>
            </w:r>
            <w:r w:rsidR="00A42698" w:rsidRPr="007F4343">
              <w:rPr>
                <w:i/>
                <w:lang w:val="en-US"/>
              </w:rPr>
              <w:t>on</w:t>
            </w:r>
            <w:r w:rsidR="006244FE" w:rsidRPr="007F4343">
              <w:rPr>
                <w:i/>
                <w:lang w:val="en-US"/>
              </w:rPr>
              <w:t>-b</w:t>
            </w:r>
            <w:r w:rsidR="00B25176" w:rsidRPr="007F4343">
              <w:rPr>
                <w:i/>
                <w:lang w:val="en-US"/>
              </w:rPr>
              <w:t>eneficiary Income Test for a Waiver of Program Fees</w:t>
            </w:r>
            <w:r w:rsidR="00470BAA" w:rsidRPr="007F4343">
              <w:rPr>
                <w:lang w:val="en-US"/>
              </w:rPr>
              <w:t xml:space="preserve"> </w:t>
            </w:r>
            <w:r w:rsidR="00B25176" w:rsidRPr="007F4343">
              <w:rPr>
                <w:b/>
              </w:rPr>
              <w:t>is not required</w:t>
            </w:r>
            <w:r w:rsidR="00B25176" w:rsidRPr="007F4343">
              <w:t xml:space="preserve"> and the Participant should be referred to a</w:t>
            </w:r>
            <w:r w:rsidR="0087536D" w:rsidRPr="007F4343">
              <w:t xml:space="preserve"> Human Services Assessor for an ESAt. </w:t>
            </w:r>
            <w:r w:rsidR="00B25176" w:rsidRPr="007F4343">
              <w:t xml:space="preserve">If recommended </w:t>
            </w:r>
            <w:r w:rsidR="0087536D" w:rsidRPr="007F4343">
              <w:t xml:space="preserve">for DES-DMS the job seeker may be </w:t>
            </w:r>
            <w:r w:rsidR="00D3297E" w:rsidRPr="007F4343">
              <w:lastRenderedPageBreak/>
              <w:t>C</w:t>
            </w:r>
            <w:r w:rsidR="00B25176" w:rsidRPr="007F4343">
              <w:t xml:space="preserve">ommenced in </w:t>
            </w:r>
            <w:r w:rsidR="00D3297E" w:rsidRPr="007F4343">
              <w:t>DES-DMS</w:t>
            </w:r>
            <w:r w:rsidR="00B25176" w:rsidRPr="007F4343">
              <w:t xml:space="preserve"> in accordance with the </w:t>
            </w:r>
            <w:r w:rsidR="00D3297E" w:rsidRPr="007F4343">
              <w:rPr>
                <w:i/>
              </w:rPr>
              <w:t>Eligibility,</w:t>
            </w:r>
            <w:r w:rsidR="00D3297E" w:rsidRPr="007F4343">
              <w:t xml:space="preserve"> </w:t>
            </w:r>
            <w:r w:rsidR="00B25176" w:rsidRPr="007F4343">
              <w:rPr>
                <w:i/>
              </w:rPr>
              <w:t>Referral and Commencement Guidelines.</w:t>
            </w:r>
            <w:r w:rsidR="000F1652">
              <w:rPr>
                <w:i/>
              </w:rPr>
              <w:t xml:space="preserve"> </w:t>
            </w:r>
          </w:p>
          <w:p w14:paraId="5E0C5121" w14:textId="1822AA8B" w:rsidR="00B25176" w:rsidRPr="007F4343" w:rsidRDefault="00B25176" w:rsidP="00AB5F14">
            <w:pPr>
              <w:spacing w:before="120" w:after="120"/>
            </w:pPr>
            <w:r w:rsidRPr="007F4343">
              <w:rPr>
                <w:rFonts w:cs="Calibri"/>
              </w:rPr>
              <w:t>*</w:t>
            </w:r>
            <w:r w:rsidRPr="007F4343">
              <w:t xml:space="preserve">Labour Adjustment Packages (LAPs) are established by the Australian Government to provide assistance to employees affected by significant industry restructuring or workplace closures which lead to job losses and redundancies. </w:t>
            </w:r>
            <w:r w:rsidR="00D3297E" w:rsidRPr="007F4343">
              <w:t>DES-DMS</w:t>
            </w:r>
            <w:r w:rsidRPr="007F4343">
              <w:t xml:space="preserve"> </w:t>
            </w:r>
            <w:r w:rsidR="00D3297E" w:rsidRPr="007F4343">
              <w:t>P</w:t>
            </w:r>
            <w:r w:rsidRPr="007F4343">
              <w:t xml:space="preserve">roviders are not required to perform a </w:t>
            </w:r>
            <w:r w:rsidR="006244FE" w:rsidRPr="007F4343">
              <w:rPr>
                <w:rFonts w:cs="Calibri"/>
                <w:i/>
                <w:lang w:val="en-US"/>
              </w:rPr>
              <w:t xml:space="preserve">DES </w:t>
            </w:r>
            <w:r w:rsidR="00A42698">
              <w:rPr>
                <w:rFonts w:cs="Calibri"/>
                <w:i/>
                <w:lang w:val="en-US"/>
              </w:rPr>
              <w:t>n</w:t>
            </w:r>
            <w:r w:rsidR="00A42698" w:rsidRPr="007F4343">
              <w:rPr>
                <w:rFonts w:cs="Calibri"/>
                <w:i/>
                <w:lang w:val="en-US"/>
              </w:rPr>
              <w:t>on</w:t>
            </w:r>
            <w:r w:rsidR="006244FE" w:rsidRPr="007F4343">
              <w:rPr>
                <w:rFonts w:cs="Calibri"/>
                <w:i/>
                <w:lang w:val="en-US"/>
              </w:rPr>
              <w:t>-b</w:t>
            </w:r>
            <w:r w:rsidRPr="007F4343">
              <w:rPr>
                <w:rFonts w:cs="Calibri"/>
                <w:i/>
                <w:lang w:val="en-US"/>
              </w:rPr>
              <w:t>eneficiary Income Test for a Waiver of Program Fees</w:t>
            </w:r>
            <w:r w:rsidR="00470BAA" w:rsidRPr="007F4343">
              <w:t xml:space="preserve"> </w:t>
            </w:r>
            <w:r w:rsidR="006244FE" w:rsidRPr="007F4343">
              <w:t xml:space="preserve">for </w:t>
            </w:r>
            <w:r w:rsidR="00A42698">
              <w:t>n</w:t>
            </w:r>
            <w:r w:rsidR="00A42698" w:rsidRPr="007F4343">
              <w:t>on</w:t>
            </w:r>
            <w:r w:rsidRPr="007F4343">
              <w:t>-beneficiaries who are eligible for assistance under a LAP.</w:t>
            </w:r>
          </w:p>
          <w:p w14:paraId="739FAA4A" w14:textId="10DCE492" w:rsidR="00B25176" w:rsidRPr="007F4343" w:rsidRDefault="0087536D" w:rsidP="00AB5F14">
            <w:pPr>
              <w:spacing w:before="120" w:after="120"/>
            </w:pPr>
            <w:r w:rsidRPr="007F4343">
              <w:t xml:space="preserve">DES </w:t>
            </w:r>
            <w:r w:rsidR="00B25176" w:rsidRPr="007F4343">
              <w:t xml:space="preserve">Providers who have any questions about the Automotive Industry Structural Adjustment Program should contact their </w:t>
            </w:r>
            <w:r w:rsidR="007B2EAA">
              <w:t>Relationship</w:t>
            </w:r>
            <w:r w:rsidR="007B2EAA" w:rsidRPr="007F4343">
              <w:t xml:space="preserve"> </w:t>
            </w:r>
            <w:r w:rsidR="009F196D">
              <w:t>M</w:t>
            </w:r>
            <w:r w:rsidR="00B25176" w:rsidRPr="007F4343">
              <w:t>anager</w:t>
            </w:r>
            <w:r w:rsidR="009F196D">
              <w:t xml:space="preserve"> </w:t>
            </w:r>
            <w:r w:rsidR="00B25176" w:rsidRPr="007F4343">
              <w:t xml:space="preserve">or email </w:t>
            </w:r>
            <w:hyperlink r:id="rId14" w:history="1">
              <w:r w:rsidR="00FA633B" w:rsidRPr="003F1627">
                <w:rPr>
                  <w:rStyle w:val="Hyperlink"/>
                </w:rPr>
                <w:t>industryadjustment@employment.gov.au</w:t>
              </w:r>
            </w:hyperlink>
            <w:r w:rsidR="00B25176" w:rsidRPr="007F4343">
              <w:t>.</w:t>
            </w:r>
          </w:p>
          <w:p w14:paraId="01479EB7" w14:textId="77777777" w:rsidR="00B25176" w:rsidRPr="00C556D3" w:rsidRDefault="00B25176" w:rsidP="00AB5F14">
            <w:pPr>
              <w:pStyle w:val="ListParagraph"/>
              <w:numPr>
                <w:ilvl w:val="0"/>
                <w:numId w:val="9"/>
              </w:numPr>
              <w:spacing w:before="120" w:after="120"/>
              <w:rPr>
                <w:b/>
              </w:rPr>
            </w:pPr>
            <w:r w:rsidRPr="00C556D3">
              <w:rPr>
                <w:b/>
              </w:rPr>
              <w:t>End of Process</w:t>
            </w:r>
          </w:p>
          <w:p w14:paraId="2E7C8DFC" w14:textId="77777777"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C73FD3" w:rsidRPr="007F4343">
              <w:t xml:space="preserve">an </w:t>
            </w:r>
            <w:r w:rsidR="0087536D" w:rsidRPr="007F4343">
              <w:t>I</w:t>
            </w:r>
            <w:r w:rsidRPr="007F4343">
              <w:t xml:space="preserve">ncome </w:t>
            </w:r>
            <w:r w:rsidR="0087536D" w:rsidRPr="007F4343">
              <w:t>S</w:t>
            </w:r>
            <w:r w:rsidRPr="007F4343">
              <w:t xml:space="preserve">upport </w:t>
            </w:r>
            <w:r w:rsidR="0087536D" w:rsidRPr="007F4343">
              <w:t>P</w:t>
            </w:r>
            <w:r w:rsidRPr="007F4343">
              <w:t>ayment, but</w:t>
            </w:r>
            <w:r w:rsidR="0087536D" w:rsidRPr="007F4343">
              <w:t xml:space="preserve"> is</w:t>
            </w:r>
            <w:r w:rsidRPr="007F4343">
              <w:t xml:space="preserve">: </w:t>
            </w:r>
          </w:p>
          <w:p w14:paraId="7B5FB5E7" w14:textId="4FFFEEFE" w:rsidR="00B25176" w:rsidRPr="007F4343" w:rsidRDefault="00B25176" w:rsidP="00AB5F14">
            <w:pPr>
              <w:pStyle w:val="ListParagraph"/>
              <w:numPr>
                <w:ilvl w:val="0"/>
                <w:numId w:val="2"/>
              </w:numPr>
              <w:spacing w:before="120" w:after="120"/>
            </w:pPr>
            <w:r w:rsidRPr="007F4343">
              <w:t>a S</w:t>
            </w:r>
            <w:r w:rsidR="0087536D" w:rsidRPr="007F4343">
              <w:t>CC</w:t>
            </w:r>
          </w:p>
          <w:p w14:paraId="21D24DB4" w14:textId="28806C54" w:rsidR="00EE5794" w:rsidRDefault="00B25176" w:rsidP="00AB5F14">
            <w:pPr>
              <w:pStyle w:val="ListParagraph"/>
              <w:numPr>
                <w:ilvl w:val="0"/>
                <w:numId w:val="2"/>
              </w:numPr>
              <w:spacing w:before="120" w:after="120"/>
            </w:pPr>
            <w:r w:rsidRPr="007F4343">
              <w:t>an E</w:t>
            </w:r>
            <w:r w:rsidR="0087536D" w:rsidRPr="007F4343">
              <w:t>SL</w:t>
            </w:r>
          </w:p>
          <w:p w14:paraId="1BFBA81E" w14:textId="7D529163" w:rsidR="00B25176" w:rsidRPr="007F4343" w:rsidRDefault="00EE5794" w:rsidP="00AB5F14">
            <w:pPr>
              <w:pStyle w:val="ListParagraph"/>
              <w:numPr>
                <w:ilvl w:val="0"/>
                <w:numId w:val="2"/>
              </w:numPr>
              <w:spacing w:before="120" w:after="120"/>
            </w:pPr>
            <w:r>
              <w:t>a School Leaver Trial Participant</w:t>
            </w:r>
            <w:r w:rsidR="00E47BFD">
              <w:t>;</w:t>
            </w:r>
            <w:r w:rsidR="00B25176" w:rsidRPr="007F4343">
              <w:t xml:space="preserve"> or </w:t>
            </w:r>
          </w:p>
          <w:p w14:paraId="206D4371" w14:textId="61C89520" w:rsidR="00B25176" w:rsidRPr="007F4343" w:rsidRDefault="00B25176" w:rsidP="00AB5F14">
            <w:pPr>
              <w:pStyle w:val="ListParagraph"/>
              <w:numPr>
                <w:ilvl w:val="0"/>
                <w:numId w:val="2"/>
              </w:numPr>
              <w:spacing w:before="120" w:after="120"/>
            </w:pPr>
            <w:r w:rsidRPr="007F4343">
              <w:t xml:space="preserve">a </w:t>
            </w:r>
            <w:r w:rsidR="004A6A7B">
              <w:t>Work Assist</w:t>
            </w:r>
            <w:r w:rsidR="004A6A7B" w:rsidRPr="007F4343">
              <w:t xml:space="preserve"> </w:t>
            </w:r>
            <w:r w:rsidR="00C73FD3" w:rsidRPr="007F4343">
              <w:t>Participant</w:t>
            </w:r>
            <w:r w:rsidR="00E47BFD">
              <w:t>.</w:t>
            </w:r>
          </w:p>
          <w:p w14:paraId="7C984F04" w14:textId="1943D538" w:rsidR="00B25176" w:rsidRPr="007F4343" w:rsidRDefault="00971976" w:rsidP="00AB5F14">
            <w:pPr>
              <w:spacing w:before="120" w:after="120"/>
            </w:pPr>
            <w:r w:rsidRPr="00B77C06">
              <w:rPr>
                <w:lang w:val="en-US"/>
              </w:rPr>
              <w:t>T</w:t>
            </w:r>
            <w:r w:rsidR="00B25176" w:rsidRPr="00B77C06">
              <w:rPr>
                <w:lang w:val="en-US"/>
              </w:rPr>
              <w:t>he</w:t>
            </w:r>
            <w:r w:rsidRPr="00B77C06">
              <w:rPr>
                <w:lang w:val="en-US"/>
              </w:rPr>
              <w:t>n a</w:t>
            </w:r>
            <w:r w:rsidR="00B25176" w:rsidRPr="007F4343">
              <w:rPr>
                <w:lang w:val="en-US"/>
              </w:rPr>
              <w:t xml:space="preserve"> DES </w:t>
            </w:r>
            <w:r w:rsidR="00A42698">
              <w:rPr>
                <w:lang w:val="en-US"/>
              </w:rPr>
              <w:t>n</w:t>
            </w:r>
            <w:r w:rsidR="00A42698" w:rsidRPr="007F4343">
              <w:rPr>
                <w:lang w:val="en-US"/>
              </w:rPr>
              <w:t>on</w:t>
            </w:r>
            <w:r w:rsidR="00B25176" w:rsidRPr="007F4343">
              <w:rPr>
                <w:lang w:val="en-US"/>
              </w:rPr>
              <w:t>-</w:t>
            </w:r>
            <w:r w:rsidR="006244FE" w:rsidRPr="007F4343">
              <w:rPr>
                <w:lang w:val="en-US"/>
              </w:rPr>
              <w:t>b</w:t>
            </w:r>
            <w:r w:rsidR="00B25176" w:rsidRPr="007F4343">
              <w:rPr>
                <w:lang w:val="en-US"/>
              </w:rPr>
              <w:t>eneficiary Income Test for a Waiver of Program Fees</w:t>
            </w:r>
            <w:r w:rsidR="00470BAA" w:rsidRPr="007F4343">
              <w:rPr>
                <w:lang w:val="en-US"/>
              </w:rPr>
              <w:t xml:space="preserve"> </w:t>
            </w:r>
            <w:r w:rsidR="00B25176" w:rsidRPr="007F4343">
              <w:rPr>
                <w:lang w:val="en-US"/>
              </w:rPr>
              <w:t>and an ESAt</w:t>
            </w:r>
            <w:r w:rsidR="0054267A" w:rsidRPr="007F4343">
              <w:t xml:space="preserve"> is not required</w:t>
            </w:r>
            <w:r w:rsidR="00B25176" w:rsidRPr="007F4343">
              <w:t xml:space="preserve">. The Participant should be commenced in </w:t>
            </w:r>
            <w:r w:rsidR="00D3297E" w:rsidRPr="007F4343">
              <w:t>DES-DMS</w:t>
            </w:r>
            <w:r w:rsidR="00B25176" w:rsidRPr="007F4343">
              <w:t xml:space="preserve"> in accordance with the </w:t>
            </w:r>
            <w:r w:rsidR="00D3297E" w:rsidRPr="001D1507">
              <w:rPr>
                <w:i/>
              </w:rPr>
              <w:t xml:space="preserve">Eligibility, </w:t>
            </w:r>
            <w:r w:rsidR="00B25176" w:rsidRPr="001D1507">
              <w:rPr>
                <w:i/>
              </w:rPr>
              <w:t>Referral and Commencement Guidelines</w:t>
            </w:r>
            <w:r w:rsidR="00B25176" w:rsidRPr="007F4343">
              <w:t>.</w:t>
            </w:r>
          </w:p>
          <w:p w14:paraId="2A0362CC" w14:textId="77777777" w:rsidR="00B25176" w:rsidRPr="00C556D3" w:rsidRDefault="00B25176" w:rsidP="00AB5F14">
            <w:pPr>
              <w:pStyle w:val="ListParagraph"/>
              <w:numPr>
                <w:ilvl w:val="0"/>
                <w:numId w:val="9"/>
              </w:numPr>
              <w:spacing w:before="120" w:after="120"/>
              <w:rPr>
                <w:b/>
              </w:rPr>
            </w:pPr>
            <w:r w:rsidRPr="00C556D3">
              <w:rPr>
                <w:b/>
              </w:rPr>
              <w:t>End of Process</w:t>
            </w:r>
          </w:p>
          <w:p w14:paraId="04E3D813" w14:textId="6C9CD59A"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C73FD3" w:rsidRPr="007F4343">
              <w:t>an I</w:t>
            </w:r>
            <w:r w:rsidRPr="007F4343">
              <w:t xml:space="preserve">ncome </w:t>
            </w:r>
            <w:r w:rsidR="00C73FD3" w:rsidRPr="007F4343">
              <w:t>S</w:t>
            </w:r>
            <w:r w:rsidRPr="007F4343">
              <w:t>uppor</w:t>
            </w:r>
            <w:r w:rsidR="00C73FD3" w:rsidRPr="007F4343">
              <w:t xml:space="preserve">t Payment </w:t>
            </w:r>
            <w:r w:rsidRPr="007F4343">
              <w:t xml:space="preserve">and does </w:t>
            </w:r>
            <w:r w:rsidRPr="003E49D5">
              <w:rPr>
                <w:b/>
              </w:rPr>
              <w:t>not</w:t>
            </w:r>
            <w:r w:rsidRPr="007F4343">
              <w:t xml:space="preserve"> fall into category 1 or 2 above, a </w:t>
            </w:r>
            <w:r w:rsidR="006244FE" w:rsidRPr="003E49D5">
              <w:rPr>
                <w:i/>
                <w:lang w:val="en-US"/>
              </w:rPr>
              <w:t xml:space="preserve">DES </w:t>
            </w:r>
            <w:r w:rsidR="00A42698" w:rsidRPr="003E49D5">
              <w:rPr>
                <w:i/>
                <w:lang w:val="en-US"/>
              </w:rPr>
              <w:t>non</w:t>
            </w:r>
            <w:r w:rsidR="006244FE" w:rsidRPr="003E49D5">
              <w:rPr>
                <w:i/>
                <w:lang w:val="en-US"/>
              </w:rPr>
              <w:t>-b</w:t>
            </w:r>
            <w:r w:rsidRPr="003E49D5">
              <w:rPr>
                <w:i/>
                <w:lang w:val="en-US"/>
              </w:rPr>
              <w:t>eneficiary Income Test for a Waiver of Program Fees</w:t>
            </w:r>
            <w:r w:rsidRPr="007F4343">
              <w:t xml:space="preserve"> will need to be completed.</w:t>
            </w:r>
          </w:p>
          <w:p w14:paraId="4A27955A" w14:textId="0EF7FD77" w:rsidR="00B25176" w:rsidRPr="007F4343" w:rsidRDefault="00B25176" w:rsidP="00AB5F14">
            <w:pPr>
              <w:pStyle w:val="ListParagraph"/>
              <w:numPr>
                <w:ilvl w:val="0"/>
                <w:numId w:val="9"/>
              </w:numPr>
              <w:spacing w:before="120" w:after="120"/>
            </w:pPr>
            <w:r w:rsidRPr="00C556D3">
              <w:rPr>
                <w:b/>
              </w:rPr>
              <w:t xml:space="preserve">Proceed to Step 4 </w:t>
            </w:r>
          </w:p>
        </w:tc>
      </w:tr>
      <w:tr w:rsidR="00B25176" w:rsidRPr="00B25176" w14:paraId="1009C900" w14:textId="77777777" w:rsidTr="00D3297E">
        <w:trPr>
          <w:jc w:val="center"/>
        </w:trPr>
        <w:tc>
          <w:tcPr>
            <w:tcW w:w="1733" w:type="pct"/>
          </w:tcPr>
          <w:p w14:paraId="6F22F9D7" w14:textId="36AF5DB1" w:rsidR="00B25176" w:rsidRPr="00AB5F14" w:rsidRDefault="00D3297E" w:rsidP="00AB5F14">
            <w:pPr>
              <w:pStyle w:val="ListParagraph"/>
              <w:numPr>
                <w:ilvl w:val="0"/>
                <w:numId w:val="13"/>
              </w:numPr>
              <w:spacing w:before="120" w:after="120"/>
              <w:rPr>
                <w:b/>
              </w:rPr>
            </w:pPr>
            <w:r w:rsidRPr="00D761C8">
              <w:rPr>
                <w:b/>
              </w:rPr>
              <w:lastRenderedPageBreak/>
              <w:t>DES-DMS</w:t>
            </w:r>
            <w:r w:rsidR="00B25176" w:rsidRPr="00D761C8">
              <w:rPr>
                <w:b/>
              </w:rPr>
              <w:t xml:space="preserve"> </w:t>
            </w:r>
            <w:r w:rsidRPr="00D761C8">
              <w:rPr>
                <w:b/>
              </w:rPr>
              <w:t>P</w:t>
            </w:r>
            <w:r w:rsidR="00B25176" w:rsidRPr="00D761C8">
              <w:rPr>
                <w:b/>
              </w:rPr>
              <w:t>rovider</w:t>
            </w:r>
          </w:p>
          <w:p w14:paraId="2BD7A7EA" w14:textId="281AFFB6" w:rsidR="00B25176" w:rsidRPr="007F4343" w:rsidRDefault="00B25176" w:rsidP="00AB5F14">
            <w:pPr>
              <w:spacing w:before="120" w:after="120"/>
              <w:rPr>
                <w:color w:val="000000"/>
              </w:rPr>
            </w:pPr>
            <w:r w:rsidRPr="007F4343">
              <w:rPr>
                <w:color w:val="000000"/>
              </w:rPr>
              <w:t xml:space="preserve">Perform </w:t>
            </w:r>
            <w:r w:rsidR="006244FE" w:rsidRPr="007F4343">
              <w:rPr>
                <w:lang w:val="en-US"/>
              </w:rPr>
              <w:t xml:space="preserve">the DES </w:t>
            </w:r>
            <w:r w:rsidR="00A42698">
              <w:rPr>
                <w:lang w:val="en-US"/>
              </w:rPr>
              <w:t>n</w:t>
            </w:r>
            <w:r w:rsidR="00A42698" w:rsidRPr="007F4343">
              <w:rPr>
                <w:lang w:val="en-US"/>
              </w:rPr>
              <w:t>on</w:t>
            </w:r>
            <w:r w:rsidR="006244FE" w:rsidRPr="007F4343">
              <w:rPr>
                <w:lang w:val="en-US"/>
              </w:rPr>
              <w:t>-b</w:t>
            </w:r>
            <w:r w:rsidRPr="007F4343">
              <w:rPr>
                <w:lang w:val="en-US"/>
              </w:rPr>
              <w:t xml:space="preserve">eneficiary Income Test for a Waiver of Program </w:t>
            </w:r>
            <w:r w:rsidR="00BD594F">
              <w:rPr>
                <w:lang w:val="en-US"/>
              </w:rPr>
              <w:t>F</w:t>
            </w:r>
            <w:r w:rsidR="00470BAA" w:rsidRPr="007F4343">
              <w:rPr>
                <w:lang w:val="en-US"/>
              </w:rPr>
              <w:t xml:space="preserve">ees </w:t>
            </w:r>
          </w:p>
        </w:tc>
        <w:tc>
          <w:tcPr>
            <w:tcW w:w="3267" w:type="pct"/>
          </w:tcPr>
          <w:p w14:paraId="52450AA5" w14:textId="7379EC05" w:rsidR="00B25176" w:rsidRPr="007F4343" w:rsidRDefault="00B25176" w:rsidP="00AB5F14">
            <w:pPr>
              <w:spacing w:before="120" w:after="120"/>
            </w:pPr>
            <w:r w:rsidRPr="007F4343">
              <w:t>For a Participant to be assessed as having a low income, the</w:t>
            </w:r>
            <w:r w:rsidR="006244FE" w:rsidRPr="007F4343">
              <w:rPr>
                <w:i/>
                <w:lang w:val="en-US"/>
              </w:rPr>
              <w:t xml:space="preserve"> 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470BAA" w:rsidRPr="007F4343">
              <w:rPr>
                <w:lang w:val="en-US"/>
              </w:rPr>
              <w:t xml:space="preserve"> </w:t>
            </w:r>
            <w:r w:rsidRPr="007F4343">
              <w:t>is performed on the Dep</w:t>
            </w:r>
            <w:r w:rsidR="006244FE" w:rsidRPr="007F4343">
              <w:t>artment’s IT System</w:t>
            </w:r>
            <w:r w:rsidR="000F1652">
              <w:t>s</w:t>
            </w:r>
            <w:r w:rsidR="006244FE" w:rsidRPr="007F4343">
              <w:t xml:space="preserve"> in the </w:t>
            </w:r>
            <w:r w:rsidR="00A42698">
              <w:t>n</w:t>
            </w:r>
            <w:r w:rsidR="00A42698" w:rsidRPr="007F4343">
              <w:t>on</w:t>
            </w:r>
            <w:r w:rsidR="006244FE" w:rsidRPr="007F4343">
              <w:t>-b</w:t>
            </w:r>
            <w:r w:rsidRPr="007F4343">
              <w:t xml:space="preserve">eneficiary Income Test screen. In order to perform a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t>, information on the Participant’s circumstances will be required.</w:t>
            </w:r>
          </w:p>
          <w:p w14:paraId="3DB6316F" w14:textId="483BC7BA" w:rsidR="00B25176" w:rsidRPr="007F4343" w:rsidRDefault="00B25176" w:rsidP="00AB5F14">
            <w:pPr>
              <w:spacing w:before="120" w:after="120"/>
              <w:rPr>
                <w:color w:val="000000"/>
              </w:rPr>
            </w:pPr>
            <w:r w:rsidRPr="007F4343">
              <w:rPr>
                <w:color w:val="000000"/>
              </w:rPr>
              <w:t xml:space="preserve">The </w:t>
            </w:r>
            <w:r w:rsidR="006244FE" w:rsidRPr="007F4343">
              <w:rPr>
                <w:lang w:val="en-US"/>
              </w:rPr>
              <w:t xml:space="preserve">DES </w:t>
            </w:r>
            <w:r w:rsidR="00A42698">
              <w:rPr>
                <w:lang w:val="en-US"/>
              </w:rPr>
              <w:t>n</w:t>
            </w:r>
            <w:r w:rsidR="00A42698" w:rsidRPr="007F4343">
              <w:rPr>
                <w:lang w:val="en-US"/>
              </w:rPr>
              <w:t>on</w:t>
            </w:r>
            <w:r w:rsidR="006244FE" w:rsidRPr="007F4343">
              <w:rPr>
                <w:lang w:val="en-US"/>
              </w:rPr>
              <w:t>-b</w:t>
            </w:r>
            <w:r w:rsidRPr="007F4343">
              <w:rPr>
                <w:lang w:val="en-US"/>
              </w:rPr>
              <w:t>eneficiary Income Test for a Waiver of Program Fees</w:t>
            </w:r>
            <w:r w:rsidRPr="007F4343">
              <w:rPr>
                <w:color w:val="000000"/>
              </w:rPr>
              <w:t xml:space="preserve"> requires the following information:</w:t>
            </w:r>
            <w:r w:rsidR="000F1652">
              <w:rPr>
                <w:color w:val="000000"/>
              </w:rPr>
              <w:t xml:space="preserve"> </w:t>
            </w:r>
          </w:p>
          <w:p w14:paraId="119352D5" w14:textId="77777777" w:rsidR="00B25176" w:rsidRPr="007F4343" w:rsidRDefault="00B25176" w:rsidP="00AB5F14">
            <w:pPr>
              <w:pStyle w:val="ListParagraph"/>
              <w:numPr>
                <w:ilvl w:val="0"/>
                <w:numId w:val="11"/>
              </w:numPr>
              <w:spacing w:before="120" w:after="120"/>
            </w:pPr>
            <w:r w:rsidRPr="007F4343">
              <w:t>Does the Participant have a spouse or de-facto partner?</w:t>
            </w:r>
            <w:r w:rsidR="000F1652">
              <w:t xml:space="preserve"> </w:t>
            </w:r>
          </w:p>
          <w:p w14:paraId="594E5CBF" w14:textId="32B8CECF" w:rsidR="003F1437" w:rsidRPr="007F4343" w:rsidRDefault="00B25176" w:rsidP="00AB5F14">
            <w:pPr>
              <w:pStyle w:val="ListParagraph"/>
              <w:numPr>
                <w:ilvl w:val="0"/>
                <w:numId w:val="11"/>
              </w:numPr>
              <w:spacing w:before="120" w:after="120"/>
            </w:pPr>
            <w:r w:rsidRPr="007F4343">
              <w:t>How many dependent children under the age of 16 does the Participant have?</w:t>
            </w:r>
            <w:r w:rsidR="000F1652">
              <w:t xml:space="preserve"> </w:t>
            </w:r>
          </w:p>
          <w:p w14:paraId="3D4F7696" w14:textId="58102C15" w:rsidR="00B25176" w:rsidRPr="00AB5F14" w:rsidRDefault="00B25176" w:rsidP="00AB5F14">
            <w:pPr>
              <w:spacing w:before="120" w:after="120"/>
            </w:pPr>
            <w:r w:rsidRPr="007F4343">
              <w:t xml:space="preserve">These questions assess the Participant’s situation in order to determine which income assessment threshold to apply. The current thresholds can be found in </w:t>
            </w:r>
            <w:r w:rsidRPr="00277140">
              <w:rPr>
                <w:b/>
              </w:rPr>
              <w:t>Attachment A</w:t>
            </w:r>
            <w:r w:rsidRPr="007F4343">
              <w:t>.</w:t>
            </w:r>
            <w:r w:rsidR="000F1652">
              <w:t xml:space="preserve"> </w:t>
            </w:r>
          </w:p>
          <w:p w14:paraId="0EEE2147" w14:textId="494D7139" w:rsidR="00B25176" w:rsidRPr="007F4343" w:rsidRDefault="00B25176" w:rsidP="00AB5F14">
            <w:pPr>
              <w:pStyle w:val="ListParagraph"/>
              <w:numPr>
                <w:ilvl w:val="0"/>
                <w:numId w:val="11"/>
              </w:numPr>
              <w:spacing w:before="120" w:after="120"/>
            </w:pPr>
            <w:r w:rsidRPr="007F4343">
              <w:lastRenderedPageBreak/>
              <w:t>What is the Participant</w:t>
            </w:r>
            <w:r w:rsidR="00A66BF3">
              <w:t>’</w:t>
            </w:r>
            <w:r w:rsidRPr="007F4343">
              <w:t>s gross average weekly combined income?</w:t>
            </w:r>
          </w:p>
          <w:p w14:paraId="0DD103C3" w14:textId="69BED0A6" w:rsidR="00B25176" w:rsidRPr="007F4343" w:rsidRDefault="00B25176" w:rsidP="00AB5F14">
            <w:pPr>
              <w:spacing w:before="120" w:after="120"/>
            </w:pPr>
            <w:r w:rsidRPr="007F4343">
              <w:t>In order to calculate the average weekly income, the total gross income earned by the Participant and their spouse or de-facto partner for the last eight weeks should be identified. This figure should then be divided by eight to determine the average weekly income for this period.</w:t>
            </w:r>
          </w:p>
          <w:p w14:paraId="268A0783" w14:textId="77777777" w:rsidR="00B25176" w:rsidRPr="007F4343" w:rsidRDefault="00B25176" w:rsidP="00AB5F14">
            <w:pPr>
              <w:spacing w:before="120" w:after="120"/>
            </w:pPr>
            <w:r w:rsidRPr="007F4343">
              <w:t>All income should be included in this calculation, regardless of its source. Examples of income sources include:</w:t>
            </w:r>
          </w:p>
          <w:p w14:paraId="184F04DC" w14:textId="77777777" w:rsidR="00B25176" w:rsidRPr="007F4343" w:rsidRDefault="00B25176" w:rsidP="00AB5F14">
            <w:pPr>
              <w:pStyle w:val="ListParagraph"/>
              <w:numPr>
                <w:ilvl w:val="0"/>
                <w:numId w:val="3"/>
              </w:numPr>
              <w:spacing w:before="120" w:after="120"/>
            </w:pPr>
            <w:r w:rsidRPr="007F4343">
              <w:t>Wages</w:t>
            </w:r>
          </w:p>
          <w:p w14:paraId="2A7A1E5A" w14:textId="77777777" w:rsidR="00B25176" w:rsidRPr="007F4343" w:rsidRDefault="00B25176" w:rsidP="00AB5F14">
            <w:pPr>
              <w:pStyle w:val="ListParagraph"/>
              <w:numPr>
                <w:ilvl w:val="0"/>
                <w:numId w:val="3"/>
              </w:numPr>
              <w:spacing w:before="120" w:after="120"/>
            </w:pPr>
            <w:r w:rsidRPr="007F4343">
              <w:t>Self</w:t>
            </w:r>
            <w:r w:rsidR="001167DF" w:rsidRPr="007F4343">
              <w:t>-</w:t>
            </w:r>
            <w:r w:rsidRPr="007F4343">
              <w:t>Employment</w:t>
            </w:r>
          </w:p>
          <w:p w14:paraId="29EB1F8A" w14:textId="77777777" w:rsidR="00B25176" w:rsidRPr="007F4343" w:rsidRDefault="00B25176" w:rsidP="00AB5F14">
            <w:pPr>
              <w:pStyle w:val="ListParagraph"/>
              <w:numPr>
                <w:ilvl w:val="0"/>
                <w:numId w:val="3"/>
              </w:numPr>
              <w:spacing w:before="120" w:after="120"/>
            </w:pPr>
            <w:r w:rsidRPr="007F4343">
              <w:t>Rental Income</w:t>
            </w:r>
          </w:p>
          <w:p w14:paraId="3C25B77E" w14:textId="77777777" w:rsidR="00B25176" w:rsidRPr="007F4343" w:rsidRDefault="00B25176" w:rsidP="00AB5F14">
            <w:pPr>
              <w:pStyle w:val="ListParagraph"/>
              <w:numPr>
                <w:ilvl w:val="0"/>
                <w:numId w:val="3"/>
              </w:numPr>
              <w:spacing w:before="120" w:after="120"/>
            </w:pPr>
            <w:r w:rsidRPr="007F4343">
              <w:t>Allocated Pensions</w:t>
            </w:r>
          </w:p>
          <w:p w14:paraId="0DFD25C2" w14:textId="77777777" w:rsidR="00B25176" w:rsidRPr="007F4343" w:rsidRDefault="00B25176" w:rsidP="00AB5F14">
            <w:pPr>
              <w:pStyle w:val="ListParagraph"/>
              <w:numPr>
                <w:ilvl w:val="0"/>
                <w:numId w:val="3"/>
              </w:numPr>
              <w:spacing w:before="120" w:after="120"/>
            </w:pPr>
            <w:r w:rsidRPr="007F4343">
              <w:t>Government Benefits</w:t>
            </w:r>
          </w:p>
          <w:p w14:paraId="439E33CE" w14:textId="77777777" w:rsidR="00B25176" w:rsidRPr="007F4343" w:rsidRDefault="00B25176" w:rsidP="00AB5F14">
            <w:pPr>
              <w:pStyle w:val="ListParagraph"/>
              <w:numPr>
                <w:ilvl w:val="0"/>
                <w:numId w:val="3"/>
              </w:numPr>
              <w:spacing w:before="120" w:after="120"/>
            </w:pPr>
            <w:r w:rsidRPr="007F4343">
              <w:t>Foreign Income</w:t>
            </w:r>
          </w:p>
          <w:p w14:paraId="273645BF" w14:textId="77777777" w:rsidR="00B25176" w:rsidRPr="007F4343" w:rsidRDefault="00B25176" w:rsidP="00AB5F14">
            <w:pPr>
              <w:pStyle w:val="ListParagraph"/>
              <w:numPr>
                <w:ilvl w:val="0"/>
                <w:numId w:val="3"/>
              </w:numPr>
              <w:spacing w:before="120" w:after="120"/>
            </w:pPr>
            <w:r w:rsidRPr="007F4343">
              <w:t>Income insurance/maintenance</w:t>
            </w:r>
          </w:p>
          <w:p w14:paraId="681E770B" w14:textId="77777777" w:rsidR="00B25176" w:rsidRPr="007F4343" w:rsidRDefault="00B25176" w:rsidP="00AB5F14">
            <w:pPr>
              <w:pStyle w:val="ListParagraph"/>
              <w:numPr>
                <w:ilvl w:val="0"/>
                <w:numId w:val="3"/>
              </w:numPr>
              <w:spacing w:before="120" w:after="120"/>
            </w:pPr>
            <w:r w:rsidRPr="007F4343">
              <w:t>Government pensions</w:t>
            </w:r>
          </w:p>
          <w:p w14:paraId="73C9C5D9" w14:textId="77777777" w:rsidR="00B25176" w:rsidRPr="007F4343" w:rsidRDefault="00B25176" w:rsidP="00AB5F14">
            <w:pPr>
              <w:pStyle w:val="ListParagraph"/>
              <w:numPr>
                <w:ilvl w:val="0"/>
                <w:numId w:val="3"/>
              </w:numPr>
              <w:spacing w:before="120" w:after="120"/>
            </w:pPr>
            <w:r w:rsidRPr="007F4343">
              <w:t>Superannuation pensions</w:t>
            </w:r>
          </w:p>
          <w:p w14:paraId="1EB80268" w14:textId="77777777" w:rsidR="00B25176" w:rsidRPr="007F4343" w:rsidRDefault="00B25176" w:rsidP="00AB5F14">
            <w:pPr>
              <w:pStyle w:val="ListParagraph"/>
              <w:numPr>
                <w:ilvl w:val="0"/>
                <w:numId w:val="3"/>
              </w:numPr>
              <w:spacing w:before="120" w:after="120"/>
            </w:pPr>
            <w:r w:rsidRPr="007F4343">
              <w:t>Veterans Affairs payments</w:t>
            </w:r>
          </w:p>
          <w:p w14:paraId="7CB636ED" w14:textId="1D6F2E79" w:rsidR="00AB5F14" w:rsidRDefault="00B25176" w:rsidP="00AB5F14">
            <w:pPr>
              <w:pStyle w:val="ListParagraph"/>
              <w:numPr>
                <w:ilvl w:val="0"/>
                <w:numId w:val="3"/>
              </w:numPr>
              <w:spacing w:before="120" w:after="240"/>
            </w:pPr>
            <w:r w:rsidRPr="007F4343">
              <w:t>Private trusts and companies</w:t>
            </w:r>
            <w:r w:rsidR="00AB5F14">
              <w:t>.</w:t>
            </w:r>
          </w:p>
          <w:p w14:paraId="4D568A3C" w14:textId="77777777" w:rsidR="00AB5F14" w:rsidRPr="007F4343" w:rsidRDefault="00AB5F14" w:rsidP="00AB5F14">
            <w:pPr>
              <w:pStyle w:val="ListParagraph"/>
              <w:spacing w:before="120" w:after="240"/>
              <w:ind w:left="1800"/>
            </w:pPr>
          </w:p>
          <w:p w14:paraId="6494068A" w14:textId="77777777" w:rsidR="00B25176" w:rsidRPr="007F4343" w:rsidRDefault="00B25176" w:rsidP="00AB5F14">
            <w:pPr>
              <w:pStyle w:val="ListParagraph"/>
              <w:numPr>
                <w:ilvl w:val="0"/>
                <w:numId w:val="11"/>
              </w:numPr>
              <w:spacing w:before="120" w:after="120"/>
            </w:pPr>
            <w:r w:rsidRPr="007F4343">
              <w:t>What is the total value of the Participant’s combined liquid assets?</w:t>
            </w:r>
          </w:p>
          <w:p w14:paraId="2F0D5538" w14:textId="77777777" w:rsidR="00B25176" w:rsidRPr="00C61F97" w:rsidRDefault="00B25176" w:rsidP="00AB5F14">
            <w:pPr>
              <w:spacing w:before="120" w:after="120"/>
            </w:pPr>
            <w:r w:rsidRPr="00C61F97">
              <w:t xml:space="preserve">Participants with liquid assets are considered to earn a derived income based on the value of their liquid assets. Liquid assets are assumed to return </w:t>
            </w:r>
            <w:r w:rsidR="00D72EEC">
              <w:t>three</w:t>
            </w:r>
            <w:r w:rsidRPr="00C61F97">
              <w:t xml:space="preserve"> </w:t>
            </w:r>
            <w:r w:rsidR="00971976" w:rsidRPr="00C61F97">
              <w:t>per cent</w:t>
            </w:r>
            <w:r w:rsidRPr="00C61F97">
              <w:t xml:space="preserve"> per annum, which is then converted to a weekly figure by the </w:t>
            </w:r>
            <w:r w:rsidR="00C73FD3" w:rsidRPr="00C61F97">
              <w:t>Department’s IT</w:t>
            </w:r>
            <w:r w:rsidRPr="00C61F97">
              <w:t xml:space="preserve"> </w:t>
            </w:r>
            <w:r w:rsidR="00D72EEC">
              <w:t>S</w:t>
            </w:r>
            <w:r w:rsidRPr="00C61F97">
              <w:t>ystem</w:t>
            </w:r>
            <w:r w:rsidR="00D72EEC">
              <w:t>s</w:t>
            </w:r>
            <w:r w:rsidRPr="00C61F97">
              <w:t xml:space="preserve"> and considered as part of the income assessment.</w:t>
            </w:r>
          </w:p>
          <w:p w14:paraId="4C608972" w14:textId="77777777" w:rsidR="00B25176" w:rsidRPr="007F4343" w:rsidRDefault="00B25176" w:rsidP="00AB5F14">
            <w:pPr>
              <w:spacing w:before="120" w:after="120"/>
            </w:pPr>
            <w:r w:rsidRPr="007F4343">
              <w:t>Liquid assets mean the Participant’s and their spouse or de-facto partner’s</w:t>
            </w:r>
            <w:r w:rsidR="000F1652">
              <w:t xml:space="preserve"> </w:t>
            </w:r>
            <w:r w:rsidRPr="007F4343">
              <w:t>cash and readily realisable assets, and include:</w:t>
            </w:r>
          </w:p>
          <w:p w14:paraId="2E85B5FA" w14:textId="386A0190" w:rsidR="00B25176" w:rsidRPr="007F4343" w:rsidRDefault="00B25176" w:rsidP="00AB5F14">
            <w:pPr>
              <w:pStyle w:val="ListParagraph"/>
              <w:numPr>
                <w:ilvl w:val="0"/>
                <w:numId w:val="4"/>
              </w:numPr>
              <w:spacing w:before="120" w:after="120"/>
            </w:pPr>
            <w:r w:rsidRPr="007F4343">
              <w:t>shares and debentures in a public company</w:t>
            </w:r>
          </w:p>
          <w:p w14:paraId="5AA3104F" w14:textId="55CAC6BB" w:rsidR="00B25176" w:rsidRPr="007F4343" w:rsidRDefault="00B25176" w:rsidP="00AB5F14">
            <w:pPr>
              <w:pStyle w:val="ListParagraph"/>
              <w:numPr>
                <w:ilvl w:val="0"/>
                <w:numId w:val="4"/>
              </w:numPr>
              <w:spacing w:before="120" w:after="120"/>
            </w:pPr>
            <w:r w:rsidRPr="007F4343">
              <w:t>managed investments</w:t>
            </w:r>
          </w:p>
          <w:p w14:paraId="3CB59465" w14:textId="5F36D078" w:rsidR="00B25176" w:rsidRPr="007F4343" w:rsidRDefault="00B25176" w:rsidP="00AB5F14">
            <w:pPr>
              <w:pStyle w:val="ListParagraph"/>
              <w:numPr>
                <w:ilvl w:val="0"/>
                <w:numId w:val="4"/>
              </w:numPr>
              <w:spacing w:before="120" w:after="120"/>
            </w:pPr>
            <w:r w:rsidRPr="007F4343">
              <w:t>insurance policies that can be surrendered for money</w:t>
            </w:r>
          </w:p>
          <w:p w14:paraId="1D0ABD89" w14:textId="77777777" w:rsidR="00B25176" w:rsidRPr="007F4343" w:rsidRDefault="00B25176" w:rsidP="00AB5F14">
            <w:pPr>
              <w:pStyle w:val="ListParagraph"/>
              <w:numPr>
                <w:ilvl w:val="0"/>
                <w:numId w:val="4"/>
              </w:numPr>
              <w:spacing w:before="120" w:after="120"/>
            </w:pPr>
            <w:r w:rsidRPr="007F4343">
              <w:t>amounts deposited with, or lent to, a bank or other financial institution by the person (whether or not the amount can be withdrawn or repaid immediately); and</w:t>
            </w:r>
          </w:p>
          <w:p w14:paraId="4015F840" w14:textId="77777777" w:rsidR="00B25176" w:rsidRPr="007F4343" w:rsidRDefault="00B25176" w:rsidP="00AB5F14">
            <w:pPr>
              <w:pStyle w:val="ListParagraph"/>
              <w:numPr>
                <w:ilvl w:val="0"/>
                <w:numId w:val="4"/>
              </w:numPr>
              <w:spacing w:before="120" w:after="120"/>
            </w:pPr>
            <w:r w:rsidRPr="007F4343">
              <w:t>amount due, and able to be paid, to the person by, or on behalf of, a former employer of the person.</w:t>
            </w:r>
          </w:p>
          <w:p w14:paraId="59F8B625" w14:textId="77777777" w:rsidR="00B25176" w:rsidRPr="007F4343" w:rsidRDefault="00B25176" w:rsidP="00AB5F14">
            <w:pPr>
              <w:spacing w:before="120" w:after="120"/>
            </w:pPr>
            <w:r w:rsidRPr="007F4343">
              <w:t>Other assets such as real estate, equipment and vehicles are not considered liquid assets and do not need to be included.</w:t>
            </w:r>
          </w:p>
          <w:p w14:paraId="3A299EA7" w14:textId="77777777" w:rsidR="00B25176" w:rsidRPr="00277140" w:rsidRDefault="00B25176" w:rsidP="00AB5F14">
            <w:pPr>
              <w:spacing w:before="120" w:after="120"/>
              <w:rPr>
                <w:b/>
                <w:lang w:val="en-US"/>
              </w:rPr>
            </w:pPr>
            <w:r w:rsidRPr="007F4343">
              <w:t xml:space="preserve">When all the relevant information has been entered, select calculate. The Department’s IT </w:t>
            </w:r>
            <w:r w:rsidR="00D72EEC">
              <w:t>S</w:t>
            </w:r>
            <w:r w:rsidRPr="007F4343">
              <w:t>ystem</w:t>
            </w:r>
            <w:r w:rsidR="00D72EEC">
              <w:t>s</w:t>
            </w:r>
            <w:r w:rsidRPr="007F4343">
              <w:t xml:space="preserve"> will total the Participant’s average weekly income, and combined liquid </w:t>
            </w:r>
            <w:r w:rsidRPr="007F4343">
              <w:lastRenderedPageBreak/>
              <w:t>assets, to determine whether the Participant’s</w:t>
            </w:r>
            <w:r w:rsidRPr="007F4343">
              <w:rPr>
                <w:lang w:val="en-US"/>
              </w:rPr>
              <w:t xml:space="preserve"> total weekly income exceeds the Income Threshold rates at </w:t>
            </w:r>
            <w:r w:rsidR="00971976" w:rsidRPr="00277140">
              <w:rPr>
                <w:b/>
                <w:lang w:val="en-US"/>
              </w:rPr>
              <w:t>Attachment</w:t>
            </w:r>
            <w:r w:rsidR="00277140" w:rsidRPr="00277140">
              <w:rPr>
                <w:b/>
                <w:lang w:val="en-US"/>
              </w:rPr>
              <w:t xml:space="preserve"> </w:t>
            </w:r>
            <w:r w:rsidR="00E47BFD">
              <w:rPr>
                <w:b/>
                <w:lang w:val="en-US"/>
              </w:rPr>
              <w:t> </w:t>
            </w:r>
            <w:r w:rsidRPr="00277140">
              <w:rPr>
                <w:b/>
                <w:lang w:val="en-US"/>
              </w:rPr>
              <w:t xml:space="preserve">A. </w:t>
            </w:r>
          </w:p>
          <w:p w14:paraId="5EC8EBA3" w14:textId="74682F65" w:rsidR="00B25176" w:rsidRPr="007F4343" w:rsidRDefault="00B25176" w:rsidP="00AB5F14">
            <w:pPr>
              <w:spacing w:before="120" w:after="120"/>
              <w:rPr>
                <w:color w:val="000000"/>
              </w:rPr>
            </w:pPr>
            <w:r w:rsidRPr="007F4343">
              <w:rPr>
                <w:lang w:val="en-US"/>
              </w:rPr>
              <w:t>A statement (</w:t>
            </w:r>
            <w:r w:rsidR="006244FE" w:rsidRPr="007F4343">
              <w:rPr>
                <w:i/>
                <w:lang w:val="en-US"/>
              </w:rPr>
              <w:t xml:space="preserve">the 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rPr>
                <w:lang w:val="en-US"/>
              </w:rPr>
              <w:t xml:space="preserve">) is then produced detailing whether the Participant is eligible to </w:t>
            </w:r>
            <w:r w:rsidR="007B5AB9">
              <w:rPr>
                <w:lang w:val="en-US"/>
              </w:rPr>
              <w:t>C</w:t>
            </w:r>
            <w:r w:rsidRPr="007F4343">
              <w:rPr>
                <w:lang w:val="en-US"/>
              </w:rPr>
              <w:t xml:space="preserve">ommence in </w:t>
            </w:r>
            <w:r w:rsidR="001167DF" w:rsidRPr="007F4343">
              <w:rPr>
                <w:color w:val="000000"/>
              </w:rPr>
              <w:t>DES</w:t>
            </w:r>
            <w:r w:rsidR="00971976">
              <w:rPr>
                <w:color w:val="000000"/>
              </w:rPr>
              <w:noBreakHyphen/>
            </w:r>
            <w:r w:rsidR="001167DF" w:rsidRPr="007F4343">
              <w:rPr>
                <w:color w:val="000000"/>
              </w:rPr>
              <w:t>DMS</w:t>
            </w:r>
            <w:r w:rsidRPr="007F4343">
              <w:rPr>
                <w:color w:val="000000"/>
              </w:rPr>
              <w:t>.</w:t>
            </w:r>
          </w:p>
          <w:p w14:paraId="182F2412" w14:textId="77777777" w:rsidR="00B25176" w:rsidRPr="003E49D5" w:rsidRDefault="00B25176" w:rsidP="00AB5F14">
            <w:pPr>
              <w:pStyle w:val="ListParagraph"/>
              <w:numPr>
                <w:ilvl w:val="0"/>
                <w:numId w:val="9"/>
              </w:numPr>
              <w:spacing w:before="120" w:after="120"/>
              <w:rPr>
                <w:b/>
              </w:rPr>
            </w:pPr>
            <w:r w:rsidRPr="007F4343">
              <w:t>If a Participant is approved to Commence</w:t>
            </w:r>
            <w:r w:rsidRPr="003E49D5">
              <w:rPr>
                <w:b/>
              </w:rPr>
              <w:t xml:space="preserve"> Proceed to Step 5 </w:t>
            </w:r>
          </w:p>
          <w:p w14:paraId="2D361D2B" w14:textId="4097C254" w:rsidR="00B25176" w:rsidRPr="00AB5F14" w:rsidRDefault="00B25176" w:rsidP="00AB5F14">
            <w:pPr>
              <w:pStyle w:val="ListParagraph"/>
              <w:numPr>
                <w:ilvl w:val="0"/>
                <w:numId w:val="9"/>
              </w:numPr>
              <w:spacing w:before="120" w:after="120"/>
              <w:rPr>
                <w:b/>
              </w:rPr>
            </w:pPr>
            <w:r w:rsidRPr="007F4343">
              <w:t>If a Participant is not approved to Commence</w:t>
            </w:r>
            <w:r w:rsidRPr="003E49D5">
              <w:rPr>
                <w:b/>
              </w:rPr>
              <w:t xml:space="preserve"> Proceed to Step 7</w:t>
            </w:r>
          </w:p>
        </w:tc>
      </w:tr>
      <w:tr w:rsidR="00B25176" w:rsidRPr="00B25176" w14:paraId="0100A2E3" w14:textId="77777777" w:rsidTr="00D3297E">
        <w:trPr>
          <w:jc w:val="center"/>
        </w:trPr>
        <w:tc>
          <w:tcPr>
            <w:tcW w:w="1733" w:type="pct"/>
          </w:tcPr>
          <w:p w14:paraId="6270B853" w14:textId="5BEF37C4" w:rsidR="00B25176" w:rsidRPr="007F4343" w:rsidRDefault="0054267A" w:rsidP="00AB5F14">
            <w:pPr>
              <w:pStyle w:val="ListParagraph"/>
              <w:numPr>
                <w:ilvl w:val="0"/>
                <w:numId w:val="13"/>
              </w:numPr>
              <w:spacing w:before="120" w:after="120"/>
              <w:rPr>
                <w:color w:val="000000"/>
              </w:rPr>
            </w:pPr>
            <w:r w:rsidRPr="00D761C8">
              <w:rPr>
                <w:b/>
              </w:rPr>
              <w:lastRenderedPageBreak/>
              <w:t>DES-DMS</w:t>
            </w:r>
            <w:r w:rsidR="00B25176" w:rsidRPr="00D761C8">
              <w:rPr>
                <w:b/>
              </w:rPr>
              <w:t xml:space="preserve"> </w:t>
            </w:r>
            <w:r w:rsidR="009C218E" w:rsidRPr="00D761C8">
              <w:rPr>
                <w:b/>
              </w:rPr>
              <w:t>P</w:t>
            </w:r>
            <w:r w:rsidR="00B25176" w:rsidRPr="00D761C8">
              <w:rPr>
                <w:b/>
              </w:rPr>
              <w:t>rovider</w:t>
            </w:r>
          </w:p>
        </w:tc>
        <w:tc>
          <w:tcPr>
            <w:tcW w:w="3267" w:type="pct"/>
          </w:tcPr>
          <w:p w14:paraId="195C3241" w14:textId="25CAB081" w:rsidR="00B25176" w:rsidRPr="007F4343" w:rsidRDefault="00B25176" w:rsidP="00AB5F14">
            <w:pPr>
              <w:spacing w:before="120" w:after="120"/>
            </w:pPr>
            <w:r w:rsidRPr="007F4343">
              <w:t>Refer Participant to a</w:t>
            </w:r>
            <w:r w:rsidR="0054267A" w:rsidRPr="007F4343">
              <w:t xml:space="preserve"> Human Services Assessor for an ESAt</w:t>
            </w:r>
            <w:r w:rsidRPr="007F4343">
              <w:t>.</w:t>
            </w:r>
          </w:p>
        </w:tc>
      </w:tr>
      <w:tr w:rsidR="00B25176" w:rsidRPr="00B25176" w14:paraId="063619CA" w14:textId="77777777" w:rsidTr="00D3297E">
        <w:trPr>
          <w:jc w:val="center"/>
        </w:trPr>
        <w:tc>
          <w:tcPr>
            <w:tcW w:w="1733" w:type="pct"/>
          </w:tcPr>
          <w:p w14:paraId="07925191" w14:textId="381E50F7" w:rsidR="00B25176" w:rsidRPr="004B18C3" w:rsidRDefault="00B25176" w:rsidP="00AB5F14">
            <w:pPr>
              <w:pStyle w:val="ListParagraph"/>
              <w:numPr>
                <w:ilvl w:val="0"/>
                <w:numId w:val="13"/>
              </w:numPr>
              <w:spacing w:before="120" w:after="120"/>
              <w:rPr>
                <w:b/>
              </w:rPr>
            </w:pPr>
            <w:r w:rsidRPr="00D761C8">
              <w:rPr>
                <w:b/>
              </w:rPr>
              <w:t>D</w:t>
            </w:r>
            <w:r w:rsidR="0054267A" w:rsidRPr="00D761C8">
              <w:rPr>
                <w:b/>
              </w:rPr>
              <w:t>ES-DMS Provider</w:t>
            </w:r>
          </w:p>
          <w:p w14:paraId="134FDBA4" w14:textId="77777777" w:rsidR="00B25176" w:rsidRPr="007F4343" w:rsidRDefault="00B25176" w:rsidP="00AB5F14">
            <w:pPr>
              <w:spacing w:before="120" w:after="120"/>
            </w:pPr>
            <w:r w:rsidRPr="007F4343">
              <w:t>Commence</w:t>
            </w:r>
            <w:r w:rsidR="00835B1D" w:rsidRPr="007F4343">
              <w:t>s</w:t>
            </w:r>
            <w:r w:rsidRPr="007F4343">
              <w:t xml:space="preserve"> the Participant</w:t>
            </w:r>
          </w:p>
        </w:tc>
        <w:tc>
          <w:tcPr>
            <w:tcW w:w="3267" w:type="pct"/>
          </w:tcPr>
          <w:p w14:paraId="79A9E7FF" w14:textId="63CBF01E" w:rsidR="00B25176" w:rsidRPr="007F4343" w:rsidRDefault="00B25176" w:rsidP="00AB5F14">
            <w:pPr>
              <w:spacing w:before="120" w:after="120"/>
            </w:pPr>
            <w:r w:rsidRPr="007F4343">
              <w:t>If the Participant has been approved to Commence in DES</w:t>
            </w:r>
            <w:r w:rsidR="00971976">
              <w:noBreakHyphen/>
            </w:r>
            <w:r w:rsidRPr="007F4343">
              <w:t xml:space="preserve">DMS, they must sign the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785DD5">
              <w:rPr>
                <w:i/>
                <w:lang w:val="en-US"/>
              </w:rPr>
              <w:t xml:space="preserve"> </w:t>
            </w:r>
            <w:r w:rsidRPr="007F4343">
              <w:t xml:space="preserve">statement, which needs to be kept on the Participant’s file. The Participant can now be Commenced in accordance with the </w:t>
            </w:r>
            <w:r w:rsidR="009D5967" w:rsidRPr="007F4343">
              <w:rPr>
                <w:i/>
              </w:rPr>
              <w:t>Eligibility,</w:t>
            </w:r>
            <w:r w:rsidR="009D5967" w:rsidRPr="007F4343">
              <w:t xml:space="preserve"> </w:t>
            </w:r>
            <w:r w:rsidRPr="007F4343">
              <w:rPr>
                <w:i/>
              </w:rPr>
              <w:t>Referral and Commencement Guidelines.</w:t>
            </w:r>
          </w:p>
        </w:tc>
      </w:tr>
      <w:tr w:rsidR="00B25176" w:rsidRPr="00B25176" w14:paraId="1A5F19AF" w14:textId="77777777" w:rsidTr="00D3297E">
        <w:trPr>
          <w:jc w:val="center"/>
        </w:trPr>
        <w:tc>
          <w:tcPr>
            <w:tcW w:w="1733" w:type="pct"/>
          </w:tcPr>
          <w:p w14:paraId="5129D25F" w14:textId="4594134D" w:rsidR="00B25176" w:rsidRPr="004B18C3" w:rsidRDefault="00835B1D" w:rsidP="00AB5F14">
            <w:pPr>
              <w:pStyle w:val="ListParagraph"/>
              <w:numPr>
                <w:ilvl w:val="0"/>
                <w:numId w:val="13"/>
              </w:numPr>
              <w:spacing w:before="120" w:after="120"/>
              <w:rPr>
                <w:b/>
              </w:rPr>
            </w:pPr>
            <w:r w:rsidRPr="00D761C8">
              <w:rPr>
                <w:b/>
              </w:rPr>
              <w:t>DES-DMS Provider</w:t>
            </w:r>
          </w:p>
          <w:p w14:paraId="4C7863F2" w14:textId="0D03BF6A" w:rsidR="00B25176" w:rsidRPr="007F4343" w:rsidRDefault="00B25176" w:rsidP="00AB5F14">
            <w:pPr>
              <w:spacing w:before="120" w:after="120"/>
              <w:rPr>
                <w:color w:val="000000"/>
              </w:rPr>
            </w:pPr>
            <w:r w:rsidRPr="007F4343">
              <w:rPr>
                <w:color w:val="000000"/>
              </w:rPr>
              <w:t xml:space="preserve">If the Participant disagrees with the result of the </w:t>
            </w:r>
            <w:r w:rsidRPr="007F4343">
              <w:rPr>
                <w:i/>
                <w:lang w:val="en-US"/>
              </w:rPr>
              <w:t xml:space="preserve">DES </w:t>
            </w:r>
            <w:r w:rsidR="00A42698">
              <w:rPr>
                <w:i/>
                <w:lang w:val="en-US"/>
              </w:rPr>
              <w:t>n</w:t>
            </w:r>
            <w:r w:rsidR="00A42698" w:rsidRPr="007F4343">
              <w:rPr>
                <w:i/>
                <w:lang w:val="en-US"/>
              </w:rPr>
              <w:t>on</w:t>
            </w:r>
            <w:r w:rsidRPr="007F4343">
              <w:rPr>
                <w:i/>
                <w:lang w:val="en-US"/>
              </w:rPr>
              <w:t>-</w:t>
            </w:r>
            <w:r w:rsidR="006244FE" w:rsidRPr="007F4343">
              <w:rPr>
                <w:i/>
                <w:lang w:val="en-US"/>
              </w:rPr>
              <w:t>b</w:t>
            </w:r>
            <w:r w:rsidRPr="007F4343">
              <w:rPr>
                <w:i/>
                <w:lang w:val="en-US"/>
              </w:rPr>
              <w:t>eneficiary Income Test for a Waiver of Program Fees</w:t>
            </w:r>
            <w:r w:rsidRPr="007F4343">
              <w:rPr>
                <w:lang w:val="en-US"/>
              </w:rPr>
              <w:t>, inform the Participant of their options.</w:t>
            </w:r>
            <w:r w:rsidRPr="007F4343">
              <w:rPr>
                <w:color w:val="000000"/>
              </w:rPr>
              <w:t xml:space="preserve"> Exit the Participant.</w:t>
            </w:r>
          </w:p>
        </w:tc>
        <w:tc>
          <w:tcPr>
            <w:tcW w:w="3267" w:type="pct"/>
          </w:tcPr>
          <w:p w14:paraId="419F2829" w14:textId="2EF4753D" w:rsidR="00B25176" w:rsidRPr="007F4343" w:rsidRDefault="00B25176" w:rsidP="00AB5F14">
            <w:pPr>
              <w:spacing w:before="120" w:after="120"/>
            </w:pPr>
            <w:r w:rsidRPr="007F4343">
              <w:t xml:space="preserve">If the Participant has not been approved to Commence, they should be Exited from </w:t>
            </w:r>
            <w:r w:rsidR="007B5AB9">
              <w:t xml:space="preserve">caseload using the </w:t>
            </w:r>
            <w:r w:rsidRPr="007F4343">
              <w:t>Department’s IT System</w:t>
            </w:r>
            <w:r w:rsidR="007B5AB9">
              <w:t>s</w:t>
            </w:r>
            <w:r w:rsidRPr="007F4343">
              <w:t xml:space="preserve">. The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t xml:space="preserve"> statement print-out will detail the Participant’s options if they disagree with the decision. </w:t>
            </w:r>
          </w:p>
          <w:p w14:paraId="204A7718" w14:textId="77777777" w:rsidR="00B25176" w:rsidRPr="007F4343" w:rsidRDefault="00B25176" w:rsidP="00AB5F14">
            <w:pPr>
              <w:spacing w:before="120" w:after="120"/>
            </w:pPr>
            <w:r w:rsidRPr="007F4343">
              <w:t>A copy of the result should be given to the Participant.</w:t>
            </w:r>
          </w:p>
          <w:p w14:paraId="63C78FE2" w14:textId="77777777" w:rsidR="00B25176" w:rsidRPr="007F4343" w:rsidRDefault="00B25176" w:rsidP="00AB5F14">
            <w:pPr>
              <w:spacing w:before="120" w:after="120"/>
              <w:rPr>
                <w:b/>
              </w:rPr>
            </w:pPr>
            <w:r w:rsidRPr="007F4343">
              <w:t>A copy must also be kept by the Provider and placed on the Participant’s file.</w:t>
            </w:r>
          </w:p>
          <w:p w14:paraId="4C839873" w14:textId="0E2C6310" w:rsidR="00B25176" w:rsidRPr="007F4343" w:rsidRDefault="00B25176" w:rsidP="00AB5F14">
            <w:pPr>
              <w:spacing w:before="120" w:after="120"/>
              <w:rPr>
                <w:color w:val="000000"/>
              </w:rPr>
            </w:pPr>
            <w:r w:rsidRPr="007F4343">
              <w:rPr>
                <w:color w:val="000000"/>
              </w:rPr>
              <w:t xml:space="preserve">If a mistake was made in the original </w:t>
            </w:r>
            <w:r w:rsidR="006244FE" w:rsidRPr="007F4343">
              <w:rPr>
                <w:lang w:val="en-US"/>
              </w:rPr>
              <w:t xml:space="preserve">DES </w:t>
            </w:r>
            <w:r w:rsidR="00A42698" w:rsidRPr="001D1507">
              <w:rPr>
                <w:i/>
                <w:lang w:val="en-US"/>
              </w:rPr>
              <w:t>non</w:t>
            </w:r>
            <w:r w:rsidR="006244FE" w:rsidRPr="001D1507">
              <w:rPr>
                <w:i/>
                <w:lang w:val="en-US"/>
              </w:rPr>
              <w:t>-b</w:t>
            </w:r>
            <w:r w:rsidRPr="001D1507">
              <w:rPr>
                <w:i/>
                <w:lang w:val="en-US"/>
              </w:rPr>
              <w:t>eneficiary Income Test for a Waiver of Program Fees</w:t>
            </w:r>
            <w:r w:rsidRPr="007F4343">
              <w:rPr>
                <w:color w:val="000000"/>
              </w:rPr>
              <w:t xml:space="preserve">, or the Participant’s circumstances change, the </w:t>
            </w:r>
            <w:r w:rsidR="001167DF" w:rsidRPr="007F4343">
              <w:t>DES-DMS</w:t>
            </w:r>
            <w:r w:rsidRPr="007F4343">
              <w:rPr>
                <w:color w:val="000000"/>
              </w:rPr>
              <w:t xml:space="preserve"> </w:t>
            </w:r>
            <w:r w:rsidR="001167DF" w:rsidRPr="007F4343">
              <w:rPr>
                <w:color w:val="000000"/>
              </w:rPr>
              <w:t>P</w:t>
            </w:r>
            <w:r w:rsidRPr="007F4343">
              <w:rPr>
                <w:color w:val="000000"/>
              </w:rPr>
              <w:t xml:space="preserve">rovider should reapply the </w:t>
            </w:r>
            <w:r w:rsidR="006244FE" w:rsidRPr="007F4343">
              <w:rPr>
                <w:lang w:val="en-US"/>
              </w:rPr>
              <w:t xml:space="preserve">DES </w:t>
            </w:r>
            <w:r w:rsidR="00A42698" w:rsidRPr="001D1507">
              <w:rPr>
                <w:i/>
                <w:lang w:val="en-US"/>
              </w:rPr>
              <w:t>non</w:t>
            </w:r>
            <w:r w:rsidR="006244FE" w:rsidRPr="001D1507">
              <w:rPr>
                <w:i/>
                <w:lang w:val="en-US"/>
              </w:rPr>
              <w:t>-b</w:t>
            </w:r>
            <w:r w:rsidRPr="001D1507">
              <w:rPr>
                <w:i/>
                <w:lang w:val="en-US"/>
              </w:rPr>
              <w:t>eneficiary Income Test for a Waiver of Program</w:t>
            </w:r>
            <w:r w:rsidR="00470BAA" w:rsidRPr="001D1507">
              <w:rPr>
                <w:i/>
                <w:lang w:val="en-US"/>
              </w:rPr>
              <w:t xml:space="preserve"> </w:t>
            </w:r>
            <w:r w:rsidRPr="001D1507">
              <w:rPr>
                <w:i/>
                <w:lang w:val="en-US"/>
              </w:rPr>
              <w:t>Fees</w:t>
            </w:r>
            <w:r w:rsidRPr="007F4343">
              <w:rPr>
                <w:lang w:val="en-US"/>
              </w:rPr>
              <w:t xml:space="preserve"> </w:t>
            </w:r>
            <w:r w:rsidRPr="007F4343">
              <w:rPr>
                <w:color w:val="000000"/>
              </w:rPr>
              <w:t>to the Participant using the correct information.</w:t>
            </w:r>
          </w:p>
          <w:p w14:paraId="16F59156" w14:textId="67EDAA1A" w:rsidR="003F1437" w:rsidRDefault="00B25176" w:rsidP="00AB5F14">
            <w:pPr>
              <w:spacing w:before="120" w:after="120"/>
            </w:pPr>
            <w:r w:rsidRPr="007F4343">
              <w:t xml:space="preserve">Where a </w:t>
            </w:r>
            <w:proofErr w:type="gramStart"/>
            <w:r w:rsidRPr="007F4343">
              <w:t>Participant</w:t>
            </w:r>
            <w:proofErr w:type="gramEnd"/>
            <w:r w:rsidRPr="007F4343">
              <w:t xml:space="preserve"> who has Commenced as a non-beneficiary</w:t>
            </w:r>
            <w:r w:rsidR="00DE7A6E">
              <w:t>,</w:t>
            </w:r>
            <w:r w:rsidRPr="007F4343">
              <w:t xml:space="preserve"> later applies </w:t>
            </w:r>
            <w:r w:rsidR="00DE7A6E">
              <w:t xml:space="preserve">for </w:t>
            </w:r>
            <w:r w:rsidRPr="007F4343">
              <w:t>and receives</w:t>
            </w:r>
            <w:r w:rsidR="00DE7A6E">
              <w:t xml:space="preserve"> an</w:t>
            </w:r>
            <w:r w:rsidRPr="007F4343">
              <w:t xml:space="preserve"> </w:t>
            </w:r>
            <w:r w:rsidR="00DE7A6E">
              <w:t>I</w:t>
            </w:r>
            <w:r w:rsidRPr="007F4343">
              <w:t xml:space="preserve">ncome </w:t>
            </w:r>
            <w:r w:rsidR="00DE7A6E">
              <w:t>S</w:t>
            </w:r>
            <w:r w:rsidRPr="007F4343">
              <w:t>upport</w:t>
            </w:r>
            <w:r w:rsidR="00DE7A6E">
              <w:t xml:space="preserve"> Payment from </w:t>
            </w:r>
            <w:r w:rsidR="005565FD">
              <w:t>Services Australia</w:t>
            </w:r>
            <w:r w:rsidR="009224C2">
              <w:t xml:space="preserve">, their eligibility remains unchanged and they can </w:t>
            </w:r>
            <w:r w:rsidRPr="007F4343">
              <w:t>continue to</w:t>
            </w:r>
            <w:r w:rsidR="009224C2">
              <w:t xml:space="preserve"> receive Program</w:t>
            </w:r>
            <w:r w:rsidR="00637469">
              <w:t xml:space="preserve"> Services. </w:t>
            </w:r>
          </w:p>
          <w:p w14:paraId="65D53E3F" w14:textId="477AA803" w:rsidR="00B25176" w:rsidRPr="007F4343" w:rsidRDefault="00B25176" w:rsidP="00AB5F14">
            <w:pPr>
              <w:spacing w:before="120" w:after="120"/>
            </w:pPr>
            <w:r w:rsidRPr="007F4343">
              <w:t xml:space="preserve">The </w:t>
            </w:r>
            <w:r w:rsidR="004877EF" w:rsidRPr="007F4343">
              <w:rPr>
                <w:i/>
                <w:lang w:val="en-US"/>
              </w:rPr>
              <w:t xml:space="preserve">DES </w:t>
            </w:r>
            <w:r w:rsidR="00A42698">
              <w:rPr>
                <w:i/>
                <w:lang w:val="en-US"/>
              </w:rPr>
              <w:t>n</w:t>
            </w:r>
            <w:r w:rsidR="00A42698" w:rsidRPr="007F4343">
              <w:rPr>
                <w:i/>
                <w:lang w:val="en-US"/>
              </w:rPr>
              <w:t>on</w:t>
            </w:r>
            <w:r w:rsidR="004877EF" w:rsidRPr="007F4343">
              <w:rPr>
                <w:i/>
                <w:lang w:val="en-US"/>
              </w:rPr>
              <w:t>-b</w:t>
            </w:r>
            <w:r w:rsidRPr="007F4343">
              <w:rPr>
                <w:i/>
                <w:lang w:val="en-US"/>
              </w:rPr>
              <w:t>eneficiary Income Test for a Waiver of Program Fees</w:t>
            </w:r>
            <w:r w:rsidR="00A66BF3">
              <w:rPr>
                <w:i/>
                <w:lang w:val="en-US"/>
              </w:rPr>
              <w:t xml:space="preserve"> </w:t>
            </w:r>
            <w:r w:rsidRPr="007F4343">
              <w:t>is a reviewable decision. If the Participant does not agree with the outcome, they can request a review of the decision. This will be performed by an Authorised Review Officer in the first instance.</w:t>
            </w:r>
          </w:p>
          <w:p w14:paraId="69795E52" w14:textId="77777777" w:rsidR="00B25176" w:rsidRPr="007F4343" w:rsidRDefault="00B25176" w:rsidP="00AB5F14">
            <w:pPr>
              <w:pStyle w:val="ListParagraph"/>
              <w:numPr>
                <w:ilvl w:val="0"/>
                <w:numId w:val="9"/>
              </w:numPr>
              <w:spacing w:before="120" w:after="120"/>
            </w:pPr>
            <w:r w:rsidRPr="007F4343">
              <w:t xml:space="preserve">If the Participant wants the decision reviewed </w:t>
            </w:r>
            <w:r w:rsidRPr="003E49D5">
              <w:rPr>
                <w:b/>
              </w:rPr>
              <w:t>Proceed to Step 8</w:t>
            </w:r>
          </w:p>
          <w:p w14:paraId="5B6DB254" w14:textId="5A70B857" w:rsidR="00B25176" w:rsidRPr="007F4343" w:rsidRDefault="00B25176" w:rsidP="00AB5F14">
            <w:pPr>
              <w:pStyle w:val="ListParagraph"/>
              <w:numPr>
                <w:ilvl w:val="0"/>
                <w:numId w:val="9"/>
              </w:numPr>
              <w:spacing w:before="120" w:after="120"/>
            </w:pPr>
            <w:r w:rsidRPr="007F4343">
              <w:t xml:space="preserve">If the Participant does not want the decision reviewed </w:t>
            </w:r>
            <w:r w:rsidRPr="003E49D5">
              <w:rPr>
                <w:b/>
              </w:rPr>
              <w:t>End of Process</w:t>
            </w:r>
          </w:p>
        </w:tc>
      </w:tr>
      <w:tr w:rsidR="00B25176" w:rsidRPr="00B25176" w14:paraId="7FF5080F" w14:textId="77777777" w:rsidTr="00D3297E">
        <w:trPr>
          <w:jc w:val="center"/>
        </w:trPr>
        <w:tc>
          <w:tcPr>
            <w:tcW w:w="1733" w:type="pct"/>
          </w:tcPr>
          <w:p w14:paraId="5160B44E" w14:textId="7DB0800D" w:rsidR="00B25176" w:rsidRPr="004B18C3" w:rsidRDefault="00B25176" w:rsidP="00AB5F14">
            <w:pPr>
              <w:pStyle w:val="ListParagraph"/>
              <w:numPr>
                <w:ilvl w:val="0"/>
                <w:numId w:val="13"/>
              </w:numPr>
              <w:spacing w:before="120" w:after="120"/>
              <w:rPr>
                <w:b/>
              </w:rPr>
            </w:pPr>
            <w:r w:rsidRPr="00D761C8">
              <w:rPr>
                <w:b/>
              </w:rPr>
              <w:lastRenderedPageBreak/>
              <w:t>Participant</w:t>
            </w:r>
          </w:p>
          <w:p w14:paraId="05F2058E" w14:textId="0269561F" w:rsidR="00B25176" w:rsidRPr="007F4343" w:rsidRDefault="00B25176" w:rsidP="00AB5F14">
            <w:pPr>
              <w:spacing w:before="120" w:after="120"/>
              <w:rPr>
                <w:color w:val="000000"/>
              </w:rPr>
            </w:pPr>
            <w:r w:rsidRPr="007F4343">
              <w:rPr>
                <w:color w:val="000000"/>
              </w:rPr>
              <w:t xml:space="preserve">Request a review of the </w:t>
            </w:r>
            <w:r w:rsidR="004877EF" w:rsidRPr="007F4343">
              <w:rPr>
                <w:lang w:val="en-US"/>
              </w:rPr>
              <w:t xml:space="preserve">DES </w:t>
            </w:r>
            <w:r w:rsidR="00A42698">
              <w:rPr>
                <w:lang w:val="en-US"/>
              </w:rPr>
              <w:t>n</w:t>
            </w:r>
            <w:r w:rsidR="00A42698" w:rsidRPr="007F4343">
              <w:rPr>
                <w:lang w:val="en-US"/>
              </w:rPr>
              <w:t>on</w:t>
            </w:r>
            <w:r w:rsidR="004877EF" w:rsidRPr="007F4343">
              <w:rPr>
                <w:lang w:val="en-US"/>
              </w:rPr>
              <w:t>-b</w:t>
            </w:r>
            <w:r w:rsidRPr="007F4343">
              <w:rPr>
                <w:lang w:val="en-US"/>
              </w:rPr>
              <w:t>eneficiary Income Test for a Waiver of Program Fees</w:t>
            </w:r>
          </w:p>
        </w:tc>
        <w:tc>
          <w:tcPr>
            <w:tcW w:w="3267" w:type="pct"/>
          </w:tcPr>
          <w:p w14:paraId="1803D518" w14:textId="7301B574" w:rsidR="00B25176" w:rsidRPr="004B18C3" w:rsidRDefault="00B25176" w:rsidP="00AB5F14">
            <w:pPr>
              <w:spacing w:before="120" w:after="120"/>
              <w:rPr>
                <w:color w:val="000000"/>
              </w:rPr>
            </w:pPr>
            <w:r w:rsidRPr="007F4343">
              <w:rPr>
                <w:color w:val="000000"/>
              </w:rPr>
              <w:t xml:space="preserve">A Participant can request a review of their </w:t>
            </w:r>
            <w:r w:rsidR="004877EF" w:rsidRPr="007F4343">
              <w:rPr>
                <w:lang w:val="en-US"/>
              </w:rPr>
              <w:t xml:space="preserve">DES </w:t>
            </w:r>
            <w:r w:rsidR="00A42698">
              <w:rPr>
                <w:lang w:val="en-US"/>
              </w:rPr>
              <w:t>n</w:t>
            </w:r>
            <w:r w:rsidR="00A42698" w:rsidRPr="007F4343">
              <w:rPr>
                <w:lang w:val="en-US"/>
              </w:rPr>
              <w:t>on</w:t>
            </w:r>
            <w:r w:rsidR="004877EF" w:rsidRPr="007F4343">
              <w:rPr>
                <w:lang w:val="en-US"/>
              </w:rPr>
              <w:t>-b</w:t>
            </w:r>
            <w:r w:rsidRPr="007F4343">
              <w:rPr>
                <w:lang w:val="en-US"/>
              </w:rPr>
              <w:t>eneficiary Income Test for a Waiver, of Program Fee</w:t>
            </w:r>
            <w:r w:rsidR="00A66BF3">
              <w:rPr>
                <w:lang w:val="en-US"/>
              </w:rPr>
              <w:t xml:space="preserve"> </w:t>
            </w:r>
            <w:r w:rsidRPr="007F4343">
              <w:rPr>
                <w:color w:val="000000"/>
              </w:rPr>
              <w:t xml:space="preserve">by writing to the: </w:t>
            </w:r>
          </w:p>
          <w:p w14:paraId="6612C9BD" w14:textId="77777777" w:rsidR="00B25176" w:rsidRPr="007F4343" w:rsidRDefault="00B25176" w:rsidP="00AB5F14">
            <w:pPr>
              <w:spacing w:before="120" w:after="120"/>
            </w:pPr>
            <w:r w:rsidRPr="007F4343">
              <w:t>Authorised Review Officer</w:t>
            </w:r>
          </w:p>
          <w:p w14:paraId="79D2578F" w14:textId="77777777" w:rsidR="00B25176" w:rsidRPr="007F4343" w:rsidRDefault="005C3FBC" w:rsidP="00AB5F14">
            <w:pPr>
              <w:spacing w:before="120" w:after="120"/>
            </w:pPr>
            <w:r>
              <w:t xml:space="preserve">Disability, Employment and Carers </w:t>
            </w:r>
            <w:r w:rsidR="00B25176" w:rsidRPr="007F4343">
              <w:t xml:space="preserve"> Group </w:t>
            </w:r>
          </w:p>
          <w:p w14:paraId="15760B7A" w14:textId="77777777" w:rsidR="00B25176" w:rsidRPr="007F4343" w:rsidRDefault="00B25176" w:rsidP="00AB5F14">
            <w:pPr>
              <w:spacing w:before="120" w:after="120"/>
            </w:pPr>
            <w:r w:rsidRPr="007F4343">
              <w:t>Department of Social Services</w:t>
            </w:r>
          </w:p>
          <w:p w14:paraId="6CA30AFA" w14:textId="77777777" w:rsidR="00B25176" w:rsidRPr="007F4343" w:rsidRDefault="00B25176" w:rsidP="00AB5F14">
            <w:pPr>
              <w:spacing w:before="120" w:after="120"/>
            </w:pPr>
            <w:r w:rsidRPr="007F4343">
              <w:t xml:space="preserve">GPO Box </w:t>
            </w:r>
            <w:r w:rsidR="005C3FBC">
              <w:t>9820</w:t>
            </w:r>
            <w:r w:rsidR="005C3FBC" w:rsidRPr="007F4343">
              <w:t xml:space="preserve"> </w:t>
            </w:r>
          </w:p>
          <w:p w14:paraId="1A916B95" w14:textId="0D98FCD0" w:rsidR="00B25176" w:rsidRPr="007F4343" w:rsidRDefault="00B25176" w:rsidP="00AB5F14">
            <w:pPr>
              <w:spacing w:before="120" w:after="120"/>
            </w:pPr>
            <w:r w:rsidRPr="007F4343">
              <w:t xml:space="preserve">Canberra ACT </w:t>
            </w:r>
            <w:r w:rsidR="005C3FBC" w:rsidRPr="007F4343">
              <w:t>26</w:t>
            </w:r>
            <w:r w:rsidR="005C3FBC">
              <w:t>01</w:t>
            </w:r>
          </w:p>
          <w:p w14:paraId="380DAEBB" w14:textId="53F273C4" w:rsidR="00971976" w:rsidRPr="007F4343" w:rsidRDefault="00B25176" w:rsidP="00AB5F14">
            <w:pPr>
              <w:spacing w:before="120" w:after="120"/>
            </w:pPr>
            <w:r w:rsidRPr="007F4343">
              <w:t>If the Participant is not satisfied with the Authorised Review Officer’s decision, they may appeal to the Administrative Appeals Tribunal within 28 days of receiving the review decision.</w:t>
            </w:r>
          </w:p>
        </w:tc>
      </w:tr>
    </w:tbl>
    <w:p w14:paraId="06BA216C" w14:textId="77777777" w:rsidR="00971976" w:rsidRPr="00C61F97" w:rsidRDefault="00971976" w:rsidP="003E49D5">
      <w:pPr>
        <w:rPr>
          <w:rFonts w:cstheme="majorBidi"/>
          <w:color w:val="000000" w:themeColor="text1"/>
          <w:sz w:val="36"/>
          <w:szCs w:val="28"/>
        </w:rPr>
      </w:pPr>
      <w:r>
        <w:br w:type="page"/>
      </w:r>
    </w:p>
    <w:p w14:paraId="7268D3E3" w14:textId="1D90AAE4" w:rsidR="004E580F" w:rsidRPr="006B25C7" w:rsidRDefault="006967EF" w:rsidP="006B25C7">
      <w:pPr>
        <w:pStyle w:val="Heading3"/>
        <w:spacing w:before="120" w:after="120"/>
        <w:rPr>
          <w:sz w:val="24"/>
          <w:szCs w:val="24"/>
        </w:rPr>
      </w:pPr>
      <w:bookmarkStart w:id="24" w:name="_Toc496004500"/>
      <w:bookmarkStart w:id="25" w:name="_Toc496005340"/>
      <w:bookmarkStart w:id="26" w:name="_Toc509319663"/>
      <w:r w:rsidRPr="006B25C7">
        <w:rPr>
          <w:sz w:val="24"/>
          <w:szCs w:val="24"/>
        </w:rPr>
        <w:lastRenderedPageBreak/>
        <w:t>Attachment A</w:t>
      </w:r>
      <w:bookmarkEnd w:id="24"/>
      <w:bookmarkEnd w:id="25"/>
      <w:r w:rsidR="00DB2C3A" w:rsidRPr="006B25C7">
        <w:rPr>
          <w:sz w:val="24"/>
          <w:szCs w:val="24"/>
        </w:rPr>
        <w:t xml:space="preserve"> </w:t>
      </w:r>
      <w:bookmarkStart w:id="27" w:name="_Toc496004501"/>
      <w:bookmarkStart w:id="28" w:name="_Toc496005341"/>
      <w:r w:rsidR="00DB2C3A" w:rsidRPr="006B25C7">
        <w:rPr>
          <w:sz w:val="24"/>
          <w:szCs w:val="24"/>
        </w:rPr>
        <w:t xml:space="preserve">- </w:t>
      </w:r>
      <w:r w:rsidR="00B25176" w:rsidRPr="006B25C7">
        <w:rPr>
          <w:sz w:val="24"/>
          <w:szCs w:val="24"/>
        </w:rPr>
        <w:t>Income Thresholds</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14"/>
        <w:gridCol w:w="3014"/>
      </w:tblGrid>
      <w:tr w:rsidR="004E580F" w:rsidRPr="00835B1D" w14:paraId="3F628789" w14:textId="77777777" w:rsidTr="00D61E93">
        <w:tc>
          <w:tcPr>
            <w:tcW w:w="2988" w:type="dxa"/>
            <w:shd w:val="clear" w:color="auto" w:fill="auto"/>
          </w:tcPr>
          <w:p w14:paraId="3A958DFF" w14:textId="62FD1287" w:rsidR="004E580F" w:rsidRPr="00D761C8" w:rsidRDefault="00D84369" w:rsidP="006B25C7">
            <w:pPr>
              <w:spacing w:before="120" w:after="120"/>
              <w:rPr>
                <w:b/>
              </w:rPr>
            </w:pPr>
            <w:r w:rsidRPr="00D761C8">
              <w:rPr>
                <w:b/>
              </w:rPr>
              <w:t xml:space="preserve">Number of children &lt; 16 </w:t>
            </w:r>
            <w:r w:rsidR="00D232DD" w:rsidRPr="00D761C8">
              <w:rPr>
                <w:b/>
              </w:rPr>
              <w:t>yrs.</w:t>
            </w:r>
          </w:p>
        </w:tc>
        <w:tc>
          <w:tcPr>
            <w:tcW w:w="6028" w:type="dxa"/>
            <w:gridSpan w:val="2"/>
            <w:shd w:val="clear" w:color="auto" w:fill="auto"/>
          </w:tcPr>
          <w:p w14:paraId="2BC1A84E" w14:textId="56876AA7" w:rsidR="004E580F" w:rsidRPr="00D761C8" w:rsidRDefault="004E580F" w:rsidP="006B25C7">
            <w:pPr>
              <w:spacing w:before="120" w:after="120"/>
              <w:jc w:val="center"/>
              <w:rPr>
                <w:b/>
              </w:rPr>
            </w:pPr>
            <w:r w:rsidRPr="00D761C8">
              <w:rPr>
                <w:b/>
              </w:rPr>
              <w:t>Total Weekly Income Threshold</w:t>
            </w:r>
          </w:p>
        </w:tc>
      </w:tr>
      <w:tr w:rsidR="004E580F" w:rsidRPr="00835B1D" w14:paraId="6F864A09" w14:textId="77777777" w:rsidTr="00D61E93">
        <w:tc>
          <w:tcPr>
            <w:tcW w:w="2988" w:type="dxa"/>
          </w:tcPr>
          <w:p w14:paraId="41F66C62" w14:textId="21BCC2ED" w:rsidR="004E580F" w:rsidRPr="00D761C8" w:rsidRDefault="004E580F" w:rsidP="006B25C7">
            <w:pPr>
              <w:spacing w:before="120" w:after="120"/>
              <w:rPr>
                <w:b/>
              </w:rPr>
            </w:pPr>
            <w:r w:rsidRPr="00D761C8">
              <w:rPr>
                <w:b/>
              </w:rPr>
              <w:t xml:space="preserve">Number of children &lt; 16 </w:t>
            </w:r>
            <w:r w:rsidR="00D232DD" w:rsidRPr="00D761C8">
              <w:rPr>
                <w:b/>
              </w:rPr>
              <w:t>yrs.</w:t>
            </w:r>
          </w:p>
        </w:tc>
        <w:tc>
          <w:tcPr>
            <w:tcW w:w="3014" w:type="dxa"/>
          </w:tcPr>
          <w:p w14:paraId="25A8CEBC" w14:textId="77777777" w:rsidR="004E580F" w:rsidRPr="00D761C8" w:rsidRDefault="004E580F" w:rsidP="006B25C7">
            <w:pPr>
              <w:spacing w:before="120" w:after="120"/>
              <w:jc w:val="center"/>
              <w:rPr>
                <w:b/>
              </w:rPr>
            </w:pPr>
            <w:r w:rsidRPr="00D761C8">
              <w:rPr>
                <w:b/>
              </w:rPr>
              <w:t>Single Participation</w:t>
            </w:r>
          </w:p>
        </w:tc>
        <w:tc>
          <w:tcPr>
            <w:tcW w:w="3014" w:type="dxa"/>
          </w:tcPr>
          <w:p w14:paraId="580FC1AF" w14:textId="77777777" w:rsidR="004E580F" w:rsidRPr="00D761C8" w:rsidRDefault="004E580F" w:rsidP="006B25C7">
            <w:pPr>
              <w:spacing w:before="120" w:after="120"/>
              <w:jc w:val="center"/>
              <w:rPr>
                <w:b/>
              </w:rPr>
            </w:pPr>
            <w:r w:rsidRPr="00D761C8">
              <w:rPr>
                <w:b/>
              </w:rPr>
              <w:t>Partnered Participation</w:t>
            </w:r>
          </w:p>
        </w:tc>
      </w:tr>
      <w:tr w:rsidR="00DB6EEE" w:rsidRPr="00835B1D" w14:paraId="377C3396" w14:textId="77777777" w:rsidTr="00D61E93">
        <w:tc>
          <w:tcPr>
            <w:tcW w:w="2988" w:type="dxa"/>
          </w:tcPr>
          <w:p w14:paraId="0DD337F4" w14:textId="77777777" w:rsidR="00DB6EEE" w:rsidRPr="007F4343" w:rsidRDefault="00DB6EEE" w:rsidP="006B25C7">
            <w:pPr>
              <w:spacing w:before="120" w:after="120"/>
            </w:pPr>
            <w:r w:rsidRPr="007F4343">
              <w:t>0</w:t>
            </w:r>
          </w:p>
        </w:tc>
        <w:tc>
          <w:tcPr>
            <w:tcW w:w="3014" w:type="dxa"/>
            <w:vAlign w:val="center"/>
          </w:tcPr>
          <w:p w14:paraId="7B1648B4" w14:textId="600326DE" w:rsidR="00DB6EEE" w:rsidRPr="007F4343" w:rsidRDefault="00DB6EEE" w:rsidP="00761A62">
            <w:pPr>
              <w:spacing w:before="120" w:after="120"/>
              <w:jc w:val="center"/>
              <w:rPr>
                <w:rFonts w:asciiTheme="minorHAnsi" w:hAnsiTheme="minorHAnsi"/>
                <w:szCs w:val="24"/>
              </w:rPr>
            </w:pPr>
            <w:r>
              <w:t xml:space="preserve">$ </w:t>
            </w:r>
            <w:r w:rsidR="00CC025A">
              <w:t>70</w:t>
            </w:r>
            <w:r w:rsidR="005C3DAC">
              <w:t>5.00</w:t>
            </w:r>
          </w:p>
        </w:tc>
        <w:tc>
          <w:tcPr>
            <w:tcW w:w="3014" w:type="dxa"/>
            <w:vAlign w:val="center"/>
          </w:tcPr>
          <w:p w14:paraId="20F02305" w14:textId="62C44A1D" w:rsidR="00DB6EEE" w:rsidRPr="007F4343" w:rsidRDefault="00DB6EEE" w:rsidP="00CF3E4E">
            <w:pPr>
              <w:spacing w:before="120" w:after="120"/>
              <w:jc w:val="center"/>
              <w:rPr>
                <w:rFonts w:asciiTheme="minorHAnsi" w:hAnsiTheme="minorHAnsi"/>
                <w:szCs w:val="24"/>
              </w:rPr>
            </w:pPr>
            <w:r>
              <w:t xml:space="preserve">$ </w:t>
            </w:r>
            <w:r w:rsidR="00CC025A">
              <w:t>1</w:t>
            </w:r>
            <w:r w:rsidR="00CF3E4E">
              <w:t>,</w:t>
            </w:r>
            <w:r w:rsidR="00CC025A">
              <w:t>21</w:t>
            </w:r>
            <w:r w:rsidR="005C3DAC">
              <w:t>7</w:t>
            </w:r>
            <w:r w:rsidR="00CC025A">
              <w:t>.5</w:t>
            </w:r>
            <w:r w:rsidR="005C3DAC">
              <w:t>0</w:t>
            </w:r>
          </w:p>
        </w:tc>
      </w:tr>
      <w:tr w:rsidR="00DB6EEE" w:rsidRPr="00835B1D" w14:paraId="0E7F54B0" w14:textId="77777777" w:rsidTr="008B00A4">
        <w:tc>
          <w:tcPr>
            <w:tcW w:w="2988" w:type="dxa"/>
          </w:tcPr>
          <w:p w14:paraId="32D3C0E2" w14:textId="77777777" w:rsidR="00DB6EEE" w:rsidRPr="007F4343" w:rsidRDefault="00DB6EEE" w:rsidP="006B25C7">
            <w:pPr>
              <w:spacing w:before="120" w:after="120"/>
            </w:pPr>
            <w:r w:rsidRPr="007F4343">
              <w:t>1</w:t>
            </w:r>
          </w:p>
        </w:tc>
        <w:tc>
          <w:tcPr>
            <w:tcW w:w="3014" w:type="dxa"/>
            <w:tcBorders>
              <w:bottom w:val="single" w:sz="4" w:space="0" w:color="auto"/>
            </w:tcBorders>
            <w:vAlign w:val="center"/>
          </w:tcPr>
          <w:p w14:paraId="009B6B35" w14:textId="2F6BC029" w:rsidR="00DB6EEE" w:rsidRPr="007F4343" w:rsidRDefault="00DB6EEE" w:rsidP="00761A62">
            <w:pPr>
              <w:spacing w:before="120" w:after="120"/>
              <w:jc w:val="center"/>
              <w:rPr>
                <w:rFonts w:asciiTheme="minorHAnsi" w:hAnsiTheme="minorHAnsi"/>
                <w:szCs w:val="24"/>
              </w:rPr>
            </w:pPr>
            <w:r>
              <w:t xml:space="preserve">$ </w:t>
            </w:r>
            <w:r w:rsidR="001B5CF1">
              <w:t>1,</w:t>
            </w:r>
            <w:r w:rsidR="00CC025A">
              <w:t>21</w:t>
            </w:r>
            <w:r w:rsidR="005C3DAC">
              <w:t>7</w:t>
            </w:r>
            <w:r w:rsidR="00CC025A">
              <w:t>.5</w:t>
            </w:r>
            <w:r w:rsidR="005C3DAC">
              <w:t>0</w:t>
            </w:r>
          </w:p>
        </w:tc>
        <w:tc>
          <w:tcPr>
            <w:tcW w:w="3014" w:type="dxa"/>
            <w:tcBorders>
              <w:bottom w:val="single" w:sz="4" w:space="0" w:color="auto"/>
            </w:tcBorders>
            <w:vAlign w:val="center"/>
          </w:tcPr>
          <w:p w14:paraId="656C8035" w14:textId="4BFD39E2" w:rsidR="00DB6EEE" w:rsidRPr="007F4343" w:rsidRDefault="00DB6EEE" w:rsidP="00686043">
            <w:pPr>
              <w:spacing w:before="120" w:after="120"/>
              <w:jc w:val="center"/>
              <w:rPr>
                <w:rFonts w:asciiTheme="minorHAnsi" w:hAnsiTheme="minorHAnsi"/>
                <w:szCs w:val="24"/>
              </w:rPr>
            </w:pPr>
            <w:r>
              <w:t xml:space="preserve">$ </w:t>
            </w:r>
            <w:r w:rsidR="00CC025A">
              <w:t>1</w:t>
            </w:r>
            <w:r w:rsidR="00CF3E4E">
              <w:t>,</w:t>
            </w:r>
            <w:r w:rsidR="00CC025A">
              <w:t>2</w:t>
            </w:r>
            <w:r w:rsidR="005C3DAC">
              <w:t>60</w:t>
            </w:r>
            <w:r w:rsidR="00CC025A">
              <w:t>.</w:t>
            </w:r>
            <w:r w:rsidR="005C3DAC">
              <w:t>00</w:t>
            </w:r>
          </w:p>
        </w:tc>
      </w:tr>
      <w:tr w:rsidR="00DC2E0B" w:rsidRPr="00835B1D" w14:paraId="257EE38C" w14:textId="77777777" w:rsidTr="008B00A4">
        <w:tc>
          <w:tcPr>
            <w:tcW w:w="2988" w:type="dxa"/>
          </w:tcPr>
          <w:p w14:paraId="45E0A44D" w14:textId="77777777" w:rsidR="00DC2E0B" w:rsidRPr="007F4343" w:rsidRDefault="00DC2E0B" w:rsidP="00DC2E0B">
            <w:pPr>
              <w:spacing w:before="120" w:after="120"/>
            </w:pPr>
            <w:r w:rsidRPr="007F4343">
              <w:t>2</w:t>
            </w:r>
          </w:p>
        </w:tc>
        <w:tc>
          <w:tcPr>
            <w:tcW w:w="3014" w:type="dxa"/>
            <w:tcBorders>
              <w:top w:val="single" w:sz="4" w:space="0" w:color="auto"/>
              <w:left w:val="nil"/>
              <w:bottom w:val="single" w:sz="4" w:space="0" w:color="auto"/>
              <w:right w:val="single" w:sz="4" w:space="0" w:color="auto"/>
            </w:tcBorders>
            <w:shd w:val="clear" w:color="auto" w:fill="auto"/>
            <w:vAlign w:val="bottom"/>
          </w:tcPr>
          <w:p w14:paraId="560BF8EF" w14:textId="4CA25DF4" w:rsidR="00DC2E0B" w:rsidRPr="008B00A4" w:rsidRDefault="00DC2E0B">
            <w:pPr>
              <w:spacing w:before="120" w:after="120"/>
              <w:jc w:val="center"/>
            </w:pPr>
            <w:r>
              <w:t xml:space="preserve">$ </w:t>
            </w:r>
            <w:r w:rsidRPr="008B00A4">
              <w:t xml:space="preserve">1,260.00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2459D64C" w14:textId="0BFB4517" w:rsidR="00DC2E0B" w:rsidRPr="008B00A4" w:rsidRDefault="00E81C6D">
            <w:pPr>
              <w:spacing w:before="120" w:after="120"/>
              <w:jc w:val="center"/>
            </w:pPr>
            <w:r>
              <w:t>$</w:t>
            </w:r>
            <w:r w:rsidR="00DC2E0B" w:rsidRPr="008B00A4">
              <w:t xml:space="preserve"> 1,302.50 </w:t>
            </w:r>
          </w:p>
        </w:tc>
      </w:tr>
      <w:tr w:rsidR="00DC2E0B" w:rsidRPr="00835B1D" w14:paraId="019E7DF4" w14:textId="77777777" w:rsidTr="008B00A4">
        <w:tc>
          <w:tcPr>
            <w:tcW w:w="2988" w:type="dxa"/>
          </w:tcPr>
          <w:p w14:paraId="0FEC45B5" w14:textId="77777777" w:rsidR="00DC2E0B" w:rsidRPr="007F4343" w:rsidRDefault="00DC2E0B" w:rsidP="00DC2E0B">
            <w:pPr>
              <w:spacing w:before="120" w:after="120"/>
            </w:pPr>
            <w:r w:rsidRPr="007F4343">
              <w:t>3</w:t>
            </w:r>
          </w:p>
        </w:tc>
        <w:tc>
          <w:tcPr>
            <w:tcW w:w="3014" w:type="dxa"/>
            <w:tcBorders>
              <w:top w:val="single" w:sz="4" w:space="0" w:color="auto"/>
              <w:left w:val="nil"/>
              <w:bottom w:val="single" w:sz="4" w:space="0" w:color="auto"/>
              <w:right w:val="single" w:sz="4" w:space="0" w:color="auto"/>
            </w:tcBorders>
            <w:shd w:val="clear" w:color="auto" w:fill="auto"/>
            <w:vAlign w:val="bottom"/>
          </w:tcPr>
          <w:p w14:paraId="763AEE0B" w14:textId="419648F7" w:rsidR="00DC2E0B" w:rsidRPr="008B00A4" w:rsidRDefault="00DC2E0B">
            <w:pPr>
              <w:spacing w:before="120" w:after="120"/>
              <w:jc w:val="center"/>
            </w:pPr>
            <w:r>
              <w:t>$</w:t>
            </w:r>
            <w:r w:rsidRPr="008B00A4">
              <w:t xml:space="preserve"> 1,302.50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4DCB0C2A" w14:textId="3D79FBC1" w:rsidR="00DC2E0B" w:rsidRPr="008B00A4" w:rsidRDefault="00E81C6D">
            <w:pPr>
              <w:spacing w:before="120" w:after="120"/>
              <w:jc w:val="center"/>
            </w:pPr>
            <w:r>
              <w:t>$</w:t>
            </w:r>
            <w:r w:rsidR="00DC2E0B" w:rsidRPr="008B00A4">
              <w:t xml:space="preserve"> 1,345.00 </w:t>
            </w:r>
          </w:p>
        </w:tc>
      </w:tr>
      <w:tr w:rsidR="00DC2E0B" w:rsidRPr="00835B1D" w14:paraId="2BA139D3" w14:textId="77777777" w:rsidTr="008B00A4">
        <w:tc>
          <w:tcPr>
            <w:tcW w:w="2988" w:type="dxa"/>
          </w:tcPr>
          <w:p w14:paraId="3852B330" w14:textId="77777777" w:rsidR="00DC2E0B" w:rsidRPr="007F4343" w:rsidRDefault="00DC2E0B" w:rsidP="00DC2E0B">
            <w:pPr>
              <w:spacing w:before="120" w:after="120"/>
            </w:pPr>
            <w:r w:rsidRPr="007F4343">
              <w:t>4</w:t>
            </w:r>
          </w:p>
        </w:tc>
        <w:tc>
          <w:tcPr>
            <w:tcW w:w="3014" w:type="dxa"/>
            <w:tcBorders>
              <w:top w:val="single" w:sz="4" w:space="0" w:color="auto"/>
              <w:left w:val="nil"/>
              <w:bottom w:val="single" w:sz="4" w:space="0" w:color="auto"/>
              <w:right w:val="single" w:sz="4" w:space="0" w:color="auto"/>
            </w:tcBorders>
            <w:shd w:val="clear" w:color="auto" w:fill="auto"/>
            <w:vAlign w:val="bottom"/>
          </w:tcPr>
          <w:p w14:paraId="57B0FF18" w14:textId="0BBBF4A8" w:rsidR="00DC2E0B" w:rsidRPr="008B00A4" w:rsidRDefault="00DC2E0B">
            <w:pPr>
              <w:spacing w:before="120" w:after="120"/>
              <w:jc w:val="center"/>
            </w:pPr>
            <w:r>
              <w:t xml:space="preserve">$ </w:t>
            </w:r>
            <w:r w:rsidRPr="008B00A4">
              <w:t xml:space="preserve">1,345.00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3C372C09" w14:textId="44A586D4" w:rsidR="00DC2E0B" w:rsidRPr="008B00A4" w:rsidRDefault="00E81C6D">
            <w:pPr>
              <w:spacing w:before="120" w:after="120"/>
              <w:jc w:val="center"/>
            </w:pPr>
            <w:r>
              <w:t>$</w:t>
            </w:r>
            <w:r w:rsidR="00DC2E0B" w:rsidRPr="008B00A4">
              <w:t xml:space="preserve"> 1,387.50 </w:t>
            </w:r>
          </w:p>
        </w:tc>
      </w:tr>
      <w:tr w:rsidR="00DC2E0B" w:rsidRPr="00835B1D" w14:paraId="5E385652" w14:textId="77777777" w:rsidTr="008B00A4">
        <w:tc>
          <w:tcPr>
            <w:tcW w:w="2988" w:type="dxa"/>
          </w:tcPr>
          <w:p w14:paraId="63342459" w14:textId="77777777" w:rsidR="00DC2E0B" w:rsidRPr="007F4343" w:rsidRDefault="00DC2E0B" w:rsidP="00DC2E0B">
            <w:pPr>
              <w:spacing w:before="120" w:after="120"/>
            </w:pPr>
            <w:r w:rsidRPr="007F4343">
              <w:t>5</w:t>
            </w:r>
          </w:p>
        </w:tc>
        <w:tc>
          <w:tcPr>
            <w:tcW w:w="3014" w:type="dxa"/>
            <w:tcBorders>
              <w:top w:val="single" w:sz="4" w:space="0" w:color="auto"/>
              <w:left w:val="nil"/>
              <w:bottom w:val="single" w:sz="4" w:space="0" w:color="auto"/>
              <w:right w:val="single" w:sz="4" w:space="0" w:color="auto"/>
            </w:tcBorders>
            <w:shd w:val="clear" w:color="auto" w:fill="auto"/>
            <w:vAlign w:val="bottom"/>
          </w:tcPr>
          <w:p w14:paraId="62635C39" w14:textId="1D325CE4" w:rsidR="00DC2E0B" w:rsidRPr="008B00A4" w:rsidRDefault="00DC2E0B">
            <w:pPr>
              <w:spacing w:before="120" w:after="120"/>
              <w:jc w:val="center"/>
            </w:pPr>
            <w:r>
              <w:t>$</w:t>
            </w:r>
            <w:r w:rsidRPr="008B00A4">
              <w:t xml:space="preserve"> 1,387.50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18D5D425" w14:textId="3252186D" w:rsidR="00DC2E0B" w:rsidRPr="008B00A4" w:rsidRDefault="00E81C6D">
            <w:pPr>
              <w:spacing w:before="120" w:after="120"/>
              <w:jc w:val="center"/>
            </w:pPr>
            <w:r>
              <w:t>$</w:t>
            </w:r>
            <w:r w:rsidR="00DC2E0B" w:rsidRPr="008B00A4">
              <w:t xml:space="preserve"> 1,430.00 </w:t>
            </w:r>
          </w:p>
        </w:tc>
      </w:tr>
      <w:tr w:rsidR="00DC2E0B" w:rsidRPr="00835B1D" w14:paraId="3EC96233" w14:textId="77777777" w:rsidTr="008B00A4">
        <w:tc>
          <w:tcPr>
            <w:tcW w:w="2988" w:type="dxa"/>
          </w:tcPr>
          <w:p w14:paraId="3254818C" w14:textId="77777777" w:rsidR="00DC2E0B" w:rsidRPr="007F4343" w:rsidRDefault="00DC2E0B" w:rsidP="00DC2E0B">
            <w:pPr>
              <w:spacing w:before="120" w:after="120"/>
            </w:pPr>
            <w:r w:rsidRPr="007F4343">
              <w:t>6</w:t>
            </w:r>
          </w:p>
        </w:tc>
        <w:tc>
          <w:tcPr>
            <w:tcW w:w="3014" w:type="dxa"/>
            <w:tcBorders>
              <w:top w:val="single" w:sz="4" w:space="0" w:color="auto"/>
              <w:left w:val="nil"/>
              <w:bottom w:val="single" w:sz="4" w:space="0" w:color="auto"/>
              <w:right w:val="single" w:sz="4" w:space="0" w:color="auto"/>
            </w:tcBorders>
            <w:shd w:val="clear" w:color="auto" w:fill="auto"/>
            <w:vAlign w:val="bottom"/>
          </w:tcPr>
          <w:p w14:paraId="6EFAB811" w14:textId="127FDF46" w:rsidR="00DC2E0B" w:rsidRPr="008B00A4" w:rsidRDefault="00E81C6D">
            <w:pPr>
              <w:spacing w:before="120" w:after="120"/>
              <w:jc w:val="center"/>
            </w:pPr>
            <w:r>
              <w:t>$</w:t>
            </w:r>
            <w:r w:rsidR="00DC2E0B" w:rsidRPr="008B00A4">
              <w:t xml:space="preserve"> 1,430.00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237446B5" w14:textId="4EA53375" w:rsidR="00DC2E0B" w:rsidRPr="008B00A4" w:rsidRDefault="00E81C6D">
            <w:pPr>
              <w:spacing w:before="120" w:after="120"/>
              <w:jc w:val="center"/>
            </w:pPr>
            <w:r>
              <w:t>$</w:t>
            </w:r>
            <w:r w:rsidR="00DC2E0B" w:rsidRPr="008B00A4">
              <w:t xml:space="preserve"> 1,472.50 </w:t>
            </w:r>
          </w:p>
        </w:tc>
      </w:tr>
      <w:tr w:rsidR="00DC2E0B" w:rsidRPr="00835B1D" w14:paraId="0D33773A" w14:textId="77777777" w:rsidTr="008B00A4">
        <w:tc>
          <w:tcPr>
            <w:tcW w:w="2988" w:type="dxa"/>
          </w:tcPr>
          <w:p w14:paraId="4EC90D34" w14:textId="77777777" w:rsidR="00DC2E0B" w:rsidRPr="007F4343" w:rsidRDefault="00DC2E0B" w:rsidP="00DC2E0B">
            <w:pPr>
              <w:spacing w:before="120" w:after="120"/>
            </w:pPr>
            <w:r w:rsidRPr="007F4343">
              <w:t>7</w:t>
            </w:r>
          </w:p>
        </w:tc>
        <w:tc>
          <w:tcPr>
            <w:tcW w:w="3014" w:type="dxa"/>
            <w:tcBorders>
              <w:top w:val="single" w:sz="4" w:space="0" w:color="auto"/>
              <w:left w:val="nil"/>
              <w:bottom w:val="single" w:sz="4" w:space="0" w:color="auto"/>
              <w:right w:val="single" w:sz="4" w:space="0" w:color="auto"/>
            </w:tcBorders>
            <w:shd w:val="clear" w:color="auto" w:fill="auto"/>
            <w:vAlign w:val="bottom"/>
          </w:tcPr>
          <w:p w14:paraId="120C5318" w14:textId="32B3DDBB" w:rsidR="00DC2E0B" w:rsidRPr="008B00A4" w:rsidRDefault="00E81C6D">
            <w:pPr>
              <w:spacing w:before="120" w:after="120"/>
              <w:jc w:val="center"/>
            </w:pPr>
            <w:r>
              <w:t>$</w:t>
            </w:r>
            <w:r w:rsidR="00DC2E0B" w:rsidRPr="008B00A4">
              <w:t xml:space="preserve"> 1,472.50 </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tcPr>
          <w:p w14:paraId="7DDC72F7" w14:textId="04629DEB" w:rsidR="00DC2E0B" w:rsidRPr="008B00A4" w:rsidRDefault="00E81C6D">
            <w:pPr>
              <w:spacing w:before="120" w:after="120"/>
              <w:jc w:val="center"/>
            </w:pPr>
            <w:r>
              <w:t>$</w:t>
            </w:r>
            <w:r w:rsidR="00DC2E0B" w:rsidRPr="008B00A4">
              <w:t xml:space="preserve"> 1,515.00 </w:t>
            </w:r>
          </w:p>
        </w:tc>
      </w:tr>
      <w:tr w:rsidR="00D61E93" w:rsidRPr="00835B1D" w14:paraId="6F20D9C6" w14:textId="77777777" w:rsidTr="008B00A4">
        <w:tc>
          <w:tcPr>
            <w:tcW w:w="2988" w:type="dxa"/>
          </w:tcPr>
          <w:p w14:paraId="0A71AB8A" w14:textId="77777777" w:rsidR="00D61E93" w:rsidRPr="007F4343" w:rsidRDefault="00D61E93" w:rsidP="006B25C7">
            <w:pPr>
              <w:spacing w:before="120" w:after="120"/>
            </w:pPr>
            <w:r w:rsidRPr="007F4343">
              <w:t>Each additional child</w:t>
            </w:r>
          </w:p>
        </w:tc>
        <w:tc>
          <w:tcPr>
            <w:tcW w:w="3014" w:type="dxa"/>
            <w:tcBorders>
              <w:top w:val="single" w:sz="4" w:space="0" w:color="auto"/>
            </w:tcBorders>
          </w:tcPr>
          <w:p w14:paraId="45CE7AD7" w14:textId="2C513BB1" w:rsidR="00D61E93" w:rsidRPr="007F4343" w:rsidRDefault="00D61E93" w:rsidP="006B25C7">
            <w:pPr>
              <w:spacing w:before="120" w:after="120"/>
              <w:jc w:val="center"/>
            </w:pPr>
            <w:r w:rsidRPr="007F4343">
              <w:t>$</w:t>
            </w:r>
            <w:r>
              <w:t xml:space="preserve"> </w:t>
            </w:r>
            <w:r w:rsidR="005F63D5">
              <w:t>42.50</w:t>
            </w:r>
          </w:p>
        </w:tc>
        <w:tc>
          <w:tcPr>
            <w:tcW w:w="3014" w:type="dxa"/>
            <w:tcBorders>
              <w:top w:val="single" w:sz="4" w:space="0" w:color="auto"/>
            </w:tcBorders>
          </w:tcPr>
          <w:p w14:paraId="1D4B5C4E" w14:textId="01ED65B4" w:rsidR="00D61E93" w:rsidRPr="007F4343" w:rsidRDefault="00D61E93" w:rsidP="006B25C7">
            <w:pPr>
              <w:spacing w:before="120" w:after="120"/>
              <w:jc w:val="center"/>
            </w:pPr>
            <w:r w:rsidRPr="007F4343">
              <w:t>$</w:t>
            </w:r>
            <w:r>
              <w:t xml:space="preserve"> </w:t>
            </w:r>
            <w:r w:rsidR="005F63D5">
              <w:t>42.5</w:t>
            </w:r>
            <w:r>
              <w:t>0</w:t>
            </w:r>
          </w:p>
        </w:tc>
      </w:tr>
    </w:tbl>
    <w:p w14:paraId="36C94AB8" w14:textId="7BB5D158" w:rsidR="004E580F" w:rsidRPr="007F4343" w:rsidRDefault="004E580F" w:rsidP="004B18C3">
      <w:pPr>
        <w:spacing w:before="120" w:after="120"/>
      </w:pPr>
      <w:r w:rsidRPr="007F4343">
        <w:t>Effective from:</w:t>
      </w:r>
      <w:r w:rsidR="008B00A4">
        <w:t xml:space="preserve"> 11 September</w:t>
      </w:r>
      <w:r w:rsidRPr="007F4343">
        <w:t xml:space="preserve"> </w:t>
      </w:r>
      <w:r w:rsidR="00A85FE4">
        <w:t>2019</w:t>
      </w:r>
    </w:p>
    <w:p w14:paraId="4F90F57A" w14:textId="5ED72553" w:rsidR="004E580F" w:rsidRPr="007F4343" w:rsidRDefault="004E580F" w:rsidP="004B18C3">
      <w:pPr>
        <w:spacing w:before="120" w:after="120"/>
      </w:pPr>
      <w:r w:rsidRPr="007F4343">
        <w:t xml:space="preserve">These Income Threshold rates are taken from the </w:t>
      </w:r>
      <w:r w:rsidR="007374A2">
        <w:t>Human Services</w:t>
      </w:r>
      <w:r w:rsidR="007374A2" w:rsidRPr="007F4343">
        <w:t xml:space="preserve"> </w:t>
      </w:r>
      <w:r w:rsidRPr="007F4343">
        <w:t>Low Income Health Care Card limits and are set at 25% higher than the rate at which a person can obtain a Low Income Health Care Card. These limits (except for child add-on) are indexed twice yearly, in March and September, based on movements in the Consumer Price Index.</w:t>
      </w:r>
    </w:p>
    <w:sectPr w:rsidR="004E580F" w:rsidRPr="007F4343" w:rsidSect="00200F57">
      <w:headerReference w:type="even" r:id="rId15"/>
      <w:headerReference w:type="default" r:id="rId16"/>
      <w:footerReference w:type="even" r:id="rId17"/>
      <w:footerReference w:type="default" r:id="rId18"/>
      <w:headerReference w:type="first" r:id="rId19"/>
      <w:footerReference w:type="first" r:id="rId20"/>
      <w:pgSz w:w="11906" w:h="16838" w:code="9"/>
      <w:pgMar w:top="709"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B174" w14:textId="77777777" w:rsidR="004E08DD" w:rsidRDefault="004E08DD" w:rsidP="003E49D5">
      <w:r>
        <w:separator/>
      </w:r>
    </w:p>
  </w:endnote>
  <w:endnote w:type="continuationSeparator" w:id="0">
    <w:p w14:paraId="555BB5B1" w14:textId="77777777" w:rsidR="004E08DD" w:rsidRDefault="004E08DD" w:rsidP="003E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E9AF" w14:textId="77777777" w:rsidR="00B61E22" w:rsidRDefault="00B61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27106999"/>
      <w:docPartObj>
        <w:docPartGallery w:val="Page Numbers (Bottom of Page)"/>
        <w:docPartUnique/>
      </w:docPartObj>
    </w:sdtPr>
    <w:sdtEndPr>
      <w:rPr>
        <w:noProof/>
      </w:rPr>
    </w:sdtEndPr>
    <w:sdtContent>
      <w:p w14:paraId="7E659791" w14:textId="092D18FB" w:rsidR="00DB2C3A" w:rsidRPr="00DB2C3A" w:rsidRDefault="00DB2C3A" w:rsidP="00DB2C3A">
        <w:pPr>
          <w:pStyle w:val="Footer"/>
          <w:rPr>
            <w:color w:val="7F7F7F" w:themeColor="text1" w:themeTint="80"/>
            <w:sz w:val="16"/>
            <w:szCs w:val="16"/>
          </w:rPr>
        </w:pPr>
        <w:r w:rsidRPr="00DB2C3A">
          <w:rPr>
            <w:color w:val="7F7F7F" w:themeColor="text1" w:themeTint="80"/>
            <w:sz w:val="16"/>
            <w:szCs w:val="16"/>
          </w:rPr>
          <w:t>Disability Management Service Participants Not Receiving Income Support Guideline</w:t>
        </w:r>
        <w:r w:rsidR="00717A10">
          <w:rPr>
            <w:color w:val="7F7F7F" w:themeColor="text1" w:themeTint="80"/>
            <w:sz w:val="16"/>
            <w:szCs w:val="16"/>
          </w:rPr>
          <w:t>s</w:t>
        </w:r>
        <w:r w:rsidR="001F1DD2">
          <w:rPr>
            <w:color w:val="7F7F7F" w:themeColor="text1" w:themeTint="80"/>
            <w:sz w:val="16"/>
            <w:szCs w:val="16"/>
          </w:rPr>
          <w:t xml:space="preserve"> </w:t>
        </w:r>
        <w:r w:rsidR="00223542">
          <w:rPr>
            <w:color w:val="7F7F7F" w:themeColor="text1" w:themeTint="80"/>
            <w:sz w:val="16"/>
            <w:szCs w:val="16"/>
          </w:rPr>
          <w:t>V1.</w:t>
        </w:r>
        <w:r w:rsidR="004D5D87">
          <w:rPr>
            <w:color w:val="7F7F7F" w:themeColor="text1" w:themeTint="80"/>
            <w:sz w:val="16"/>
            <w:szCs w:val="16"/>
          </w:rPr>
          <w:t>3</w:t>
        </w:r>
      </w:p>
      <w:p w14:paraId="1A74A025" w14:textId="7CE68A51" w:rsidR="00DB2C3A" w:rsidRPr="00DB2C3A" w:rsidRDefault="00200F57" w:rsidP="00DB2C3A">
        <w:pPr>
          <w:rPr>
            <w:color w:val="7F7F7F" w:themeColor="text1" w:themeTint="80"/>
            <w:sz w:val="16"/>
            <w:szCs w:val="16"/>
          </w:rPr>
        </w:pPr>
        <w:r>
          <w:rPr>
            <w:color w:val="7F7F7F" w:themeColor="text1" w:themeTint="80"/>
            <w:sz w:val="16"/>
            <w:szCs w:val="16"/>
          </w:rPr>
          <w:t>Trim ID:</w:t>
        </w:r>
        <w:r w:rsidR="003E311C">
          <w:rPr>
            <w:color w:val="7F7F7F" w:themeColor="text1" w:themeTint="80"/>
            <w:sz w:val="16"/>
            <w:szCs w:val="16"/>
          </w:rPr>
          <w:t xml:space="preserve"> </w:t>
        </w:r>
        <w:r w:rsidR="003E311C" w:rsidRPr="003E311C">
          <w:rPr>
            <w:color w:val="7F7F7F" w:themeColor="text1" w:themeTint="80"/>
            <w:sz w:val="16"/>
            <w:szCs w:val="16"/>
          </w:rPr>
          <w:t>D20/52693</w:t>
        </w:r>
        <w:bookmarkStart w:id="29" w:name="_GoBack"/>
        <w:bookmarkEnd w:id="29"/>
      </w:p>
      <w:p w14:paraId="20BF0B05" w14:textId="18BB5A7D" w:rsidR="00990D7A" w:rsidRPr="00DB2C3A" w:rsidRDefault="00990D7A" w:rsidP="005C3DAC">
        <w:pPr>
          <w:tabs>
            <w:tab w:val="left" w:pos="6804"/>
          </w:tabs>
          <w:rPr>
            <w:color w:val="7F7F7F" w:themeColor="text1" w:themeTint="80"/>
            <w:sz w:val="16"/>
            <w:szCs w:val="16"/>
          </w:rPr>
        </w:pPr>
        <w:r w:rsidRPr="00DB2C3A">
          <w:rPr>
            <w:color w:val="7F7F7F" w:themeColor="text1" w:themeTint="80"/>
            <w:sz w:val="16"/>
            <w:szCs w:val="16"/>
          </w:rPr>
          <w:t>Arc</w:t>
        </w:r>
        <w:r>
          <w:rPr>
            <w:color w:val="7F7F7F" w:themeColor="text1" w:themeTint="80"/>
            <w:sz w:val="16"/>
            <w:szCs w:val="16"/>
          </w:rPr>
          <w:t xml:space="preserve"> Record Number</w:t>
        </w:r>
        <w:r w:rsidRPr="00DB2C3A">
          <w:rPr>
            <w:color w:val="7F7F7F" w:themeColor="text1" w:themeTint="80"/>
            <w:sz w:val="16"/>
            <w:szCs w:val="16"/>
          </w:rPr>
          <w:t xml:space="preserve">: </w:t>
        </w:r>
        <w:r w:rsidR="00B61E22">
          <w:rPr>
            <w:color w:val="7F7F7F" w:themeColor="text1" w:themeTint="80"/>
            <w:sz w:val="16"/>
            <w:szCs w:val="16"/>
          </w:rPr>
          <w:t>D20/29308</w:t>
        </w:r>
        <w:r w:rsidR="000735EE">
          <w:tab/>
        </w:r>
        <w:r w:rsidR="005C3DAC">
          <w:rPr>
            <w:color w:val="7F7F7F" w:themeColor="text1" w:themeTint="80"/>
            <w:sz w:val="16"/>
            <w:szCs w:val="16"/>
          </w:rPr>
          <w:t xml:space="preserve">Effective Date: </w:t>
        </w:r>
        <w:r w:rsidR="00552947">
          <w:rPr>
            <w:color w:val="7F7F7F" w:themeColor="text1" w:themeTint="80"/>
            <w:sz w:val="16"/>
            <w:szCs w:val="16"/>
          </w:rPr>
          <w:t>9</w:t>
        </w:r>
        <w:r w:rsidR="005C3DAC">
          <w:rPr>
            <w:color w:val="7F7F7F" w:themeColor="text1" w:themeTint="80"/>
            <w:sz w:val="16"/>
            <w:szCs w:val="16"/>
          </w:rPr>
          <w:t xml:space="preserve"> </w:t>
        </w:r>
        <w:r w:rsidR="00552947">
          <w:rPr>
            <w:color w:val="7F7F7F" w:themeColor="text1" w:themeTint="80"/>
            <w:sz w:val="16"/>
            <w:szCs w:val="16"/>
          </w:rPr>
          <w:t>March</w:t>
        </w:r>
        <w:r w:rsidR="000735EE" w:rsidRPr="000735EE">
          <w:rPr>
            <w:color w:val="7F7F7F" w:themeColor="text1" w:themeTint="80"/>
            <w:sz w:val="16"/>
            <w:szCs w:val="16"/>
          </w:rPr>
          <w:t xml:space="preserve"> 20</w:t>
        </w:r>
        <w:r w:rsidR="00552947">
          <w:rPr>
            <w:color w:val="7F7F7F" w:themeColor="text1" w:themeTint="80"/>
            <w:sz w:val="16"/>
            <w:szCs w:val="16"/>
          </w:rPr>
          <w:t>20</w:t>
        </w:r>
      </w:p>
      <w:p w14:paraId="11E7B659" w14:textId="0B769A2D" w:rsidR="00700E67" w:rsidRPr="00DB2C3A" w:rsidRDefault="00DB2C3A" w:rsidP="00DB2C3A">
        <w:pPr>
          <w:pStyle w:val="Footer"/>
          <w:jc w:val="center"/>
          <w:rPr>
            <w:sz w:val="16"/>
            <w:szCs w:val="16"/>
          </w:rPr>
        </w:pPr>
        <w:r w:rsidRPr="00DB2C3A">
          <w:rPr>
            <w:color w:val="7F7F7F" w:themeColor="text1" w:themeTint="80"/>
            <w:sz w:val="16"/>
            <w:szCs w:val="16"/>
          </w:rPr>
          <w:fldChar w:fldCharType="begin"/>
        </w:r>
        <w:r w:rsidRPr="00DB2C3A">
          <w:rPr>
            <w:color w:val="7F7F7F" w:themeColor="text1" w:themeTint="80"/>
            <w:sz w:val="16"/>
            <w:szCs w:val="16"/>
          </w:rPr>
          <w:instrText xml:space="preserve"> PAGE   \* MERGEFORMAT </w:instrText>
        </w:r>
        <w:r w:rsidRPr="00DB2C3A">
          <w:rPr>
            <w:color w:val="7F7F7F" w:themeColor="text1" w:themeTint="80"/>
            <w:sz w:val="16"/>
            <w:szCs w:val="16"/>
          </w:rPr>
          <w:fldChar w:fldCharType="separate"/>
        </w:r>
        <w:r w:rsidR="003E311C">
          <w:rPr>
            <w:noProof/>
            <w:color w:val="7F7F7F" w:themeColor="text1" w:themeTint="80"/>
            <w:sz w:val="16"/>
            <w:szCs w:val="16"/>
          </w:rPr>
          <w:t>2</w:t>
        </w:r>
        <w:r w:rsidRPr="00DB2C3A">
          <w:rPr>
            <w:noProof/>
            <w:color w:val="7F7F7F" w:themeColor="text1" w:themeTint="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96148577"/>
      <w:docPartObj>
        <w:docPartGallery w:val="Page Numbers (Bottom of Page)"/>
        <w:docPartUnique/>
      </w:docPartObj>
    </w:sdtPr>
    <w:sdtEndPr>
      <w:rPr>
        <w:noProof/>
      </w:rPr>
    </w:sdtEndPr>
    <w:sdtContent>
      <w:p w14:paraId="4485C09C" w14:textId="62B1E77B" w:rsidR="00700E67" w:rsidRPr="00DB2C3A" w:rsidRDefault="00700E67" w:rsidP="003E49D5">
        <w:pPr>
          <w:pStyle w:val="Footer"/>
          <w:rPr>
            <w:color w:val="7F7F7F" w:themeColor="text1" w:themeTint="80"/>
            <w:sz w:val="16"/>
            <w:szCs w:val="16"/>
          </w:rPr>
        </w:pPr>
        <w:r w:rsidRPr="00DB2C3A">
          <w:rPr>
            <w:color w:val="7F7F7F" w:themeColor="text1" w:themeTint="80"/>
            <w:sz w:val="16"/>
            <w:szCs w:val="16"/>
          </w:rPr>
          <w:t>Disability Management Service Participants Not Receiving Income Support Guideline</w:t>
        </w:r>
        <w:r w:rsidR="00717A10">
          <w:rPr>
            <w:color w:val="7F7F7F" w:themeColor="text1" w:themeTint="80"/>
            <w:sz w:val="16"/>
            <w:szCs w:val="16"/>
          </w:rPr>
          <w:t>s</w:t>
        </w:r>
        <w:r w:rsidRPr="00DB2C3A">
          <w:rPr>
            <w:color w:val="7F7F7F" w:themeColor="text1" w:themeTint="80"/>
            <w:sz w:val="16"/>
            <w:szCs w:val="16"/>
          </w:rPr>
          <w:t xml:space="preserve"> </w:t>
        </w:r>
        <w:r w:rsidR="00223542">
          <w:rPr>
            <w:color w:val="7F7F7F" w:themeColor="text1" w:themeTint="80"/>
            <w:sz w:val="16"/>
            <w:szCs w:val="16"/>
          </w:rPr>
          <w:t>V1.</w:t>
        </w:r>
        <w:r w:rsidR="00A85FE4">
          <w:rPr>
            <w:color w:val="7F7F7F" w:themeColor="text1" w:themeTint="80"/>
            <w:sz w:val="16"/>
            <w:szCs w:val="16"/>
          </w:rPr>
          <w:t>2</w:t>
        </w:r>
      </w:p>
      <w:p w14:paraId="35FD2E31" w14:textId="0E3135CA" w:rsidR="00797BCE" w:rsidRPr="00DB2C3A" w:rsidRDefault="0042388E" w:rsidP="003E49D5">
        <w:pPr>
          <w:rPr>
            <w:color w:val="7F7F7F" w:themeColor="text1" w:themeTint="80"/>
            <w:sz w:val="16"/>
            <w:szCs w:val="16"/>
          </w:rPr>
        </w:pPr>
        <w:r>
          <w:rPr>
            <w:color w:val="7F7F7F" w:themeColor="text1" w:themeTint="80"/>
            <w:sz w:val="16"/>
            <w:szCs w:val="16"/>
          </w:rPr>
          <w:t xml:space="preserve">Trim ID: </w:t>
        </w:r>
        <w:r w:rsidR="003E311C" w:rsidRPr="003E311C">
          <w:rPr>
            <w:color w:val="7F7F7F" w:themeColor="text1" w:themeTint="80"/>
            <w:sz w:val="16"/>
            <w:szCs w:val="16"/>
          </w:rPr>
          <w:t>D20/52693</w:t>
        </w:r>
      </w:p>
      <w:p w14:paraId="5A3AEEAC" w14:textId="6A4AF460" w:rsidR="00700E67" w:rsidRPr="00DB2C3A" w:rsidRDefault="00700E67" w:rsidP="00287B95">
        <w:pPr>
          <w:tabs>
            <w:tab w:val="left" w:pos="6946"/>
          </w:tabs>
          <w:ind w:right="-330"/>
          <w:rPr>
            <w:color w:val="7F7F7F" w:themeColor="text1" w:themeTint="80"/>
            <w:sz w:val="16"/>
            <w:szCs w:val="16"/>
          </w:rPr>
        </w:pPr>
        <w:r w:rsidRPr="00DB2C3A">
          <w:rPr>
            <w:color w:val="7F7F7F" w:themeColor="text1" w:themeTint="80"/>
            <w:sz w:val="16"/>
            <w:szCs w:val="16"/>
          </w:rPr>
          <w:t>Arc</w:t>
        </w:r>
        <w:r w:rsidR="00990D7A">
          <w:rPr>
            <w:color w:val="7F7F7F" w:themeColor="text1" w:themeTint="80"/>
            <w:sz w:val="16"/>
            <w:szCs w:val="16"/>
          </w:rPr>
          <w:t xml:space="preserve"> Record Number</w:t>
        </w:r>
        <w:r w:rsidRPr="00DB2C3A">
          <w:rPr>
            <w:color w:val="7F7F7F" w:themeColor="text1" w:themeTint="80"/>
            <w:sz w:val="16"/>
            <w:szCs w:val="16"/>
          </w:rPr>
          <w:t>:</w:t>
        </w:r>
        <w:r w:rsidR="00AC6C36" w:rsidRPr="00DB2C3A">
          <w:rPr>
            <w:color w:val="7F7F7F" w:themeColor="text1" w:themeTint="80"/>
            <w:sz w:val="16"/>
            <w:szCs w:val="16"/>
          </w:rPr>
          <w:t xml:space="preserve"> </w:t>
        </w:r>
        <w:r w:rsidR="00B61E22">
          <w:rPr>
            <w:color w:val="7F7F7F" w:themeColor="text1" w:themeTint="80"/>
            <w:sz w:val="16"/>
            <w:szCs w:val="16"/>
          </w:rPr>
          <w:t>D20/29308</w:t>
        </w:r>
        <w:r w:rsidR="000735EE">
          <w:rPr>
            <w:color w:val="7F7F7F" w:themeColor="text1" w:themeTint="80"/>
            <w:sz w:val="16"/>
            <w:szCs w:val="16"/>
          </w:rPr>
          <w:tab/>
        </w:r>
        <w:r w:rsidR="000735EE" w:rsidRPr="000735EE">
          <w:rPr>
            <w:color w:val="7F7F7F" w:themeColor="text1" w:themeTint="80"/>
            <w:sz w:val="16"/>
            <w:szCs w:val="16"/>
          </w:rPr>
          <w:t xml:space="preserve">Effective Date: </w:t>
        </w:r>
        <w:r w:rsidR="00552947">
          <w:rPr>
            <w:color w:val="7F7F7F" w:themeColor="text1" w:themeTint="80"/>
            <w:sz w:val="16"/>
            <w:szCs w:val="16"/>
          </w:rPr>
          <w:t>9</w:t>
        </w:r>
        <w:r w:rsidR="00287B95">
          <w:rPr>
            <w:color w:val="7F7F7F" w:themeColor="text1" w:themeTint="80"/>
            <w:sz w:val="16"/>
            <w:szCs w:val="16"/>
          </w:rPr>
          <w:t xml:space="preserve"> </w:t>
        </w:r>
        <w:r w:rsidR="00552947">
          <w:rPr>
            <w:color w:val="7F7F7F" w:themeColor="text1" w:themeTint="80"/>
            <w:sz w:val="16"/>
            <w:szCs w:val="16"/>
          </w:rPr>
          <w:t>March</w:t>
        </w:r>
        <w:r w:rsidR="000735EE" w:rsidRPr="000735EE">
          <w:rPr>
            <w:color w:val="7F7F7F" w:themeColor="text1" w:themeTint="80"/>
            <w:sz w:val="16"/>
            <w:szCs w:val="16"/>
          </w:rPr>
          <w:t xml:space="preserve"> 20</w:t>
        </w:r>
        <w:r w:rsidR="00552947">
          <w:rPr>
            <w:color w:val="7F7F7F" w:themeColor="text1" w:themeTint="80"/>
            <w:sz w:val="16"/>
            <w:szCs w:val="16"/>
          </w:rPr>
          <w:t>20</w:t>
        </w:r>
      </w:p>
      <w:p w14:paraId="61CB524A" w14:textId="3EEB3A2C" w:rsidR="00700E67" w:rsidRPr="00DB2C3A" w:rsidRDefault="00700E67" w:rsidP="00D761C8">
        <w:pPr>
          <w:pStyle w:val="Footer"/>
          <w:jc w:val="center"/>
          <w:rPr>
            <w:sz w:val="16"/>
            <w:szCs w:val="16"/>
          </w:rPr>
        </w:pPr>
        <w:r w:rsidRPr="00DB2C3A">
          <w:rPr>
            <w:color w:val="7F7F7F" w:themeColor="text1" w:themeTint="80"/>
            <w:sz w:val="16"/>
            <w:szCs w:val="16"/>
          </w:rPr>
          <w:fldChar w:fldCharType="begin"/>
        </w:r>
        <w:r w:rsidRPr="00DB2C3A">
          <w:rPr>
            <w:color w:val="7F7F7F" w:themeColor="text1" w:themeTint="80"/>
            <w:sz w:val="16"/>
            <w:szCs w:val="16"/>
          </w:rPr>
          <w:instrText xml:space="preserve"> PAGE   \* MERGEFORMAT </w:instrText>
        </w:r>
        <w:r w:rsidRPr="00DB2C3A">
          <w:rPr>
            <w:color w:val="7F7F7F" w:themeColor="text1" w:themeTint="80"/>
            <w:sz w:val="16"/>
            <w:szCs w:val="16"/>
          </w:rPr>
          <w:fldChar w:fldCharType="separate"/>
        </w:r>
        <w:r w:rsidR="003E311C">
          <w:rPr>
            <w:noProof/>
            <w:color w:val="7F7F7F" w:themeColor="text1" w:themeTint="80"/>
            <w:sz w:val="16"/>
            <w:szCs w:val="16"/>
          </w:rPr>
          <w:t>1</w:t>
        </w:r>
        <w:r w:rsidRPr="00DB2C3A">
          <w:rPr>
            <w:noProof/>
            <w:color w:val="7F7F7F" w:themeColor="text1" w:themeTint="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39B5" w14:textId="77777777" w:rsidR="004E08DD" w:rsidRDefault="004E08DD" w:rsidP="003E49D5">
      <w:r>
        <w:separator/>
      </w:r>
    </w:p>
  </w:footnote>
  <w:footnote w:type="continuationSeparator" w:id="0">
    <w:p w14:paraId="435E59B3" w14:textId="77777777" w:rsidR="004E08DD" w:rsidRDefault="004E08DD" w:rsidP="003E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99DD" w14:textId="77777777" w:rsidR="00B61E22" w:rsidRDefault="00B61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8B95" w14:textId="77777777" w:rsidR="00B61E22" w:rsidRDefault="00B61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6E2E" w14:textId="77777777" w:rsidR="00B61E22" w:rsidRDefault="00B6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5CA"/>
    <w:multiLevelType w:val="hybridMultilevel"/>
    <w:tmpl w:val="D1EE4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B5DFF"/>
    <w:multiLevelType w:val="hybridMultilevel"/>
    <w:tmpl w:val="98BC12D4"/>
    <w:lvl w:ilvl="0" w:tplc="D69009E6">
      <w:start w:val="22"/>
      <w:numFmt w:val="bullet"/>
      <w:lvlText w:val=""/>
      <w:lvlJc w:val="left"/>
      <w:pPr>
        <w:tabs>
          <w:tab w:val="num" w:pos="1800"/>
        </w:tabs>
        <w:ind w:left="1800" w:hanging="360"/>
      </w:pPr>
      <w:rPr>
        <w:rFonts w:ascii="Symbol" w:eastAsia="Times New Roman" w:hAnsi="Symbol" w:cs="Times New Roman" w:hint="default"/>
        <w:sz w:val="22"/>
        <w:szCs w:val="22"/>
      </w:rPr>
    </w:lvl>
    <w:lvl w:ilvl="1" w:tplc="0C090003" w:tentative="1">
      <w:start w:val="1"/>
      <w:numFmt w:val="bullet"/>
      <w:lvlText w:val="o"/>
      <w:lvlJc w:val="left"/>
      <w:pPr>
        <w:tabs>
          <w:tab w:val="num" w:pos="2460"/>
        </w:tabs>
        <w:ind w:left="2460" w:hanging="360"/>
      </w:pPr>
      <w:rPr>
        <w:rFonts w:ascii="Courier New" w:hAnsi="Courier New" w:cs="Courier New" w:hint="default"/>
      </w:rPr>
    </w:lvl>
    <w:lvl w:ilvl="2" w:tplc="0C090005" w:tentative="1">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2" w15:restartNumberingAfterBreak="0">
    <w:nsid w:val="0E587480"/>
    <w:multiLevelType w:val="hybridMultilevel"/>
    <w:tmpl w:val="33FA728E"/>
    <w:lvl w:ilvl="0" w:tplc="3954B8F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7B02DB"/>
    <w:multiLevelType w:val="hybridMultilevel"/>
    <w:tmpl w:val="F03A9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E2240"/>
    <w:multiLevelType w:val="hybridMultilevel"/>
    <w:tmpl w:val="1C3CB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D4E2B"/>
    <w:multiLevelType w:val="hybridMultilevel"/>
    <w:tmpl w:val="98F09F18"/>
    <w:lvl w:ilvl="0" w:tplc="DA56CF12">
      <w:start w:val="22"/>
      <w:numFmt w:val="bullet"/>
      <w:lvlText w:val=""/>
      <w:lvlJc w:val="left"/>
      <w:pPr>
        <w:tabs>
          <w:tab w:val="num" w:pos="780"/>
        </w:tabs>
        <w:ind w:left="780" w:hanging="360"/>
      </w:pPr>
      <w:rPr>
        <w:rFonts w:ascii="Symbol" w:eastAsia="Times New Roman" w:hAnsi="Symbol" w:cs="Times New Roman" w:hint="default"/>
        <w:sz w:val="22"/>
        <w:szCs w:val="22"/>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2014E6"/>
    <w:multiLevelType w:val="hybridMultilevel"/>
    <w:tmpl w:val="AE7A25E8"/>
    <w:lvl w:ilvl="0" w:tplc="7F069E40">
      <w:start w:val="22"/>
      <w:numFmt w:val="bullet"/>
      <w:lvlText w:val=""/>
      <w:lvlJc w:val="left"/>
      <w:pPr>
        <w:tabs>
          <w:tab w:val="num" w:pos="752"/>
        </w:tabs>
        <w:ind w:left="752" w:hanging="360"/>
      </w:pPr>
      <w:rPr>
        <w:rFonts w:ascii="Symbol" w:eastAsia="Times New Roman" w:hAnsi="Symbol" w:cs="Times New Roman" w:hint="default"/>
        <w:sz w:val="22"/>
        <w:szCs w:val="22"/>
      </w:rPr>
    </w:lvl>
    <w:lvl w:ilvl="1" w:tplc="0C090003" w:tentative="1">
      <w:start w:val="1"/>
      <w:numFmt w:val="bullet"/>
      <w:lvlText w:val="o"/>
      <w:lvlJc w:val="left"/>
      <w:pPr>
        <w:tabs>
          <w:tab w:val="num" w:pos="392"/>
        </w:tabs>
        <w:ind w:left="392" w:hanging="360"/>
      </w:pPr>
      <w:rPr>
        <w:rFonts w:ascii="Courier New" w:hAnsi="Courier New" w:cs="Courier New" w:hint="default"/>
      </w:rPr>
    </w:lvl>
    <w:lvl w:ilvl="2" w:tplc="0C090005" w:tentative="1">
      <w:start w:val="1"/>
      <w:numFmt w:val="bullet"/>
      <w:lvlText w:val=""/>
      <w:lvlJc w:val="left"/>
      <w:pPr>
        <w:tabs>
          <w:tab w:val="num" w:pos="1112"/>
        </w:tabs>
        <w:ind w:left="1112" w:hanging="360"/>
      </w:pPr>
      <w:rPr>
        <w:rFonts w:ascii="Wingdings" w:hAnsi="Wingdings" w:hint="default"/>
      </w:rPr>
    </w:lvl>
    <w:lvl w:ilvl="3" w:tplc="0C090001" w:tentative="1">
      <w:start w:val="1"/>
      <w:numFmt w:val="bullet"/>
      <w:lvlText w:val=""/>
      <w:lvlJc w:val="left"/>
      <w:pPr>
        <w:tabs>
          <w:tab w:val="num" w:pos="1832"/>
        </w:tabs>
        <w:ind w:left="1832" w:hanging="360"/>
      </w:pPr>
      <w:rPr>
        <w:rFonts w:ascii="Symbol" w:hAnsi="Symbol" w:hint="default"/>
      </w:rPr>
    </w:lvl>
    <w:lvl w:ilvl="4" w:tplc="0C090003" w:tentative="1">
      <w:start w:val="1"/>
      <w:numFmt w:val="bullet"/>
      <w:lvlText w:val="o"/>
      <w:lvlJc w:val="left"/>
      <w:pPr>
        <w:tabs>
          <w:tab w:val="num" w:pos="2552"/>
        </w:tabs>
        <w:ind w:left="2552" w:hanging="360"/>
      </w:pPr>
      <w:rPr>
        <w:rFonts w:ascii="Courier New" w:hAnsi="Courier New" w:cs="Courier New" w:hint="default"/>
      </w:rPr>
    </w:lvl>
    <w:lvl w:ilvl="5" w:tplc="0C090005" w:tentative="1">
      <w:start w:val="1"/>
      <w:numFmt w:val="bullet"/>
      <w:lvlText w:val=""/>
      <w:lvlJc w:val="left"/>
      <w:pPr>
        <w:tabs>
          <w:tab w:val="num" w:pos="3272"/>
        </w:tabs>
        <w:ind w:left="3272" w:hanging="360"/>
      </w:pPr>
      <w:rPr>
        <w:rFonts w:ascii="Wingdings" w:hAnsi="Wingdings" w:hint="default"/>
      </w:rPr>
    </w:lvl>
    <w:lvl w:ilvl="6" w:tplc="0C090001" w:tentative="1">
      <w:start w:val="1"/>
      <w:numFmt w:val="bullet"/>
      <w:lvlText w:val=""/>
      <w:lvlJc w:val="left"/>
      <w:pPr>
        <w:tabs>
          <w:tab w:val="num" w:pos="3992"/>
        </w:tabs>
        <w:ind w:left="3992" w:hanging="360"/>
      </w:pPr>
      <w:rPr>
        <w:rFonts w:ascii="Symbol" w:hAnsi="Symbol" w:hint="default"/>
      </w:rPr>
    </w:lvl>
    <w:lvl w:ilvl="7" w:tplc="0C090003" w:tentative="1">
      <w:start w:val="1"/>
      <w:numFmt w:val="bullet"/>
      <w:lvlText w:val="o"/>
      <w:lvlJc w:val="left"/>
      <w:pPr>
        <w:tabs>
          <w:tab w:val="num" w:pos="4712"/>
        </w:tabs>
        <w:ind w:left="4712" w:hanging="360"/>
      </w:pPr>
      <w:rPr>
        <w:rFonts w:ascii="Courier New" w:hAnsi="Courier New" w:cs="Courier New" w:hint="default"/>
      </w:rPr>
    </w:lvl>
    <w:lvl w:ilvl="8" w:tplc="0C090005" w:tentative="1">
      <w:start w:val="1"/>
      <w:numFmt w:val="bullet"/>
      <w:lvlText w:val=""/>
      <w:lvlJc w:val="left"/>
      <w:pPr>
        <w:tabs>
          <w:tab w:val="num" w:pos="5432"/>
        </w:tabs>
        <w:ind w:left="5432" w:hanging="360"/>
      </w:pPr>
      <w:rPr>
        <w:rFonts w:ascii="Wingdings" w:hAnsi="Wingdings" w:hint="default"/>
      </w:rPr>
    </w:lvl>
  </w:abstractNum>
  <w:abstractNum w:abstractNumId="7" w15:restartNumberingAfterBreak="0">
    <w:nsid w:val="3A5D4EFC"/>
    <w:multiLevelType w:val="hybridMultilevel"/>
    <w:tmpl w:val="C1904AEA"/>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7B5A36"/>
    <w:multiLevelType w:val="hybridMultilevel"/>
    <w:tmpl w:val="2E76EF86"/>
    <w:lvl w:ilvl="0" w:tplc="5AF61272">
      <w:start w:val="22"/>
      <w:numFmt w:val="bullet"/>
      <w:lvlText w:val=""/>
      <w:lvlJc w:val="left"/>
      <w:pPr>
        <w:tabs>
          <w:tab w:val="num" w:pos="752"/>
        </w:tabs>
        <w:ind w:left="752" w:hanging="360"/>
      </w:pPr>
      <w:rPr>
        <w:rFonts w:ascii="Symbol" w:eastAsia="Times New Roman" w:hAnsi="Symbol" w:cs="Times New Roman" w:hint="default"/>
      </w:rPr>
    </w:lvl>
    <w:lvl w:ilvl="1" w:tplc="0C090003" w:tentative="1">
      <w:start w:val="1"/>
      <w:numFmt w:val="bullet"/>
      <w:lvlText w:val="o"/>
      <w:lvlJc w:val="left"/>
      <w:pPr>
        <w:tabs>
          <w:tab w:val="num" w:pos="392"/>
        </w:tabs>
        <w:ind w:left="392" w:hanging="360"/>
      </w:pPr>
      <w:rPr>
        <w:rFonts w:ascii="Courier New" w:hAnsi="Courier New" w:cs="Courier New" w:hint="default"/>
      </w:rPr>
    </w:lvl>
    <w:lvl w:ilvl="2" w:tplc="0C090005" w:tentative="1">
      <w:start w:val="1"/>
      <w:numFmt w:val="bullet"/>
      <w:lvlText w:val=""/>
      <w:lvlJc w:val="left"/>
      <w:pPr>
        <w:tabs>
          <w:tab w:val="num" w:pos="1112"/>
        </w:tabs>
        <w:ind w:left="1112" w:hanging="360"/>
      </w:pPr>
      <w:rPr>
        <w:rFonts w:ascii="Wingdings" w:hAnsi="Wingdings" w:hint="default"/>
      </w:rPr>
    </w:lvl>
    <w:lvl w:ilvl="3" w:tplc="0C090001" w:tentative="1">
      <w:start w:val="1"/>
      <w:numFmt w:val="bullet"/>
      <w:lvlText w:val=""/>
      <w:lvlJc w:val="left"/>
      <w:pPr>
        <w:tabs>
          <w:tab w:val="num" w:pos="1832"/>
        </w:tabs>
        <w:ind w:left="1832" w:hanging="360"/>
      </w:pPr>
      <w:rPr>
        <w:rFonts w:ascii="Symbol" w:hAnsi="Symbol" w:hint="default"/>
      </w:rPr>
    </w:lvl>
    <w:lvl w:ilvl="4" w:tplc="0C090003" w:tentative="1">
      <w:start w:val="1"/>
      <w:numFmt w:val="bullet"/>
      <w:lvlText w:val="o"/>
      <w:lvlJc w:val="left"/>
      <w:pPr>
        <w:tabs>
          <w:tab w:val="num" w:pos="2552"/>
        </w:tabs>
        <w:ind w:left="2552" w:hanging="360"/>
      </w:pPr>
      <w:rPr>
        <w:rFonts w:ascii="Courier New" w:hAnsi="Courier New" w:cs="Courier New" w:hint="default"/>
      </w:rPr>
    </w:lvl>
    <w:lvl w:ilvl="5" w:tplc="0C090005" w:tentative="1">
      <w:start w:val="1"/>
      <w:numFmt w:val="bullet"/>
      <w:lvlText w:val=""/>
      <w:lvlJc w:val="left"/>
      <w:pPr>
        <w:tabs>
          <w:tab w:val="num" w:pos="3272"/>
        </w:tabs>
        <w:ind w:left="3272" w:hanging="360"/>
      </w:pPr>
      <w:rPr>
        <w:rFonts w:ascii="Wingdings" w:hAnsi="Wingdings" w:hint="default"/>
      </w:rPr>
    </w:lvl>
    <w:lvl w:ilvl="6" w:tplc="0C090001" w:tentative="1">
      <w:start w:val="1"/>
      <w:numFmt w:val="bullet"/>
      <w:lvlText w:val=""/>
      <w:lvlJc w:val="left"/>
      <w:pPr>
        <w:tabs>
          <w:tab w:val="num" w:pos="3992"/>
        </w:tabs>
        <w:ind w:left="3992" w:hanging="360"/>
      </w:pPr>
      <w:rPr>
        <w:rFonts w:ascii="Symbol" w:hAnsi="Symbol" w:hint="default"/>
      </w:rPr>
    </w:lvl>
    <w:lvl w:ilvl="7" w:tplc="0C090003" w:tentative="1">
      <w:start w:val="1"/>
      <w:numFmt w:val="bullet"/>
      <w:lvlText w:val="o"/>
      <w:lvlJc w:val="left"/>
      <w:pPr>
        <w:tabs>
          <w:tab w:val="num" w:pos="4712"/>
        </w:tabs>
        <w:ind w:left="4712" w:hanging="360"/>
      </w:pPr>
      <w:rPr>
        <w:rFonts w:ascii="Courier New" w:hAnsi="Courier New" w:cs="Courier New" w:hint="default"/>
      </w:rPr>
    </w:lvl>
    <w:lvl w:ilvl="8" w:tplc="0C090005" w:tentative="1">
      <w:start w:val="1"/>
      <w:numFmt w:val="bullet"/>
      <w:lvlText w:val=""/>
      <w:lvlJc w:val="left"/>
      <w:pPr>
        <w:tabs>
          <w:tab w:val="num" w:pos="5432"/>
        </w:tabs>
        <w:ind w:left="5432" w:hanging="360"/>
      </w:pPr>
      <w:rPr>
        <w:rFonts w:ascii="Wingdings" w:hAnsi="Wingdings" w:hint="default"/>
      </w:rPr>
    </w:lvl>
  </w:abstractNum>
  <w:abstractNum w:abstractNumId="9" w15:restartNumberingAfterBreak="0">
    <w:nsid w:val="502B36A5"/>
    <w:multiLevelType w:val="hybridMultilevel"/>
    <w:tmpl w:val="AAC83BB8"/>
    <w:lvl w:ilvl="0" w:tplc="5AF61272">
      <w:start w:val="22"/>
      <w:numFmt w:val="bullet"/>
      <w:lvlText w:val=""/>
      <w:lvlJc w:val="left"/>
      <w:pPr>
        <w:tabs>
          <w:tab w:val="num" w:pos="776"/>
        </w:tabs>
        <w:ind w:left="776" w:hanging="360"/>
      </w:pPr>
      <w:rPr>
        <w:rFonts w:ascii="Symbol" w:eastAsia="Times New Roman" w:hAnsi="Symbol" w:cs="Times New Roman" w:hint="default"/>
      </w:rPr>
    </w:lvl>
    <w:lvl w:ilvl="1" w:tplc="0C090003" w:tentative="1">
      <w:start w:val="1"/>
      <w:numFmt w:val="bullet"/>
      <w:lvlText w:val="o"/>
      <w:lvlJc w:val="left"/>
      <w:pPr>
        <w:tabs>
          <w:tab w:val="num" w:pos="416"/>
        </w:tabs>
        <w:ind w:left="416" w:hanging="360"/>
      </w:pPr>
      <w:rPr>
        <w:rFonts w:ascii="Courier New" w:hAnsi="Courier New" w:cs="Courier New" w:hint="default"/>
      </w:rPr>
    </w:lvl>
    <w:lvl w:ilvl="2" w:tplc="0C090005" w:tentative="1">
      <w:start w:val="1"/>
      <w:numFmt w:val="bullet"/>
      <w:lvlText w:val=""/>
      <w:lvlJc w:val="left"/>
      <w:pPr>
        <w:tabs>
          <w:tab w:val="num" w:pos="1136"/>
        </w:tabs>
        <w:ind w:left="1136" w:hanging="360"/>
      </w:pPr>
      <w:rPr>
        <w:rFonts w:ascii="Wingdings" w:hAnsi="Wingdings" w:hint="default"/>
      </w:rPr>
    </w:lvl>
    <w:lvl w:ilvl="3" w:tplc="0C090001" w:tentative="1">
      <w:start w:val="1"/>
      <w:numFmt w:val="bullet"/>
      <w:lvlText w:val=""/>
      <w:lvlJc w:val="left"/>
      <w:pPr>
        <w:tabs>
          <w:tab w:val="num" w:pos="1856"/>
        </w:tabs>
        <w:ind w:left="1856" w:hanging="360"/>
      </w:pPr>
      <w:rPr>
        <w:rFonts w:ascii="Symbol" w:hAnsi="Symbol" w:hint="default"/>
      </w:rPr>
    </w:lvl>
    <w:lvl w:ilvl="4" w:tplc="0C090003" w:tentative="1">
      <w:start w:val="1"/>
      <w:numFmt w:val="bullet"/>
      <w:lvlText w:val="o"/>
      <w:lvlJc w:val="left"/>
      <w:pPr>
        <w:tabs>
          <w:tab w:val="num" w:pos="2576"/>
        </w:tabs>
        <w:ind w:left="2576" w:hanging="360"/>
      </w:pPr>
      <w:rPr>
        <w:rFonts w:ascii="Courier New" w:hAnsi="Courier New" w:cs="Courier New" w:hint="default"/>
      </w:rPr>
    </w:lvl>
    <w:lvl w:ilvl="5" w:tplc="0C090005" w:tentative="1">
      <w:start w:val="1"/>
      <w:numFmt w:val="bullet"/>
      <w:lvlText w:val=""/>
      <w:lvlJc w:val="left"/>
      <w:pPr>
        <w:tabs>
          <w:tab w:val="num" w:pos="3296"/>
        </w:tabs>
        <w:ind w:left="3296" w:hanging="360"/>
      </w:pPr>
      <w:rPr>
        <w:rFonts w:ascii="Wingdings" w:hAnsi="Wingdings" w:hint="default"/>
      </w:rPr>
    </w:lvl>
    <w:lvl w:ilvl="6" w:tplc="0C090001" w:tentative="1">
      <w:start w:val="1"/>
      <w:numFmt w:val="bullet"/>
      <w:lvlText w:val=""/>
      <w:lvlJc w:val="left"/>
      <w:pPr>
        <w:tabs>
          <w:tab w:val="num" w:pos="4016"/>
        </w:tabs>
        <w:ind w:left="4016" w:hanging="360"/>
      </w:pPr>
      <w:rPr>
        <w:rFonts w:ascii="Symbol" w:hAnsi="Symbol" w:hint="default"/>
      </w:rPr>
    </w:lvl>
    <w:lvl w:ilvl="7" w:tplc="0C090003" w:tentative="1">
      <w:start w:val="1"/>
      <w:numFmt w:val="bullet"/>
      <w:lvlText w:val="o"/>
      <w:lvlJc w:val="left"/>
      <w:pPr>
        <w:tabs>
          <w:tab w:val="num" w:pos="4736"/>
        </w:tabs>
        <w:ind w:left="4736" w:hanging="360"/>
      </w:pPr>
      <w:rPr>
        <w:rFonts w:ascii="Courier New" w:hAnsi="Courier New" w:cs="Courier New" w:hint="default"/>
      </w:rPr>
    </w:lvl>
    <w:lvl w:ilvl="8" w:tplc="0C090005" w:tentative="1">
      <w:start w:val="1"/>
      <w:numFmt w:val="bullet"/>
      <w:lvlText w:val=""/>
      <w:lvlJc w:val="left"/>
      <w:pPr>
        <w:tabs>
          <w:tab w:val="num" w:pos="5456"/>
        </w:tabs>
        <w:ind w:left="5456" w:hanging="360"/>
      </w:pPr>
      <w:rPr>
        <w:rFonts w:ascii="Wingdings" w:hAnsi="Wingdings" w:hint="default"/>
      </w:rPr>
    </w:lvl>
  </w:abstractNum>
  <w:abstractNum w:abstractNumId="10" w15:restartNumberingAfterBreak="0">
    <w:nsid w:val="5BB32541"/>
    <w:multiLevelType w:val="hybridMultilevel"/>
    <w:tmpl w:val="8E50F3EA"/>
    <w:lvl w:ilvl="0" w:tplc="5AF61272">
      <w:start w:val="2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2A4C"/>
    <w:multiLevelType w:val="hybridMultilevel"/>
    <w:tmpl w:val="B1407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B72EA3"/>
    <w:multiLevelType w:val="hybridMultilevel"/>
    <w:tmpl w:val="D92E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31993"/>
    <w:multiLevelType w:val="hybridMultilevel"/>
    <w:tmpl w:val="834C696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C1665E"/>
    <w:multiLevelType w:val="hybridMultilevel"/>
    <w:tmpl w:val="E8FA5854"/>
    <w:lvl w:ilvl="0" w:tplc="5AF61272">
      <w:start w:val="22"/>
      <w:numFmt w:val="bullet"/>
      <w:lvlText w:val=""/>
      <w:lvlJc w:val="left"/>
      <w:pPr>
        <w:tabs>
          <w:tab w:val="num" w:pos="1800"/>
        </w:tabs>
        <w:ind w:left="1800" w:hanging="360"/>
      </w:pPr>
      <w:rPr>
        <w:rFonts w:ascii="Symbol" w:eastAsia="Times New Roman" w:hAnsi="Symbol" w:cs="Times New Roman" w:hint="default"/>
      </w:rPr>
    </w:lvl>
    <w:lvl w:ilvl="1" w:tplc="0C090003" w:tentative="1">
      <w:start w:val="1"/>
      <w:numFmt w:val="bullet"/>
      <w:lvlText w:val="o"/>
      <w:lvlJc w:val="left"/>
      <w:pPr>
        <w:tabs>
          <w:tab w:val="num" w:pos="2460"/>
        </w:tabs>
        <w:ind w:left="2460" w:hanging="360"/>
      </w:pPr>
      <w:rPr>
        <w:rFonts w:ascii="Courier New" w:hAnsi="Courier New" w:cs="Courier New" w:hint="default"/>
      </w:rPr>
    </w:lvl>
    <w:lvl w:ilvl="2" w:tplc="0C090005" w:tentative="1">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15" w15:restartNumberingAfterBreak="0">
    <w:nsid w:val="75E47084"/>
    <w:multiLevelType w:val="hybridMultilevel"/>
    <w:tmpl w:val="46C420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14"/>
  </w:num>
  <w:num w:numId="5">
    <w:abstractNumId w:val="9"/>
  </w:num>
  <w:num w:numId="6">
    <w:abstractNumId w:val="6"/>
  </w:num>
  <w:num w:numId="7">
    <w:abstractNumId w:val="8"/>
  </w:num>
  <w:num w:numId="8">
    <w:abstractNumId w:val="13"/>
  </w:num>
  <w:num w:numId="9">
    <w:abstractNumId w:val="7"/>
  </w:num>
  <w:num w:numId="10">
    <w:abstractNumId w:val="15"/>
  </w:num>
  <w:num w:numId="11">
    <w:abstractNumId w:val="4"/>
  </w:num>
  <w:num w:numId="12">
    <w:abstractNumId w:val="0"/>
  </w:num>
  <w:num w:numId="13">
    <w:abstractNumId w:val="2"/>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87"/>
    <w:rsid w:val="00013599"/>
    <w:rsid w:val="00014B4A"/>
    <w:rsid w:val="00016E90"/>
    <w:rsid w:val="000326CD"/>
    <w:rsid w:val="0004307A"/>
    <w:rsid w:val="0007002E"/>
    <w:rsid w:val="000735EE"/>
    <w:rsid w:val="00076C64"/>
    <w:rsid w:val="00082402"/>
    <w:rsid w:val="000834A3"/>
    <w:rsid w:val="00086D61"/>
    <w:rsid w:val="000A6ABE"/>
    <w:rsid w:val="000B1528"/>
    <w:rsid w:val="000B48AB"/>
    <w:rsid w:val="000C6F18"/>
    <w:rsid w:val="000F1652"/>
    <w:rsid w:val="000F3C57"/>
    <w:rsid w:val="000F51B7"/>
    <w:rsid w:val="000F6CA3"/>
    <w:rsid w:val="0010409D"/>
    <w:rsid w:val="00104D94"/>
    <w:rsid w:val="00107CA7"/>
    <w:rsid w:val="00113A0D"/>
    <w:rsid w:val="001167DF"/>
    <w:rsid w:val="00125033"/>
    <w:rsid w:val="00127139"/>
    <w:rsid w:val="00152D85"/>
    <w:rsid w:val="0015429D"/>
    <w:rsid w:val="001658F8"/>
    <w:rsid w:val="001773EA"/>
    <w:rsid w:val="001911F7"/>
    <w:rsid w:val="00191722"/>
    <w:rsid w:val="0019786B"/>
    <w:rsid w:val="001B5CF1"/>
    <w:rsid w:val="001C1ABF"/>
    <w:rsid w:val="001D1507"/>
    <w:rsid w:val="001D36B4"/>
    <w:rsid w:val="001D6264"/>
    <w:rsid w:val="001E297D"/>
    <w:rsid w:val="001E630D"/>
    <w:rsid w:val="001F0996"/>
    <w:rsid w:val="001F1DD2"/>
    <w:rsid w:val="001F5B9A"/>
    <w:rsid w:val="001F7AEB"/>
    <w:rsid w:val="00200F57"/>
    <w:rsid w:val="00207755"/>
    <w:rsid w:val="00216675"/>
    <w:rsid w:val="00223542"/>
    <w:rsid w:val="0024108D"/>
    <w:rsid w:val="002614B1"/>
    <w:rsid w:val="00266817"/>
    <w:rsid w:val="00277140"/>
    <w:rsid w:val="00287B95"/>
    <w:rsid w:val="002A2A6E"/>
    <w:rsid w:val="002A3AE4"/>
    <w:rsid w:val="002A3B70"/>
    <w:rsid w:val="002A78F0"/>
    <w:rsid w:val="002C1139"/>
    <w:rsid w:val="002C28C4"/>
    <w:rsid w:val="002C28EE"/>
    <w:rsid w:val="002C5AF2"/>
    <w:rsid w:val="002E02CC"/>
    <w:rsid w:val="002F7596"/>
    <w:rsid w:val="003000AB"/>
    <w:rsid w:val="003007FE"/>
    <w:rsid w:val="00301830"/>
    <w:rsid w:val="00307F91"/>
    <w:rsid w:val="003161F4"/>
    <w:rsid w:val="0032042B"/>
    <w:rsid w:val="003245E1"/>
    <w:rsid w:val="00337CB3"/>
    <w:rsid w:val="00344403"/>
    <w:rsid w:val="00345EB6"/>
    <w:rsid w:val="00347107"/>
    <w:rsid w:val="003715F6"/>
    <w:rsid w:val="00373CD7"/>
    <w:rsid w:val="003927CA"/>
    <w:rsid w:val="003A4CEC"/>
    <w:rsid w:val="003A77EB"/>
    <w:rsid w:val="003B2BB8"/>
    <w:rsid w:val="003B2F6F"/>
    <w:rsid w:val="003B7A5D"/>
    <w:rsid w:val="003B7AFC"/>
    <w:rsid w:val="003C50EC"/>
    <w:rsid w:val="003D34FF"/>
    <w:rsid w:val="003E311C"/>
    <w:rsid w:val="003E49D5"/>
    <w:rsid w:val="003F1437"/>
    <w:rsid w:val="003F35C4"/>
    <w:rsid w:val="003F668C"/>
    <w:rsid w:val="00401C29"/>
    <w:rsid w:val="0042388E"/>
    <w:rsid w:val="00431E2A"/>
    <w:rsid w:val="00445786"/>
    <w:rsid w:val="00451755"/>
    <w:rsid w:val="004646E5"/>
    <w:rsid w:val="00470BAA"/>
    <w:rsid w:val="00474149"/>
    <w:rsid w:val="00477A9B"/>
    <w:rsid w:val="0048316B"/>
    <w:rsid w:val="004833CC"/>
    <w:rsid w:val="004877EF"/>
    <w:rsid w:val="00495E50"/>
    <w:rsid w:val="004A2070"/>
    <w:rsid w:val="004A21A0"/>
    <w:rsid w:val="004A35A6"/>
    <w:rsid w:val="004A4F92"/>
    <w:rsid w:val="004A6A7B"/>
    <w:rsid w:val="004B0917"/>
    <w:rsid w:val="004B18C3"/>
    <w:rsid w:val="004B54CA"/>
    <w:rsid w:val="004B6186"/>
    <w:rsid w:val="004B7AD4"/>
    <w:rsid w:val="004C2D03"/>
    <w:rsid w:val="004D5D87"/>
    <w:rsid w:val="004E08DD"/>
    <w:rsid w:val="004E580F"/>
    <w:rsid w:val="004E5CBF"/>
    <w:rsid w:val="00505A7A"/>
    <w:rsid w:val="0050752D"/>
    <w:rsid w:val="005322D0"/>
    <w:rsid w:val="00532811"/>
    <w:rsid w:val="00532A76"/>
    <w:rsid w:val="00533752"/>
    <w:rsid w:val="005407E4"/>
    <w:rsid w:val="0054267A"/>
    <w:rsid w:val="00544B16"/>
    <w:rsid w:val="00552947"/>
    <w:rsid w:val="005565FD"/>
    <w:rsid w:val="00565337"/>
    <w:rsid w:val="00581DE0"/>
    <w:rsid w:val="0058593C"/>
    <w:rsid w:val="005944B1"/>
    <w:rsid w:val="005A1A76"/>
    <w:rsid w:val="005B49F9"/>
    <w:rsid w:val="005B4B6C"/>
    <w:rsid w:val="005B68B1"/>
    <w:rsid w:val="005C35C8"/>
    <w:rsid w:val="005C3AA9"/>
    <w:rsid w:val="005C3DAC"/>
    <w:rsid w:val="005C3FBC"/>
    <w:rsid w:val="005C752D"/>
    <w:rsid w:val="005F0C76"/>
    <w:rsid w:val="005F63D5"/>
    <w:rsid w:val="00605526"/>
    <w:rsid w:val="00612EE4"/>
    <w:rsid w:val="00620525"/>
    <w:rsid w:val="006244FE"/>
    <w:rsid w:val="00637469"/>
    <w:rsid w:val="00642306"/>
    <w:rsid w:val="00647AF3"/>
    <w:rsid w:val="006534FF"/>
    <w:rsid w:val="006654CE"/>
    <w:rsid w:val="0066799D"/>
    <w:rsid w:val="0067292F"/>
    <w:rsid w:val="00683761"/>
    <w:rsid w:val="00686043"/>
    <w:rsid w:val="00686FC9"/>
    <w:rsid w:val="006967EF"/>
    <w:rsid w:val="006A4CE7"/>
    <w:rsid w:val="006B25C7"/>
    <w:rsid w:val="006D0A50"/>
    <w:rsid w:val="006D0F4C"/>
    <w:rsid w:val="006D6FDA"/>
    <w:rsid w:val="006E0B6D"/>
    <w:rsid w:val="006F2FD7"/>
    <w:rsid w:val="006F59F2"/>
    <w:rsid w:val="006F7F13"/>
    <w:rsid w:val="00700E67"/>
    <w:rsid w:val="00717A10"/>
    <w:rsid w:val="00717E79"/>
    <w:rsid w:val="00731F41"/>
    <w:rsid w:val="00733DB3"/>
    <w:rsid w:val="007374A2"/>
    <w:rsid w:val="00761A62"/>
    <w:rsid w:val="00762EA1"/>
    <w:rsid w:val="00782E01"/>
    <w:rsid w:val="00785261"/>
    <w:rsid w:val="00785B2C"/>
    <w:rsid w:val="00785DD5"/>
    <w:rsid w:val="00790DDF"/>
    <w:rsid w:val="007933D2"/>
    <w:rsid w:val="00797BCE"/>
    <w:rsid w:val="007A220B"/>
    <w:rsid w:val="007A30E1"/>
    <w:rsid w:val="007B0256"/>
    <w:rsid w:val="007B2EAA"/>
    <w:rsid w:val="007B5AB9"/>
    <w:rsid w:val="007C1D23"/>
    <w:rsid w:val="007E33F6"/>
    <w:rsid w:val="007E7838"/>
    <w:rsid w:val="007F4343"/>
    <w:rsid w:val="007F7769"/>
    <w:rsid w:val="0081510C"/>
    <w:rsid w:val="0081699E"/>
    <w:rsid w:val="008323E7"/>
    <w:rsid w:val="00834AB8"/>
    <w:rsid w:val="00835B1D"/>
    <w:rsid w:val="00837F27"/>
    <w:rsid w:val="00842247"/>
    <w:rsid w:val="008442C9"/>
    <w:rsid w:val="0085661B"/>
    <w:rsid w:val="0086369F"/>
    <w:rsid w:val="008710C5"/>
    <w:rsid w:val="0087536D"/>
    <w:rsid w:val="008B00A4"/>
    <w:rsid w:val="008B2E18"/>
    <w:rsid w:val="008B434A"/>
    <w:rsid w:val="008C4290"/>
    <w:rsid w:val="008E1E37"/>
    <w:rsid w:val="008F2910"/>
    <w:rsid w:val="008F2F41"/>
    <w:rsid w:val="00911EFB"/>
    <w:rsid w:val="00913D04"/>
    <w:rsid w:val="00914B25"/>
    <w:rsid w:val="009224C2"/>
    <w:rsid w:val="009225F0"/>
    <w:rsid w:val="0092323A"/>
    <w:rsid w:val="00931902"/>
    <w:rsid w:val="00931D83"/>
    <w:rsid w:val="00943D3D"/>
    <w:rsid w:val="00943D6D"/>
    <w:rsid w:val="0095001B"/>
    <w:rsid w:val="00950D17"/>
    <w:rsid w:val="00954967"/>
    <w:rsid w:val="00971976"/>
    <w:rsid w:val="009824EC"/>
    <w:rsid w:val="00990D7A"/>
    <w:rsid w:val="00991522"/>
    <w:rsid w:val="009A294D"/>
    <w:rsid w:val="009A75C7"/>
    <w:rsid w:val="009B6791"/>
    <w:rsid w:val="009B6E70"/>
    <w:rsid w:val="009C218E"/>
    <w:rsid w:val="009C4690"/>
    <w:rsid w:val="009D5967"/>
    <w:rsid w:val="009F196D"/>
    <w:rsid w:val="00A24CF9"/>
    <w:rsid w:val="00A37622"/>
    <w:rsid w:val="00A42150"/>
    <w:rsid w:val="00A42698"/>
    <w:rsid w:val="00A4337F"/>
    <w:rsid w:val="00A44020"/>
    <w:rsid w:val="00A51B10"/>
    <w:rsid w:val="00A62A2C"/>
    <w:rsid w:val="00A6393E"/>
    <w:rsid w:val="00A64BC7"/>
    <w:rsid w:val="00A66BF3"/>
    <w:rsid w:val="00A66E74"/>
    <w:rsid w:val="00A674BD"/>
    <w:rsid w:val="00A85FE4"/>
    <w:rsid w:val="00AB5F14"/>
    <w:rsid w:val="00AC4BCA"/>
    <w:rsid w:val="00AC6C36"/>
    <w:rsid w:val="00AD69FD"/>
    <w:rsid w:val="00AE1C3C"/>
    <w:rsid w:val="00AF7743"/>
    <w:rsid w:val="00B02912"/>
    <w:rsid w:val="00B16A07"/>
    <w:rsid w:val="00B25176"/>
    <w:rsid w:val="00B279C1"/>
    <w:rsid w:val="00B37E54"/>
    <w:rsid w:val="00B43ECD"/>
    <w:rsid w:val="00B61E22"/>
    <w:rsid w:val="00B7488C"/>
    <w:rsid w:val="00B759A6"/>
    <w:rsid w:val="00B77C06"/>
    <w:rsid w:val="00B81734"/>
    <w:rsid w:val="00B92F6A"/>
    <w:rsid w:val="00BA1186"/>
    <w:rsid w:val="00BA2916"/>
    <w:rsid w:val="00BA2DB9"/>
    <w:rsid w:val="00BA68C6"/>
    <w:rsid w:val="00BB0F7A"/>
    <w:rsid w:val="00BC208F"/>
    <w:rsid w:val="00BD594F"/>
    <w:rsid w:val="00BD5F16"/>
    <w:rsid w:val="00BE00BF"/>
    <w:rsid w:val="00BE7148"/>
    <w:rsid w:val="00BE723D"/>
    <w:rsid w:val="00BF1FE3"/>
    <w:rsid w:val="00C07A21"/>
    <w:rsid w:val="00C145C8"/>
    <w:rsid w:val="00C24E52"/>
    <w:rsid w:val="00C26904"/>
    <w:rsid w:val="00C27728"/>
    <w:rsid w:val="00C40D6E"/>
    <w:rsid w:val="00C45378"/>
    <w:rsid w:val="00C556D3"/>
    <w:rsid w:val="00C61F97"/>
    <w:rsid w:val="00C662D5"/>
    <w:rsid w:val="00C73FD3"/>
    <w:rsid w:val="00C75C17"/>
    <w:rsid w:val="00C93547"/>
    <w:rsid w:val="00CB0E92"/>
    <w:rsid w:val="00CC025A"/>
    <w:rsid w:val="00CD365E"/>
    <w:rsid w:val="00CD6E87"/>
    <w:rsid w:val="00CE4A74"/>
    <w:rsid w:val="00CE504D"/>
    <w:rsid w:val="00CF2215"/>
    <w:rsid w:val="00CF3E4E"/>
    <w:rsid w:val="00D019E3"/>
    <w:rsid w:val="00D14D7E"/>
    <w:rsid w:val="00D14F04"/>
    <w:rsid w:val="00D232DD"/>
    <w:rsid w:val="00D3297E"/>
    <w:rsid w:val="00D36365"/>
    <w:rsid w:val="00D46794"/>
    <w:rsid w:val="00D470B7"/>
    <w:rsid w:val="00D53636"/>
    <w:rsid w:val="00D554FF"/>
    <w:rsid w:val="00D61E93"/>
    <w:rsid w:val="00D72EEC"/>
    <w:rsid w:val="00D73780"/>
    <w:rsid w:val="00D761C8"/>
    <w:rsid w:val="00D84369"/>
    <w:rsid w:val="00D87740"/>
    <w:rsid w:val="00D92F7D"/>
    <w:rsid w:val="00D94396"/>
    <w:rsid w:val="00D95006"/>
    <w:rsid w:val="00DB2C3A"/>
    <w:rsid w:val="00DB6EEE"/>
    <w:rsid w:val="00DC2E0B"/>
    <w:rsid w:val="00DC4EC4"/>
    <w:rsid w:val="00DD24D7"/>
    <w:rsid w:val="00DD330F"/>
    <w:rsid w:val="00DE154B"/>
    <w:rsid w:val="00DE297B"/>
    <w:rsid w:val="00DE7A6E"/>
    <w:rsid w:val="00DF7C63"/>
    <w:rsid w:val="00E129C4"/>
    <w:rsid w:val="00E25167"/>
    <w:rsid w:val="00E269FF"/>
    <w:rsid w:val="00E37420"/>
    <w:rsid w:val="00E375BD"/>
    <w:rsid w:val="00E47BFD"/>
    <w:rsid w:val="00E5560C"/>
    <w:rsid w:val="00E71091"/>
    <w:rsid w:val="00E81C6D"/>
    <w:rsid w:val="00E90DAF"/>
    <w:rsid w:val="00E910A2"/>
    <w:rsid w:val="00E93D59"/>
    <w:rsid w:val="00EA7D67"/>
    <w:rsid w:val="00EB09BB"/>
    <w:rsid w:val="00EB4504"/>
    <w:rsid w:val="00ED4F37"/>
    <w:rsid w:val="00ED56EE"/>
    <w:rsid w:val="00EE5794"/>
    <w:rsid w:val="00EF085E"/>
    <w:rsid w:val="00F22531"/>
    <w:rsid w:val="00F610B3"/>
    <w:rsid w:val="00F7266A"/>
    <w:rsid w:val="00F73688"/>
    <w:rsid w:val="00F7546C"/>
    <w:rsid w:val="00F76004"/>
    <w:rsid w:val="00F8220E"/>
    <w:rsid w:val="00F93742"/>
    <w:rsid w:val="00F978A3"/>
    <w:rsid w:val="00FA2211"/>
    <w:rsid w:val="00FA633B"/>
    <w:rsid w:val="00FB245B"/>
    <w:rsid w:val="00FB3C91"/>
    <w:rsid w:val="00FD41CC"/>
    <w:rsid w:val="00FD72F3"/>
    <w:rsid w:val="00FE3AEE"/>
    <w:rsid w:val="00FE3DF0"/>
    <w:rsid w:val="00FF10B7"/>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CE50"/>
  <w15:docId w15:val="{B5C7CE2F-6451-4103-A664-A0D8CDD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D5"/>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C93547"/>
    <w:pPr>
      <w:contextualSpacing/>
      <w:outlineLvl w:val="0"/>
    </w:pPr>
    <w:rPr>
      <w:rFonts w:eastAsiaTheme="majorEastAsia" w:cstheme="majorBidi"/>
      <w:b/>
      <w:bCs/>
      <w:color w:val="4070AA"/>
      <w:sz w:val="36"/>
      <w:szCs w:val="28"/>
    </w:rPr>
  </w:style>
  <w:style w:type="paragraph" w:styleId="Heading2">
    <w:name w:val="heading 2"/>
    <w:basedOn w:val="Normal"/>
    <w:next w:val="Normal"/>
    <w:link w:val="Heading2Char"/>
    <w:uiPriority w:val="9"/>
    <w:unhideWhenUsed/>
    <w:qFormat/>
    <w:rsid w:val="002C28EE"/>
    <w:pPr>
      <w:outlineLvl w:val="1"/>
    </w:pPr>
    <w:rPr>
      <w:rFonts w:eastAsiaTheme="majorEastAsia" w:cstheme="majorBidi"/>
      <w:b/>
      <w:bCs/>
      <w:color w:val="4070AA"/>
      <w:szCs w:val="26"/>
    </w:rPr>
  </w:style>
  <w:style w:type="paragraph" w:styleId="Heading3">
    <w:name w:val="heading 3"/>
    <w:basedOn w:val="Normal"/>
    <w:next w:val="Normal"/>
    <w:link w:val="Heading3Char"/>
    <w:uiPriority w:val="9"/>
    <w:unhideWhenUsed/>
    <w:qFormat/>
    <w:rsid w:val="003E49D5"/>
    <w:pPr>
      <w:spacing w:before="200" w:line="271" w:lineRule="auto"/>
      <w:outlineLvl w:val="2"/>
    </w:pPr>
    <w:rPr>
      <w:rFonts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547"/>
    <w:rPr>
      <w:rFonts w:ascii="Calibri" w:eastAsiaTheme="majorEastAsia" w:hAnsi="Calibri" w:cstheme="majorBidi"/>
      <w:b/>
      <w:bCs/>
      <w:color w:val="4070AA"/>
      <w:sz w:val="36"/>
      <w:szCs w:val="28"/>
    </w:rPr>
  </w:style>
  <w:style w:type="character" w:customStyle="1" w:styleId="Heading2Char">
    <w:name w:val="Heading 2 Char"/>
    <w:basedOn w:val="DefaultParagraphFont"/>
    <w:link w:val="Heading2"/>
    <w:uiPriority w:val="9"/>
    <w:rsid w:val="002C28EE"/>
    <w:rPr>
      <w:rFonts w:ascii="Calibri" w:eastAsiaTheme="majorEastAsia" w:hAnsi="Calibri" w:cstheme="majorBidi"/>
      <w:b/>
      <w:bCs/>
      <w:color w:val="4070AA"/>
      <w:sz w:val="24"/>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3E49D5"/>
    <w:rPr>
      <w:rFonts w:ascii="Calibri" w:eastAsia="Times New Roman" w:hAnsi="Calibri" w:cstheme="majorBidi"/>
      <w:b/>
      <w:bCs/>
      <w:sz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93547"/>
    <w:pPr>
      <w:pBdr>
        <w:bottom w:val="single" w:sz="4" w:space="1" w:color="auto"/>
      </w:pBdr>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C93547"/>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CD6E87"/>
    <w:pPr>
      <w:tabs>
        <w:tab w:val="center" w:pos="4513"/>
        <w:tab w:val="right" w:pos="9026"/>
      </w:tabs>
    </w:pPr>
  </w:style>
  <w:style w:type="character" w:customStyle="1" w:styleId="FooterChar">
    <w:name w:val="Footer Char"/>
    <w:basedOn w:val="DefaultParagraphFont"/>
    <w:link w:val="Footer"/>
    <w:uiPriority w:val="99"/>
    <w:rsid w:val="00CD6E87"/>
    <w:rPr>
      <w:rFonts w:ascii="Arial" w:hAnsi="Arial"/>
    </w:rPr>
  </w:style>
  <w:style w:type="character" w:styleId="PageNumber">
    <w:name w:val="page number"/>
    <w:rsid w:val="00CD6E87"/>
    <w:rPr>
      <w:rFonts w:ascii="Calibri" w:hAnsi="Calibri"/>
      <w:sz w:val="20"/>
    </w:rPr>
  </w:style>
  <w:style w:type="paragraph" w:styleId="BalloonText">
    <w:name w:val="Balloon Text"/>
    <w:basedOn w:val="Normal"/>
    <w:link w:val="BalloonTextChar"/>
    <w:uiPriority w:val="99"/>
    <w:semiHidden/>
    <w:unhideWhenUsed/>
    <w:rsid w:val="00CD6E87"/>
    <w:rPr>
      <w:rFonts w:ascii="Tahoma" w:hAnsi="Tahoma" w:cs="Tahoma"/>
      <w:sz w:val="16"/>
      <w:szCs w:val="16"/>
    </w:rPr>
  </w:style>
  <w:style w:type="character" w:customStyle="1" w:styleId="BalloonTextChar">
    <w:name w:val="Balloon Text Char"/>
    <w:basedOn w:val="DefaultParagraphFont"/>
    <w:link w:val="BalloonText"/>
    <w:uiPriority w:val="99"/>
    <w:semiHidden/>
    <w:rsid w:val="00CD6E87"/>
    <w:rPr>
      <w:rFonts w:ascii="Tahoma" w:hAnsi="Tahoma" w:cs="Tahoma"/>
      <w:sz w:val="16"/>
      <w:szCs w:val="16"/>
    </w:rPr>
  </w:style>
  <w:style w:type="paragraph" w:styleId="Header">
    <w:name w:val="header"/>
    <w:basedOn w:val="Normal"/>
    <w:link w:val="HeaderChar"/>
    <w:uiPriority w:val="99"/>
    <w:unhideWhenUsed/>
    <w:rsid w:val="00301830"/>
    <w:pPr>
      <w:tabs>
        <w:tab w:val="center" w:pos="4513"/>
        <w:tab w:val="right" w:pos="9026"/>
      </w:tabs>
    </w:pPr>
  </w:style>
  <w:style w:type="character" w:customStyle="1" w:styleId="HeaderChar">
    <w:name w:val="Header Char"/>
    <w:basedOn w:val="DefaultParagraphFont"/>
    <w:link w:val="Header"/>
    <w:uiPriority w:val="99"/>
    <w:rsid w:val="00301830"/>
    <w:rPr>
      <w:rFonts w:ascii="Arial" w:hAnsi="Arial"/>
    </w:rPr>
  </w:style>
  <w:style w:type="character" w:styleId="Hyperlink">
    <w:name w:val="Hyperlink"/>
    <w:basedOn w:val="DefaultParagraphFont"/>
    <w:uiPriority w:val="99"/>
    <w:rsid w:val="00216675"/>
    <w:rPr>
      <w:color w:val="0000FF"/>
      <w:u w:val="single"/>
    </w:rPr>
  </w:style>
  <w:style w:type="character" w:styleId="CommentReference">
    <w:name w:val="annotation reference"/>
    <w:basedOn w:val="DefaultParagraphFont"/>
    <w:uiPriority w:val="99"/>
    <w:semiHidden/>
    <w:unhideWhenUsed/>
    <w:rsid w:val="00A64BC7"/>
    <w:rPr>
      <w:sz w:val="16"/>
      <w:szCs w:val="16"/>
    </w:rPr>
  </w:style>
  <w:style w:type="paragraph" w:styleId="CommentText">
    <w:name w:val="annotation text"/>
    <w:basedOn w:val="Normal"/>
    <w:link w:val="CommentTextChar"/>
    <w:uiPriority w:val="99"/>
    <w:unhideWhenUsed/>
    <w:rsid w:val="00A64BC7"/>
    <w:rPr>
      <w:sz w:val="20"/>
      <w:szCs w:val="20"/>
    </w:rPr>
  </w:style>
  <w:style w:type="character" w:customStyle="1" w:styleId="CommentTextChar">
    <w:name w:val="Comment Text Char"/>
    <w:basedOn w:val="DefaultParagraphFont"/>
    <w:link w:val="CommentText"/>
    <w:uiPriority w:val="99"/>
    <w:rsid w:val="00A64B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4BC7"/>
    <w:rPr>
      <w:b/>
      <w:bCs/>
    </w:rPr>
  </w:style>
  <w:style w:type="character" w:customStyle="1" w:styleId="CommentSubjectChar">
    <w:name w:val="Comment Subject Char"/>
    <w:basedOn w:val="CommentTextChar"/>
    <w:link w:val="CommentSubject"/>
    <w:uiPriority w:val="99"/>
    <w:semiHidden/>
    <w:rsid w:val="00A64BC7"/>
    <w:rPr>
      <w:rFonts w:ascii="Arial" w:hAnsi="Arial"/>
      <w:b/>
      <w:bCs/>
      <w:sz w:val="20"/>
      <w:szCs w:val="20"/>
    </w:rPr>
  </w:style>
  <w:style w:type="paragraph" w:styleId="TOC1">
    <w:name w:val="toc 1"/>
    <w:basedOn w:val="Normal"/>
    <w:next w:val="Normal"/>
    <w:autoRedefine/>
    <w:uiPriority w:val="39"/>
    <w:unhideWhenUsed/>
    <w:rsid w:val="0007002E"/>
    <w:pPr>
      <w:tabs>
        <w:tab w:val="right" w:pos="9016"/>
      </w:tabs>
      <w:spacing w:before="360"/>
    </w:pPr>
    <w:rPr>
      <w:b/>
      <w:bCs/>
      <w:caps/>
      <w:sz w:val="24"/>
      <w:szCs w:val="24"/>
    </w:rPr>
  </w:style>
  <w:style w:type="paragraph" w:styleId="TOC2">
    <w:name w:val="toc 2"/>
    <w:basedOn w:val="Normal"/>
    <w:next w:val="Normal"/>
    <w:autoRedefine/>
    <w:uiPriority w:val="39"/>
    <w:unhideWhenUsed/>
    <w:rsid w:val="00D761C8"/>
    <w:pPr>
      <w:tabs>
        <w:tab w:val="right" w:pos="9016"/>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3715F6"/>
    <w:pPr>
      <w:tabs>
        <w:tab w:val="right" w:pos="9016"/>
      </w:tabs>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3D6D"/>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3D6D"/>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3D6D"/>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3D6D"/>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3D6D"/>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3D6D"/>
    <w:pPr>
      <w:ind w:left="1540"/>
    </w:pPr>
    <w:rPr>
      <w:rFonts w:asciiTheme="minorHAnsi" w:hAnsiTheme="minorHAnsi" w:cstheme="minorHAnsi"/>
      <w:sz w:val="20"/>
      <w:szCs w:val="20"/>
    </w:rPr>
  </w:style>
  <w:style w:type="paragraph" w:styleId="Revision">
    <w:name w:val="Revision"/>
    <w:hidden/>
    <w:uiPriority w:val="99"/>
    <w:semiHidden/>
    <w:rsid w:val="00277140"/>
    <w:pPr>
      <w:spacing w:after="0" w:line="240" w:lineRule="auto"/>
    </w:pPr>
    <w:rPr>
      <w:rFonts w:ascii="Calibri" w:hAnsi="Calibri"/>
      <w:sz w:val="24"/>
    </w:rPr>
  </w:style>
  <w:style w:type="paragraph" w:customStyle="1" w:styleId="Disclaimer">
    <w:name w:val="Disclaimer"/>
    <w:basedOn w:val="Normal"/>
    <w:link w:val="DisclaimerChar"/>
    <w:rsid w:val="00700E67"/>
    <w:pPr>
      <w:spacing w:before="5280"/>
    </w:pPr>
    <w:rPr>
      <w:sz w:val="20"/>
      <w:szCs w:val="20"/>
    </w:rPr>
  </w:style>
  <w:style w:type="character" w:customStyle="1" w:styleId="DisclaimerChar">
    <w:name w:val="Disclaimer Char"/>
    <w:basedOn w:val="DefaultParagraphFont"/>
    <w:link w:val="Disclaimer"/>
    <w:rsid w:val="00700E67"/>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adjustment@employmen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Disability Management Services; DMS; Non-beneficiary; non-beneficiaries; income support</ESCSSKeywords>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20190926-154820784533 </ESCSSSubject>
    <ESCSSEffectiveStartDate xmlns="http://schemas.microsoft.com/sharepoint/v3">2019-11-12T13:00:00+00:00</ESCSSEffectiveStartDate>
    <ESCSSContentApprover xmlns="http://schemas.microsoft.com/sharepoint/v3">1855;#DRURY,Trish</ESCSSContentApprover>
    <ESCSSTopic xmlns="http://schemas.microsoft.com/sharepoint/v3">488;#Disability Management Services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Eligibly, Assessment and Participation </ESCSSBusinessOwnerContact>
    <ESCSSESC3Term xmlns="http://schemas.microsoft.com/sharepoint/v3" xsi:nil="true"/>
    <ESCSSSummaryOfUpdate xmlns="http://schemas.microsoft.com/sharepoint/v3">Updated Income Threshold rates</ESCSSSummaryOfUpdate>
    <ESCSSLabelC xmlns="http://schemas.microsoft.com/sharepoint/v3" xsi:nil="true"/>
    <ESCSSLabelB xmlns="http://schemas.microsoft.com/sharepoint/v3">D19/1756595 </ESCSSLabelB>
    <Comments xmlns="http://schemas.microsoft.com/sharepoint/v3">Update the existing Disability Management Service Participants not receiving Income support Guidelines to V1.3, which comes into effect on 2 December 2019</Comments>
    <ESCSSWebSiteGroup xmlns="http://schemas.microsoft.com/sharepoint/v3">;#DES;#</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736E-9DD8-496F-A2CC-666D71AD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36CE3-D702-4B73-B7DA-4C79145960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20A39F-EE25-4B71-BB74-D9F934D9381F}">
  <ds:schemaRefs>
    <ds:schemaRef ds:uri="http://schemas.microsoft.com/sharepoint/v3/contenttype/forms"/>
  </ds:schemaRefs>
</ds:datastoreItem>
</file>

<file path=customXml/itemProps4.xml><?xml version="1.0" encoding="utf-8"?>
<ds:datastoreItem xmlns:ds="http://schemas.openxmlformats.org/officeDocument/2006/customXml" ds:itemID="{0501EE1B-8562-43F8-921F-11D9EF80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Disability Management Service Participants not receiving Income support Guidelines V1.3</vt:lpstr>
    </vt:vector>
  </TitlesOfParts>
  <Company>FaHCSIA</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Management Service Participants not receiving Income support Guidelines V1.3</dc:title>
  <dc:creator>O'SHAUGHNESSY, Diane</dc:creator>
  <cp:lastModifiedBy>Direction 4</cp:lastModifiedBy>
  <cp:revision>5</cp:revision>
  <cp:lastPrinted>2019-11-12T21:21:00Z</cp:lastPrinted>
  <dcterms:created xsi:type="dcterms:W3CDTF">2020-01-08T23:18:00Z</dcterms:created>
  <dcterms:modified xsi:type="dcterms:W3CDTF">2020-01-17T05:16:00Z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