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8751" w14:textId="77777777" w:rsidR="00BA4E26" w:rsidRDefault="00BA4E26" w:rsidP="00BA4E26">
      <w:pPr>
        <w:pStyle w:val="Heading1"/>
      </w:pPr>
      <w:r>
        <w:rPr>
          <w:noProof/>
        </w:rPr>
        <w:drawing>
          <wp:inline distT="0" distB="0" distL="0" distR="0" wp14:anchorId="091CCE4B" wp14:editId="3122CEBE">
            <wp:extent cx="6299835" cy="1199287"/>
            <wp:effectExtent l="0" t="0" r="5715" b="127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9835" cy="1199287"/>
                    </a:xfrm>
                    <a:prstGeom prst="rect">
                      <a:avLst/>
                    </a:prstGeom>
                  </pic:spPr>
                </pic:pic>
              </a:graphicData>
            </a:graphic>
          </wp:inline>
        </w:drawing>
      </w:r>
    </w:p>
    <w:p w14:paraId="7CC53F53" w14:textId="20602745" w:rsidR="00BA4E26" w:rsidRPr="0011748E" w:rsidRDefault="00E574D6" w:rsidP="00BA4E26">
      <w:pPr>
        <w:pStyle w:val="Heading1"/>
      </w:pPr>
      <w:r>
        <w:rPr>
          <w:sz w:val="52"/>
          <w:szCs w:val="52"/>
        </w:rPr>
        <w:t>National Rental Affordability Scheme</w:t>
      </w:r>
    </w:p>
    <w:p w14:paraId="361B3BFA" w14:textId="2E7FD219" w:rsidR="00BA4E26" w:rsidRPr="00E574D6" w:rsidRDefault="00CD35E2" w:rsidP="00BA4E26">
      <w:pPr>
        <w:pStyle w:val="Heading2"/>
        <w:rPr>
          <w:sz w:val="36"/>
        </w:rPr>
      </w:pPr>
      <w:r w:rsidRPr="00E574D6">
        <w:rPr>
          <w:sz w:val="36"/>
        </w:rPr>
        <w:t xml:space="preserve">Amendments to the NRAS Regulations </w:t>
      </w:r>
      <w:r w:rsidR="00E574D6" w:rsidRPr="00E574D6">
        <w:rPr>
          <w:sz w:val="36"/>
        </w:rPr>
        <w:t xml:space="preserve">made </w:t>
      </w:r>
      <w:r w:rsidRPr="00E574D6">
        <w:rPr>
          <w:sz w:val="36"/>
        </w:rPr>
        <w:t xml:space="preserve">in </w:t>
      </w:r>
      <w:r w:rsidR="00E574D6" w:rsidRPr="00E574D6">
        <w:rPr>
          <w:sz w:val="36"/>
        </w:rPr>
        <w:br/>
      </w:r>
      <w:r w:rsidRPr="00E574D6">
        <w:rPr>
          <w:sz w:val="36"/>
        </w:rPr>
        <w:t>March 2019</w:t>
      </w:r>
    </w:p>
    <w:p w14:paraId="4DD8C428" w14:textId="4A05DD0A" w:rsidR="00B137CE" w:rsidRPr="00C46100" w:rsidRDefault="00B137CE" w:rsidP="00B137CE">
      <w:pPr>
        <w:rPr>
          <w:lang w:eastAsia="en-AU"/>
        </w:rPr>
      </w:pPr>
      <w:r w:rsidRPr="00C46100">
        <w:rPr>
          <w:lang w:eastAsia="en-AU"/>
        </w:rPr>
        <w:t xml:space="preserve">Further amendments </w:t>
      </w:r>
      <w:proofErr w:type="gramStart"/>
      <w:r w:rsidRPr="00C46100">
        <w:rPr>
          <w:lang w:eastAsia="en-AU"/>
        </w:rPr>
        <w:t>have been made</w:t>
      </w:r>
      <w:proofErr w:type="gramEnd"/>
      <w:r w:rsidRPr="00C46100">
        <w:rPr>
          <w:lang w:eastAsia="en-AU"/>
        </w:rPr>
        <w:t xml:space="preserve"> to the National Rental Affordability Scheme Regulations 2008 (the </w:t>
      </w:r>
      <w:r w:rsidRPr="00D81C23">
        <w:rPr>
          <w:lang w:eastAsia="en-AU"/>
        </w:rPr>
        <w:t xml:space="preserve">Regulations) </w:t>
      </w:r>
      <w:r w:rsidR="00676CE4" w:rsidRPr="00D81C23">
        <w:rPr>
          <w:lang w:eastAsia="en-AU"/>
        </w:rPr>
        <w:t>to</w:t>
      </w:r>
      <w:r w:rsidR="00363590">
        <w:rPr>
          <w:lang w:eastAsia="en-AU"/>
        </w:rPr>
        <w:t xml:space="preserve"> </w:t>
      </w:r>
      <w:r w:rsidR="0029616F">
        <w:rPr>
          <w:lang w:eastAsia="en-AU"/>
        </w:rPr>
        <w:t>make approved participants more accountable for their behaviour towards investors</w:t>
      </w:r>
      <w:r w:rsidRPr="00363590">
        <w:rPr>
          <w:lang w:eastAsia="en-AU"/>
        </w:rPr>
        <w:t>.</w:t>
      </w:r>
      <w:r w:rsidRPr="00C46100">
        <w:rPr>
          <w:lang w:eastAsia="en-AU"/>
        </w:rPr>
        <w:t xml:space="preserve"> </w:t>
      </w:r>
      <w:r w:rsidR="00CD35E2">
        <w:rPr>
          <w:lang w:eastAsia="en-AU"/>
        </w:rPr>
        <w:t xml:space="preserve"> The </w:t>
      </w:r>
      <w:proofErr w:type="gramStart"/>
      <w:r w:rsidR="00CD35E2">
        <w:rPr>
          <w:lang w:eastAsia="en-AU"/>
        </w:rPr>
        <w:t>amendments were made by the National Rental Affordability Scheme Amendment (Investor Protection) Regulations 2019 (Amending Regulations)</w:t>
      </w:r>
      <w:r w:rsidR="00FC1432">
        <w:rPr>
          <w:lang w:eastAsia="en-AU"/>
        </w:rPr>
        <w:t>,</w:t>
      </w:r>
      <w:r w:rsidR="00CD35E2">
        <w:rPr>
          <w:lang w:eastAsia="en-AU"/>
        </w:rPr>
        <w:t xml:space="preserve"> which came into effect on 9 March 2019</w:t>
      </w:r>
      <w:proofErr w:type="gramEnd"/>
      <w:r w:rsidR="00CD35E2">
        <w:rPr>
          <w:lang w:eastAsia="en-AU"/>
        </w:rPr>
        <w:t>.</w:t>
      </w:r>
    </w:p>
    <w:p w14:paraId="477160EC" w14:textId="73D1C27A" w:rsidR="00CD35E2" w:rsidRDefault="00BB6FAD" w:rsidP="00BB6FAD">
      <w:pPr>
        <w:rPr>
          <w:lang w:eastAsia="en-AU"/>
        </w:rPr>
      </w:pPr>
      <w:r>
        <w:rPr>
          <w:lang w:eastAsia="en-AU"/>
        </w:rPr>
        <w:t xml:space="preserve">The </w:t>
      </w:r>
      <w:r w:rsidR="00B137CE">
        <w:rPr>
          <w:lang w:eastAsia="en-AU"/>
        </w:rPr>
        <w:t>amendments</w:t>
      </w:r>
      <w:r w:rsidR="00363590">
        <w:rPr>
          <w:lang w:eastAsia="en-AU"/>
        </w:rPr>
        <w:t xml:space="preserve"> in</w:t>
      </w:r>
      <w:r w:rsidR="000E131A">
        <w:rPr>
          <w:lang w:eastAsia="en-AU"/>
        </w:rPr>
        <w:t>troduce the approved</w:t>
      </w:r>
      <w:r w:rsidR="006F34E7">
        <w:rPr>
          <w:lang w:eastAsia="en-AU"/>
        </w:rPr>
        <w:t xml:space="preserve"> </w:t>
      </w:r>
      <w:proofErr w:type="gramStart"/>
      <w:r w:rsidR="006F34E7">
        <w:rPr>
          <w:lang w:eastAsia="en-AU"/>
        </w:rPr>
        <w:t>participant</w:t>
      </w:r>
      <w:r w:rsidR="000E131A">
        <w:rPr>
          <w:lang w:eastAsia="en-AU"/>
        </w:rPr>
        <w:t>s</w:t>
      </w:r>
      <w:proofErr w:type="gramEnd"/>
      <w:r w:rsidR="000E131A">
        <w:rPr>
          <w:lang w:eastAsia="en-AU"/>
        </w:rPr>
        <w:t xml:space="preserve"> code of conduct</w:t>
      </w:r>
      <w:r w:rsidR="00CD35E2">
        <w:rPr>
          <w:lang w:eastAsia="en-AU"/>
        </w:rPr>
        <w:t xml:space="preserve"> (code of conduct)</w:t>
      </w:r>
      <w:r w:rsidR="00BF603D">
        <w:rPr>
          <w:lang w:eastAsia="en-AU"/>
        </w:rPr>
        <w:t xml:space="preserve"> and compliance framework</w:t>
      </w:r>
      <w:r w:rsidR="000E131A">
        <w:rPr>
          <w:lang w:eastAsia="en-AU"/>
        </w:rPr>
        <w:t xml:space="preserve">. </w:t>
      </w:r>
      <w:r w:rsidR="00946473">
        <w:rPr>
          <w:lang w:eastAsia="en-AU"/>
        </w:rPr>
        <w:t xml:space="preserve"> </w:t>
      </w:r>
      <w:r w:rsidR="00CD35E2">
        <w:rPr>
          <w:lang w:eastAsia="en-AU"/>
        </w:rPr>
        <w:t xml:space="preserve">There is a separate information sheet on the </w:t>
      </w:r>
      <w:hyperlink r:id="rId13" w:history="1">
        <w:r w:rsidR="00CD35E2" w:rsidRPr="00AA4164">
          <w:rPr>
            <w:rStyle w:val="Hyperlink"/>
            <w:lang w:eastAsia="en-AU"/>
          </w:rPr>
          <w:t>code of conduct</w:t>
        </w:r>
      </w:hyperlink>
      <w:r w:rsidR="00CD35E2">
        <w:rPr>
          <w:lang w:eastAsia="en-AU"/>
        </w:rPr>
        <w:t>.  A summary of the other main changes made by the Amending Regulations follows below.</w:t>
      </w:r>
    </w:p>
    <w:p w14:paraId="18BC8CBA" w14:textId="77777777" w:rsidR="00527A53" w:rsidRDefault="00527A53" w:rsidP="00A4267B">
      <w:pPr>
        <w:rPr>
          <w:rFonts w:ascii="Georgia" w:eastAsia="Times New Roman" w:hAnsi="Georgia" w:cs="Arial"/>
          <w:bCs/>
          <w:iCs/>
          <w:color w:val="005A70"/>
          <w:spacing w:val="4"/>
          <w:sz w:val="32"/>
          <w:szCs w:val="28"/>
          <w:lang w:eastAsia="en-AU"/>
        </w:rPr>
      </w:pPr>
      <w:r>
        <w:rPr>
          <w:rFonts w:ascii="Georgia" w:eastAsia="Times New Roman" w:hAnsi="Georgia" w:cs="Arial"/>
          <w:bCs/>
          <w:iCs/>
          <w:color w:val="005A70"/>
          <w:spacing w:val="4"/>
          <w:sz w:val="32"/>
          <w:szCs w:val="28"/>
          <w:lang w:eastAsia="en-AU"/>
        </w:rPr>
        <w:t>Market rent valuation extensions</w:t>
      </w:r>
    </w:p>
    <w:p w14:paraId="75BD7911" w14:textId="21613B71" w:rsidR="00527A53" w:rsidRPr="00527A53" w:rsidRDefault="00527A53" w:rsidP="00A4267B">
      <w:pPr>
        <w:rPr>
          <w:lang w:eastAsia="en-AU"/>
        </w:rPr>
      </w:pPr>
      <w:r w:rsidRPr="00527A53">
        <w:rPr>
          <w:lang w:eastAsia="en-AU"/>
        </w:rPr>
        <w:t xml:space="preserve">Where an allocation </w:t>
      </w:r>
      <w:proofErr w:type="gramStart"/>
      <w:r w:rsidRPr="00527A53">
        <w:rPr>
          <w:lang w:eastAsia="en-AU"/>
        </w:rPr>
        <w:t>has been transferred</w:t>
      </w:r>
      <w:proofErr w:type="gramEnd"/>
      <w:r w:rsidRPr="00527A53">
        <w:rPr>
          <w:lang w:eastAsia="en-AU"/>
        </w:rPr>
        <w:t>, the gaining approved participant may apply to the Secretary of the Department to extend the time for obtaining and lodging a market rent valuation, even if the outgoing approved participant failed to obtain the market rent valuation as required by the Regulations.</w:t>
      </w:r>
    </w:p>
    <w:p w14:paraId="5B2E54A5" w14:textId="03BC9C1B" w:rsidR="00D81C23" w:rsidRDefault="00CD35E2" w:rsidP="00A4267B">
      <w:pPr>
        <w:rPr>
          <w:rFonts w:ascii="Georgia" w:eastAsia="Times New Roman" w:hAnsi="Georgia" w:cs="Arial"/>
          <w:bCs/>
          <w:iCs/>
          <w:color w:val="005A70"/>
          <w:spacing w:val="4"/>
          <w:sz w:val="32"/>
          <w:szCs w:val="28"/>
          <w:lang w:eastAsia="en-AU"/>
        </w:rPr>
      </w:pPr>
      <w:r w:rsidRPr="00CD35E2">
        <w:rPr>
          <w:rFonts w:ascii="Georgia" w:eastAsia="Times New Roman" w:hAnsi="Georgia" w:cs="Arial"/>
          <w:bCs/>
          <w:iCs/>
          <w:color w:val="005A70"/>
          <w:spacing w:val="4"/>
          <w:sz w:val="32"/>
          <w:szCs w:val="28"/>
          <w:lang w:eastAsia="en-AU"/>
        </w:rPr>
        <w:t>Provisional allocations</w:t>
      </w:r>
    </w:p>
    <w:p w14:paraId="075D2331" w14:textId="50B88E89" w:rsidR="00CD35E2" w:rsidRDefault="003C78B8" w:rsidP="00A4267B">
      <w:pPr>
        <w:rPr>
          <w:lang w:eastAsia="en-AU"/>
        </w:rPr>
      </w:pPr>
      <w:r w:rsidRPr="003C78B8">
        <w:rPr>
          <w:lang w:eastAsia="en-AU"/>
        </w:rPr>
        <w:t xml:space="preserve">Previously, Regulation 21(2) prevented the Secretary from transferring a provisional allocation.  This restriction </w:t>
      </w:r>
      <w:proofErr w:type="gramStart"/>
      <w:r w:rsidRPr="003C78B8">
        <w:rPr>
          <w:lang w:eastAsia="en-AU"/>
        </w:rPr>
        <w:t>has been removed</w:t>
      </w:r>
      <w:proofErr w:type="gramEnd"/>
      <w:r w:rsidRPr="003C78B8">
        <w:rPr>
          <w:lang w:eastAsia="en-AU"/>
        </w:rPr>
        <w:t>.</w:t>
      </w:r>
      <w:r w:rsidR="00527A53">
        <w:rPr>
          <w:lang w:eastAsia="en-AU"/>
        </w:rPr>
        <w:t xml:space="preserve">  </w:t>
      </w:r>
    </w:p>
    <w:p w14:paraId="1AAEF161" w14:textId="5EA01DD7" w:rsidR="003C78B8" w:rsidRDefault="003C78B8" w:rsidP="00A4267B">
      <w:pPr>
        <w:rPr>
          <w:rFonts w:ascii="Georgia" w:eastAsia="Times New Roman" w:hAnsi="Georgia" w:cs="Arial"/>
          <w:bCs/>
          <w:iCs/>
          <w:color w:val="005A70"/>
          <w:spacing w:val="4"/>
          <w:sz w:val="32"/>
          <w:szCs w:val="28"/>
          <w:lang w:eastAsia="en-AU"/>
        </w:rPr>
      </w:pPr>
      <w:r w:rsidRPr="00DD5927">
        <w:rPr>
          <w:rFonts w:ascii="Georgia" w:eastAsia="Times New Roman" w:hAnsi="Georgia" w:cs="Arial"/>
          <w:bCs/>
          <w:iCs/>
          <w:color w:val="005A70"/>
          <w:spacing w:val="4"/>
          <w:sz w:val="32"/>
          <w:szCs w:val="28"/>
          <w:lang w:eastAsia="en-AU"/>
        </w:rPr>
        <w:t xml:space="preserve">Incentives where allocations </w:t>
      </w:r>
      <w:proofErr w:type="gramStart"/>
      <w:r w:rsidRPr="00DD5927">
        <w:rPr>
          <w:rFonts w:ascii="Georgia" w:eastAsia="Times New Roman" w:hAnsi="Georgia" w:cs="Arial"/>
          <w:bCs/>
          <w:iCs/>
          <w:color w:val="005A70"/>
          <w:spacing w:val="4"/>
          <w:sz w:val="32"/>
          <w:szCs w:val="28"/>
          <w:lang w:eastAsia="en-AU"/>
        </w:rPr>
        <w:t xml:space="preserve">are </w:t>
      </w:r>
      <w:r w:rsidR="00C334B7" w:rsidRPr="00DD5927">
        <w:rPr>
          <w:rFonts w:ascii="Georgia" w:eastAsia="Times New Roman" w:hAnsi="Georgia" w:cs="Arial"/>
          <w:bCs/>
          <w:iCs/>
          <w:color w:val="005A70"/>
          <w:spacing w:val="4"/>
          <w:sz w:val="32"/>
          <w:szCs w:val="28"/>
          <w:lang w:eastAsia="en-AU"/>
        </w:rPr>
        <w:t>transferred</w:t>
      </w:r>
      <w:proofErr w:type="gramEnd"/>
      <w:r w:rsidR="00C334B7" w:rsidRPr="00DD5927">
        <w:rPr>
          <w:rFonts w:ascii="Georgia" w:eastAsia="Times New Roman" w:hAnsi="Georgia" w:cs="Arial"/>
          <w:bCs/>
          <w:iCs/>
          <w:color w:val="005A70"/>
          <w:spacing w:val="4"/>
          <w:sz w:val="32"/>
          <w:szCs w:val="28"/>
          <w:lang w:eastAsia="en-AU"/>
        </w:rPr>
        <w:t xml:space="preserve"> under Regulation 21</w:t>
      </w:r>
    </w:p>
    <w:p w14:paraId="3FA5B984" w14:textId="5E2F4CC3" w:rsidR="00DD5927" w:rsidRDefault="00DD5927" w:rsidP="00A4267B">
      <w:pPr>
        <w:rPr>
          <w:lang w:eastAsia="en-AU"/>
        </w:rPr>
      </w:pPr>
      <w:r w:rsidRPr="00DD5927">
        <w:rPr>
          <w:lang w:eastAsia="en-AU"/>
        </w:rPr>
        <w:t xml:space="preserve">Where an allocation </w:t>
      </w:r>
      <w:proofErr w:type="gramStart"/>
      <w:r w:rsidRPr="00DD5927">
        <w:rPr>
          <w:lang w:eastAsia="en-AU"/>
        </w:rPr>
        <w:t>is transferred</w:t>
      </w:r>
      <w:proofErr w:type="gramEnd"/>
      <w:r w:rsidRPr="00DD5927">
        <w:rPr>
          <w:lang w:eastAsia="en-AU"/>
        </w:rPr>
        <w:t xml:space="preserve"> at the request of an approved participant under </w:t>
      </w:r>
      <w:r>
        <w:rPr>
          <w:lang w:eastAsia="en-AU"/>
        </w:rPr>
        <w:t>Regulation 21, with the agreement of both the outgoing and gaining approved participants, the Secretary of the Department may give the gaining approved participant any unissued incentives for the allocation that would otherwise be issued to the outgoing approved participant.  For example, with the agreement of both the outgoing and gaining approved participants, the Secretary could issue incentives for the current NRAS year up to the date of transfer to the gaining approved participant.</w:t>
      </w:r>
    </w:p>
    <w:p w14:paraId="57A0C070" w14:textId="102D63AB" w:rsidR="00DD5927" w:rsidRPr="00C11DD0" w:rsidRDefault="00C11DD0" w:rsidP="00A4267B">
      <w:pPr>
        <w:rPr>
          <w:rFonts w:ascii="Georgia" w:eastAsia="Times New Roman" w:hAnsi="Georgia" w:cs="Arial"/>
          <w:bCs/>
          <w:iCs/>
          <w:color w:val="005A70"/>
          <w:spacing w:val="4"/>
          <w:sz w:val="32"/>
          <w:szCs w:val="28"/>
          <w:lang w:eastAsia="en-AU"/>
        </w:rPr>
      </w:pPr>
      <w:r w:rsidRPr="00C11DD0">
        <w:rPr>
          <w:rFonts w:ascii="Georgia" w:eastAsia="Times New Roman" w:hAnsi="Georgia" w:cs="Arial"/>
          <w:bCs/>
          <w:iCs/>
          <w:color w:val="005A70"/>
          <w:spacing w:val="4"/>
          <w:sz w:val="32"/>
          <w:szCs w:val="28"/>
          <w:lang w:eastAsia="en-AU"/>
        </w:rPr>
        <w:t>Consequences of a transfer following a breach</w:t>
      </w:r>
    </w:p>
    <w:p w14:paraId="54B07441" w14:textId="120B344C" w:rsidR="00C11DD0" w:rsidRDefault="00C11DD0" w:rsidP="00A4267B">
      <w:pPr>
        <w:rPr>
          <w:lang w:eastAsia="en-AU"/>
        </w:rPr>
      </w:pPr>
      <w:r>
        <w:rPr>
          <w:lang w:eastAsia="en-AU"/>
        </w:rPr>
        <w:t xml:space="preserve">Where the Secretary of the Department transfers an allocation because of an individual breach, a serious breach or a disqualifying breach, the Secretary may decide to redirect any unissued incentives for the allocation from the outgoing approved participant to the incoming approved participant.  The redirection provisions in Regulation 22BH largely reflect the previous redirection provisions in the former Regulation 21D.  The redirection provisions </w:t>
      </w:r>
      <w:proofErr w:type="gramStart"/>
      <w:r>
        <w:rPr>
          <w:lang w:eastAsia="en-AU"/>
        </w:rPr>
        <w:t>were relocated</w:t>
      </w:r>
      <w:proofErr w:type="gramEnd"/>
      <w:r>
        <w:rPr>
          <w:lang w:eastAsia="en-AU"/>
        </w:rPr>
        <w:t xml:space="preserve"> within the Regulations for ease of use.</w:t>
      </w:r>
    </w:p>
    <w:p w14:paraId="0C8460F7" w14:textId="66ED25EF" w:rsidR="00C11DD0" w:rsidRDefault="00C11DD0" w:rsidP="00A4267B">
      <w:pPr>
        <w:rPr>
          <w:lang w:eastAsia="en-AU"/>
        </w:rPr>
      </w:pPr>
      <w:r>
        <w:rPr>
          <w:lang w:eastAsia="en-AU"/>
        </w:rPr>
        <w:t xml:space="preserve">Where the Secretary has transferred an allocation, under Regulation 22BJ the Secretary may require the gaining approved participant to lodge a statement of compliance for the allocation for the full </w:t>
      </w:r>
      <w:r w:rsidR="00527A53">
        <w:rPr>
          <w:lang w:eastAsia="en-AU"/>
        </w:rPr>
        <w:t xml:space="preserve">current </w:t>
      </w:r>
      <w:r>
        <w:rPr>
          <w:lang w:eastAsia="en-AU"/>
        </w:rPr>
        <w:t>NRAS year</w:t>
      </w:r>
      <w:r w:rsidR="00527A53">
        <w:rPr>
          <w:lang w:eastAsia="en-AU"/>
        </w:rPr>
        <w:t xml:space="preserve"> and the previous NRAS year</w:t>
      </w:r>
      <w:r>
        <w:rPr>
          <w:lang w:eastAsia="en-AU"/>
        </w:rPr>
        <w:t xml:space="preserve">.  </w:t>
      </w:r>
      <w:r w:rsidR="007C5C88">
        <w:rPr>
          <w:lang w:eastAsia="en-AU"/>
        </w:rPr>
        <w:t xml:space="preserve">Under the former Regulations, the Secretary could only </w:t>
      </w:r>
      <w:r w:rsidR="007C5C88">
        <w:rPr>
          <w:lang w:eastAsia="en-AU"/>
        </w:rPr>
        <w:lastRenderedPageBreak/>
        <w:t xml:space="preserve">require the gaining approved participant to lodge a statement of compliance for the allocation for the </w:t>
      </w:r>
      <w:r w:rsidR="00527A53">
        <w:rPr>
          <w:lang w:eastAsia="en-AU"/>
        </w:rPr>
        <w:t xml:space="preserve">current </w:t>
      </w:r>
      <w:r w:rsidR="007C5C88">
        <w:rPr>
          <w:lang w:eastAsia="en-AU"/>
        </w:rPr>
        <w:t xml:space="preserve">NRAS year </w:t>
      </w:r>
      <w:r w:rsidR="00527A53">
        <w:rPr>
          <w:lang w:eastAsia="en-AU"/>
        </w:rPr>
        <w:t xml:space="preserve">and only </w:t>
      </w:r>
      <w:r w:rsidR="007C5C88">
        <w:rPr>
          <w:lang w:eastAsia="en-AU"/>
        </w:rPr>
        <w:t>if the Secretary redirected, or proposed to redirect, the incentive.</w:t>
      </w:r>
      <w:r w:rsidR="00527A53">
        <w:rPr>
          <w:lang w:eastAsia="en-AU"/>
        </w:rPr>
        <w:t xml:space="preserve"> </w:t>
      </w:r>
    </w:p>
    <w:p w14:paraId="69C239F2" w14:textId="22B98FA5" w:rsidR="007C5C88" w:rsidRPr="007C5C88" w:rsidRDefault="007C5C88" w:rsidP="00A4267B">
      <w:pPr>
        <w:rPr>
          <w:rFonts w:ascii="Georgia" w:eastAsia="Times New Roman" w:hAnsi="Georgia" w:cs="Arial"/>
          <w:bCs/>
          <w:iCs/>
          <w:color w:val="005A70"/>
          <w:spacing w:val="4"/>
          <w:sz w:val="32"/>
          <w:szCs w:val="28"/>
          <w:lang w:eastAsia="en-AU"/>
        </w:rPr>
      </w:pPr>
      <w:r w:rsidRPr="007C5C88">
        <w:rPr>
          <w:rFonts w:ascii="Georgia" w:eastAsia="Times New Roman" w:hAnsi="Georgia" w:cs="Arial"/>
          <w:bCs/>
          <w:iCs/>
          <w:color w:val="005A70"/>
          <w:spacing w:val="4"/>
          <w:sz w:val="32"/>
          <w:szCs w:val="28"/>
          <w:lang w:eastAsia="en-AU"/>
        </w:rPr>
        <w:t>Internal review</w:t>
      </w:r>
    </w:p>
    <w:p w14:paraId="3BE8F8A2" w14:textId="32923C24" w:rsidR="007C5C88" w:rsidRDefault="007C5C88" w:rsidP="00A4267B">
      <w:pPr>
        <w:rPr>
          <w:lang w:eastAsia="en-AU"/>
        </w:rPr>
      </w:pPr>
      <w:r>
        <w:rPr>
          <w:lang w:eastAsia="en-AU"/>
        </w:rPr>
        <w:t xml:space="preserve">The internal review provisions in Regulation 28 </w:t>
      </w:r>
      <w:proofErr w:type="gramStart"/>
      <w:r>
        <w:rPr>
          <w:lang w:eastAsia="en-AU"/>
        </w:rPr>
        <w:t>have been clarified</w:t>
      </w:r>
      <w:proofErr w:type="gramEnd"/>
      <w:r>
        <w:rPr>
          <w:lang w:eastAsia="en-AU"/>
        </w:rPr>
        <w:t>.  Approved participants must now seek an internal review within 60 days of the date of the Department’s original decision to reduce an incentive for an allocation.  The Secretary can extend the period for lodging an internal review in appropriate cases.</w:t>
      </w:r>
    </w:p>
    <w:p w14:paraId="2F19F244" w14:textId="68DF37C4" w:rsidR="00240A02" w:rsidRPr="00240A02" w:rsidRDefault="00240A02" w:rsidP="00A4267B">
      <w:pPr>
        <w:rPr>
          <w:rFonts w:ascii="Georgia" w:eastAsia="Times New Roman" w:hAnsi="Georgia" w:cs="Arial"/>
          <w:bCs/>
          <w:iCs/>
          <w:color w:val="005A70"/>
          <w:spacing w:val="4"/>
          <w:sz w:val="32"/>
          <w:szCs w:val="28"/>
          <w:lang w:eastAsia="en-AU"/>
        </w:rPr>
      </w:pPr>
      <w:r w:rsidRPr="00240A02">
        <w:rPr>
          <w:rFonts w:ascii="Georgia" w:eastAsia="Times New Roman" w:hAnsi="Georgia" w:cs="Arial"/>
          <w:bCs/>
          <w:iCs/>
          <w:color w:val="005A70"/>
          <w:spacing w:val="4"/>
          <w:sz w:val="32"/>
          <w:szCs w:val="28"/>
          <w:lang w:eastAsia="en-AU"/>
        </w:rPr>
        <w:t>Obligation to pass on incentives</w:t>
      </w:r>
    </w:p>
    <w:p w14:paraId="566B3E3B" w14:textId="48702C4A" w:rsidR="00240A02" w:rsidRDefault="00091E79" w:rsidP="00A4267B">
      <w:pPr>
        <w:rPr>
          <w:lang w:eastAsia="en-AU"/>
        </w:rPr>
      </w:pPr>
      <w:r>
        <w:rPr>
          <w:lang w:eastAsia="en-AU"/>
        </w:rPr>
        <w:t xml:space="preserve">The </w:t>
      </w:r>
      <w:r w:rsidR="00403644">
        <w:rPr>
          <w:lang w:eastAsia="en-AU"/>
        </w:rPr>
        <w:t xml:space="preserve">obligation on approved participants in Regulation 30B of the Regulations has been expanded to cover situations where the approved participant has a legal obligation to pass on the incentive but that legal obligation is not contractual in nature (for example, </w:t>
      </w:r>
      <w:r w:rsidR="00B11E68">
        <w:rPr>
          <w:lang w:eastAsia="en-AU"/>
        </w:rPr>
        <w:t xml:space="preserve">where </w:t>
      </w:r>
      <w:r w:rsidR="00403644">
        <w:rPr>
          <w:lang w:eastAsia="en-AU"/>
        </w:rPr>
        <w:t>the obligation arises under a deed).</w:t>
      </w:r>
    </w:p>
    <w:p w14:paraId="1E640629" w14:textId="2A3231F9" w:rsidR="00403644" w:rsidRDefault="00403644" w:rsidP="00A4267B">
      <w:pPr>
        <w:rPr>
          <w:lang w:eastAsia="en-AU"/>
        </w:rPr>
      </w:pPr>
      <w:proofErr w:type="gramStart"/>
      <w:r>
        <w:rPr>
          <w:lang w:eastAsia="en-AU"/>
        </w:rPr>
        <w:t>Where a legal obligation on an approved participant requires the approved participant to pass on an incentive within a particular period that is less than 90 days of rec</w:t>
      </w:r>
      <w:r w:rsidR="00B11E68">
        <w:rPr>
          <w:lang w:eastAsia="en-AU"/>
        </w:rPr>
        <w:t>eip</w:t>
      </w:r>
      <w:r>
        <w:rPr>
          <w:lang w:eastAsia="en-AU"/>
        </w:rPr>
        <w:t>t (for example, the approved participant may be required by a contract to pass on the incentive to the investor within 30 days of receipt), the approved participant will now breach Regulation 30B if it fails to meet the contractual timeframe.</w:t>
      </w:r>
      <w:proofErr w:type="gramEnd"/>
    </w:p>
    <w:p w14:paraId="2D8E77C4" w14:textId="62B3E1B7" w:rsidR="00403644" w:rsidRPr="007C3A7A" w:rsidRDefault="00403644" w:rsidP="00A4267B">
      <w:pPr>
        <w:rPr>
          <w:rFonts w:ascii="Georgia" w:eastAsia="Times New Roman" w:hAnsi="Georgia" w:cs="Arial"/>
          <w:bCs/>
          <w:iCs/>
          <w:color w:val="005A70"/>
          <w:spacing w:val="4"/>
          <w:sz w:val="32"/>
          <w:szCs w:val="28"/>
          <w:lang w:eastAsia="en-AU"/>
        </w:rPr>
      </w:pPr>
      <w:r w:rsidRPr="007C3A7A">
        <w:rPr>
          <w:rFonts w:ascii="Georgia" w:eastAsia="Times New Roman" w:hAnsi="Georgia" w:cs="Arial"/>
          <w:bCs/>
          <w:iCs/>
          <w:color w:val="005A70"/>
          <w:spacing w:val="4"/>
          <w:sz w:val="32"/>
          <w:szCs w:val="28"/>
          <w:lang w:eastAsia="en-AU"/>
        </w:rPr>
        <w:t xml:space="preserve">Summary of the approved </w:t>
      </w:r>
      <w:proofErr w:type="gramStart"/>
      <w:r w:rsidRPr="007C3A7A">
        <w:rPr>
          <w:rFonts w:ascii="Georgia" w:eastAsia="Times New Roman" w:hAnsi="Georgia" w:cs="Arial"/>
          <w:bCs/>
          <w:iCs/>
          <w:color w:val="005A70"/>
          <w:spacing w:val="4"/>
          <w:sz w:val="32"/>
          <w:szCs w:val="28"/>
          <w:lang w:eastAsia="en-AU"/>
        </w:rPr>
        <w:t>participants</w:t>
      </w:r>
      <w:proofErr w:type="gramEnd"/>
      <w:r w:rsidRPr="007C3A7A">
        <w:rPr>
          <w:rFonts w:ascii="Georgia" w:eastAsia="Times New Roman" w:hAnsi="Georgia" w:cs="Arial"/>
          <w:bCs/>
          <w:iCs/>
          <w:color w:val="005A70"/>
          <w:spacing w:val="4"/>
          <w:sz w:val="32"/>
          <w:szCs w:val="28"/>
          <w:lang w:eastAsia="en-AU"/>
        </w:rPr>
        <w:t xml:space="preserve"> code of conduct</w:t>
      </w:r>
    </w:p>
    <w:p w14:paraId="76C19C5A" w14:textId="58EEEB2E" w:rsidR="00403644" w:rsidRDefault="007C3A7A" w:rsidP="00A4267B">
      <w:pPr>
        <w:rPr>
          <w:lang w:eastAsia="en-AU"/>
        </w:rPr>
      </w:pPr>
      <w:r>
        <w:rPr>
          <w:lang w:eastAsia="en-AU"/>
        </w:rPr>
        <w:t xml:space="preserve">Approved participants who have investors must give those investors a summary of the code of conduct.  While these is no form for this summary specified in the Regulations, the Department has drafted a </w:t>
      </w:r>
      <w:hyperlink r:id="rId14" w:history="1">
        <w:r w:rsidRPr="00AA4164">
          <w:rPr>
            <w:rStyle w:val="Hyperlink"/>
            <w:lang w:eastAsia="en-AU"/>
          </w:rPr>
          <w:t>form</w:t>
        </w:r>
      </w:hyperlink>
      <w:r w:rsidR="00AA4164">
        <w:rPr>
          <w:lang w:eastAsia="en-AU"/>
        </w:rPr>
        <w:t xml:space="preserve"> </w:t>
      </w:r>
      <w:bookmarkStart w:id="0" w:name="_GoBack"/>
      <w:bookmarkEnd w:id="0"/>
      <w:r>
        <w:rPr>
          <w:lang w:eastAsia="en-AU"/>
        </w:rPr>
        <w:t xml:space="preserve"> that </w:t>
      </w:r>
      <w:proofErr w:type="gramStart"/>
      <w:r>
        <w:rPr>
          <w:lang w:eastAsia="en-AU"/>
        </w:rPr>
        <w:t>could be used</w:t>
      </w:r>
      <w:proofErr w:type="gramEnd"/>
      <w:r>
        <w:rPr>
          <w:lang w:eastAsia="en-AU"/>
        </w:rPr>
        <w:t xml:space="preserve"> by approved participants for this purpose.</w:t>
      </w:r>
    </w:p>
    <w:p w14:paraId="2951D249" w14:textId="64AAF25A" w:rsidR="007C3A7A" w:rsidRDefault="007C3A7A" w:rsidP="00A4267B">
      <w:pPr>
        <w:rPr>
          <w:lang w:eastAsia="en-AU"/>
        </w:rPr>
      </w:pPr>
      <w:r>
        <w:rPr>
          <w:lang w:eastAsia="en-AU"/>
        </w:rPr>
        <w:t xml:space="preserve">For current investors, the notice </w:t>
      </w:r>
      <w:proofErr w:type="gramStart"/>
      <w:r>
        <w:rPr>
          <w:lang w:eastAsia="en-AU"/>
        </w:rPr>
        <w:t>must be given</w:t>
      </w:r>
      <w:proofErr w:type="gramEnd"/>
      <w:r>
        <w:rPr>
          <w:lang w:eastAsia="en-AU"/>
        </w:rPr>
        <w:t xml:space="preserve"> by 6 April 2019.  For new investors, the notice </w:t>
      </w:r>
      <w:proofErr w:type="gramStart"/>
      <w:r>
        <w:rPr>
          <w:lang w:eastAsia="en-AU"/>
        </w:rPr>
        <w:t>must be given</w:t>
      </w:r>
      <w:proofErr w:type="gramEnd"/>
      <w:r>
        <w:rPr>
          <w:lang w:eastAsia="en-AU"/>
        </w:rPr>
        <w:t xml:space="preserve"> within 28 days of the day the investor became an investor.</w:t>
      </w:r>
    </w:p>
    <w:p w14:paraId="3392A2F4" w14:textId="6DDDAA66" w:rsidR="007C5C88" w:rsidRPr="00527A53" w:rsidRDefault="007C3A7A" w:rsidP="00A4267B">
      <w:pPr>
        <w:rPr>
          <w:rFonts w:ascii="Georgia" w:eastAsia="Times New Roman" w:hAnsi="Georgia" w:cs="Arial"/>
          <w:bCs/>
          <w:iCs/>
          <w:color w:val="005A70"/>
          <w:spacing w:val="4"/>
          <w:sz w:val="32"/>
          <w:szCs w:val="28"/>
          <w:lang w:eastAsia="en-AU"/>
        </w:rPr>
      </w:pPr>
      <w:r>
        <w:rPr>
          <w:rFonts w:ascii="Georgia" w:eastAsia="Times New Roman" w:hAnsi="Georgia" w:cs="Arial"/>
          <w:bCs/>
          <w:iCs/>
          <w:color w:val="005A70"/>
          <w:spacing w:val="4"/>
          <w:sz w:val="32"/>
          <w:szCs w:val="28"/>
          <w:lang w:eastAsia="en-AU"/>
        </w:rPr>
        <w:t>Use and disclosure of</w:t>
      </w:r>
      <w:r w:rsidR="00527A53" w:rsidRPr="00527A53">
        <w:rPr>
          <w:rFonts w:ascii="Georgia" w:eastAsia="Times New Roman" w:hAnsi="Georgia" w:cs="Arial"/>
          <w:bCs/>
          <w:iCs/>
          <w:color w:val="005A70"/>
          <w:spacing w:val="4"/>
          <w:sz w:val="32"/>
          <w:szCs w:val="28"/>
          <w:lang w:eastAsia="en-AU"/>
        </w:rPr>
        <w:t xml:space="preserve"> information</w:t>
      </w:r>
    </w:p>
    <w:p w14:paraId="7531A734" w14:textId="063145A2" w:rsidR="00527A53" w:rsidRDefault="00527A53" w:rsidP="00A4267B">
      <w:pPr>
        <w:rPr>
          <w:lang w:eastAsia="en-AU"/>
        </w:rPr>
      </w:pPr>
      <w:r>
        <w:rPr>
          <w:lang w:eastAsia="en-AU"/>
        </w:rPr>
        <w:t xml:space="preserve">Amendments </w:t>
      </w:r>
      <w:proofErr w:type="gramStart"/>
      <w:r>
        <w:rPr>
          <w:lang w:eastAsia="en-AU"/>
        </w:rPr>
        <w:t xml:space="preserve">have been </w:t>
      </w:r>
      <w:r w:rsidR="00B11E68">
        <w:rPr>
          <w:lang w:eastAsia="en-AU"/>
        </w:rPr>
        <w:t>made</w:t>
      </w:r>
      <w:proofErr w:type="gramEnd"/>
      <w:r w:rsidR="00B11E68">
        <w:rPr>
          <w:lang w:eastAsia="en-AU"/>
        </w:rPr>
        <w:t xml:space="preserve"> to </w:t>
      </w:r>
      <w:r>
        <w:rPr>
          <w:lang w:eastAsia="en-AU"/>
        </w:rPr>
        <w:t xml:space="preserve">Regulation 32 </w:t>
      </w:r>
      <w:r w:rsidR="00240A02">
        <w:rPr>
          <w:lang w:eastAsia="en-AU"/>
        </w:rPr>
        <w:t xml:space="preserve">to clarify the circumstances where the Department may use and </w:t>
      </w:r>
      <w:r w:rsidR="007C3A7A">
        <w:rPr>
          <w:lang w:eastAsia="en-AU"/>
        </w:rPr>
        <w:t>disclose</w:t>
      </w:r>
      <w:r w:rsidR="00240A02">
        <w:rPr>
          <w:lang w:eastAsia="en-AU"/>
        </w:rPr>
        <w:t xml:space="preserve"> information collected for the purpose of NRAS.</w:t>
      </w:r>
    </w:p>
    <w:p w14:paraId="7E062867" w14:textId="5B614C1C" w:rsidR="007C3A7A" w:rsidRDefault="007C3A7A" w:rsidP="00A4267B">
      <w:pPr>
        <w:rPr>
          <w:rFonts w:ascii="Georgia" w:eastAsia="Times New Roman" w:hAnsi="Georgia" w:cs="Arial"/>
          <w:bCs/>
          <w:iCs/>
          <w:color w:val="005A70"/>
          <w:spacing w:val="4"/>
          <w:sz w:val="32"/>
          <w:szCs w:val="28"/>
          <w:lang w:eastAsia="en-AU"/>
        </w:rPr>
      </w:pPr>
      <w:r w:rsidRPr="007C3A7A">
        <w:rPr>
          <w:rFonts w:ascii="Georgia" w:eastAsia="Times New Roman" w:hAnsi="Georgia" w:cs="Arial"/>
          <w:bCs/>
          <w:iCs/>
          <w:color w:val="005A70"/>
          <w:spacing w:val="4"/>
          <w:sz w:val="32"/>
          <w:szCs w:val="28"/>
          <w:lang w:eastAsia="en-AU"/>
        </w:rPr>
        <w:t>Provision of information to the Department</w:t>
      </w:r>
    </w:p>
    <w:p w14:paraId="3EB1C263" w14:textId="2131B309" w:rsidR="007C3A7A" w:rsidRPr="00522E10" w:rsidRDefault="007C3A7A" w:rsidP="00A4267B">
      <w:pPr>
        <w:rPr>
          <w:lang w:eastAsia="en-AU"/>
        </w:rPr>
      </w:pPr>
      <w:r>
        <w:rPr>
          <w:lang w:eastAsia="en-AU"/>
        </w:rPr>
        <w:t xml:space="preserve">The Secretary of the Department may request an approved participant </w:t>
      </w:r>
      <w:r w:rsidR="00522E10">
        <w:rPr>
          <w:lang w:eastAsia="en-AU"/>
        </w:rPr>
        <w:t xml:space="preserve">under Regulation 32A of the Regulations </w:t>
      </w:r>
      <w:r w:rsidR="00B11E68">
        <w:rPr>
          <w:lang w:eastAsia="en-AU"/>
        </w:rPr>
        <w:t>provide</w:t>
      </w:r>
      <w:r w:rsidR="00522E10">
        <w:rPr>
          <w:lang w:eastAsia="en-AU"/>
        </w:rPr>
        <w:t xml:space="preserve"> any information or documents for the purposes of the operation of NRAS</w:t>
      </w:r>
      <w:r>
        <w:rPr>
          <w:lang w:eastAsia="en-AU"/>
        </w:rPr>
        <w:t>.</w:t>
      </w:r>
      <w:r w:rsidR="00522E10">
        <w:rPr>
          <w:lang w:eastAsia="en-AU"/>
        </w:rPr>
        <w:t xml:space="preserve">  The new obligation in Regulation 32A is in addition to the condition of allocation in </w:t>
      </w:r>
      <w:proofErr w:type="spellStart"/>
      <w:r w:rsidR="00B11E68">
        <w:rPr>
          <w:lang w:eastAsia="en-AU"/>
        </w:rPr>
        <w:t>subr</w:t>
      </w:r>
      <w:r w:rsidR="00522E10">
        <w:rPr>
          <w:lang w:eastAsia="en-AU"/>
        </w:rPr>
        <w:t>egulation</w:t>
      </w:r>
      <w:proofErr w:type="spellEnd"/>
      <w:r w:rsidR="00522E10">
        <w:rPr>
          <w:lang w:eastAsia="en-AU"/>
        </w:rPr>
        <w:t xml:space="preserve"> 16(12).</w:t>
      </w:r>
    </w:p>
    <w:p w14:paraId="1B722F4F" w14:textId="77777777" w:rsidR="00D81C23" w:rsidRDefault="002E541F" w:rsidP="00B137CE">
      <w:pPr>
        <w:rPr>
          <w:rFonts w:ascii="Georgia" w:eastAsia="Times New Roman" w:hAnsi="Georgia" w:cs="Arial"/>
          <w:bCs/>
          <w:iCs/>
          <w:color w:val="005A70"/>
          <w:spacing w:val="4"/>
          <w:sz w:val="32"/>
          <w:szCs w:val="28"/>
          <w:lang w:eastAsia="en-AU"/>
        </w:rPr>
      </w:pPr>
      <w:r>
        <w:rPr>
          <w:rFonts w:ascii="Georgia" w:eastAsia="Times New Roman" w:hAnsi="Georgia" w:cs="Arial"/>
          <w:bCs/>
          <w:iCs/>
          <w:color w:val="005A70"/>
          <w:spacing w:val="4"/>
          <w:sz w:val="32"/>
          <w:szCs w:val="28"/>
          <w:lang w:eastAsia="en-AU"/>
        </w:rPr>
        <w:t>Notice of end of allocation</w:t>
      </w:r>
    </w:p>
    <w:p w14:paraId="068DBCB9" w14:textId="0AAE35B1" w:rsidR="00900DF2" w:rsidRDefault="00E0343E" w:rsidP="002E541F">
      <w:pPr>
        <w:rPr>
          <w:lang w:eastAsia="en-AU"/>
        </w:rPr>
      </w:pPr>
      <w:r>
        <w:rPr>
          <w:lang w:eastAsia="en-AU"/>
        </w:rPr>
        <w:t xml:space="preserve">NRAS allocations </w:t>
      </w:r>
      <w:r w:rsidR="00522E10">
        <w:rPr>
          <w:lang w:eastAsia="en-AU"/>
        </w:rPr>
        <w:t xml:space="preserve">have a </w:t>
      </w:r>
      <w:proofErr w:type="gramStart"/>
      <w:r w:rsidR="00522E10">
        <w:rPr>
          <w:lang w:eastAsia="en-AU"/>
        </w:rPr>
        <w:t>ten year</w:t>
      </w:r>
      <w:proofErr w:type="gramEnd"/>
      <w:r>
        <w:rPr>
          <w:lang w:eastAsia="en-AU"/>
        </w:rPr>
        <w:t xml:space="preserve"> lifespan</w:t>
      </w:r>
      <w:r w:rsidR="00DB03D0">
        <w:rPr>
          <w:lang w:eastAsia="en-AU"/>
        </w:rPr>
        <w:t>.</w:t>
      </w:r>
      <w:r>
        <w:rPr>
          <w:lang w:eastAsia="en-AU"/>
        </w:rPr>
        <w:t xml:space="preserve"> </w:t>
      </w:r>
      <w:r w:rsidR="00DB03D0">
        <w:rPr>
          <w:lang w:eastAsia="en-AU"/>
        </w:rPr>
        <w:t>W</w:t>
      </w:r>
      <w:r w:rsidR="00900DF2">
        <w:rPr>
          <w:lang w:eastAsia="en-AU"/>
        </w:rPr>
        <w:t>hen an allocation ends</w:t>
      </w:r>
      <w:r w:rsidR="00DB03D0">
        <w:rPr>
          <w:lang w:eastAsia="en-AU"/>
        </w:rPr>
        <w:t xml:space="preserve">, </w:t>
      </w:r>
      <w:r w:rsidR="00522E10">
        <w:rPr>
          <w:lang w:eastAsia="en-AU"/>
        </w:rPr>
        <w:t xml:space="preserve">no further </w:t>
      </w:r>
      <w:r w:rsidR="00900DF2">
        <w:rPr>
          <w:lang w:eastAsia="en-AU"/>
        </w:rPr>
        <w:t>incentive</w:t>
      </w:r>
      <w:r w:rsidR="00B11E68">
        <w:rPr>
          <w:lang w:eastAsia="en-AU"/>
        </w:rPr>
        <w:t>s</w:t>
      </w:r>
      <w:r w:rsidR="00522E10">
        <w:rPr>
          <w:lang w:eastAsia="en-AU"/>
        </w:rPr>
        <w:t xml:space="preserve"> are payable</w:t>
      </w:r>
      <w:r w:rsidR="00900DF2">
        <w:rPr>
          <w:lang w:eastAsia="en-AU"/>
        </w:rPr>
        <w:t xml:space="preserve">. </w:t>
      </w:r>
      <w:r w:rsidR="00522E10">
        <w:rPr>
          <w:lang w:eastAsia="en-AU"/>
        </w:rPr>
        <w:t xml:space="preserve"> This may well lead to the owner of the dwelling covered by the allocation raising rents to the market rent, subject to the current tenancy agreement and applicable </w:t>
      </w:r>
      <w:proofErr w:type="gramStart"/>
      <w:r w:rsidR="00522E10">
        <w:rPr>
          <w:lang w:eastAsia="en-AU"/>
        </w:rPr>
        <w:t>landlord</w:t>
      </w:r>
      <w:proofErr w:type="gramEnd"/>
      <w:r w:rsidR="00522E10">
        <w:rPr>
          <w:lang w:eastAsia="en-AU"/>
        </w:rPr>
        <w:t xml:space="preserve"> and </w:t>
      </w:r>
      <w:r w:rsidR="00B11E68">
        <w:rPr>
          <w:lang w:eastAsia="en-AU"/>
        </w:rPr>
        <w:t>tenancy</w:t>
      </w:r>
      <w:r w:rsidR="00522E10">
        <w:rPr>
          <w:lang w:eastAsia="en-AU"/>
        </w:rPr>
        <w:t xml:space="preserve"> laws.  </w:t>
      </w:r>
    </w:p>
    <w:p w14:paraId="068DC294" w14:textId="3ACC44A7" w:rsidR="008614EF" w:rsidRDefault="002E541F" w:rsidP="002E541F">
      <w:pPr>
        <w:rPr>
          <w:lang w:eastAsia="en-AU"/>
        </w:rPr>
      </w:pPr>
      <w:r>
        <w:rPr>
          <w:lang w:eastAsia="en-AU"/>
        </w:rPr>
        <w:t xml:space="preserve">Approved participants </w:t>
      </w:r>
      <w:r w:rsidR="00522E10">
        <w:rPr>
          <w:lang w:eastAsia="en-AU"/>
        </w:rPr>
        <w:t xml:space="preserve">who have allocations that will soon expire </w:t>
      </w:r>
      <w:proofErr w:type="gramStart"/>
      <w:r w:rsidR="00522E10">
        <w:rPr>
          <w:lang w:eastAsia="en-AU"/>
        </w:rPr>
        <w:t>are required</w:t>
      </w:r>
      <w:proofErr w:type="gramEnd"/>
      <w:r w:rsidR="00522E10">
        <w:rPr>
          <w:lang w:eastAsia="en-AU"/>
        </w:rPr>
        <w:t xml:space="preserve"> by Regulation 32B to advise tenants th</w:t>
      </w:r>
      <w:r w:rsidR="00AA4164">
        <w:rPr>
          <w:lang w:eastAsia="en-AU"/>
        </w:rPr>
        <w:t xml:space="preserve">at the allocation will expire. </w:t>
      </w:r>
      <w:r w:rsidR="00522E10">
        <w:rPr>
          <w:lang w:eastAsia="en-AU"/>
        </w:rPr>
        <w:t xml:space="preserve">The notice has to be </w:t>
      </w:r>
      <w:r w:rsidR="00AA4164">
        <w:rPr>
          <w:lang w:eastAsia="en-AU"/>
        </w:rPr>
        <w:t>in the approved form</w:t>
      </w:r>
      <w:r w:rsidR="00DB03D0">
        <w:rPr>
          <w:lang w:eastAsia="en-AU"/>
        </w:rPr>
        <w:t>.</w:t>
      </w:r>
      <w:r w:rsidR="00E0343E">
        <w:rPr>
          <w:lang w:eastAsia="en-AU"/>
        </w:rPr>
        <w:t xml:space="preserve"> </w:t>
      </w:r>
    </w:p>
    <w:p w14:paraId="70E5942D" w14:textId="584E7D79" w:rsidR="005F4DA3" w:rsidRDefault="00522E10" w:rsidP="00D81C23">
      <w:pPr>
        <w:rPr>
          <w:rFonts w:ascii="Georgia" w:eastAsia="Times New Roman" w:hAnsi="Georgia" w:cs="Arial"/>
          <w:bCs/>
          <w:iCs/>
          <w:color w:val="005A70"/>
          <w:spacing w:val="4"/>
          <w:sz w:val="32"/>
          <w:szCs w:val="28"/>
          <w:lang w:eastAsia="en-AU"/>
        </w:rPr>
      </w:pPr>
      <w:r>
        <w:rPr>
          <w:lang w:eastAsia="en-AU"/>
        </w:rPr>
        <w:t xml:space="preserve">For allocations expiring up to and including 31 July 2019, the notice </w:t>
      </w:r>
      <w:proofErr w:type="gramStart"/>
      <w:r>
        <w:rPr>
          <w:lang w:eastAsia="en-AU"/>
        </w:rPr>
        <w:t>must be given</w:t>
      </w:r>
      <w:proofErr w:type="gramEnd"/>
      <w:r>
        <w:rPr>
          <w:lang w:eastAsia="en-AU"/>
        </w:rPr>
        <w:t xml:space="preserve"> by 22 April 2019.  For allocations </w:t>
      </w:r>
      <w:r w:rsidR="00274BD1">
        <w:rPr>
          <w:lang w:eastAsia="en-AU"/>
        </w:rPr>
        <w:t xml:space="preserve">expiring after 31 July 2019, the notice </w:t>
      </w:r>
      <w:proofErr w:type="gramStart"/>
      <w:r w:rsidR="00274BD1">
        <w:rPr>
          <w:lang w:eastAsia="en-AU"/>
        </w:rPr>
        <w:t>must be sent</w:t>
      </w:r>
      <w:proofErr w:type="gramEnd"/>
      <w:r w:rsidR="00274BD1">
        <w:rPr>
          <w:lang w:eastAsia="en-AU"/>
        </w:rPr>
        <w:t xml:space="preserve"> at least 90 days before the expiry of the allocation.</w:t>
      </w:r>
    </w:p>
    <w:p w14:paraId="523F1BD4" w14:textId="268082E1" w:rsidR="00BA4E26" w:rsidRPr="00274BD1" w:rsidRDefault="00BA4E26" w:rsidP="00274BD1">
      <w:pPr>
        <w:rPr>
          <w:rFonts w:ascii="Georgia" w:eastAsia="Times New Roman" w:hAnsi="Georgia" w:cs="Arial"/>
          <w:bCs/>
          <w:iCs/>
          <w:color w:val="005A70"/>
          <w:spacing w:val="4"/>
          <w:sz w:val="32"/>
          <w:szCs w:val="28"/>
          <w:lang w:eastAsia="en-AU"/>
        </w:rPr>
      </w:pPr>
      <w:r w:rsidRPr="00274BD1">
        <w:rPr>
          <w:rFonts w:ascii="Georgia" w:eastAsia="Times New Roman" w:hAnsi="Georgia" w:cs="Arial"/>
          <w:bCs/>
          <w:iCs/>
          <w:color w:val="005A70"/>
          <w:spacing w:val="4"/>
          <w:sz w:val="32"/>
          <w:szCs w:val="28"/>
          <w:lang w:eastAsia="en-AU"/>
        </w:rPr>
        <w:lastRenderedPageBreak/>
        <w:t>Further information</w:t>
      </w:r>
    </w:p>
    <w:p w14:paraId="68C282B2" w14:textId="4DD7CA4D" w:rsidR="00DE31FA" w:rsidRPr="00BA4E26" w:rsidRDefault="00527A53" w:rsidP="00BA4E26">
      <w:pPr>
        <w:rPr>
          <w:lang w:eastAsia="en-AU"/>
        </w:rPr>
      </w:pPr>
      <w:r>
        <w:rPr>
          <w:lang w:eastAsia="en-AU"/>
        </w:rPr>
        <w:t xml:space="preserve">Questions about the Amending Regulations may be sent </w:t>
      </w:r>
      <w:r w:rsidR="00BA4E26">
        <w:rPr>
          <w:lang w:eastAsia="en-AU"/>
        </w:rPr>
        <w:t xml:space="preserve">to </w:t>
      </w:r>
      <w:hyperlink r:id="rId15" w:history="1">
        <w:r w:rsidR="00F01610" w:rsidRPr="00800ADD">
          <w:rPr>
            <w:rStyle w:val="Hyperlink"/>
            <w:lang w:eastAsia="en-AU"/>
          </w:rPr>
          <w:t>nras@dss.gov.au</w:t>
        </w:r>
      </w:hyperlink>
      <w:proofErr w:type="gramStart"/>
      <w:r w:rsidR="00986EEF">
        <w:rPr>
          <w:rStyle w:val="CommentReference"/>
        </w:rPr>
        <w:t>.</w:t>
      </w:r>
      <w:r w:rsidR="00274BD1">
        <w:rPr>
          <w:rStyle w:val="CommentReference"/>
        </w:rPr>
        <w:t>.</w:t>
      </w:r>
      <w:proofErr w:type="gramEnd"/>
    </w:p>
    <w:sectPr w:rsidR="00DE31FA" w:rsidRPr="00BA4E26" w:rsidSect="005420DD">
      <w:footerReference w:type="default" r:id="rId16"/>
      <w:headerReference w:type="first" r:id="rId17"/>
      <w:footerReference w:type="first" r:id="rId18"/>
      <w:pgSz w:w="11906" w:h="16838" w:code="9"/>
      <w:pgMar w:top="851" w:right="849" w:bottom="568" w:left="851" w:header="0"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B0DE" w14:textId="77777777" w:rsidR="00E73001" w:rsidRDefault="00E73001">
      <w:pPr>
        <w:spacing w:after="0" w:line="240" w:lineRule="auto"/>
      </w:pPr>
      <w:r>
        <w:separator/>
      </w:r>
    </w:p>
  </w:endnote>
  <w:endnote w:type="continuationSeparator" w:id="0">
    <w:p w14:paraId="0CC0C440" w14:textId="77777777" w:rsidR="00E73001" w:rsidRDefault="00E7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04099"/>
      <w:docPartObj>
        <w:docPartGallery w:val="Page Numbers (Bottom of Page)"/>
        <w:docPartUnique/>
      </w:docPartObj>
    </w:sdtPr>
    <w:sdtEndPr>
      <w:rPr>
        <w:noProof/>
      </w:rPr>
    </w:sdtEndPr>
    <w:sdtContent>
      <w:p w14:paraId="005574D6" w14:textId="5B1D9868" w:rsidR="00097991" w:rsidRDefault="00BA4E26">
        <w:pPr>
          <w:pStyle w:val="Footer"/>
          <w:jc w:val="right"/>
        </w:pPr>
        <w:r>
          <w:fldChar w:fldCharType="begin"/>
        </w:r>
        <w:r>
          <w:instrText xml:space="preserve"> PAGE   \* MERGEFORMAT </w:instrText>
        </w:r>
        <w:r>
          <w:fldChar w:fldCharType="separate"/>
        </w:r>
        <w:r w:rsidR="00AA4164">
          <w:rPr>
            <w:noProof/>
          </w:rPr>
          <w:t>3</w:t>
        </w:r>
        <w:r>
          <w:rPr>
            <w:noProof/>
          </w:rPr>
          <w:fldChar w:fldCharType="end"/>
        </w:r>
      </w:p>
    </w:sdtContent>
  </w:sdt>
  <w:p w14:paraId="696FF7E7" w14:textId="77777777" w:rsidR="00097991" w:rsidRDefault="00AA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10082"/>
      <w:docPartObj>
        <w:docPartGallery w:val="Page Numbers (Bottom of Page)"/>
        <w:docPartUnique/>
      </w:docPartObj>
    </w:sdtPr>
    <w:sdtEndPr>
      <w:rPr>
        <w:noProof/>
      </w:rPr>
    </w:sdtEndPr>
    <w:sdtContent>
      <w:p w14:paraId="067B8CC0" w14:textId="0C7FC9C9" w:rsidR="00DD6CBE" w:rsidRDefault="00BA4E26">
        <w:pPr>
          <w:pStyle w:val="Footer"/>
          <w:jc w:val="right"/>
        </w:pPr>
        <w:r>
          <w:fldChar w:fldCharType="begin"/>
        </w:r>
        <w:r>
          <w:instrText xml:space="preserve"> PAGE   \* MERGEFORMAT </w:instrText>
        </w:r>
        <w:r>
          <w:fldChar w:fldCharType="separate"/>
        </w:r>
        <w:r w:rsidR="00AA4164">
          <w:rPr>
            <w:noProof/>
          </w:rPr>
          <w:t>1</w:t>
        </w:r>
        <w:r>
          <w:rPr>
            <w:noProof/>
          </w:rPr>
          <w:fldChar w:fldCharType="end"/>
        </w:r>
      </w:p>
    </w:sdtContent>
  </w:sdt>
  <w:p w14:paraId="4CD35E71" w14:textId="77777777" w:rsidR="00DD6CBE" w:rsidRDefault="00AA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8923" w14:textId="77777777" w:rsidR="00E73001" w:rsidRDefault="00E73001">
      <w:pPr>
        <w:spacing w:after="0" w:line="240" w:lineRule="auto"/>
      </w:pPr>
      <w:r>
        <w:separator/>
      </w:r>
    </w:p>
  </w:footnote>
  <w:footnote w:type="continuationSeparator" w:id="0">
    <w:p w14:paraId="27E9D87D" w14:textId="77777777" w:rsidR="00E73001" w:rsidRDefault="00E7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22CD" w14:textId="77777777" w:rsidR="00603626" w:rsidRDefault="00AA4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E4F"/>
    <w:multiLevelType w:val="hybridMultilevel"/>
    <w:tmpl w:val="25161FC0"/>
    <w:lvl w:ilvl="0" w:tplc="875C52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C1A76"/>
    <w:multiLevelType w:val="hybridMultilevel"/>
    <w:tmpl w:val="889A04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A2F7C"/>
    <w:multiLevelType w:val="hybridMultilevel"/>
    <w:tmpl w:val="B99A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685A80"/>
    <w:multiLevelType w:val="hybridMultilevel"/>
    <w:tmpl w:val="C2385AE2"/>
    <w:lvl w:ilvl="0" w:tplc="3766AC2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5E7"/>
    <w:multiLevelType w:val="hybridMultilevel"/>
    <w:tmpl w:val="7FA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E0756"/>
    <w:multiLevelType w:val="hybridMultilevel"/>
    <w:tmpl w:val="1756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F2646"/>
    <w:multiLevelType w:val="hybridMultilevel"/>
    <w:tmpl w:val="2F74FF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15:restartNumberingAfterBreak="0">
    <w:nsid w:val="184A75D0"/>
    <w:multiLevelType w:val="hybridMultilevel"/>
    <w:tmpl w:val="F30A5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057F6C"/>
    <w:multiLevelType w:val="hybridMultilevel"/>
    <w:tmpl w:val="2C562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F0CE6"/>
    <w:multiLevelType w:val="hybridMultilevel"/>
    <w:tmpl w:val="E9ECA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EE1E46"/>
    <w:multiLevelType w:val="hybridMultilevel"/>
    <w:tmpl w:val="40709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035487"/>
    <w:multiLevelType w:val="hybridMultilevel"/>
    <w:tmpl w:val="2200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674CA"/>
    <w:multiLevelType w:val="hybridMultilevel"/>
    <w:tmpl w:val="9AC2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0E22F9"/>
    <w:multiLevelType w:val="hybridMultilevel"/>
    <w:tmpl w:val="E8A463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1264DD7"/>
    <w:multiLevelType w:val="hybridMultilevel"/>
    <w:tmpl w:val="398E7760"/>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1"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5BE4"/>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E421122"/>
    <w:multiLevelType w:val="hybridMultilevel"/>
    <w:tmpl w:val="E5162CE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E684425"/>
    <w:multiLevelType w:val="hybridMultilevel"/>
    <w:tmpl w:val="52AE6478"/>
    <w:lvl w:ilvl="0" w:tplc="3766AC26">
      <w:start w:val="1"/>
      <w:numFmt w:val="lowerLetter"/>
      <w:lvlText w:val="(%1)"/>
      <w:lvlJc w:val="left"/>
      <w:pPr>
        <w:ind w:left="1080" w:hanging="360"/>
      </w:pPr>
      <w:rPr>
        <w:rFonts w:hint="default"/>
      </w:rPr>
    </w:lvl>
    <w:lvl w:ilvl="1" w:tplc="4F1A10B6">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8A392F"/>
    <w:multiLevelType w:val="hybridMultilevel"/>
    <w:tmpl w:val="1D408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8D6098"/>
    <w:multiLevelType w:val="hybridMultilevel"/>
    <w:tmpl w:val="FE1AB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7761DD5"/>
    <w:multiLevelType w:val="hybridMultilevel"/>
    <w:tmpl w:val="A03A7E92"/>
    <w:lvl w:ilvl="0" w:tplc="4BD0F5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035DEE"/>
    <w:multiLevelType w:val="hybridMultilevel"/>
    <w:tmpl w:val="1BD06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73A8D"/>
    <w:multiLevelType w:val="hybridMultilevel"/>
    <w:tmpl w:val="EDA43C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6E1A3A"/>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BC40671"/>
    <w:multiLevelType w:val="hybridMultilevel"/>
    <w:tmpl w:val="7DF6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CE85D68"/>
    <w:multiLevelType w:val="hybridMultilevel"/>
    <w:tmpl w:val="ADA0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0285A"/>
    <w:multiLevelType w:val="hybridMultilevel"/>
    <w:tmpl w:val="9ECEF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8E081A"/>
    <w:multiLevelType w:val="hybridMultilevel"/>
    <w:tmpl w:val="1278E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0303510"/>
    <w:multiLevelType w:val="hybridMultilevel"/>
    <w:tmpl w:val="DBE0DF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3661F9"/>
    <w:multiLevelType w:val="hybridMultilevel"/>
    <w:tmpl w:val="D6E0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1"/>
  </w:num>
  <w:num w:numId="3">
    <w:abstractNumId w:val="32"/>
  </w:num>
  <w:num w:numId="4">
    <w:abstractNumId w:val="16"/>
  </w:num>
  <w:num w:numId="5">
    <w:abstractNumId w:val="39"/>
  </w:num>
  <w:num w:numId="6">
    <w:abstractNumId w:val="3"/>
  </w:num>
  <w:num w:numId="7">
    <w:abstractNumId w:val="3"/>
  </w:num>
  <w:num w:numId="8">
    <w:abstractNumId w:val="19"/>
  </w:num>
  <w:num w:numId="9">
    <w:abstractNumId w:val="20"/>
  </w:num>
  <w:num w:numId="10">
    <w:abstractNumId w:val="42"/>
  </w:num>
  <w:num w:numId="11">
    <w:abstractNumId w:val="21"/>
  </w:num>
  <w:num w:numId="12">
    <w:abstractNumId w:val="15"/>
  </w:num>
  <w:num w:numId="13">
    <w:abstractNumId w:val="10"/>
  </w:num>
  <w:num w:numId="14">
    <w:abstractNumId w:val="3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0"/>
  </w:num>
  <w:num w:numId="19">
    <w:abstractNumId w:val="24"/>
  </w:num>
  <w:num w:numId="20">
    <w:abstractNumId w:val="7"/>
  </w:num>
  <w:num w:numId="21">
    <w:abstractNumId w:val="22"/>
  </w:num>
  <w:num w:numId="22">
    <w:abstractNumId w:val="4"/>
  </w:num>
  <w:num w:numId="23">
    <w:abstractNumId w:val="28"/>
  </w:num>
  <w:num w:numId="24">
    <w:abstractNumId w:val="27"/>
  </w:num>
  <w:num w:numId="25">
    <w:abstractNumId w:val="1"/>
  </w:num>
  <w:num w:numId="26">
    <w:abstractNumId w:val="29"/>
  </w:num>
  <w:num w:numId="27">
    <w:abstractNumId w:val="12"/>
  </w:num>
  <w:num w:numId="28">
    <w:abstractNumId w:val="35"/>
  </w:num>
  <w:num w:numId="29">
    <w:abstractNumId w:val="13"/>
  </w:num>
  <w:num w:numId="30">
    <w:abstractNumId w:val="2"/>
  </w:num>
  <w:num w:numId="31">
    <w:abstractNumId w:val="23"/>
  </w:num>
  <w:num w:numId="32">
    <w:abstractNumId w:val="9"/>
  </w:num>
  <w:num w:numId="33">
    <w:abstractNumId w:val="25"/>
  </w:num>
  <w:num w:numId="34">
    <w:abstractNumId w:val="14"/>
  </w:num>
  <w:num w:numId="35">
    <w:abstractNumId w:val="6"/>
  </w:num>
  <w:num w:numId="36">
    <w:abstractNumId w:val="18"/>
  </w:num>
  <w:num w:numId="37">
    <w:abstractNumId w:val="5"/>
  </w:num>
  <w:num w:numId="38">
    <w:abstractNumId w:val="26"/>
  </w:num>
  <w:num w:numId="39">
    <w:abstractNumId w:val="41"/>
  </w:num>
  <w:num w:numId="40">
    <w:abstractNumId w:val="33"/>
  </w:num>
  <w:num w:numId="41">
    <w:abstractNumId w:val="37"/>
  </w:num>
  <w:num w:numId="42">
    <w:abstractNumId w:val="11"/>
  </w:num>
  <w:num w:numId="43">
    <w:abstractNumId w:val="36"/>
  </w:num>
  <w:num w:numId="44">
    <w:abstractNumId w:val="8"/>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21435"/>
    <w:rsid w:val="000365A7"/>
    <w:rsid w:val="00036AB4"/>
    <w:rsid w:val="00045A01"/>
    <w:rsid w:val="00046397"/>
    <w:rsid w:val="00051250"/>
    <w:rsid w:val="000552C1"/>
    <w:rsid w:val="000558CA"/>
    <w:rsid w:val="0005632B"/>
    <w:rsid w:val="00057D3C"/>
    <w:rsid w:val="0006416F"/>
    <w:rsid w:val="000719C2"/>
    <w:rsid w:val="000802D7"/>
    <w:rsid w:val="00085323"/>
    <w:rsid w:val="00091E79"/>
    <w:rsid w:val="00096A3F"/>
    <w:rsid w:val="000A5AE2"/>
    <w:rsid w:val="000C591D"/>
    <w:rsid w:val="000D1DC9"/>
    <w:rsid w:val="000D79DA"/>
    <w:rsid w:val="000E131A"/>
    <w:rsid w:val="000E31D2"/>
    <w:rsid w:val="000F46BC"/>
    <w:rsid w:val="00104346"/>
    <w:rsid w:val="00111190"/>
    <w:rsid w:val="0011748E"/>
    <w:rsid w:val="00122B3D"/>
    <w:rsid w:val="00145D25"/>
    <w:rsid w:val="001645F4"/>
    <w:rsid w:val="0016778E"/>
    <w:rsid w:val="0017027C"/>
    <w:rsid w:val="00171799"/>
    <w:rsid w:val="00171A22"/>
    <w:rsid w:val="00172529"/>
    <w:rsid w:val="00177F47"/>
    <w:rsid w:val="00183E5C"/>
    <w:rsid w:val="00185663"/>
    <w:rsid w:val="001906BE"/>
    <w:rsid w:val="00192580"/>
    <w:rsid w:val="001A6D9F"/>
    <w:rsid w:val="001B4655"/>
    <w:rsid w:val="001D435F"/>
    <w:rsid w:val="001D7B82"/>
    <w:rsid w:val="001E0D5B"/>
    <w:rsid w:val="001E0E42"/>
    <w:rsid w:val="001E466F"/>
    <w:rsid w:val="001E58A0"/>
    <w:rsid w:val="001E630D"/>
    <w:rsid w:val="001F0507"/>
    <w:rsid w:val="001F16D6"/>
    <w:rsid w:val="00214D6E"/>
    <w:rsid w:val="00237421"/>
    <w:rsid w:val="00240A02"/>
    <w:rsid w:val="002467BF"/>
    <w:rsid w:val="002565FB"/>
    <w:rsid w:val="00262AE4"/>
    <w:rsid w:val="00263BBC"/>
    <w:rsid w:val="002659FC"/>
    <w:rsid w:val="00265E3B"/>
    <w:rsid w:val="002703DF"/>
    <w:rsid w:val="00274BD1"/>
    <w:rsid w:val="00283520"/>
    <w:rsid w:val="002926E9"/>
    <w:rsid w:val="0029616F"/>
    <w:rsid w:val="002B24B9"/>
    <w:rsid w:val="002C419F"/>
    <w:rsid w:val="002D2E83"/>
    <w:rsid w:val="002D512A"/>
    <w:rsid w:val="002E541F"/>
    <w:rsid w:val="002E5764"/>
    <w:rsid w:val="002E69F9"/>
    <w:rsid w:val="002E72A1"/>
    <w:rsid w:val="002F674E"/>
    <w:rsid w:val="003108A6"/>
    <w:rsid w:val="00316B7E"/>
    <w:rsid w:val="00317EA4"/>
    <w:rsid w:val="00326386"/>
    <w:rsid w:val="00327A67"/>
    <w:rsid w:val="00340AEC"/>
    <w:rsid w:val="00352A0B"/>
    <w:rsid w:val="00363590"/>
    <w:rsid w:val="00376914"/>
    <w:rsid w:val="003A00DA"/>
    <w:rsid w:val="003B2BB8"/>
    <w:rsid w:val="003B66B6"/>
    <w:rsid w:val="003C4A53"/>
    <w:rsid w:val="003C78B8"/>
    <w:rsid w:val="003D34FF"/>
    <w:rsid w:val="003F2672"/>
    <w:rsid w:val="00401682"/>
    <w:rsid w:val="0040232D"/>
    <w:rsid w:val="00403644"/>
    <w:rsid w:val="004103FA"/>
    <w:rsid w:val="00413C63"/>
    <w:rsid w:val="0041659A"/>
    <w:rsid w:val="00425CB2"/>
    <w:rsid w:val="004322AA"/>
    <w:rsid w:val="004338B6"/>
    <w:rsid w:val="0043582B"/>
    <w:rsid w:val="00436033"/>
    <w:rsid w:val="00436887"/>
    <w:rsid w:val="0044300D"/>
    <w:rsid w:val="004431BC"/>
    <w:rsid w:val="00443961"/>
    <w:rsid w:val="00454BCB"/>
    <w:rsid w:val="00460A7F"/>
    <w:rsid w:val="0047740D"/>
    <w:rsid w:val="0048058C"/>
    <w:rsid w:val="00480A19"/>
    <w:rsid w:val="00496FFA"/>
    <w:rsid w:val="004A685D"/>
    <w:rsid w:val="004B1107"/>
    <w:rsid w:val="004B54CA"/>
    <w:rsid w:val="004C2829"/>
    <w:rsid w:val="004D614C"/>
    <w:rsid w:val="004E5CBF"/>
    <w:rsid w:val="004F7F96"/>
    <w:rsid w:val="00500F99"/>
    <w:rsid w:val="0050228C"/>
    <w:rsid w:val="00503B2A"/>
    <w:rsid w:val="00507245"/>
    <w:rsid w:val="005103AE"/>
    <w:rsid w:val="00520C57"/>
    <w:rsid w:val="00522E10"/>
    <w:rsid w:val="00527A53"/>
    <w:rsid w:val="00532F6F"/>
    <w:rsid w:val="0053612B"/>
    <w:rsid w:val="00541633"/>
    <w:rsid w:val="005420DD"/>
    <w:rsid w:val="00546690"/>
    <w:rsid w:val="00547F11"/>
    <w:rsid w:val="00551467"/>
    <w:rsid w:val="005610EC"/>
    <w:rsid w:val="005624F3"/>
    <w:rsid w:val="0056534E"/>
    <w:rsid w:val="00574741"/>
    <w:rsid w:val="00577433"/>
    <w:rsid w:val="005803F8"/>
    <w:rsid w:val="005821C9"/>
    <w:rsid w:val="00597ACC"/>
    <w:rsid w:val="005A4CB3"/>
    <w:rsid w:val="005A51FF"/>
    <w:rsid w:val="005B20E9"/>
    <w:rsid w:val="005C3AA9"/>
    <w:rsid w:val="005C552F"/>
    <w:rsid w:val="005C690C"/>
    <w:rsid w:val="005D0D7C"/>
    <w:rsid w:val="005D14AA"/>
    <w:rsid w:val="005D1D41"/>
    <w:rsid w:val="005E0F7C"/>
    <w:rsid w:val="005F1C81"/>
    <w:rsid w:val="005F1FB7"/>
    <w:rsid w:val="005F44EF"/>
    <w:rsid w:val="005F4DA3"/>
    <w:rsid w:val="005F7C4B"/>
    <w:rsid w:val="00602B92"/>
    <w:rsid w:val="0060562F"/>
    <w:rsid w:val="00605DE9"/>
    <w:rsid w:val="00606D02"/>
    <w:rsid w:val="00611952"/>
    <w:rsid w:val="00611B3E"/>
    <w:rsid w:val="0063489E"/>
    <w:rsid w:val="00636932"/>
    <w:rsid w:val="00640D3E"/>
    <w:rsid w:val="00643604"/>
    <w:rsid w:val="00654F91"/>
    <w:rsid w:val="00655A0E"/>
    <w:rsid w:val="00664794"/>
    <w:rsid w:val="00676CE4"/>
    <w:rsid w:val="0068289A"/>
    <w:rsid w:val="00682A3A"/>
    <w:rsid w:val="0069148C"/>
    <w:rsid w:val="00691698"/>
    <w:rsid w:val="006A2DE9"/>
    <w:rsid w:val="006A4CE7"/>
    <w:rsid w:val="006A54D1"/>
    <w:rsid w:val="006B087B"/>
    <w:rsid w:val="006D4A88"/>
    <w:rsid w:val="006E56C1"/>
    <w:rsid w:val="006F34E7"/>
    <w:rsid w:val="006F3ABA"/>
    <w:rsid w:val="006F3E75"/>
    <w:rsid w:val="00711D2E"/>
    <w:rsid w:val="007129CC"/>
    <w:rsid w:val="00727873"/>
    <w:rsid w:val="00727A2D"/>
    <w:rsid w:val="007333BE"/>
    <w:rsid w:val="007345D5"/>
    <w:rsid w:val="00736BB0"/>
    <w:rsid w:val="00752F07"/>
    <w:rsid w:val="00754B4C"/>
    <w:rsid w:val="00754C06"/>
    <w:rsid w:val="00772655"/>
    <w:rsid w:val="007739CC"/>
    <w:rsid w:val="00783E2F"/>
    <w:rsid w:val="00784E75"/>
    <w:rsid w:val="00785261"/>
    <w:rsid w:val="007A4BFD"/>
    <w:rsid w:val="007A5E7E"/>
    <w:rsid w:val="007B0256"/>
    <w:rsid w:val="007B2FEF"/>
    <w:rsid w:val="007C0B2B"/>
    <w:rsid w:val="007C183D"/>
    <w:rsid w:val="007C3A7A"/>
    <w:rsid w:val="007C5C88"/>
    <w:rsid w:val="007E37D3"/>
    <w:rsid w:val="007E5C8E"/>
    <w:rsid w:val="007E743D"/>
    <w:rsid w:val="007F0D45"/>
    <w:rsid w:val="00800444"/>
    <w:rsid w:val="00800F78"/>
    <w:rsid w:val="008038E1"/>
    <w:rsid w:val="00840251"/>
    <w:rsid w:val="008428AB"/>
    <w:rsid w:val="00845283"/>
    <w:rsid w:val="00856B20"/>
    <w:rsid w:val="00857E90"/>
    <w:rsid w:val="00860EC8"/>
    <w:rsid w:val="008614EF"/>
    <w:rsid w:val="00865253"/>
    <w:rsid w:val="008673E6"/>
    <w:rsid w:val="00893110"/>
    <w:rsid w:val="008A7757"/>
    <w:rsid w:val="008B06C9"/>
    <w:rsid w:val="008B08BB"/>
    <w:rsid w:val="008B3B1C"/>
    <w:rsid w:val="008B6FC3"/>
    <w:rsid w:val="008D2732"/>
    <w:rsid w:val="008D503F"/>
    <w:rsid w:val="008D6935"/>
    <w:rsid w:val="008E78A7"/>
    <w:rsid w:val="008F0BD6"/>
    <w:rsid w:val="008F3AF3"/>
    <w:rsid w:val="00900DF2"/>
    <w:rsid w:val="00905005"/>
    <w:rsid w:val="00906CB6"/>
    <w:rsid w:val="00906DFB"/>
    <w:rsid w:val="0091246F"/>
    <w:rsid w:val="0091708B"/>
    <w:rsid w:val="00920056"/>
    <w:rsid w:val="009225F0"/>
    <w:rsid w:val="009236B7"/>
    <w:rsid w:val="00927F15"/>
    <w:rsid w:val="009410D2"/>
    <w:rsid w:val="00946473"/>
    <w:rsid w:val="00954081"/>
    <w:rsid w:val="00960B99"/>
    <w:rsid w:val="00962C9A"/>
    <w:rsid w:val="00965074"/>
    <w:rsid w:val="00965D8C"/>
    <w:rsid w:val="00974ACE"/>
    <w:rsid w:val="00977DCA"/>
    <w:rsid w:val="0098110F"/>
    <w:rsid w:val="00986BF2"/>
    <w:rsid w:val="00986DBE"/>
    <w:rsid w:val="00986EEF"/>
    <w:rsid w:val="00993953"/>
    <w:rsid w:val="009B31C8"/>
    <w:rsid w:val="009D2347"/>
    <w:rsid w:val="009D343F"/>
    <w:rsid w:val="00A05707"/>
    <w:rsid w:val="00A11632"/>
    <w:rsid w:val="00A12EFC"/>
    <w:rsid w:val="00A16D7D"/>
    <w:rsid w:val="00A21A16"/>
    <w:rsid w:val="00A23645"/>
    <w:rsid w:val="00A2442E"/>
    <w:rsid w:val="00A365AF"/>
    <w:rsid w:val="00A37FB7"/>
    <w:rsid w:val="00A4267B"/>
    <w:rsid w:val="00A508D8"/>
    <w:rsid w:val="00A53D80"/>
    <w:rsid w:val="00A64E0D"/>
    <w:rsid w:val="00A67B63"/>
    <w:rsid w:val="00A74BD8"/>
    <w:rsid w:val="00A75E58"/>
    <w:rsid w:val="00A92853"/>
    <w:rsid w:val="00AA22DF"/>
    <w:rsid w:val="00AA2CD1"/>
    <w:rsid w:val="00AA3293"/>
    <w:rsid w:val="00AA3B0B"/>
    <w:rsid w:val="00AA4164"/>
    <w:rsid w:val="00AB6016"/>
    <w:rsid w:val="00AC6CEF"/>
    <w:rsid w:val="00AD2162"/>
    <w:rsid w:val="00AD57B1"/>
    <w:rsid w:val="00AF1386"/>
    <w:rsid w:val="00AF2F5C"/>
    <w:rsid w:val="00B11E68"/>
    <w:rsid w:val="00B137CE"/>
    <w:rsid w:val="00B16DC1"/>
    <w:rsid w:val="00B25B26"/>
    <w:rsid w:val="00B2647F"/>
    <w:rsid w:val="00B27CF0"/>
    <w:rsid w:val="00B355AC"/>
    <w:rsid w:val="00B40043"/>
    <w:rsid w:val="00B52837"/>
    <w:rsid w:val="00B543C2"/>
    <w:rsid w:val="00B60BD3"/>
    <w:rsid w:val="00B61F38"/>
    <w:rsid w:val="00B81396"/>
    <w:rsid w:val="00B81AB9"/>
    <w:rsid w:val="00BA0C73"/>
    <w:rsid w:val="00BA2DB9"/>
    <w:rsid w:val="00BA444A"/>
    <w:rsid w:val="00BA4E26"/>
    <w:rsid w:val="00BB5A15"/>
    <w:rsid w:val="00BB6FAD"/>
    <w:rsid w:val="00BC6F0C"/>
    <w:rsid w:val="00BD039A"/>
    <w:rsid w:val="00BD13E8"/>
    <w:rsid w:val="00BE017D"/>
    <w:rsid w:val="00BE7148"/>
    <w:rsid w:val="00BF603D"/>
    <w:rsid w:val="00C0377B"/>
    <w:rsid w:val="00C11462"/>
    <w:rsid w:val="00C11DD0"/>
    <w:rsid w:val="00C164C4"/>
    <w:rsid w:val="00C25451"/>
    <w:rsid w:val="00C25F7B"/>
    <w:rsid w:val="00C334B7"/>
    <w:rsid w:val="00C416AD"/>
    <w:rsid w:val="00C5455A"/>
    <w:rsid w:val="00C55DAB"/>
    <w:rsid w:val="00C624AF"/>
    <w:rsid w:val="00C673B3"/>
    <w:rsid w:val="00C70C03"/>
    <w:rsid w:val="00C76548"/>
    <w:rsid w:val="00C829A2"/>
    <w:rsid w:val="00C9144A"/>
    <w:rsid w:val="00C91BBE"/>
    <w:rsid w:val="00C929A7"/>
    <w:rsid w:val="00CA52F6"/>
    <w:rsid w:val="00CD35E2"/>
    <w:rsid w:val="00CF7C83"/>
    <w:rsid w:val="00D04E79"/>
    <w:rsid w:val="00D1541C"/>
    <w:rsid w:val="00D22671"/>
    <w:rsid w:val="00D25715"/>
    <w:rsid w:val="00D26C21"/>
    <w:rsid w:val="00D30EFD"/>
    <w:rsid w:val="00D5595E"/>
    <w:rsid w:val="00D6255D"/>
    <w:rsid w:val="00D62E3C"/>
    <w:rsid w:val="00D7113E"/>
    <w:rsid w:val="00D73730"/>
    <w:rsid w:val="00D775FF"/>
    <w:rsid w:val="00D77ABB"/>
    <w:rsid w:val="00D8030F"/>
    <w:rsid w:val="00D8045C"/>
    <w:rsid w:val="00D81C23"/>
    <w:rsid w:val="00D8227A"/>
    <w:rsid w:val="00D82B1B"/>
    <w:rsid w:val="00D8493B"/>
    <w:rsid w:val="00D9052D"/>
    <w:rsid w:val="00D966BF"/>
    <w:rsid w:val="00DB03D0"/>
    <w:rsid w:val="00DB2C50"/>
    <w:rsid w:val="00DD359E"/>
    <w:rsid w:val="00DD39C7"/>
    <w:rsid w:val="00DD5927"/>
    <w:rsid w:val="00DE31FA"/>
    <w:rsid w:val="00DE7949"/>
    <w:rsid w:val="00E0343E"/>
    <w:rsid w:val="00E06C29"/>
    <w:rsid w:val="00E14899"/>
    <w:rsid w:val="00E34064"/>
    <w:rsid w:val="00E357D1"/>
    <w:rsid w:val="00E37712"/>
    <w:rsid w:val="00E43B86"/>
    <w:rsid w:val="00E44311"/>
    <w:rsid w:val="00E54FB9"/>
    <w:rsid w:val="00E574D6"/>
    <w:rsid w:val="00E657F8"/>
    <w:rsid w:val="00E6622C"/>
    <w:rsid w:val="00E73001"/>
    <w:rsid w:val="00E74DA4"/>
    <w:rsid w:val="00E77D07"/>
    <w:rsid w:val="00E82D0A"/>
    <w:rsid w:val="00E82FD7"/>
    <w:rsid w:val="00E9674E"/>
    <w:rsid w:val="00EB1DE3"/>
    <w:rsid w:val="00EB4E94"/>
    <w:rsid w:val="00EC1E6C"/>
    <w:rsid w:val="00EC6C38"/>
    <w:rsid w:val="00ED399D"/>
    <w:rsid w:val="00EE241E"/>
    <w:rsid w:val="00EE3C82"/>
    <w:rsid w:val="00EE436C"/>
    <w:rsid w:val="00EE710F"/>
    <w:rsid w:val="00EF090D"/>
    <w:rsid w:val="00EF32C9"/>
    <w:rsid w:val="00EF374C"/>
    <w:rsid w:val="00F01610"/>
    <w:rsid w:val="00F01852"/>
    <w:rsid w:val="00F03E52"/>
    <w:rsid w:val="00F068FE"/>
    <w:rsid w:val="00F25414"/>
    <w:rsid w:val="00F430DD"/>
    <w:rsid w:val="00F5401E"/>
    <w:rsid w:val="00F60072"/>
    <w:rsid w:val="00F61A43"/>
    <w:rsid w:val="00F6351B"/>
    <w:rsid w:val="00F67393"/>
    <w:rsid w:val="00F75525"/>
    <w:rsid w:val="00F84DEA"/>
    <w:rsid w:val="00F911E5"/>
    <w:rsid w:val="00F92D35"/>
    <w:rsid w:val="00FA0857"/>
    <w:rsid w:val="00FB1EEB"/>
    <w:rsid w:val="00FB530D"/>
    <w:rsid w:val="00FC1432"/>
    <w:rsid w:val="00FD6F33"/>
    <w:rsid w:val="00FE0129"/>
    <w:rsid w:val="00FE0CB0"/>
    <w:rsid w:val="00FF051D"/>
    <w:rsid w:val="00FF7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EB370"/>
  <w15:docId w15:val="{9C767C74-300D-446B-86D7-44ACD30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3"/>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16AD"/>
    <w:rPr>
      <w:sz w:val="16"/>
      <w:szCs w:val="16"/>
    </w:rPr>
  </w:style>
  <w:style w:type="paragraph" w:styleId="CommentText">
    <w:name w:val="annotation text"/>
    <w:basedOn w:val="Normal"/>
    <w:link w:val="CommentTextChar"/>
    <w:uiPriority w:val="99"/>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unhideWhenUsed/>
    <w:rsid w:val="00C416AD"/>
    <w:rPr>
      <w:b/>
      <w:bCs/>
    </w:rPr>
  </w:style>
  <w:style w:type="character" w:customStyle="1" w:styleId="CommentSubjectChar">
    <w:name w:val="Comment Subject Char"/>
    <w:basedOn w:val="CommentTextChar"/>
    <w:link w:val="CommentSubject"/>
    <w:uiPriority w:val="99"/>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locked/>
    <w:rsid w:val="00BA4E26"/>
    <w:rPr>
      <w:rFonts w:ascii="Arial" w:hAnsi="Arial"/>
    </w:rPr>
  </w:style>
  <w:style w:type="paragraph" w:styleId="Revision">
    <w:name w:val="Revision"/>
    <w:hidden/>
    <w:uiPriority w:val="99"/>
    <w:semiHidden/>
    <w:rsid w:val="00A23645"/>
    <w:pPr>
      <w:spacing w:after="0" w:line="240" w:lineRule="auto"/>
    </w:pPr>
    <w:rPr>
      <w:rFonts w:ascii="Arial" w:hAnsi="Arial"/>
    </w:rPr>
  </w:style>
  <w:style w:type="paragraph" w:customStyle="1" w:styleId="ESExplanationText">
    <w:name w:val="ES Explanation Text"/>
    <w:basedOn w:val="Normal"/>
    <w:qFormat/>
    <w:rsid w:val="00B137CE"/>
    <w:pPr>
      <w:spacing w:before="180"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619">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49435684">
      <w:bodyDiv w:val="1"/>
      <w:marLeft w:val="0"/>
      <w:marRight w:val="0"/>
      <w:marTop w:val="0"/>
      <w:marBottom w:val="0"/>
      <w:divBdr>
        <w:top w:val="none" w:sz="0" w:space="0" w:color="auto"/>
        <w:left w:val="none" w:sz="0" w:space="0" w:color="auto"/>
        <w:bottom w:val="none" w:sz="0" w:space="0" w:color="auto"/>
        <w:right w:val="none" w:sz="0" w:space="0" w:color="auto"/>
      </w:divBdr>
    </w:div>
    <w:div w:id="327440430">
      <w:bodyDiv w:val="1"/>
      <w:marLeft w:val="0"/>
      <w:marRight w:val="0"/>
      <w:marTop w:val="0"/>
      <w:marBottom w:val="0"/>
      <w:divBdr>
        <w:top w:val="none" w:sz="0" w:space="0" w:color="auto"/>
        <w:left w:val="none" w:sz="0" w:space="0" w:color="auto"/>
        <w:bottom w:val="none" w:sz="0" w:space="0" w:color="auto"/>
        <w:right w:val="none" w:sz="0" w:space="0" w:color="auto"/>
      </w:divBdr>
      <w:divsChild>
        <w:div w:id="1138033595">
          <w:marLeft w:val="0"/>
          <w:marRight w:val="0"/>
          <w:marTop w:val="0"/>
          <w:marBottom w:val="0"/>
          <w:divBdr>
            <w:top w:val="none" w:sz="0" w:space="0" w:color="auto"/>
            <w:left w:val="none" w:sz="0" w:space="0" w:color="auto"/>
            <w:bottom w:val="none" w:sz="0" w:space="0" w:color="auto"/>
            <w:right w:val="none" w:sz="0" w:space="0" w:color="auto"/>
          </w:divBdr>
          <w:divsChild>
            <w:div w:id="1463421874">
              <w:marLeft w:val="0"/>
              <w:marRight w:val="0"/>
              <w:marTop w:val="0"/>
              <w:marBottom w:val="0"/>
              <w:divBdr>
                <w:top w:val="none" w:sz="0" w:space="0" w:color="auto"/>
                <w:left w:val="none" w:sz="0" w:space="0" w:color="auto"/>
                <w:bottom w:val="none" w:sz="0" w:space="0" w:color="auto"/>
                <w:right w:val="none" w:sz="0" w:space="0" w:color="auto"/>
              </w:divBdr>
              <w:divsChild>
                <w:div w:id="1058940596">
                  <w:marLeft w:val="0"/>
                  <w:marRight w:val="0"/>
                  <w:marTop w:val="0"/>
                  <w:marBottom w:val="0"/>
                  <w:divBdr>
                    <w:top w:val="none" w:sz="0" w:space="0" w:color="auto"/>
                    <w:left w:val="none" w:sz="0" w:space="0" w:color="auto"/>
                    <w:bottom w:val="none" w:sz="0" w:space="0" w:color="auto"/>
                    <w:right w:val="none" w:sz="0" w:space="0" w:color="auto"/>
                  </w:divBdr>
                  <w:divsChild>
                    <w:div w:id="1739134345">
                      <w:marLeft w:val="0"/>
                      <w:marRight w:val="0"/>
                      <w:marTop w:val="100"/>
                      <w:marBottom w:val="0"/>
                      <w:divBdr>
                        <w:top w:val="none" w:sz="0" w:space="0" w:color="auto"/>
                        <w:left w:val="none" w:sz="0" w:space="0" w:color="auto"/>
                        <w:bottom w:val="none" w:sz="0" w:space="0" w:color="auto"/>
                        <w:right w:val="none" w:sz="0" w:space="0" w:color="auto"/>
                      </w:divBdr>
                      <w:divsChild>
                        <w:div w:id="1653632104">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sChild>
                                <w:div w:id="2138912675">
                                  <w:marLeft w:val="-6000"/>
                                  <w:marRight w:val="0"/>
                                  <w:marTop w:val="0"/>
                                  <w:marBottom w:val="0"/>
                                  <w:divBdr>
                                    <w:top w:val="none" w:sz="0" w:space="0" w:color="auto"/>
                                    <w:left w:val="none" w:sz="0" w:space="0" w:color="auto"/>
                                    <w:bottom w:val="none" w:sz="0" w:space="0" w:color="auto"/>
                                    <w:right w:val="none" w:sz="0" w:space="0" w:color="auto"/>
                                  </w:divBdr>
                                  <w:divsChild>
                                    <w:div w:id="836044453">
                                      <w:marLeft w:val="4290"/>
                                      <w:marRight w:val="0"/>
                                      <w:marTop w:val="0"/>
                                      <w:marBottom w:val="0"/>
                                      <w:divBdr>
                                        <w:top w:val="none" w:sz="0" w:space="0" w:color="auto"/>
                                        <w:left w:val="none" w:sz="0" w:space="0" w:color="auto"/>
                                        <w:bottom w:val="none" w:sz="0" w:space="0" w:color="auto"/>
                                        <w:right w:val="none" w:sz="0" w:space="0" w:color="auto"/>
                                      </w:divBdr>
                                      <w:divsChild>
                                        <w:div w:id="30427573">
                                          <w:marLeft w:val="0"/>
                                          <w:marRight w:val="0"/>
                                          <w:marTop w:val="0"/>
                                          <w:marBottom w:val="0"/>
                                          <w:divBdr>
                                            <w:top w:val="none" w:sz="0" w:space="0" w:color="auto"/>
                                            <w:left w:val="none" w:sz="0" w:space="0" w:color="auto"/>
                                            <w:bottom w:val="none" w:sz="0" w:space="0" w:color="auto"/>
                                            <w:right w:val="none" w:sz="0" w:space="0" w:color="auto"/>
                                          </w:divBdr>
                                          <w:divsChild>
                                            <w:div w:id="541484396">
                                              <w:marLeft w:val="0"/>
                                              <w:marRight w:val="0"/>
                                              <w:marTop w:val="0"/>
                                              <w:marBottom w:val="0"/>
                                              <w:divBdr>
                                                <w:top w:val="none" w:sz="0" w:space="0" w:color="auto"/>
                                                <w:left w:val="none" w:sz="0" w:space="0" w:color="auto"/>
                                                <w:bottom w:val="none" w:sz="0" w:space="0" w:color="auto"/>
                                                <w:right w:val="none" w:sz="0" w:space="0" w:color="auto"/>
                                              </w:divBdr>
                                              <w:divsChild>
                                                <w:div w:id="853496351">
                                                  <w:marLeft w:val="0"/>
                                                  <w:marRight w:val="0"/>
                                                  <w:marTop w:val="0"/>
                                                  <w:marBottom w:val="0"/>
                                                  <w:divBdr>
                                                    <w:top w:val="none" w:sz="0" w:space="0" w:color="auto"/>
                                                    <w:left w:val="none" w:sz="0" w:space="0" w:color="auto"/>
                                                    <w:bottom w:val="none" w:sz="0" w:space="0" w:color="auto"/>
                                                    <w:right w:val="none" w:sz="0" w:space="0" w:color="auto"/>
                                                  </w:divBdr>
                                                  <w:divsChild>
                                                    <w:div w:id="1159494299">
                                                      <w:marLeft w:val="0"/>
                                                      <w:marRight w:val="0"/>
                                                      <w:marTop w:val="300"/>
                                                      <w:marBottom w:val="0"/>
                                                      <w:divBdr>
                                                        <w:top w:val="none" w:sz="0" w:space="0" w:color="auto"/>
                                                        <w:left w:val="none" w:sz="0" w:space="0" w:color="auto"/>
                                                        <w:bottom w:val="none" w:sz="0" w:space="0" w:color="auto"/>
                                                        <w:right w:val="none" w:sz="0" w:space="0" w:color="auto"/>
                                                      </w:divBdr>
                                                      <w:divsChild>
                                                        <w:div w:id="1996370983">
                                                          <w:marLeft w:val="0"/>
                                                          <w:marRight w:val="0"/>
                                                          <w:marTop w:val="0"/>
                                                          <w:marBottom w:val="0"/>
                                                          <w:divBdr>
                                                            <w:top w:val="none" w:sz="0" w:space="0" w:color="auto"/>
                                                            <w:left w:val="none" w:sz="0" w:space="0" w:color="auto"/>
                                                            <w:bottom w:val="none" w:sz="0" w:space="0" w:color="auto"/>
                                                            <w:right w:val="none" w:sz="0" w:space="0" w:color="auto"/>
                                                          </w:divBdr>
                                                          <w:divsChild>
                                                            <w:div w:id="1228999347">
                                                              <w:marLeft w:val="0"/>
                                                              <w:marRight w:val="0"/>
                                                              <w:marTop w:val="0"/>
                                                              <w:marBottom w:val="0"/>
                                                              <w:divBdr>
                                                                <w:top w:val="none" w:sz="0" w:space="0" w:color="auto"/>
                                                                <w:left w:val="none" w:sz="0" w:space="0" w:color="auto"/>
                                                                <w:bottom w:val="none" w:sz="0" w:space="0" w:color="auto"/>
                                                                <w:right w:val="none" w:sz="0" w:space="0" w:color="auto"/>
                                                              </w:divBdr>
                                                              <w:divsChild>
                                                                <w:div w:id="637154072">
                                                                  <w:marLeft w:val="0"/>
                                                                  <w:marRight w:val="0"/>
                                                                  <w:marTop w:val="0"/>
                                                                  <w:marBottom w:val="0"/>
                                                                  <w:divBdr>
                                                                    <w:top w:val="none" w:sz="0" w:space="0" w:color="auto"/>
                                                                    <w:left w:val="none" w:sz="0" w:space="0" w:color="auto"/>
                                                                    <w:bottom w:val="none" w:sz="0" w:space="0" w:color="auto"/>
                                                                    <w:right w:val="none" w:sz="0" w:space="0" w:color="auto"/>
                                                                  </w:divBdr>
                                                                  <w:divsChild>
                                                                    <w:div w:id="9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274633626">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529098548">
      <w:bodyDiv w:val="1"/>
      <w:marLeft w:val="0"/>
      <w:marRight w:val="0"/>
      <w:marTop w:val="0"/>
      <w:marBottom w:val="0"/>
      <w:divBdr>
        <w:top w:val="none" w:sz="0" w:space="0" w:color="auto"/>
        <w:left w:val="none" w:sz="0" w:space="0" w:color="auto"/>
        <w:bottom w:val="none" w:sz="0" w:space="0" w:color="auto"/>
        <w:right w:val="none" w:sz="0" w:space="0" w:color="auto"/>
      </w:divBdr>
    </w:div>
    <w:div w:id="1532257998">
      <w:bodyDiv w:val="1"/>
      <w:marLeft w:val="0"/>
      <w:marRight w:val="0"/>
      <w:marTop w:val="0"/>
      <w:marBottom w:val="0"/>
      <w:divBdr>
        <w:top w:val="none" w:sz="0" w:space="0" w:color="auto"/>
        <w:left w:val="none" w:sz="0" w:space="0" w:color="auto"/>
        <w:bottom w:val="none" w:sz="0" w:space="0" w:color="auto"/>
        <w:right w:val="none" w:sz="0" w:space="0" w:color="auto"/>
      </w:divBdr>
    </w:div>
    <w:div w:id="1543441125">
      <w:bodyDiv w:val="1"/>
      <w:marLeft w:val="0"/>
      <w:marRight w:val="0"/>
      <w:marTop w:val="0"/>
      <w:marBottom w:val="0"/>
      <w:divBdr>
        <w:top w:val="none" w:sz="0" w:space="0" w:color="auto"/>
        <w:left w:val="none" w:sz="0" w:space="0" w:color="auto"/>
        <w:bottom w:val="none" w:sz="0" w:space="0" w:color="auto"/>
        <w:right w:val="none" w:sz="0" w:space="0" w:color="auto"/>
      </w:divBdr>
    </w:div>
    <w:div w:id="1641881925">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 w:id="1963421457">
      <w:bodyDiv w:val="1"/>
      <w:marLeft w:val="0"/>
      <w:marRight w:val="0"/>
      <w:marTop w:val="0"/>
      <w:marBottom w:val="0"/>
      <w:divBdr>
        <w:top w:val="none" w:sz="0" w:space="0" w:color="auto"/>
        <w:left w:val="none" w:sz="0" w:space="0" w:color="auto"/>
        <w:bottom w:val="none" w:sz="0" w:space="0" w:color="auto"/>
        <w:right w:val="none" w:sz="0" w:space="0" w:color="auto"/>
      </w:divBdr>
    </w:div>
    <w:div w:id="19846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s.gov.au/node/5933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ras@dss.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ss.gov.au/node/59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ELLIOTT, Trevor</DisplayName>
        <AccountId>413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C5F3-9433-4320-BF11-959CF19F012B}">
  <ds:schemaRefs>
    <ds:schemaRef ds:uri="http://schemas.microsoft.com/sharepoint/v3/contenttype/forms"/>
  </ds:schemaRefs>
</ds:datastoreItem>
</file>

<file path=customXml/itemProps2.xml><?xml version="1.0" encoding="utf-8"?>
<ds:datastoreItem xmlns:ds="http://schemas.openxmlformats.org/officeDocument/2006/customXml" ds:itemID="{5320FF40-4600-4A3E-BF2F-B72270680976}">
  <ds:schemaRefs>
    <ds:schemaRef ds:uri="http://schemas.microsoft.com/sharepoint/events"/>
  </ds:schemaRefs>
</ds:datastoreItem>
</file>

<file path=customXml/itemProps3.xml><?xml version="1.0" encoding="utf-8"?>
<ds:datastoreItem xmlns:ds="http://schemas.openxmlformats.org/officeDocument/2006/customXml" ds:itemID="{68AB927C-5CAC-40C1-B54B-C37F99C2D8FC}">
  <ds:schemaRefs>
    <ds:schemaRef ds:uri="http://schemas.microsoft.com/office/2006/metadata/properties"/>
    <ds:schemaRef ds:uri="http://schemas.microsoft.com/office/infopath/2007/PartnerControls"/>
    <ds:schemaRef ds:uri="http://schemas.microsoft.com/sharepoint/v3"/>
    <ds:schemaRef ds:uri="906c5a57-8f5c-4de1-a895-399cda7859bc"/>
  </ds:schemaRefs>
</ds:datastoreItem>
</file>

<file path=customXml/itemProps4.xml><?xml version="1.0" encoding="utf-8"?>
<ds:datastoreItem xmlns:ds="http://schemas.openxmlformats.org/officeDocument/2006/customXml" ds:itemID="{05F30031-6F2B-42AE-8F14-0C5CD53F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ADBFD-C073-406D-8B84-FF840B2E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HARREX, Sarah</dc:creator>
  <cp:lastModifiedBy>WHITER, Shaun</cp:lastModifiedBy>
  <cp:revision>3</cp:revision>
  <cp:lastPrinted>2019-03-17T23:24:00Z</cp:lastPrinted>
  <dcterms:created xsi:type="dcterms:W3CDTF">2019-03-15T03:51:00Z</dcterms:created>
  <dcterms:modified xsi:type="dcterms:W3CDTF">2019-03-17T23:45:00Z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