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E4" w:rsidRPr="0087600D" w:rsidRDefault="007418A0" w:rsidP="00D836E4">
      <w:pPr>
        <w:pStyle w:val="Title"/>
        <w:ind w:left="-709"/>
      </w:pPr>
      <w:r w:rsidRPr="001014D7">
        <w:rPr>
          <w:szCs w:val="20"/>
        </w:rPr>
        <w:t>Annual Deregulation Report 2014</w:t>
      </w:r>
    </w:p>
    <w:p w:rsidR="00D836E4" w:rsidRPr="00FE4A3A" w:rsidRDefault="007418A0" w:rsidP="00D836E4">
      <w:pPr>
        <w:pStyle w:val="Subtitle"/>
        <w:ind w:hanging="709"/>
      </w:pPr>
      <w:r>
        <w:rPr>
          <w:szCs w:val="20"/>
        </w:rPr>
        <w:t>Department of Social Services</w:t>
      </w:r>
    </w:p>
    <w:p w:rsidR="00D836E4" w:rsidRDefault="007418A0" w:rsidP="00D836E4">
      <w:pPr>
        <w:pStyle w:val="Smalltext"/>
        <w:ind w:left="-709"/>
      </w:pPr>
      <w:r w:rsidRPr="009B3A91">
        <w:t xml:space="preserve">DSS </w:t>
      </w:r>
      <w:r w:rsidR="009B3A91">
        <w:t>1546.03.18</w:t>
      </w:r>
    </w:p>
    <w:p w:rsidR="00D836E4" w:rsidRDefault="00D836E4" w:rsidP="00D836E4">
      <w:pPr>
        <w:spacing w:before="800"/>
        <w:ind w:left="-709"/>
        <w:rPr>
          <w:i/>
          <w:iCs/>
          <w:smallCaps/>
        </w:rPr>
        <w:sectPr w:rsidR="00D836E4" w:rsidSect="00D836E4">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rsidR="00D836E4" w:rsidRDefault="00D836E4" w:rsidP="00D836E4">
      <w:pPr>
        <w:rPr>
          <w:i/>
          <w:iCs/>
          <w:smallCaps/>
        </w:rPr>
      </w:pPr>
    </w:p>
    <w:p w:rsidR="00D836E4" w:rsidRPr="003533C7" w:rsidRDefault="00D836E4" w:rsidP="00D836E4">
      <w:pPr>
        <w:spacing w:before="5040"/>
        <w:rPr>
          <w:iCs/>
          <w:smallCaps/>
        </w:rPr>
      </w:pPr>
    </w:p>
    <w:p w:rsidR="00D836E4" w:rsidRPr="00717729" w:rsidRDefault="007418A0" w:rsidP="00D836E4">
      <w:pPr>
        <w:spacing w:before="600" w:after="0"/>
        <w:jc w:val="both"/>
        <w:rPr>
          <w:rFonts w:cs="Arial"/>
          <w:b/>
        </w:rPr>
      </w:pPr>
      <w:r>
        <w:rPr>
          <w:rFonts w:cs="Arial"/>
          <w:b/>
        </w:rPr>
        <w:t>Copyright n</w:t>
      </w:r>
      <w:r w:rsidRPr="00717729">
        <w:rPr>
          <w:rFonts w:cs="Arial"/>
          <w:b/>
        </w:rPr>
        <w:t>otice</w:t>
      </w:r>
    </w:p>
    <w:p w:rsidR="00D836E4" w:rsidRDefault="007418A0" w:rsidP="00D836E4">
      <w:pPr>
        <w:pStyle w:val="NormalWeb"/>
        <w:rPr>
          <w:rFonts w:ascii="Arial" w:hAnsi="Arial" w:cs="Arial"/>
        </w:rPr>
      </w:pPr>
      <w:r>
        <w:rPr>
          <w:rFonts w:ascii="Arial" w:hAnsi="Arial" w:cs="Arial"/>
          <w:noProof/>
        </w:rPr>
        <w:drawing>
          <wp:inline distT="0" distB="0" distL="0" distR="0" wp14:anchorId="0FFAD490" wp14:editId="0FFAD491">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D836E4" w:rsidRPr="0050273B" w:rsidRDefault="007418A0" w:rsidP="00D836E4">
      <w:pPr>
        <w:rPr>
          <w:rStyle w:val="Hyperlink"/>
          <w:rFonts w:cs="Arial"/>
        </w:rPr>
      </w:pPr>
      <w:r w:rsidRPr="00717729">
        <w:t xml:space="preserve">This document </w:t>
      </w:r>
      <w:r>
        <w:t xml:space="preserve">Department of Social Services 2014 </w:t>
      </w:r>
      <w:r w:rsidRPr="00510DC2">
        <w:t xml:space="preserve">Annual Deregulation Report </w:t>
      </w:r>
      <w:r w:rsidRPr="00717729">
        <w:t xml:space="preserve">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cs="Arial"/>
        </w:rPr>
        <w:t>Creative Commons Attribution 4.0 International Licence</w:t>
      </w:r>
    </w:p>
    <w:p w:rsidR="00D836E4" w:rsidRPr="00717729" w:rsidRDefault="007418A0" w:rsidP="00D836E4">
      <w:pPr>
        <w:rPr>
          <w:rStyle w:val="Hyperlink"/>
          <w:rFonts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cs="Arial"/>
        </w:rPr>
        <w:t>https://creativecommons.org/licenses/by/4.0/legalcode</w:t>
      </w:r>
    </w:p>
    <w:p w:rsidR="00D836E4" w:rsidRPr="00717729" w:rsidRDefault="007418A0" w:rsidP="00D836E4">
      <w:r w:rsidRPr="00717729">
        <w:fldChar w:fldCharType="end"/>
      </w:r>
      <w:r w:rsidRPr="00717729">
        <w:t>Please attribut</w:t>
      </w:r>
      <w:r>
        <w:t>e:</w:t>
      </w:r>
      <w:r w:rsidRPr="00717729">
        <w:t xml:space="preserve"> © Commonwealth of Australia (</w:t>
      </w:r>
      <w:hyperlink r:id="rId15" w:history="1">
        <w:r w:rsidRPr="00717729">
          <w:rPr>
            <w:rStyle w:val="Hyperlink"/>
            <w:rFonts w:cs="Arial"/>
          </w:rPr>
          <w:t>Department of Social Services</w:t>
        </w:r>
      </w:hyperlink>
      <w:r w:rsidRPr="00717729">
        <w:t>) 2015</w:t>
      </w:r>
    </w:p>
    <w:p w:rsidR="00D836E4" w:rsidRPr="0050273B" w:rsidRDefault="007418A0" w:rsidP="00D836E4">
      <w:pPr>
        <w:rPr>
          <w:b/>
        </w:rPr>
      </w:pPr>
      <w:r w:rsidRPr="0050273B">
        <w:rPr>
          <w:b/>
        </w:rPr>
        <w:t xml:space="preserve">Notice: </w:t>
      </w:r>
    </w:p>
    <w:p w:rsidR="00D836E4" w:rsidRPr="00717729" w:rsidRDefault="007418A0" w:rsidP="0038770B">
      <w:pPr>
        <w:pStyle w:val="ListBullet"/>
        <w:numPr>
          <w:ilvl w:val="0"/>
          <w:numId w:val="2"/>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rsidR="00D836E4" w:rsidRPr="0050273B" w:rsidRDefault="007418A0" w:rsidP="0038770B">
      <w:pPr>
        <w:pStyle w:val="ListBullet"/>
        <w:numPr>
          <w:ilvl w:val="0"/>
          <w:numId w:val="2"/>
        </w:numPr>
      </w:pPr>
      <w:r w:rsidRPr="00717729">
        <w:t>Inquiries regarding this licence or any other use of this document</w:t>
      </w:r>
      <w:r>
        <w:t xml:space="preserve"> are welcome. Please contact: Branch Manager, </w:t>
      </w:r>
      <w:r w:rsidRPr="00717729">
        <w:t>Communication and Media Branch</w:t>
      </w:r>
      <w:r>
        <w:t>, Department of Social Services.</w:t>
      </w:r>
      <w:r w:rsidRPr="00717729">
        <w:t xml:space="preserve"> Phone: 1300 653 227</w:t>
      </w:r>
      <w:r>
        <w:t>.</w:t>
      </w:r>
      <w:r w:rsidRPr="00717729">
        <w:t xml:space="preserve"> Email: </w:t>
      </w:r>
      <w:hyperlink r:id="rId16" w:history="1">
        <w:r w:rsidRPr="00717729">
          <w:rPr>
            <w:rStyle w:val="Hyperlink"/>
            <w:rFonts w:cs="Arial"/>
          </w:rPr>
          <w:t>communications@dss.gov.au</w:t>
        </w:r>
      </w:hyperlink>
    </w:p>
    <w:p w:rsidR="00D836E4" w:rsidRPr="0050273B" w:rsidRDefault="007418A0" w:rsidP="00D836E4">
      <w:pPr>
        <w:rPr>
          <w:b/>
        </w:rPr>
      </w:pPr>
      <w:r w:rsidRPr="0050273B">
        <w:rPr>
          <w:b/>
        </w:rPr>
        <w:t>Notice identifying other material or rights in this publication:</w:t>
      </w:r>
    </w:p>
    <w:p w:rsidR="00D836E4" w:rsidRPr="00717729" w:rsidRDefault="007418A0" w:rsidP="0038770B">
      <w:pPr>
        <w:pStyle w:val="ListBullet"/>
        <w:numPr>
          <w:ilvl w:val="0"/>
          <w:numId w:val="3"/>
        </w:numPr>
      </w:pPr>
      <w:r w:rsidRPr="00717729">
        <w:t xml:space="preserve">Australian Commonwealth Coat of Arms </w:t>
      </w:r>
      <w:r>
        <w:t>—</w:t>
      </w:r>
      <w:r w:rsidRPr="00717729">
        <w:t xml:space="preserve"> not Licensed under Creative Commons, see </w:t>
      </w:r>
      <w:hyperlink r:id="rId17" w:history="1">
        <w:r w:rsidRPr="00717729">
          <w:rPr>
            <w:rStyle w:val="Hyperlink"/>
            <w:rFonts w:cs="Arial"/>
          </w:rPr>
          <w:t>https://www.itsanhonour.gov.au/coat-arms/index.cfm</w:t>
        </w:r>
      </w:hyperlink>
    </w:p>
    <w:p w:rsidR="00D836E4" w:rsidRDefault="007418A0" w:rsidP="0038770B">
      <w:pPr>
        <w:pStyle w:val="ListBullet"/>
        <w:numPr>
          <w:ilvl w:val="0"/>
          <w:numId w:val="3"/>
        </w:numPr>
      </w:pPr>
      <w:r w:rsidRPr="00717729">
        <w:t xml:space="preserve">Certain images and photographs (as marked) </w:t>
      </w:r>
      <w:r>
        <w:t xml:space="preserve">— </w:t>
      </w:r>
      <w:r w:rsidRPr="00717729">
        <w:t>not licensed under Creative Commons</w:t>
      </w:r>
    </w:p>
    <w:p w:rsidR="00D836E4" w:rsidRDefault="007418A0" w:rsidP="00D836E4">
      <w:pPr>
        <w:spacing w:before="0" w:after="200" w:line="276" w:lineRule="auto"/>
        <w:rPr>
          <w:rFonts w:ascii="Georgia" w:hAnsi="Georgia"/>
          <w:bCs/>
          <w:i/>
          <w:iCs/>
          <w:smallCaps/>
          <w:color w:val="24596E"/>
          <w:sz w:val="32"/>
          <w:szCs w:val="28"/>
        </w:rPr>
      </w:pPr>
      <w:r>
        <w:br w:type="page"/>
      </w:r>
    </w:p>
    <w:p w:rsidR="00D836E4" w:rsidRDefault="00D836E4">
      <w:pPr>
        <w:spacing w:before="0" w:after="200" w:line="276" w:lineRule="auto"/>
        <w:rPr>
          <w:i/>
          <w:iCs/>
          <w:smallCaps/>
        </w:rPr>
        <w:sectPr w:rsidR="00D836E4" w:rsidSect="00D836E4">
          <w:headerReference w:type="first" r:id="rId18"/>
          <w:footerReference w:type="first" r:id="rId19"/>
          <w:pgSz w:w="11906" w:h="16838"/>
          <w:pgMar w:top="1134" w:right="1418" w:bottom="1418" w:left="1134" w:header="284" w:footer="459" w:gutter="0"/>
          <w:pgNumType w:fmt="lowerRoman" w:start="1"/>
          <w:cols w:space="708"/>
          <w:titlePg/>
          <w:docGrid w:linePitch="360"/>
        </w:sectPr>
      </w:pPr>
    </w:p>
    <w:p w:rsidR="00D836E4" w:rsidRDefault="007418A0" w:rsidP="00D836E4">
      <w:pPr>
        <w:pStyle w:val="Titlepage"/>
        <w:tabs>
          <w:tab w:val="left" w:pos="7451"/>
        </w:tabs>
      </w:pPr>
      <w:r w:rsidRPr="00510DC2">
        <w:lastRenderedPageBreak/>
        <w:t xml:space="preserve">Annual Deregulation Report 2014 </w:t>
      </w:r>
    </w:p>
    <w:p w:rsidR="00D836E4" w:rsidRDefault="00D836E4" w:rsidP="00D836E4">
      <w:pPr>
        <w:pStyle w:val="Titlepage"/>
        <w:tabs>
          <w:tab w:val="left" w:pos="7451"/>
        </w:tabs>
      </w:pPr>
    </w:p>
    <w:p w:rsidR="00D836E4" w:rsidRDefault="007418A0" w:rsidP="00D836E4">
      <w:pPr>
        <w:pStyle w:val="Titlepage"/>
        <w:tabs>
          <w:tab w:val="left" w:pos="7451"/>
        </w:tabs>
      </w:pPr>
      <w:r>
        <w:rPr>
          <w:rStyle w:val="SubtitleChar"/>
        </w:rPr>
        <w:t>Department of Social Services</w:t>
      </w:r>
    </w:p>
    <w:p w:rsidR="00D836E4" w:rsidRPr="00877018" w:rsidRDefault="00D836E4" w:rsidP="00D836E4"/>
    <w:p w:rsidR="00D836E4" w:rsidRDefault="007418A0">
      <w:pPr>
        <w:spacing w:before="0" w:after="200" w:line="276" w:lineRule="auto"/>
        <w:sectPr w:rsidR="00D836E4" w:rsidSect="00D836E4">
          <w:footerReference w:type="default" r:id="rId20"/>
          <w:pgSz w:w="11906" w:h="16838"/>
          <w:pgMar w:top="1440" w:right="1440" w:bottom="851" w:left="1440" w:header="709" w:footer="336" w:gutter="0"/>
          <w:cols w:space="708"/>
          <w:docGrid w:linePitch="360"/>
        </w:sectPr>
      </w:pPr>
      <w:r>
        <w:br w:type="page"/>
      </w:r>
    </w:p>
    <w:p w:rsidR="00D836E4" w:rsidRPr="00242F43" w:rsidRDefault="007418A0" w:rsidP="00D836E4">
      <w:pPr>
        <w:pStyle w:val="Heading1"/>
        <w:spacing w:before="0"/>
      </w:pPr>
      <w:bookmarkStart w:id="0" w:name="_Toc256000005"/>
      <w:bookmarkStart w:id="1" w:name="_Toc256000001"/>
      <w:bookmarkStart w:id="2" w:name="_Toc256000000"/>
      <w:bookmarkStart w:id="3" w:name="_Toc413079643"/>
      <w:bookmarkStart w:id="4" w:name="_Toc414443737"/>
      <w:r w:rsidRPr="008B0784">
        <w:lastRenderedPageBreak/>
        <w:t>Foreword</w:t>
      </w:r>
      <w:bookmarkEnd w:id="0"/>
      <w:bookmarkEnd w:id="1"/>
      <w:bookmarkEnd w:id="2"/>
      <w:bookmarkEnd w:id="3"/>
      <w:bookmarkEnd w:id="4"/>
    </w:p>
    <w:p w:rsidR="007D4B9F" w:rsidRDefault="007D4B9F" w:rsidP="00D836E4">
      <w:pPr>
        <w:spacing w:before="0" w:line="276" w:lineRule="auto"/>
      </w:pPr>
    </w:p>
    <w:p w:rsidR="00D836E4" w:rsidRPr="00FE6662" w:rsidRDefault="000237D5" w:rsidP="00D836E4">
      <w:pPr>
        <w:spacing w:before="0" w:line="276" w:lineRule="auto"/>
      </w:pPr>
      <w:r>
        <w:rPr>
          <w:noProof/>
        </w:rPr>
        <w:drawing>
          <wp:anchor distT="0" distB="0" distL="114300" distR="114300" simplePos="0" relativeHeight="251658240" behindDoc="0" locked="0" layoutInCell="1" allowOverlap="1" wp14:anchorId="738CAAF5" wp14:editId="76877276">
            <wp:simplePos x="0" y="0"/>
            <wp:positionH relativeFrom="column">
              <wp:posOffset>3114040</wp:posOffset>
            </wp:positionH>
            <wp:positionV relativeFrom="paragraph">
              <wp:posOffset>44450</wp:posOffset>
            </wp:positionV>
            <wp:extent cx="2392045" cy="2926080"/>
            <wp:effectExtent l="19050" t="19050" r="27305" b="26670"/>
            <wp:wrapSquare wrapText="bothSides"/>
            <wp:docPr id="4" name="Picture 4" descr="Photograph of the Minister for Social Services, the Hon Scott Morrison MP" title="Photograph of the Minister for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0002\AppData\Local\Microsoft\Windows\Temporary Internet Files\Content.Outlook\ZCMO27S4\01_Scott Morrison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2045" cy="292608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7418A0" w:rsidRPr="00FE6662">
        <w:t xml:space="preserve">The Australian Government’s deregulation agenda is a key Government priority. The Government continues to deliver on its commitment to cut unnecessary red tape, and I am proud that </w:t>
      </w:r>
      <w:r w:rsidR="007418A0">
        <w:t xml:space="preserve">the </w:t>
      </w:r>
      <w:r w:rsidR="007418A0" w:rsidRPr="00FE6662">
        <w:t xml:space="preserve">Department </w:t>
      </w:r>
      <w:r w:rsidR="007418A0">
        <w:t xml:space="preserve">of Social Services </w:t>
      </w:r>
      <w:r w:rsidR="007418A0" w:rsidRPr="00FE6662">
        <w:t xml:space="preserve">has made a strong contribution to this agenda in its first year. </w:t>
      </w:r>
    </w:p>
    <w:p w:rsidR="00D836E4" w:rsidRPr="00FE6662" w:rsidRDefault="007418A0" w:rsidP="00D836E4">
      <w:pPr>
        <w:spacing w:before="0" w:line="276" w:lineRule="auto"/>
      </w:pPr>
      <w:r w:rsidRPr="00FE6662">
        <w:t xml:space="preserve">In 2014, </w:t>
      </w:r>
      <w:r>
        <w:t xml:space="preserve">the Department </w:t>
      </w:r>
      <w:r w:rsidRPr="00FE6662">
        <w:t>has benefited individuals and a range of business and community sectors</w:t>
      </w:r>
      <w:r>
        <w:t xml:space="preserve"> by removing unnecessary red tape</w:t>
      </w:r>
      <w:r w:rsidRPr="00FE6662">
        <w:t xml:space="preserve">. </w:t>
      </w:r>
    </w:p>
    <w:p w:rsidR="00D836E4" w:rsidRDefault="007418A0" w:rsidP="00D836E4">
      <w:pPr>
        <w:spacing w:before="0" w:line="276" w:lineRule="auto"/>
      </w:pPr>
      <w:r w:rsidRPr="00FE6662">
        <w:t xml:space="preserve">We </w:t>
      </w:r>
      <w:r>
        <w:t xml:space="preserve">have </w:t>
      </w:r>
      <w:r w:rsidRPr="00FE6662">
        <w:t xml:space="preserve">abolished the National Gambling Regulator, which removed considerable Commonwealth duplication of state and territory government gambling regulatory responsibilities. </w:t>
      </w:r>
    </w:p>
    <w:p w:rsidR="00D836E4" w:rsidRDefault="007418A0" w:rsidP="00D836E4">
      <w:pPr>
        <w:spacing w:before="0" w:line="276" w:lineRule="auto"/>
      </w:pPr>
      <w:r>
        <w:t>We have also made a number of changes to the administration of Disability Employment Services to streamline requirements and support better practice.</w:t>
      </w:r>
    </w:p>
    <w:p w:rsidR="00D836E4" w:rsidRDefault="007418A0" w:rsidP="00D836E4">
      <w:pPr>
        <w:spacing w:before="0" w:line="276" w:lineRule="auto"/>
        <w:rPr>
          <w:rFonts w:cs="Calibri"/>
        </w:rPr>
      </w:pPr>
      <w:r w:rsidRPr="00DD2C30">
        <w:rPr>
          <w:rFonts w:cs="Calibri"/>
        </w:rPr>
        <w:t>In aged care, we have implemented a number of sensible improvements to reduce red tape. For example, duplicative provis</w:t>
      </w:r>
      <w:r w:rsidR="00674AC4">
        <w:rPr>
          <w:rFonts w:cs="Calibri"/>
        </w:rPr>
        <w:t>ions were repealed relating to r</w:t>
      </w:r>
      <w:r w:rsidRPr="00DD2C30">
        <w:rPr>
          <w:rFonts w:cs="Calibri"/>
        </w:rPr>
        <w:t xml:space="preserve">esidential </w:t>
      </w:r>
      <w:r w:rsidR="00674AC4">
        <w:rPr>
          <w:rFonts w:cs="Calibri"/>
        </w:rPr>
        <w:t>a</w:t>
      </w:r>
      <w:r w:rsidRPr="00DD2C30">
        <w:rPr>
          <w:rFonts w:cs="Calibri"/>
        </w:rPr>
        <w:t xml:space="preserve">ged </w:t>
      </w:r>
      <w:r w:rsidR="00674AC4">
        <w:rPr>
          <w:rFonts w:cs="Calibri"/>
        </w:rPr>
        <w:t>c</w:t>
      </w:r>
      <w:r w:rsidRPr="00DD2C30">
        <w:rPr>
          <w:rFonts w:cs="Calibri"/>
        </w:rPr>
        <w:t>are building certification provisions</w:t>
      </w:r>
      <w:r>
        <w:rPr>
          <w:rFonts w:cs="Calibri"/>
        </w:rPr>
        <w:t xml:space="preserve"> and the repeal of </w:t>
      </w:r>
      <w:r w:rsidRPr="00DD2C30">
        <w:rPr>
          <w:rFonts w:cs="Calibri"/>
        </w:rPr>
        <w:t>out-dated requirements on aged care providers to notify the Department of changes in key personnel</w:t>
      </w:r>
      <w:r>
        <w:rPr>
          <w:rFonts w:cs="Calibri"/>
        </w:rPr>
        <w:t xml:space="preserve"> are in train</w:t>
      </w:r>
      <w:r w:rsidRPr="00DD2C30">
        <w:rPr>
          <w:rFonts w:cs="Calibri"/>
        </w:rPr>
        <w:t xml:space="preserve">. </w:t>
      </w:r>
    </w:p>
    <w:p w:rsidR="00D836E4" w:rsidRDefault="007418A0" w:rsidP="00D836E4">
      <w:pPr>
        <w:spacing w:before="0" w:line="276" w:lineRule="auto"/>
      </w:pPr>
      <w:r>
        <w:t xml:space="preserve">In addition, the Aged Care Sector Committee was established to help support the development and implementation of aged care policy by the Australian Government. In partnership with this Committee, a Red Tape Reduction Action Plan was developed. The Red Tape Reduction Action Plan identifies 35 actions for reducing red tape and regulatory burden. </w:t>
      </w:r>
    </w:p>
    <w:p w:rsidR="00D836E4" w:rsidRDefault="007418A0" w:rsidP="00D836E4">
      <w:pPr>
        <w:spacing w:before="0" w:line="276" w:lineRule="auto"/>
      </w:pPr>
      <w:r>
        <w:t>This strong early progress was supported by the development and dissemination of the Department’s Framework for Best Practice Regulation that identified areas where regulatory approaches diverged from best practice, together with approaches for addressing them.</w:t>
      </w:r>
    </w:p>
    <w:p w:rsidR="00CD58EB" w:rsidRDefault="00CD58EB">
      <w:pPr>
        <w:spacing w:before="0" w:after="200" w:line="276" w:lineRule="auto"/>
      </w:pPr>
      <w:r>
        <w:br w:type="page"/>
      </w:r>
    </w:p>
    <w:p w:rsidR="00D836E4" w:rsidRDefault="007418A0" w:rsidP="00D836E4">
      <w:pPr>
        <w:spacing w:before="0" w:line="276" w:lineRule="auto"/>
      </w:pPr>
      <w:r>
        <w:lastRenderedPageBreak/>
        <w:t xml:space="preserve">These innovations are just the beginning. All across the Department, programme owners are looking at how we manage our interactions with people, organisations and businesses. </w:t>
      </w:r>
    </w:p>
    <w:p w:rsidR="00D836E4" w:rsidRPr="00FE6662" w:rsidRDefault="007418A0" w:rsidP="00D836E4">
      <w:pPr>
        <w:spacing w:before="0" w:line="276" w:lineRule="auto"/>
      </w:pPr>
      <w:r>
        <w:t>I look forward to the Department of Social Services continuing to strongly contribute to the Government’s deregulation agenda throughout 2015.</w:t>
      </w:r>
    </w:p>
    <w:p w:rsidR="00D836E4" w:rsidRPr="00FE6662" w:rsidRDefault="007418A0" w:rsidP="00D836E4">
      <w:pPr>
        <w:spacing w:before="0" w:line="276" w:lineRule="auto"/>
      </w:pPr>
      <w:r>
        <w:rPr>
          <w:noProof/>
        </w:rPr>
        <w:drawing>
          <wp:inline distT="0" distB="0" distL="0" distR="0" wp14:anchorId="0FFAD494" wp14:editId="0FFAD495">
            <wp:extent cx="1743740" cy="1134228"/>
            <wp:effectExtent l="0" t="0" r="8890" b="8890"/>
            <wp:docPr id="5" name="Picture 5" descr="Signature of the Minister for Social Services, the Hon Scott Morrison MP" title="Signature of the Hon Scott Morrison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q0002\AppData\Local\Microsoft\Windows\Temporary Internet Files\Content.Outlook\ZCMO27S4\Scott Morrison Signature Blue (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44127" cy="1134480"/>
                    </a:xfrm>
                    <a:prstGeom prst="rect">
                      <a:avLst/>
                    </a:prstGeom>
                    <a:noFill/>
                    <a:ln>
                      <a:noFill/>
                    </a:ln>
                  </pic:spPr>
                </pic:pic>
              </a:graphicData>
            </a:graphic>
          </wp:inline>
        </w:drawing>
      </w:r>
    </w:p>
    <w:p w:rsidR="00D836E4" w:rsidRPr="00FE6662" w:rsidRDefault="007418A0" w:rsidP="00D836E4">
      <w:pPr>
        <w:spacing w:before="0" w:line="276" w:lineRule="auto"/>
      </w:pPr>
      <w:r>
        <w:t xml:space="preserve">The Hon </w:t>
      </w:r>
      <w:r w:rsidRPr="00FE6662">
        <w:t>Scott Morrison MP</w:t>
      </w:r>
    </w:p>
    <w:p w:rsidR="00D836E4" w:rsidRPr="00FE6662" w:rsidRDefault="007418A0" w:rsidP="00D836E4">
      <w:pPr>
        <w:spacing w:before="0" w:line="276" w:lineRule="auto"/>
      </w:pPr>
      <w:r w:rsidRPr="00FE6662">
        <w:t>Minister for Social Services</w:t>
      </w:r>
    </w:p>
    <w:p w:rsidR="00D836E4" w:rsidRDefault="007418A0" w:rsidP="00D836E4">
      <w:pPr>
        <w:spacing w:before="0" w:line="276" w:lineRule="auto"/>
      </w:pPr>
      <w:r w:rsidRPr="00FE6662">
        <w:t>18 March 2015</w:t>
      </w:r>
      <w:r>
        <w:br w:type="page"/>
      </w:r>
    </w:p>
    <w:p w:rsidR="00D836E4" w:rsidRPr="00B11083" w:rsidRDefault="007418A0" w:rsidP="00D836E4">
      <w:pPr>
        <w:pStyle w:val="TOCHeading"/>
      </w:pPr>
      <w:r w:rsidRPr="00B11083">
        <w:lastRenderedPageBreak/>
        <w:t>Table of contents</w:t>
      </w:r>
    </w:p>
    <w:bookmarkStart w:id="5" w:name="_Toc402864483" w:displacedByCustomXml="next"/>
    <w:bookmarkEnd w:id="5" w:displacedByCustomXml="next"/>
    <w:sdt>
      <w:sdtPr>
        <w:id w:val="-477919349"/>
        <w:docPartObj>
          <w:docPartGallery w:val="Table of Contents"/>
          <w:docPartUnique/>
        </w:docPartObj>
      </w:sdtPr>
      <w:sdtEndPr>
        <w:rPr>
          <w:rFonts w:cstheme="minorHAnsi"/>
          <w:color w:val="FF0000"/>
        </w:rPr>
      </w:sdtEndPr>
      <w:sdtContent>
        <w:p w:rsidR="00D836E4" w:rsidRPr="00B11083" w:rsidRDefault="00D836E4" w:rsidP="00D836E4"/>
        <w:p w:rsidR="00380DF4" w:rsidRDefault="007418A0">
          <w:pPr>
            <w:pStyle w:val="TOC1"/>
            <w:rPr>
              <w:rFonts w:asciiTheme="minorHAnsi" w:eastAsiaTheme="minorEastAsia" w:hAnsiTheme="minorHAnsi" w:cstheme="minorBidi"/>
              <w:noProof/>
              <w:spacing w:val="0"/>
              <w:sz w:val="22"/>
              <w:szCs w:val="22"/>
            </w:rPr>
          </w:pPr>
          <w:r w:rsidRPr="000F7052">
            <w:rPr>
              <w:rFonts w:cs="Arial"/>
              <w:color w:val="FF0000"/>
            </w:rPr>
            <w:fldChar w:fldCharType="begin"/>
          </w:r>
          <w:r w:rsidRPr="000F7052">
            <w:rPr>
              <w:rFonts w:cs="Arial"/>
              <w:color w:val="FF0000"/>
            </w:rPr>
            <w:instrText xml:space="preserve"> TOC \o "1-3" \h \z \u </w:instrText>
          </w:r>
          <w:r w:rsidRPr="000F7052">
            <w:rPr>
              <w:rFonts w:cs="Arial"/>
              <w:color w:val="FF0000"/>
            </w:rPr>
            <w:fldChar w:fldCharType="separate"/>
          </w:r>
          <w:hyperlink w:anchor="_Toc414443737" w:history="1">
            <w:r w:rsidR="00380DF4" w:rsidRPr="00594777">
              <w:rPr>
                <w:rStyle w:val="Hyperlink"/>
                <w:noProof/>
              </w:rPr>
              <w:t>Foreword</w:t>
            </w:r>
            <w:r w:rsidR="00380DF4">
              <w:rPr>
                <w:noProof/>
                <w:webHidden/>
              </w:rPr>
              <w:tab/>
            </w:r>
            <w:r w:rsidR="00380DF4">
              <w:rPr>
                <w:noProof/>
                <w:webHidden/>
              </w:rPr>
              <w:fldChar w:fldCharType="begin"/>
            </w:r>
            <w:r w:rsidR="00380DF4">
              <w:rPr>
                <w:noProof/>
                <w:webHidden/>
              </w:rPr>
              <w:instrText xml:space="preserve"> PAGEREF _Toc414443737 \h </w:instrText>
            </w:r>
            <w:r w:rsidR="00380DF4">
              <w:rPr>
                <w:noProof/>
                <w:webHidden/>
              </w:rPr>
            </w:r>
            <w:r w:rsidR="00380DF4">
              <w:rPr>
                <w:noProof/>
                <w:webHidden/>
              </w:rPr>
              <w:fldChar w:fldCharType="separate"/>
            </w:r>
            <w:r w:rsidR="00380DF4">
              <w:rPr>
                <w:noProof/>
                <w:webHidden/>
              </w:rPr>
              <w:t>3</w:t>
            </w:r>
            <w:r w:rsidR="00380DF4">
              <w:rPr>
                <w:noProof/>
                <w:webHidden/>
              </w:rPr>
              <w:fldChar w:fldCharType="end"/>
            </w:r>
          </w:hyperlink>
        </w:p>
        <w:p w:rsidR="00380DF4" w:rsidRDefault="00380DF4">
          <w:pPr>
            <w:pStyle w:val="TOC1"/>
            <w:rPr>
              <w:rFonts w:asciiTheme="minorHAnsi" w:eastAsiaTheme="minorEastAsia" w:hAnsiTheme="minorHAnsi" w:cstheme="minorBidi"/>
              <w:noProof/>
              <w:spacing w:val="0"/>
              <w:sz w:val="22"/>
              <w:szCs w:val="22"/>
            </w:rPr>
          </w:pPr>
          <w:hyperlink w:anchor="_Toc414443738" w:history="1">
            <w:r w:rsidRPr="00594777">
              <w:rPr>
                <w:rStyle w:val="Hyperlink"/>
                <w:noProof/>
              </w:rPr>
              <w:t>Portfolio highlights</w:t>
            </w:r>
            <w:r>
              <w:rPr>
                <w:noProof/>
                <w:webHidden/>
              </w:rPr>
              <w:tab/>
            </w:r>
            <w:r>
              <w:rPr>
                <w:noProof/>
                <w:webHidden/>
              </w:rPr>
              <w:fldChar w:fldCharType="begin"/>
            </w:r>
            <w:r>
              <w:rPr>
                <w:noProof/>
                <w:webHidden/>
              </w:rPr>
              <w:instrText xml:space="preserve"> PAGEREF _Toc414443738 \h </w:instrText>
            </w:r>
            <w:r>
              <w:rPr>
                <w:noProof/>
                <w:webHidden/>
              </w:rPr>
            </w:r>
            <w:r>
              <w:rPr>
                <w:noProof/>
                <w:webHidden/>
              </w:rPr>
              <w:fldChar w:fldCharType="separate"/>
            </w:r>
            <w:r>
              <w:rPr>
                <w:noProof/>
                <w:webHidden/>
              </w:rPr>
              <w:t>6</w:t>
            </w:r>
            <w:r>
              <w:rPr>
                <w:noProof/>
                <w:webHidden/>
              </w:rPr>
              <w:fldChar w:fldCharType="end"/>
            </w:r>
          </w:hyperlink>
        </w:p>
        <w:p w:rsidR="00380DF4" w:rsidRDefault="00380DF4">
          <w:pPr>
            <w:pStyle w:val="TOC1"/>
            <w:rPr>
              <w:rFonts w:asciiTheme="minorHAnsi" w:eastAsiaTheme="minorEastAsia" w:hAnsiTheme="minorHAnsi" w:cstheme="minorBidi"/>
              <w:noProof/>
              <w:spacing w:val="0"/>
              <w:sz w:val="22"/>
              <w:szCs w:val="22"/>
            </w:rPr>
          </w:pPr>
          <w:hyperlink w:anchor="_Toc414443739" w:history="1">
            <w:r w:rsidRPr="00594777">
              <w:rPr>
                <w:rStyle w:val="Hyperlink"/>
                <w:noProof/>
              </w:rPr>
              <w:t>Summary of key regulatory savings and costs 2014</w:t>
            </w:r>
            <w:r>
              <w:rPr>
                <w:noProof/>
                <w:webHidden/>
              </w:rPr>
              <w:tab/>
            </w:r>
            <w:r>
              <w:rPr>
                <w:noProof/>
                <w:webHidden/>
              </w:rPr>
              <w:fldChar w:fldCharType="begin"/>
            </w:r>
            <w:r>
              <w:rPr>
                <w:noProof/>
                <w:webHidden/>
              </w:rPr>
              <w:instrText xml:space="preserve"> PAGEREF _Toc414443739 \h </w:instrText>
            </w:r>
            <w:r>
              <w:rPr>
                <w:noProof/>
                <w:webHidden/>
              </w:rPr>
            </w:r>
            <w:r>
              <w:rPr>
                <w:noProof/>
                <w:webHidden/>
              </w:rPr>
              <w:fldChar w:fldCharType="separate"/>
            </w:r>
            <w:r>
              <w:rPr>
                <w:noProof/>
                <w:webHidden/>
              </w:rPr>
              <w:t>8</w:t>
            </w:r>
            <w:r>
              <w:rPr>
                <w:noProof/>
                <w:webHidden/>
              </w:rPr>
              <w:fldChar w:fldCharType="end"/>
            </w:r>
          </w:hyperlink>
        </w:p>
        <w:p w:rsidR="00380DF4" w:rsidRDefault="00380DF4">
          <w:pPr>
            <w:pStyle w:val="TOC1"/>
            <w:rPr>
              <w:rFonts w:asciiTheme="minorHAnsi" w:eastAsiaTheme="minorEastAsia" w:hAnsiTheme="minorHAnsi" w:cstheme="minorBidi"/>
              <w:noProof/>
              <w:spacing w:val="0"/>
              <w:sz w:val="22"/>
              <w:szCs w:val="22"/>
            </w:rPr>
          </w:pPr>
          <w:hyperlink w:anchor="_Toc414443740" w:history="1">
            <w:r w:rsidRPr="00594777">
              <w:rPr>
                <w:rStyle w:val="Hyperlink"/>
                <w:noProof/>
              </w:rPr>
              <w:t>Regulation Impact Statements</w:t>
            </w:r>
            <w:r>
              <w:rPr>
                <w:noProof/>
                <w:webHidden/>
              </w:rPr>
              <w:tab/>
            </w:r>
            <w:r>
              <w:rPr>
                <w:noProof/>
                <w:webHidden/>
              </w:rPr>
              <w:fldChar w:fldCharType="begin"/>
            </w:r>
            <w:r>
              <w:rPr>
                <w:noProof/>
                <w:webHidden/>
              </w:rPr>
              <w:instrText xml:space="preserve"> PAGEREF _Toc414443740 \h </w:instrText>
            </w:r>
            <w:r>
              <w:rPr>
                <w:noProof/>
                <w:webHidden/>
              </w:rPr>
            </w:r>
            <w:r>
              <w:rPr>
                <w:noProof/>
                <w:webHidden/>
              </w:rPr>
              <w:fldChar w:fldCharType="separate"/>
            </w:r>
            <w:r>
              <w:rPr>
                <w:noProof/>
                <w:webHidden/>
              </w:rPr>
              <w:t>10</w:t>
            </w:r>
            <w:r>
              <w:rPr>
                <w:noProof/>
                <w:webHidden/>
              </w:rPr>
              <w:fldChar w:fldCharType="end"/>
            </w:r>
          </w:hyperlink>
        </w:p>
        <w:p w:rsidR="00380DF4" w:rsidRDefault="00380DF4">
          <w:pPr>
            <w:pStyle w:val="TOC1"/>
            <w:rPr>
              <w:rFonts w:asciiTheme="minorHAnsi" w:eastAsiaTheme="minorEastAsia" w:hAnsiTheme="minorHAnsi" w:cstheme="minorBidi"/>
              <w:noProof/>
              <w:spacing w:val="0"/>
              <w:sz w:val="22"/>
              <w:szCs w:val="22"/>
            </w:rPr>
          </w:pPr>
          <w:hyperlink w:anchor="_Toc414443741" w:history="1">
            <w:r w:rsidRPr="00594777">
              <w:rPr>
                <w:rStyle w:val="Hyperlink"/>
                <w:noProof/>
              </w:rPr>
              <w:t>Portfolio activity supporting the Government’s red tape objective</w:t>
            </w:r>
            <w:r>
              <w:rPr>
                <w:noProof/>
                <w:webHidden/>
              </w:rPr>
              <w:tab/>
            </w:r>
            <w:r>
              <w:rPr>
                <w:noProof/>
                <w:webHidden/>
              </w:rPr>
              <w:fldChar w:fldCharType="begin"/>
            </w:r>
            <w:r>
              <w:rPr>
                <w:noProof/>
                <w:webHidden/>
              </w:rPr>
              <w:instrText xml:space="preserve"> PAGEREF _Toc414443741 \h </w:instrText>
            </w:r>
            <w:r>
              <w:rPr>
                <w:noProof/>
                <w:webHidden/>
              </w:rPr>
            </w:r>
            <w:r>
              <w:rPr>
                <w:noProof/>
                <w:webHidden/>
              </w:rPr>
              <w:fldChar w:fldCharType="separate"/>
            </w:r>
            <w:r>
              <w:rPr>
                <w:noProof/>
                <w:webHidden/>
              </w:rPr>
              <w:t>11</w:t>
            </w:r>
            <w:r>
              <w:rPr>
                <w:noProof/>
                <w:webHidden/>
              </w:rPr>
              <w:fldChar w:fldCharType="end"/>
            </w:r>
          </w:hyperlink>
        </w:p>
        <w:p w:rsidR="00380DF4" w:rsidRDefault="00380DF4">
          <w:pPr>
            <w:pStyle w:val="TOC2"/>
            <w:tabs>
              <w:tab w:val="right" w:leader="dot" w:pos="9016"/>
            </w:tabs>
            <w:rPr>
              <w:rFonts w:asciiTheme="minorHAnsi" w:eastAsiaTheme="minorEastAsia" w:hAnsiTheme="minorHAnsi" w:cstheme="minorBidi"/>
              <w:noProof/>
              <w:spacing w:val="0"/>
              <w:sz w:val="22"/>
              <w:szCs w:val="22"/>
            </w:rPr>
          </w:pPr>
          <w:hyperlink w:anchor="_Toc414443742" w:history="1">
            <w:r w:rsidRPr="00594777">
              <w:rPr>
                <w:rStyle w:val="Hyperlink"/>
                <w:noProof/>
              </w:rPr>
              <w:t>Deregulation Unit</w:t>
            </w:r>
            <w:r>
              <w:rPr>
                <w:noProof/>
                <w:webHidden/>
              </w:rPr>
              <w:tab/>
            </w:r>
            <w:r>
              <w:rPr>
                <w:noProof/>
                <w:webHidden/>
              </w:rPr>
              <w:fldChar w:fldCharType="begin"/>
            </w:r>
            <w:r>
              <w:rPr>
                <w:noProof/>
                <w:webHidden/>
              </w:rPr>
              <w:instrText xml:space="preserve"> PAGEREF _Toc414443742 \h </w:instrText>
            </w:r>
            <w:r>
              <w:rPr>
                <w:noProof/>
                <w:webHidden/>
              </w:rPr>
            </w:r>
            <w:r>
              <w:rPr>
                <w:noProof/>
                <w:webHidden/>
              </w:rPr>
              <w:fldChar w:fldCharType="separate"/>
            </w:r>
            <w:r>
              <w:rPr>
                <w:noProof/>
                <w:webHidden/>
              </w:rPr>
              <w:t>11</w:t>
            </w:r>
            <w:r>
              <w:rPr>
                <w:noProof/>
                <w:webHidden/>
              </w:rPr>
              <w:fldChar w:fldCharType="end"/>
            </w:r>
          </w:hyperlink>
        </w:p>
        <w:p w:rsidR="00380DF4" w:rsidRDefault="00380DF4">
          <w:pPr>
            <w:pStyle w:val="TOC2"/>
            <w:tabs>
              <w:tab w:val="right" w:leader="dot" w:pos="9016"/>
            </w:tabs>
            <w:rPr>
              <w:rFonts w:asciiTheme="minorHAnsi" w:eastAsiaTheme="minorEastAsia" w:hAnsiTheme="minorHAnsi" w:cstheme="minorBidi"/>
              <w:noProof/>
              <w:spacing w:val="0"/>
              <w:sz w:val="22"/>
              <w:szCs w:val="22"/>
            </w:rPr>
          </w:pPr>
          <w:hyperlink w:anchor="_Toc414443743" w:history="1">
            <w:r w:rsidRPr="00594777">
              <w:rPr>
                <w:rStyle w:val="Hyperlink"/>
                <w:noProof/>
              </w:rPr>
              <w:t>Ministerial Advisory Councils</w:t>
            </w:r>
            <w:r>
              <w:rPr>
                <w:noProof/>
                <w:webHidden/>
              </w:rPr>
              <w:tab/>
            </w:r>
            <w:r>
              <w:rPr>
                <w:noProof/>
                <w:webHidden/>
              </w:rPr>
              <w:fldChar w:fldCharType="begin"/>
            </w:r>
            <w:r>
              <w:rPr>
                <w:noProof/>
                <w:webHidden/>
              </w:rPr>
              <w:instrText xml:space="preserve"> PAGEREF _Toc414443743 \h </w:instrText>
            </w:r>
            <w:r>
              <w:rPr>
                <w:noProof/>
                <w:webHidden/>
              </w:rPr>
            </w:r>
            <w:r>
              <w:rPr>
                <w:noProof/>
                <w:webHidden/>
              </w:rPr>
              <w:fldChar w:fldCharType="separate"/>
            </w:r>
            <w:r>
              <w:rPr>
                <w:noProof/>
                <w:webHidden/>
              </w:rPr>
              <w:t>11</w:t>
            </w:r>
            <w:r>
              <w:rPr>
                <w:noProof/>
                <w:webHidden/>
              </w:rPr>
              <w:fldChar w:fldCharType="end"/>
            </w:r>
          </w:hyperlink>
        </w:p>
        <w:p w:rsidR="00380DF4" w:rsidRDefault="00380DF4">
          <w:pPr>
            <w:pStyle w:val="TOC2"/>
            <w:tabs>
              <w:tab w:val="right" w:leader="dot" w:pos="9016"/>
            </w:tabs>
            <w:rPr>
              <w:rFonts w:asciiTheme="minorHAnsi" w:eastAsiaTheme="minorEastAsia" w:hAnsiTheme="minorHAnsi" w:cstheme="minorBidi"/>
              <w:noProof/>
              <w:spacing w:val="0"/>
              <w:sz w:val="22"/>
              <w:szCs w:val="22"/>
            </w:rPr>
          </w:pPr>
          <w:hyperlink w:anchor="_Toc414443744" w:history="1">
            <w:r w:rsidRPr="00594777">
              <w:rPr>
                <w:rStyle w:val="Hyperlink"/>
                <w:noProof/>
              </w:rPr>
              <w:t>Letters of Expectation</w:t>
            </w:r>
            <w:r>
              <w:rPr>
                <w:noProof/>
                <w:webHidden/>
              </w:rPr>
              <w:tab/>
            </w:r>
            <w:r>
              <w:rPr>
                <w:noProof/>
                <w:webHidden/>
              </w:rPr>
              <w:fldChar w:fldCharType="begin"/>
            </w:r>
            <w:r>
              <w:rPr>
                <w:noProof/>
                <w:webHidden/>
              </w:rPr>
              <w:instrText xml:space="preserve"> PAGEREF _Toc414443744 \h </w:instrText>
            </w:r>
            <w:r>
              <w:rPr>
                <w:noProof/>
                <w:webHidden/>
              </w:rPr>
            </w:r>
            <w:r>
              <w:rPr>
                <w:noProof/>
                <w:webHidden/>
              </w:rPr>
              <w:fldChar w:fldCharType="separate"/>
            </w:r>
            <w:r>
              <w:rPr>
                <w:noProof/>
                <w:webHidden/>
              </w:rPr>
              <w:t>12</w:t>
            </w:r>
            <w:r>
              <w:rPr>
                <w:noProof/>
                <w:webHidden/>
              </w:rPr>
              <w:fldChar w:fldCharType="end"/>
            </w:r>
          </w:hyperlink>
        </w:p>
        <w:p w:rsidR="00380DF4" w:rsidRDefault="00380DF4">
          <w:pPr>
            <w:pStyle w:val="TOC1"/>
            <w:rPr>
              <w:rFonts w:asciiTheme="minorHAnsi" w:eastAsiaTheme="minorEastAsia" w:hAnsiTheme="minorHAnsi" w:cstheme="minorBidi"/>
              <w:noProof/>
              <w:spacing w:val="0"/>
              <w:sz w:val="22"/>
              <w:szCs w:val="22"/>
            </w:rPr>
          </w:pPr>
          <w:hyperlink w:anchor="_Toc414443745" w:history="1">
            <w:r w:rsidRPr="00594777">
              <w:rPr>
                <w:rStyle w:val="Hyperlink"/>
                <w:noProof/>
              </w:rPr>
              <w:t>The Audit of Regulations – major findings</w:t>
            </w:r>
            <w:r>
              <w:rPr>
                <w:noProof/>
                <w:webHidden/>
              </w:rPr>
              <w:tab/>
            </w:r>
            <w:r>
              <w:rPr>
                <w:noProof/>
                <w:webHidden/>
              </w:rPr>
              <w:fldChar w:fldCharType="begin"/>
            </w:r>
            <w:r>
              <w:rPr>
                <w:noProof/>
                <w:webHidden/>
              </w:rPr>
              <w:instrText xml:space="preserve"> PAGEREF _Toc414443745 \h </w:instrText>
            </w:r>
            <w:r>
              <w:rPr>
                <w:noProof/>
                <w:webHidden/>
              </w:rPr>
            </w:r>
            <w:r>
              <w:rPr>
                <w:noProof/>
                <w:webHidden/>
              </w:rPr>
              <w:fldChar w:fldCharType="separate"/>
            </w:r>
            <w:r>
              <w:rPr>
                <w:noProof/>
                <w:webHidden/>
              </w:rPr>
              <w:t>15</w:t>
            </w:r>
            <w:r>
              <w:rPr>
                <w:noProof/>
                <w:webHidden/>
              </w:rPr>
              <w:fldChar w:fldCharType="end"/>
            </w:r>
          </w:hyperlink>
        </w:p>
        <w:p w:rsidR="00380DF4" w:rsidRDefault="00380DF4">
          <w:pPr>
            <w:pStyle w:val="TOC2"/>
            <w:tabs>
              <w:tab w:val="right" w:leader="dot" w:pos="9016"/>
            </w:tabs>
            <w:rPr>
              <w:rFonts w:asciiTheme="minorHAnsi" w:eastAsiaTheme="minorEastAsia" w:hAnsiTheme="minorHAnsi" w:cstheme="minorBidi"/>
              <w:noProof/>
              <w:spacing w:val="0"/>
              <w:sz w:val="22"/>
              <w:szCs w:val="22"/>
            </w:rPr>
          </w:pPr>
          <w:hyperlink w:anchor="_Toc414443746" w:history="1">
            <w:r w:rsidRPr="00594777">
              <w:rPr>
                <w:rStyle w:val="Hyperlink"/>
                <w:noProof/>
              </w:rPr>
              <w:t>Stage One</w:t>
            </w:r>
            <w:r>
              <w:rPr>
                <w:noProof/>
                <w:webHidden/>
              </w:rPr>
              <w:tab/>
            </w:r>
            <w:r>
              <w:rPr>
                <w:noProof/>
                <w:webHidden/>
              </w:rPr>
              <w:fldChar w:fldCharType="begin"/>
            </w:r>
            <w:r>
              <w:rPr>
                <w:noProof/>
                <w:webHidden/>
              </w:rPr>
              <w:instrText xml:space="preserve"> PAGEREF _Toc414443746 \h </w:instrText>
            </w:r>
            <w:r>
              <w:rPr>
                <w:noProof/>
                <w:webHidden/>
              </w:rPr>
            </w:r>
            <w:r>
              <w:rPr>
                <w:noProof/>
                <w:webHidden/>
              </w:rPr>
              <w:fldChar w:fldCharType="separate"/>
            </w:r>
            <w:r>
              <w:rPr>
                <w:noProof/>
                <w:webHidden/>
              </w:rPr>
              <w:t>15</w:t>
            </w:r>
            <w:r>
              <w:rPr>
                <w:noProof/>
                <w:webHidden/>
              </w:rPr>
              <w:fldChar w:fldCharType="end"/>
            </w:r>
          </w:hyperlink>
        </w:p>
        <w:p w:rsidR="00380DF4" w:rsidRDefault="00380DF4">
          <w:pPr>
            <w:pStyle w:val="TOC2"/>
            <w:tabs>
              <w:tab w:val="right" w:leader="dot" w:pos="9016"/>
            </w:tabs>
            <w:rPr>
              <w:rFonts w:asciiTheme="minorHAnsi" w:eastAsiaTheme="minorEastAsia" w:hAnsiTheme="minorHAnsi" w:cstheme="minorBidi"/>
              <w:noProof/>
              <w:spacing w:val="0"/>
              <w:sz w:val="22"/>
              <w:szCs w:val="22"/>
            </w:rPr>
          </w:pPr>
          <w:hyperlink w:anchor="_Toc414443747" w:history="1">
            <w:r w:rsidRPr="00594777">
              <w:rPr>
                <w:rStyle w:val="Hyperlink"/>
                <w:noProof/>
              </w:rPr>
              <w:t>Stage Two</w:t>
            </w:r>
            <w:r>
              <w:rPr>
                <w:noProof/>
                <w:webHidden/>
              </w:rPr>
              <w:tab/>
            </w:r>
            <w:r>
              <w:rPr>
                <w:noProof/>
                <w:webHidden/>
              </w:rPr>
              <w:fldChar w:fldCharType="begin"/>
            </w:r>
            <w:r>
              <w:rPr>
                <w:noProof/>
                <w:webHidden/>
              </w:rPr>
              <w:instrText xml:space="preserve"> PAGEREF _Toc414443747 \h </w:instrText>
            </w:r>
            <w:r>
              <w:rPr>
                <w:noProof/>
                <w:webHidden/>
              </w:rPr>
            </w:r>
            <w:r>
              <w:rPr>
                <w:noProof/>
                <w:webHidden/>
              </w:rPr>
              <w:fldChar w:fldCharType="separate"/>
            </w:r>
            <w:r>
              <w:rPr>
                <w:noProof/>
                <w:webHidden/>
              </w:rPr>
              <w:t>16</w:t>
            </w:r>
            <w:r>
              <w:rPr>
                <w:noProof/>
                <w:webHidden/>
              </w:rPr>
              <w:fldChar w:fldCharType="end"/>
            </w:r>
          </w:hyperlink>
        </w:p>
        <w:p w:rsidR="00380DF4" w:rsidRDefault="00380DF4">
          <w:pPr>
            <w:pStyle w:val="TOC2"/>
            <w:tabs>
              <w:tab w:val="right" w:leader="dot" w:pos="9016"/>
            </w:tabs>
            <w:rPr>
              <w:rFonts w:asciiTheme="minorHAnsi" w:eastAsiaTheme="minorEastAsia" w:hAnsiTheme="minorHAnsi" w:cstheme="minorBidi"/>
              <w:noProof/>
              <w:spacing w:val="0"/>
              <w:sz w:val="22"/>
              <w:szCs w:val="22"/>
            </w:rPr>
          </w:pPr>
          <w:hyperlink w:anchor="_Toc414443748" w:history="1">
            <w:r w:rsidRPr="00594777">
              <w:rPr>
                <w:rStyle w:val="Hyperlink"/>
                <w:noProof/>
              </w:rPr>
              <w:t>Consultation</w:t>
            </w:r>
            <w:r>
              <w:rPr>
                <w:noProof/>
                <w:webHidden/>
              </w:rPr>
              <w:tab/>
            </w:r>
            <w:r>
              <w:rPr>
                <w:noProof/>
                <w:webHidden/>
              </w:rPr>
              <w:fldChar w:fldCharType="begin"/>
            </w:r>
            <w:r>
              <w:rPr>
                <w:noProof/>
                <w:webHidden/>
              </w:rPr>
              <w:instrText xml:space="preserve"> PAGEREF _Toc414443748 \h </w:instrText>
            </w:r>
            <w:r>
              <w:rPr>
                <w:noProof/>
                <w:webHidden/>
              </w:rPr>
            </w:r>
            <w:r>
              <w:rPr>
                <w:noProof/>
                <w:webHidden/>
              </w:rPr>
              <w:fldChar w:fldCharType="separate"/>
            </w:r>
            <w:r>
              <w:rPr>
                <w:noProof/>
                <w:webHidden/>
              </w:rPr>
              <w:t>16</w:t>
            </w:r>
            <w:r>
              <w:rPr>
                <w:noProof/>
                <w:webHidden/>
              </w:rPr>
              <w:fldChar w:fldCharType="end"/>
            </w:r>
          </w:hyperlink>
        </w:p>
        <w:p w:rsidR="00380DF4" w:rsidRDefault="00380DF4">
          <w:pPr>
            <w:pStyle w:val="TOC1"/>
            <w:rPr>
              <w:rFonts w:asciiTheme="minorHAnsi" w:eastAsiaTheme="minorEastAsia" w:hAnsiTheme="minorHAnsi" w:cstheme="minorBidi"/>
              <w:noProof/>
              <w:spacing w:val="0"/>
              <w:sz w:val="22"/>
              <w:szCs w:val="22"/>
            </w:rPr>
          </w:pPr>
          <w:hyperlink w:anchor="_Toc414443749" w:history="1">
            <w:r w:rsidRPr="00594777">
              <w:rPr>
                <w:rStyle w:val="Hyperlink"/>
                <w:noProof/>
              </w:rPr>
              <w:t>Appendix A: Measures announced in 2014</w:t>
            </w:r>
            <w:r>
              <w:rPr>
                <w:noProof/>
                <w:webHidden/>
              </w:rPr>
              <w:tab/>
            </w:r>
            <w:r>
              <w:rPr>
                <w:noProof/>
                <w:webHidden/>
              </w:rPr>
              <w:fldChar w:fldCharType="begin"/>
            </w:r>
            <w:r>
              <w:rPr>
                <w:noProof/>
                <w:webHidden/>
              </w:rPr>
              <w:instrText xml:space="preserve"> PAGEREF _Toc414443749 \h </w:instrText>
            </w:r>
            <w:r>
              <w:rPr>
                <w:noProof/>
                <w:webHidden/>
              </w:rPr>
            </w:r>
            <w:r>
              <w:rPr>
                <w:noProof/>
                <w:webHidden/>
              </w:rPr>
              <w:fldChar w:fldCharType="separate"/>
            </w:r>
            <w:r>
              <w:rPr>
                <w:noProof/>
                <w:webHidden/>
              </w:rPr>
              <w:t>17</w:t>
            </w:r>
            <w:r>
              <w:rPr>
                <w:noProof/>
                <w:webHidden/>
              </w:rPr>
              <w:fldChar w:fldCharType="end"/>
            </w:r>
          </w:hyperlink>
        </w:p>
        <w:p w:rsidR="00380DF4" w:rsidRDefault="00380DF4">
          <w:pPr>
            <w:pStyle w:val="TOC2"/>
            <w:tabs>
              <w:tab w:val="right" w:leader="dot" w:pos="9016"/>
            </w:tabs>
            <w:rPr>
              <w:rFonts w:asciiTheme="minorHAnsi" w:eastAsiaTheme="minorEastAsia" w:hAnsiTheme="minorHAnsi" w:cstheme="minorBidi"/>
              <w:noProof/>
              <w:spacing w:val="0"/>
              <w:sz w:val="22"/>
              <w:szCs w:val="22"/>
            </w:rPr>
          </w:pPr>
          <w:hyperlink w:anchor="_Toc414443750" w:history="1">
            <w:r w:rsidRPr="00594777">
              <w:rPr>
                <w:rStyle w:val="Hyperlink"/>
                <w:noProof/>
              </w:rPr>
              <w:t>Regulatory Savings</w:t>
            </w:r>
            <w:r>
              <w:rPr>
                <w:noProof/>
                <w:webHidden/>
              </w:rPr>
              <w:tab/>
            </w:r>
            <w:r>
              <w:rPr>
                <w:noProof/>
                <w:webHidden/>
              </w:rPr>
              <w:fldChar w:fldCharType="begin"/>
            </w:r>
            <w:r>
              <w:rPr>
                <w:noProof/>
                <w:webHidden/>
              </w:rPr>
              <w:instrText xml:space="preserve"> PAGEREF _Toc414443750 \h </w:instrText>
            </w:r>
            <w:r>
              <w:rPr>
                <w:noProof/>
                <w:webHidden/>
              </w:rPr>
            </w:r>
            <w:r>
              <w:rPr>
                <w:noProof/>
                <w:webHidden/>
              </w:rPr>
              <w:fldChar w:fldCharType="separate"/>
            </w:r>
            <w:r>
              <w:rPr>
                <w:noProof/>
                <w:webHidden/>
              </w:rPr>
              <w:t>17</w:t>
            </w:r>
            <w:r>
              <w:rPr>
                <w:noProof/>
                <w:webHidden/>
              </w:rPr>
              <w:fldChar w:fldCharType="end"/>
            </w:r>
          </w:hyperlink>
        </w:p>
        <w:p w:rsidR="00380DF4" w:rsidRDefault="00380DF4">
          <w:pPr>
            <w:pStyle w:val="TOC3"/>
            <w:tabs>
              <w:tab w:val="right" w:leader="dot" w:pos="9016"/>
            </w:tabs>
            <w:rPr>
              <w:rFonts w:asciiTheme="minorHAnsi" w:eastAsiaTheme="minorEastAsia" w:hAnsiTheme="minorHAnsi" w:cstheme="minorBidi"/>
              <w:noProof/>
              <w:spacing w:val="0"/>
              <w:sz w:val="22"/>
              <w:szCs w:val="22"/>
            </w:rPr>
          </w:pPr>
          <w:hyperlink w:anchor="_Toc414443751" w:history="1">
            <w:r w:rsidRPr="00594777">
              <w:rPr>
                <w:rStyle w:val="Hyperlink"/>
                <w:noProof/>
              </w:rPr>
              <w:t>Ageing and Aged Care</w:t>
            </w:r>
            <w:r>
              <w:rPr>
                <w:noProof/>
                <w:webHidden/>
              </w:rPr>
              <w:tab/>
            </w:r>
            <w:r>
              <w:rPr>
                <w:noProof/>
                <w:webHidden/>
              </w:rPr>
              <w:fldChar w:fldCharType="begin"/>
            </w:r>
            <w:r>
              <w:rPr>
                <w:noProof/>
                <w:webHidden/>
              </w:rPr>
              <w:instrText xml:space="preserve"> PAGEREF _Toc414443751 \h </w:instrText>
            </w:r>
            <w:r>
              <w:rPr>
                <w:noProof/>
                <w:webHidden/>
              </w:rPr>
            </w:r>
            <w:r>
              <w:rPr>
                <w:noProof/>
                <w:webHidden/>
              </w:rPr>
              <w:fldChar w:fldCharType="separate"/>
            </w:r>
            <w:r>
              <w:rPr>
                <w:noProof/>
                <w:webHidden/>
              </w:rPr>
              <w:t>17</w:t>
            </w:r>
            <w:r>
              <w:rPr>
                <w:noProof/>
                <w:webHidden/>
              </w:rPr>
              <w:fldChar w:fldCharType="end"/>
            </w:r>
          </w:hyperlink>
        </w:p>
        <w:p w:rsidR="00380DF4" w:rsidRDefault="00380DF4">
          <w:pPr>
            <w:pStyle w:val="TOC3"/>
            <w:tabs>
              <w:tab w:val="right" w:leader="dot" w:pos="9016"/>
            </w:tabs>
            <w:rPr>
              <w:rFonts w:asciiTheme="minorHAnsi" w:eastAsiaTheme="minorEastAsia" w:hAnsiTheme="minorHAnsi" w:cstheme="minorBidi"/>
              <w:noProof/>
              <w:spacing w:val="0"/>
              <w:sz w:val="22"/>
              <w:szCs w:val="22"/>
            </w:rPr>
          </w:pPr>
          <w:hyperlink w:anchor="_Toc414443752" w:history="1">
            <w:r w:rsidRPr="00594777">
              <w:rPr>
                <w:rStyle w:val="Hyperlink"/>
                <w:noProof/>
              </w:rPr>
              <w:t>Disability Employment Services</w:t>
            </w:r>
            <w:r>
              <w:rPr>
                <w:noProof/>
                <w:webHidden/>
              </w:rPr>
              <w:tab/>
            </w:r>
            <w:r>
              <w:rPr>
                <w:noProof/>
                <w:webHidden/>
              </w:rPr>
              <w:fldChar w:fldCharType="begin"/>
            </w:r>
            <w:r>
              <w:rPr>
                <w:noProof/>
                <w:webHidden/>
              </w:rPr>
              <w:instrText xml:space="preserve"> PAGEREF _Toc414443752 \h </w:instrText>
            </w:r>
            <w:r>
              <w:rPr>
                <w:noProof/>
                <w:webHidden/>
              </w:rPr>
            </w:r>
            <w:r>
              <w:rPr>
                <w:noProof/>
                <w:webHidden/>
              </w:rPr>
              <w:fldChar w:fldCharType="separate"/>
            </w:r>
            <w:r>
              <w:rPr>
                <w:noProof/>
                <w:webHidden/>
              </w:rPr>
              <w:t>18</w:t>
            </w:r>
            <w:r>
              <w:rPr>
                <w:noProof/>
                <w:webHidden/>
              </w:rPr>
              <w:fldChar w:fldCharType="end"/>
            </w:r>
          </w:hyperlink>
        </w:p>
        <w:p w:rsidR="00380DF4" w:rsidRDefault="00380DF4">
          <w:pPr>
            <w:pStyle w:val="TOC3"/>
            <w:tabs>
              <w:tab w:val="right" w:leader="dot" w:pos="9016"/>
            </w:tabs>
            <w:rPr>
              <w:rFonts w:asciiTheme="minorHAnsi" w:eastAsiaTheme="minorEastAsia" w:hAnsiTheme="minorHAnsi" w:cstheme="minorBidi"/>
              <w:noProof/>
              <w:spacing w:val="0"/>
              <w:sz w:val="22"/>
              <w:szCs w:val="22"/>
            </w:rPr>
          </w:pPr>
          <w:hyperlink w:anchor="_Toc414443753" w:history="1">
            <w:r w:rsidRPr="00594777">
              <w:rPr>
                <w:rStyle w:val="Hyperlink"/>
                <w:noProof/>
              </w:rPr>
              <w:t>Social Security</w:t>
            </w:r>
            <w:r>
              <w:rPr>
                <w:noProof/>
                <w:webHidden/>
              </w:rPr>
              <w:tab/>
            </w:r>
            <w:r>
              <w:rPr>
                <w:noProof/>
                <w:webHidden/>
              </w:rPr>
              <w:fldChar w:fldCharType="begin"/>
            </w:r>
            <w:r>
              <w:rPr>
                <w:noProof/>
                <w:webHidden/>
              </w:rPr>
              <w:instrText xml:space="preserve"> PAGEREF _Toc414443753 \h </w:instrText>
            </w:r>
            <w:r>
              <w:rPr>
                <w:noProof/>
                <w:webHidden/>
              </w:rPr>
            </w:r>
            <w:r>
              <w:rPr>
                <w:noProof/>
                <w:webHidden/>
              </w:rPr>
              <w:fldChar w:fldCharType="separate"/>
            </w:r>
            <w:r>
              <w:rPr>
                <w:noProof/>
                <w:webHidden/>
              </w:rPr>
              <w:t>19</w:t>
            </w:r>
            <w:r>
              <w:rPr>
                <w:noProof/>
                <w:webHidden/>
              </w:rPr>
              <w:fldChar w:fldCharType="end"/>
            </w:r>
          </w:hyperlink>
        </w:p>
        <w:p w:rsidR="00380DF4" w:rsidRDefault="00380DF4">
          <w:pPr>
            <w:pStyle w:val="TOC3"/>
            <w:tabs>
              <w:tab w:val="right" w:leader="dot" w:pos="9016"/>
            </w:tabs>
            <w:rPr>
              <w:rFonts w:asciiTheme="minorHAnsi" w:eastAsiaTheme="minorEastAsia" w:hAnsiTheme="minorHAnsi" w:cstheme="minorBidi"/>
              <w:noProof/>
              <w:spacing w:val="0"/>
              <w:sz w:val="22"/>
              <w:szCs w:val="22"/>
            </w:rPr>
          </w:pPr>
          <w:hyperlink w:anchor="_Toc414443754" w:history="1">
            <w:r w:rsidRPr="00594777">
              <w:rPr>
                <w:rStyle w:val="Hyperlink"/>
                <w:noProof/>
              </w:rPr>
              <w:t>Gambling</w:t>
            </w:r>
            <w:r>
              <w:rPr>
                <w:noProof/>
                <w:webHidden/>
              </w:rPr>
              <w:tab/>
            </w:r>
            <w:r>
              <w:rPr>
                <w:noProof/>
                <w:webHidden/>
              </w:rPr>
              <w:fldChar w:fldCharType="begin"/>
            </w:r>
            <w:r>
              <w:rPr>
                <w:noProof/>
                <w:webHidden/>
              </w:rPr>
              <w:instrText xml:space="preserve"> PAGEREF _Toc414443754 \h </w:instrText>
            </w:r>
            <w:r>
              <w:rPr>
                <w:noProof/>
                <w:webHidden/>
              </w:rPr>
            </w:r>
            <w:r>
              <w:rPr>
                <w:noProof/>
                <w:webHidden/>
              </w:rPr>
              <w:fldChar w:fldCharType="separate"/>
            </w:r>
            <w:r>
              <w:rPr>
                <w:noProof/>
                <w:webHidden/>
              </w:rPr>
              <w:t>22</w:t>
            </w:r>
            <w:r>
              <w:rPr>
                <w:noProof/>
                <w:webHidden/>
              </w:rPr>
              <w:fldChar w:fldCharType="end"/>
            </w:r>
          </w:hyperlink>
        </w:p>
        <w:p w:rsidR="00380DF4" w:rsidRDefault="00380DF4">
          <w:pPr>
            <w:pStyle w:val="TOC3"/>
            <w:tabs>
              <w:tab w:val="right" w:leader="dot" w:pos="9016"/>
            </w:tabs>
            <w:rPr>
              <w:rFonts w:asciiTheme="minorHAnsi" w:eastAsiaTheme="minorEastAsia" w:hAnsiTheme="minorHAnsi" w:cstheme="minorBidi"/>
              <w:noProof/>
              <w:spacing w:val="0"/>
              <w:sz w:val="22"/>
              <w:szCs w:val="22"/>
            </w:rPr>
          </w:pPr>
          <w:hyperlink w:anchor="_Toc414443755" w:history="1">
            <w:r w:rsidRPr="00594777">
              <w:rPr>
                <w:rStyle w:val="Hyperlink"/>
                <w:noProof/>
              </w:rPr>
              <w:t>Settlement Services</w:t>
            </w:r>
            <w:r>
              <w:rPr>
                <w:noProof/>
                <w:webHidden/>
              </w:rPr>
              <w:tab/>
            </w:r>
            <w:r>
              <w:rPr>
                <w:noProof/>
                <w:webHidden/>
              </w:rPr>
              <w:fldChar w:fldCharType="begin"/>
            </w:r>
            <w:r>
              <w:rPr>
                <w:noProof/>
                <w:webHidden/>
              </w:rPr>
              <w:instrText xml:space="preserve"> PAGEREF _Toc414443755 \h </w:instrText>
            </w:r>
            <w:r>
              <w:rPr>
                <w:noProof/>
                <w:webHidden/>
              </w:rPr>
            </w:r>
            <w:r>
              <w:rPr>
                <w:noProof/>
                <w:webHidden/>
              </w:rPr>
              <w:fldChar w:fldCharType="separate"/>
            </w:r>
            <w:r>
              <w:rPr>
                <w:noProof/>
                <w:webHidden/>
              </w:rPr>
              <w:t>22</w:t>
            </w:r>
            <w:r>
              <w:rPr>
                <w:noProof/>
                <w:webHidden/>
              </w:rPr>
              <w:fldChar w:fldCharType="end"/>
            </w:r>
          </w:hyperlink>
        </w:p>
        <w:p w:rsidR="00380DF4" w:rsidRDefault="00380DF4">
          <w:pPr>
            <w:pStyle w:val="TOC3"/>
            <w:tabs>
              <w:tab w:val="right" w:leader="dot" w:pos="9016"/>
            </w:tabs>
            <w:rPr>
              <w:rFonts w:asciiTheme="minorHAnsi" w:eastAsiaTheme="minorEastAsia" w:hAnsiTheme="minorHAnsi" w:cstheme="minorBidi"/>
              <w:noProof/>
              <w:spacing w:val="0"/>
              <w:sz w:val="22"/>
              <w:szCs w:val="22"/>
            </w:rPr>
          </w:pPr>
          <w:hyperlink w:anchor="_Toc414443756" w:history="1">
            <w:r w:rsidRPr="00594777">
              <w:rPr>
                <w:rStyle w:val="Hyperlink"/>
                <w:noProof/>
              </w:rPr>
              <w:t>Housing</w:t>
            </w:r>
            <w:r>
              <w:rPr>
                <w:noProof/>
                <w:webHidden/>
              </w:rPr>
              <w:tab/>
            </w:r>
            <w:r>
              <w:rPr>
                <w:noProof/>
                <w:webHidden/>
              </w:rPr>
              <w:fldChar w:fldCharType="begin"/>
            </w:r>
            <w:r>
              <w:rPr>
                <w:noProof/>
                <w:webHidden/>
              </w:rPr>
              <w:instrText xml:space="preserve"> PAGEREF _Toc414443756 \h </w:instrText>
            </w:r>
            <w:r>
              <w:rPr>
                <w:noProof/>
                <w:webHidden/>
              </w:rPr>
            </w:r>
            <w:r>
              <w:rPr>
                <w:noProof/>
                <w:webHidden/>
              </w:rPr>
              <w:fldChar w:fldCharType="separate"/>
            </w:r>
            <w:r>
              <w:rPr>
                <w:noProof/>
                <w:webHidden/>
              </w:rPr>
              <w:t>22</w:t>
            </w:r>
            <w:r>
              <w:rPr>
                <w:noProof/>
                <w:webHidden/>
              </w:rPr>
              <w:fldChar w:fldCharType="end"/>
            </w:r>
          </w:hyperlink>
        </w:p>
        <w:p w:rsidR="00380DF4" w:rsidRDefault="00380DF4">
          <w:pPr>
            <w:pStyle w:val="TOC3"/>
            <w:tabs>
              <w:tab w:val="right" w:leader="dot" w:pos="9016"/>
            </w:tabs>
            <w:rPr>
              <w:rFonts w:asciiTheme="minorHAnsi" w:eastAsiaTheme="minorEastAsia" w:hAnsiTheme="minorHAnsi" w:cstheme="minorBidi"/>
              <w:noProof/>
              <w:spacing w:val="0"/>
              <w:sz w:val="22"/>
              <w:szCs w:val="22"/>
            </w:rPr>
          </w:pPr>
          <w:hyperlink w:anchor="_Toc414443757" w:history="1">
            <w:r w:rsidRPr="00594777">
              <w:rPr>
                <w:rStyle w:val="Hyperlink"/>
                <w:noProof/>
              </w:rPr>
              <w:t>Data collection and access to information</w:t>
            </w:r>
            <w:r>
              <w:rPr>
                <w:noProof/>
                <w:webHidden/>
              </w:rPr>
              <w:tab/>
            </w:r>
            <w:r>
              <w:rPr>
                <w:noProof/>
                <w:webHidden/>
              </w:rPr>
              <w:fldChar w:fldCharType="begin"/>
            </w:r>
            <w:r>
              <w:rPr>
                <w:noProof/>
                <w:webHidden/>
              </w:rPr>
              <w:instrText xml:space="preserve"> PAGEREF _Toc414443757 \h </w:instrText>
            </w:r>
            <w:r>
              <w:rPr>
                <w:noProof/>
                <w:webHidden/>
              </w:rPr>
            </w:r>
            <w:r>
              <w:rPr>
                <w:noProof/>
                <w:webHidden/>
              </w:rPr>
              <w:fldChar w:fldCharType="separate"/>
            </w:r>
            <w:r>
              <w:rPr>
                <w:noProof/>
                <w:webHidden/>
              </w:rPr>
              <w:t>23</w:t>
            </w:r>
            <w:r>
              <w:rPr>
                <w:noProof/>
                <w:webHidden/>
              </w:rPr>
              <w:fldChar w:fldCharType="end"/>
            </w:r>
          </w:hyperlink>
        </w:p>
        <w:p w:rsidR="00380DF4" w:rsidRDefault="00380DF4">
          <w:pPr>
            <w:pStyle w:val="TOC2"/>
            <w:tabs>
              <w:tab w:val="right" w:leader="dot" w:pos="9016"/>
            </w:tabs>
            <w:rPr>
              <w:rFonts w:asciiTheme="minorHAnsi" w:eastAsiaTheme="minorEastAsia" w:hAnsiTheme="minorHAnsi" w:cstheme="minorBidi"/>
              <w:noProof/>
              <w:spacing w:val="0"/>
              <w:sz w:val="22"/>
              <w:szCs w:val="22"/>
            </w:rPr>
          </w:pPr>
          <w:hyperlink w:anchor="_Toc414443758" w:history="1">
            <w:r w:rsidRPr="00594777">
              <w:rPr>
                <w:rStyle w:val="Hyperlink"/>
                <w:noProof/>
              </w:rPr>
              <w:t>Regulatory Costs</w:t>
            </w:r>
            <w:r>
              <w:rPr>
                <w:noProof/>
                <w:webHidden/>
              </w:rPr>
              <w:tab/>
            </w:r>
            <w:r>
              <w:rPr>
                <w:noProof/>
                <w:webHidden/>
              </w:rPr>
              <w:fldChar w:fldCharType="begin"/>
            </w:r>
            <w:r>
              <w:rPr>
                <w:noProof/>
                <w:webHidden/>
              </w:rPr>
              <w:instrText xml:space="preserve"> PAGEREF _Toc414443758 \h </w:instrText>
            </w:r>
            <w:r>
              <w:rPr>
                <w:noProof/>
                <w:webHidden/>
              </w:rPr>
            </w:r>
            <w:r>
              <w:rPr>
                <w:noProof/>
                <w:webHidden/>
              </w:rPr>
              <w:fldChar w:fldCharType="separate"/>
            </w:r>
            <w:r>
              <w:rPr>
                <w:noProof/>
                <w:webHidden/>
              </w:rPr>
              <w:t>24</w:t>
            </w:r>
            <w:r>
              <w:rPr>
                <w:noProof/>
                <w:webHidden/>
              </w:rPr>
              <w:fldChar w:fldCharType="end"/>
            </w:r>
          </w:hyperlink>
        </w:p>
        <w:p w:rsidR="00380DF4" w:rsidRDefault="00380DF4">
          <w:pPr>
            <w:pStyle w:val="TOC3"/>
            <w:tabs>
              <w:tab w:val="right" w:leader="dot" w:pos="9016"/>
            </w:tabs>
            <w:rPr>
              <w:rFonts w:asciiTheme="minorHAnsi" w:eastAsiaTheme="minorEastAsia" w:hAnsiTheme="minorHAnsi" w:cstheme="minorBidi"/>
              <w:noProof/>
              <w:spacing w:val="0"/>
              <w:sz w:val="22"/>
              <w:szCs w:val="22"/>
            </w:rPr>
          </w:pPr>
          <w:hyperlink w:anchor="_Toc414443759" w:history="1">
            <w:r w:rsidRPr="00594777">
              <w:rPr>
                <w:rStyle w:val="Hyperlink"/>
                <w:noProof/>
              </w:rPr>
              <w:t>Disability Employment Services</w:t>
            </w:r>
            <w:r>
              <w:rPr>
                <w:noProof/>
                <w:webHidden/>
              </w:rPr>
              <w:tab/>
            </w:r>
            <w:r>
              <w:rPr>
                <w:noProof/>
                <w:webHidden/>
              </w:rPr>
              <w:fldChar w:fldCharType="begin"/>
            </w:r>
            <w:r>
              <w:rPr>
                <w:noProof/>
                <w:webHidden/>
              </w:rPr>
              <w:instrText xml:space="preserve"> PAGEREF _Toc414443759 \h </w:instrText>
            </w:r>
            <w:r>
              <w:rPr>
                <w:noProof/>
                <w:webHidden/>
              </w:rPr>
            </w:r>
            <w:r>
              <w:rPr>
                <w:noProof/>
                <w:webHidden/>
              </w:rPr>
              <w:fldChar w:fldCharType="separate"/>
            </w:r>
            <w:r>
              <w:rPr>
                <w:noProof/>
                <w:webHidden/>
              </w:rPr>
              <w:t>24</w:t>
            </w:r>
            <w:r>
              <w:rPr>
                <w:noProof/>
                <w:webHidden/>
              </w:rPr>
              <w:fldChar w:fldCharType="end"/>
            </w:r>
          </w:hyperlink>
        </w:p>
        <w:p w:rsidR="00380DF4" w:rsidRDefault="00380DF4">
          <w:pPr>
            <w:pStyle w:val="TOC3"/>
            <w:tabs>
              <w:tab w:val="right" w:leader="dot" w:pos="9016"/>
            </w:tabs>
            <w:rPr>
              <w:rFonts w:asciiTheme="minorHAnsi" w:eastAsiaTheme="minorEastAsia" w:hAnsiTheme="minorHAnsi" w:cstheme="minorBidi"/>
              <w:noProof/>
              <w:spacing w:val="0"/>
              <w:sz w:val="22"/>
              <w:szCs w:val="22"/>
            </w:rPr>
          </w:pPr>
          <w:hyperlink w:anchor="_Toc414443760" w:history="1">
            <w:r w:rsidRPr="00594777">
              <w:rPr>
                <w:rStyle w:val="Hyperlink"/>
                <w:noProof/>
              </w:rPr>
              <w:t>Social Security</w:t>
            </w:r>
            <w:r>
              <w:rPr>
                <w:noProof/>
                <w:webHidden/>
              </w:rPr>
              <w:tab/>
            </w:r>
            <w:r>
              <w:rPr>
                <w:noProof/>
                <w:webHidden/>
              </w:rPr>
              <w:fldChar w:fldCharType="begin"/>
            </w:r>
            <w:r>
              <w:rPr>
                <w:noProof/>
                <w:webHidden/>
              </w:rPr>
              <w:instrText xml:space="preserve"> PAGEREF _Toc414443760 \h </w:instrText>
            </w:r>
            <w:r>
              <w:rPr>
                <w:noProof/>
                <w:webHidden/>
              </w:rPr>
            </w:r>
            <w:r>
              <w:rPr>
                <w:noProof/>
                <w:webHidden/>
              </w:rPr>
              <w:fldChar w:fldCharType="separate"/>
            </w:r>
            <w:r>
              <w:rPr>
                <w:noProof/>
                <w:webHidden/>
              </w:rPr>
              <w:t>24</w:t>
            </w:r>
            <w:r>
              <w:rPr>
                <w:noProof/>
                <w:webHidden/>
              </w:rPr>
              <w:fldChar w:fldCharType="end"/>
            </w:r>
          </w:hyperlink>
        </w:p>
        <w:p w:rsidR="00380DF4" w:rsidRDefault="00380DF4">
          <w:pPr>
            <w:pStyle w:val="TOC2"/>
            <w:tabs>
              <w:tab w:val="right" w:leader="dot" w:pos="9016"/>
            </w:tabs>
            <w:rPr>
              <w:rFonts w:asciiTheme="minorHAnsi" w:eastAsiaTheme="minorEastAsia" w:hAnsiTheme="minorHAnsi" w:cstheme="minorBidi"/>
              <w:noProof/>
              <w:spacing w:val="0"/>
              <w:sz w:val="22"/>
              <w:szCs w:val="22"/>
            </w:rPr>
          </w:pPr>
          <w:hyperlink w:anchor="_Toc414443761" w:history="1">
            <w:r w:rsidRPr="00594777">
              <w:rPr>
                <w:rStyle w:val="Hyperlink"/>
                <w:noProof/>
              </w:rPr>
              <w:t>Measures announced but not implemented in 2014</w:t>
            </w:r>
            <w:r>
              <w:rPr>
                <w:noProof/>
                <w:webHidden/>
              </w:rPr>
              <w:tab/>
            </w:r>
            <w:r>
              <w:rPr>
                <w:noProof/>
                <w:webHidden/>
              </w:rPr>
              <w:fldChar w:fldCharType="begin"/>
            </w:r>
            <w:r>
              <w:rPr>
                <w:noProof/>
                <w:webHidden/>
              </w:rPr>
              <w:instrText xml:space="preserve"> PAGEREF _Toc414443761 \h </w:instrText>
            </w:r>
            <w:r>
              <w:rPr>
                <w:noProof/>
                <w:webHidden/>
              </w:rPr>
            </w:r>
            <w:r>
              <w:rPr>
                <w:noProof/>
                <w:webHidden/>
              </w:rPr>
              <w:fldChar w:fldCharType="separate"/>
            </w:r>
            <w:r>
              <w:rPr>
                <w:noProof/>
                <w:webHidden/>
              </w:rPr>
              <w:t>27</w:t>
            </w:r>
            <w:r>
              <w:rPr>
                <w:noProof/>
                <w:webHidden/>
              </w:rPr>
              <w:fldChar w:fldCharType="end"/>
            </w:r>
          </w:hyperlink>
        </w:p>
        <w:p w:rsidR="00380DF4" w:rsidRDefault="00380DF4">
          <w:pPr>
            <w:pStyle w:val="TOC1"/>
            <w:rPr>
              <w:rFonts w:asciiTheme="minorHAnsi" w:eastAsiaTheme="minorEastAsia" w:hAnsiTheme="minorHAnsi" w:cstheme="minorBidi"/>
              <w:noProof/>
              <w:spacing w:val="0"/>
              <w:sz w:val="22"/>
              <w:szCs w:val="22"/>
            </w:rPr>
          </w:pPr>
          <w:hyperlink w:anchor="_Toc414443762" w:history="1">
            <w:r w:rsidRPr="00594777">
              <w:rPr>
                <w:rStyle w:val="Hyperlink"/>
                <w:noProof/>
              </w:rPr>
              <w:t>Appendix B: Legislation administered by the Department</w:t>
            </w:r>
            <w:r>
              <w:rPr>
                <w:noProof/>
                <w:webHidden/>
              </w:rPr>
              <w:tab/>
            </w:r>
            <w:r>
              <w:rPr>
                <w:noProof/>
                <w:webHidden/>
              </w:rPr>
              <w:fldChar w:fldCharType="begin"/>
            </w:r>
            <w:r>
              <w:rPr>
                <w:noProof/>
                <w:webHidden/>
              </w:rPr>
              <w:instrText xml:space="preserve"> PAGEREF _Toc414443762 \h </w:instrText>
            </w:r>
            <w:r>
              <w:rPr>
                <w:noProof/>
                <w:webHidden/>
              </w:rPr>
            </w:r>
            <w:r>
              <w:rPr>
                <w:noProof/>
                <w:webHidden/>
              </w:rPr>
              <w:fldChar w:fldCharType="separate"/>
            </w:r>
            <w:r>
              <w:rPr>
                <w:noProof/>
                <w:webHidden/>
              </w:rPr>
              <w:t>28</w:t>
            </w:r>
            <w:r>
              <w:rPr>
                <w:noProof/>
                <w:webHidden/>
              </w:rPr>
              <w:fldChar w:fldCharType="end"/>
            </w:r>
          </w:hyperlink>
        </w:p>
        <w:p w:rsidR="00493496" w:rsidRPr="000F7052" w:rsidRDefault="007418A0" w:rsidP="00D836E4">
          <w:pPr>
            <w:rPr>
              <w:rFonts w:cs="Arial"/>
              <w:b/>
              <w:bCs/>
              <w:color w:val="FF0000"/>
            </w:rPr>
          </w:pPr>
          <w:r w:rsidRPr="000F7052">
            <w:rPr>
              <w:rFonts w:cs="Arial"/>
              <w:b/>
              <w:bCs/>
              <w:color w:val="FF0000"/>
            </w:rPr>
            <w:fldChar w:fldCharType="end"/>
          </w:r>
        </w:p>
      </w:sdtContent>
    </w:sdt>
    <w:p w:rsidR="00D836E4" w:rsidRDefault="007418A0" w:rsidP="00D836E4">
      <w:pPr>
        <w:rPr>
          <w:rFonts w:ascii="Times New Roman" w:hAnsi="Times New Roman"/>
          <w:szCs w:val="20"/>
        </w:rPr>
      </w:pPr>
      <w:r>
        <w:br w:type="page"/>
      </w:r>
    </w:p>
    <w:p w:rsidR="00D836E4" w:rsidRDefault="00D836E4" w:rsidP="0038770B">
      <w:pPr>
        <w:pStyle w:val="Heading2"/>
        <w:numPr>
          <w:ilvl w:val="0"/>
          <w:numId w:val="4"/>
        </w:numPr>
        <w:spacing w:before="200" w:after="0" w:line="276" w:lineRule="auto"/>
        <w:sectPr w:rsidR="00D836E4" w:rsidSect="00D836E4">
          <w:headerReference w:type="default" r:id="rId23"/>
          <w:pgSz w:w="11906" w:h="16838"/>
          <w:pgMar w:top="1440" w:right="1440" w:bottom="851" w:left="1440" w:header="709" w:footer="336" w:gutter="0"/>
          <w:cols w:space="708"/>
          <w:docGrid w:linePitch="360"/>
        </w:sectPr>
      </w:pPr>
    </w:p>
    <w:p w:rsidR="00D836E4" w:rsidRPr="002939AC" w:rsidRDefault="007418A0" w:rsidP="00D836E4">
      <w:pPr>
        <w:pStyle w:val="Heading1"/>
      </w:pPr>
      <w:bookmarkStart w:id="6" w:name="_Toc256000038"/>
      <w:bookmarkStart w:id="7" w:name="_Toc256000012"/>
      <w:bookmarkStart w:id="8" w:name="_Toc256000002"/>
      <w:bookmarkStart w:id="9" w:name="_Toc413079644"/>
      <w:bookmarkStart w:id="10" w:name="_Toc414443738"/>
      <w:r w:rsidRPr="002939AC">
        <w:lastRenderedPageBreak/>
        <w:t>Portfolio highlights</w:t>
      </w:r>
      <w:bookmarkEnd w:id="6"/>
      <w:bookmarkEnd w:id="7"/>
      <w:bookmarkEnd w:id="8"/>
      <w:bookmarkEnd w:id="9"/>
      <w:bookmarkEnd w:id="10"/>
    </w:p>
    <w:p w:rsidR="00D836E4" w:rsidRDefault="007418A0" w:rsidP="00D836E4">
      <w:r w:rsidRPr="00B5693F">
        <w:t xml:space="preserve">The Department </w:t>
      </w:r>
      <w:r>
        <w:t xml:space="preserve">of Social </w:t>
      </w:r>
      <w:r w:rsidRPr="0038104A">
        <w:t>Services</w:t>
      </w:r>
      <w:r>
        <w:t xml:space="preserve"> </w:t>
      </w:r>
      <w:r w:rsidRPr="003D7550">
        <w:t xml:space="preserve">reported </w:t>
      </w:r>
      <w:r>
        <w:t>$170</w:t>
      </w:r>
      <w:r w:rsidRPr="003D7550">
        <w:t xml:space="preserve"> million</w:t>
      </w:r>
      <w:r w:rsidRPr="0038104A">
        <w:t xml:space="preserve"> in net regulatory</w:t>
      </w:r>
      <w:r w:rsidRPr="00B5693F">
        <w:t xml:space="preserve"> savings over the period September 2013 to 31 December 2014. </w:t>
      </w:r>
    </w:p>
    <w:p w:rsidR="00552A51" w:rsidRDefault="00552A51" w:rsidP="00EB146C">
      <w:pPr>
        <w:jc w:val="center"/>
      </w:pPr>
      <w:r>
        <w:rPr>
          <w:noProof/>
        </w:rPr>
        <w:drawing>
          <wp:inline distT="0" distB="0" distL="0" distR="0" wp14:anchorId="210F0F4E" wp14:editId="59CADCCE">
            <wp:extent cx="4699591" cy="1298290"/>
            <wp:effectExtent l="0" t="0" r="6350" b="0"/>
            <wp:docPr id="1" name="Picture 1" descr="Graphic detailing the cost of deregulatory measures being $178 million minus the cost of regulatory measures being $7 million equalling the net reduction in regulation being $170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711455" cy="1301567"/>
                    </a:xfrm>
                    <a:prstGeom prst="rect">
                      <a:avLst/>
                    </a:prstGeom>
                  </pic:spPr>
                </pic:pic>
              </a:graphicData>
            </a:graphic>
          </wp:inline>
        </w:drawing>
      </w:r>
      <w:r w:rsidR="007418A0">
        <w:br/>
      </w:r>
    </w:p>
    <w:p w:rsidR="00D836E4" w:rsidRDefault="007418A0" w:rsidP="00552A51">
      <w:r w:rsidRPr="00B5693F">
        <w:t xml:space="preserve">Major regulatory savings for the Department arose from </w:t>
      </w:r>
      <w:r>
        <w:t>abolishing</w:t>
      </w:r>
      <w:r w:rsidRPr="00B5693F">
        <w:t xml:space="preserve"> the National </w:t>
      </w:r>
      <w:r w:rsidRPr="005D477C">
        <w:t>Gambling Regulator and the</w:t>
      </w:r>
      <w:r>
        <w:t xml:space="preserve"> proposed</w:t>
      </w:r>
      <w:r w:rsidRPr="005D477C">
        <w:t xml:space="preserve"> removal of the mandatory paymaster role for the Paid Parental Leave scheme.</w:t>
      </w:r>
    </w:p>
    <w:p w:rsidR="00D836E4" w:rsidRDefault="007418A0" w:rsidP="00D836E4">
      <w:r w:rsidRPr="00B5693F">
        <w:t>Over the past 12 months, the Department has achieved significant success towards the Govern</w:t>
      </w:r>
      <w:r>
        <w:t>ment’s deregulation commitments by:</w:t>
      </w:r>
    </w:p>
    <w:p w:rsidR="00D836E4" w:rsidRDefault="007418A0" w:rsidP="0038770B">
      <w:pPr>
        <w:pStyle w:val="ListBullet"/>
        <w:numPr>
          <w:ilvl w:val="0"/>
          <w:numId w:val="12"/>
        </w:numPr>
      </w:pPr>
      <w:r>
        <w:t>providing</w:t>
      </w:r>
      <w:r w:rsidRPr="00B5693F">
        <w:t xml:space="preserve"> </w:t>
      </w:r>
      <w:r>
        <w:t>significant</w:t>
      </w:r>
      <w:r w:rsidRPr="00B5693F">
        <w:t xml:space="preserve"> contributions to both</w:t>
      </w:r>
      <w:r>
        <w:t xml:space="preserve"> 2014 Parliamentary Repeal Days</w:t>
      </w:r>
    </w:p>
    <w:p w:rsidR="00D836E4" w:rsidRDefault="007418A0" w:rsidP="0038770B">
      <w:pPr>
        <w:pStyle w:val="ListBullet"/>
        <w:numPr>
          <w:ilvl w:val="0"/>
          <w:numId w:val="12"/>
        </w:numPr>
      </w:pPr>
      <w:r>
        <w:t xml:space="preserve">undertaking a comprehensive </w:t>
      </w:r>
      <w:r w:rsidRPr="00B5693F">
        <w:t xml:space="preserve">audit of </w:t>
      </w:r>
      <w:r>
        <w:t xml:space="preserve">the Department’s </w:t>
      </w:r>
      <w:r w:rsidRPr="00B5693F">
        <w:t>regulator</w:t>
      </w:r>
      <w:r>
        <w:t>y burden to identify opportunities for future regulatory reform</w:t>
      </w:r>
    </w:p>
    <w:p w:rsidR="00D836E4" w:rsidRDefault="007418A0" w:rsidP="0038770B">
      <w:pPr>
        <w:pStyle w:val="ListBullet"/>
        <w:numPr>
          <w:ilvl w:val="0"/>
          <w:numId w:val="12"/>
        </w:numPr>
      </w:pPr>
      <w:r>
        <w:t xml:space="preserve">being </w:t>
      </w:r>
      <w:r w:rsidRPr="00B5693F">
        <w:t>f</w:t>
      </w:r>
      <w:r>
        <w:t>ully compliant with all required Regulation</w:t>
      </w:r>
      <w:r w:rsidRPr="00B5693F">
        <w:t xml:space="preserve"> Impact Statement and costing requirements</w:t>
      </w:r>
    </w:p>
    <w:p w:rsidR="00D836E4" w:rsidRPr="00B5693F" w:rsidRDefault="007418A0" w:rsidP="0038770B">
      <w:pPr>
        <w:pStyle w:val="ListBullet"/>
        <w:numPr>
          <w:ilvl w:val="0"/>
          <w:numId w:val="12"/>
        </w:numPr>
      </w:pPr>
      <w:proofErr w:type="gramStart"/>
      <w:r>
        <w:t>being</w:t>
      </w:r>
      <w:proofErr w:type="gramEnd"/>
      <w:r>
        <w:t xml:space="preserve"> </w:t>
      </w:r>
      <w:r w:rsidRPr="00B5693F">
        <w:t>a strong and active leader in establishing cross-government st</w:t>
      </w:r>
      <w:r>
        <w:t>akeholder engagement mechanisms.</w:t>
      </w:r>
    </w:p>
    <w:p w:rsidR="00D836E4" w:rsidRDefault="007418A0" w:rsidP="00D836E4">
      <w:r>
        <w:t>E</w:t>
      </w:r>
      <w:r w:rsidRPr="00B5693F">
        <w:t>xceeding the formal requirements set by Government has only been a small part of the Department’s success</w:t>
      </w:r>
      <w:r>
        <w:t xml:space="preserve"> in 2014</w:t>
      </w:r>
      <w:r w:rsidRPr="00B5693F">
        <w:t xml:space="preserve">. </w:t>
      </w:r>
    </w:p>
    <w:p w:rsidR="00D836E4" w:rsidRDefault="007418A0" w:rsidP="00D836E4">
      <w:r>
        <w:t xml:space="preserve">It </w:t>
      </w:r>
      <w:r w:rsidRPr="00B5693F">
        <w:t>has focussed on a cultural change agenda to improve regulatory practice across the Department</w:t>
      </w:r>
      <w:r>
        <w:t xml:space="preserve"> to ensure sustainable, long term benefits from this agenda. </w:t>
      </w:r>
    </w:p>
    <w:p w:rsidR="00D836E4" w:rsidRDefault="007418A0" w:rsidP="00D836E4">
      <w:r w:rsidRPr="00B5693F">
        <w:t xml:space="preserve">In 2014 the </w:t>
      </w:r>
      <w:r>
        <w:t xml:space="preserve">Department </w:t>
      </w:r>
      <w:r w:rsidRPr="00B5693F">
        <w:t>developed a purpose-built Framework for Best Practice Regulation</w:t>
      </w:r>
      <w:r>
        <w:t xml:space="preserve"> that</w:t>
      </w:r>
      <w:r w:rsidRPr="00B5693F">
        <w:t xml:space="preserve"> provides staff with the tools and resources to regulate well and identify opportunities to cut red tape. </w:t>
      </w:r>
    </w:p>
    <w:p w:rsidR="00D836E4" w:rsidRDefault="007418A0" w:rsidP="00D836E4">
      <w:r w:rsidRPr="00B5693F">
        <w:t xml:space="preserve">The </w:t>
      </w:r>
      <w:r>
        <w:t xml:space="preserve">Department’s </w:t>
      </w:r>
      <w:r w:rsidRPr="00B5693F">
        <w:t xml:space="preserve">Deregulation Unit has been very active in engaging with staff across the Department to develop and implement this </w:t>
      </w:r>
      <w:r>
        <w:t>F</w:t>
      </w:r>
      <w:r w:rsidRPr="00B5693F">
        <w:t xml:space="preserve">ramework, and build </w:t>
      </w:r>
      <w:r>
        <w:t xml:space="preserve">staff capability in better regulatory </w:t>
      </w:r>
      <w:r w:rsidRPr="00B5693F">
        <w:t>practices</w:t>
      </w:r>
      <w:r>
        <w:t xml:space="preserve">. </w:t>
      </w:r>
    </w:p>
    <w:p w:rsidR="00D836E4" w:rsidRDefault="007418A0">
      <w:pPr>
        <w:spacing w:before="0" w:after="200" w:line="276" w:lineRule="auto"/>
      </w:pPr>
      <w:r>
        <w:br w:type="page"/>
      </w:r>
    </w:p>
    <w:p w:rsidR="00D836E4" w:rsidRDefault="007418A0" w:rsidP="00D836E4">
      <w:r w:rsidRPr="000F677D">
        <w:lastRenderedPageBreak/>
        <w:t xml:space="preserve">The Deregulation Unit has also worked with priority areas across the Department, as well as engaging strongly with portfolio regulators and stakeholders, in developing proposals for structural regulatory reform that places the Department in good stead to achieve </w:t>
      </w:r>
      <w:r>
        <w:t>significant regulatory savings in future years.</w:t>
      </w:r>
    </w:p>
    <w:p w:rsidR="00D836E4" w:rsidRDefault="00D836E4" w:rsidP="00D836E4"/>
    <w:p w:rsidR="00D836E4" w:rsidRDefault="00D836E4" w:rsidP="00D836E4"/>
    <w:p w:rsidR="00D836E4" w:rsidRPr="000237D5" w:rsidRDefault="007418A0" w:rsidP="00D836E4">
      <w:pPr>
        <w:pStyle w:val="Pullouttext"/>
        <w:pBdr>
          <w:top w:val="threeDEngrave" w:sz="24" w:space="1" w:color="275D38" w:themeColor="accent1"/>
          <w:left w:val="threeDEngrave" w:sz="24" w:space="1" w:color="275D38" w:themeColor="accent1"/>
          <w:bottom w:val="threeDEmboss" w:sz="24" w:space="0" w:color="275D38" w:themeColor="accent1"/>
          <w:right w:val="threeDEmboss" w:sz="24" w:space="1" w:color="275D38" w:themeColor="accent1"/>
        </w:pBdr>
        <w:shd w:val="clear" w:color="auto" w:fill="F8F8F8" w:themeFill="background2"/>
        <w:tabs>
          <w:tab w:val="left" w:pos="7513"/>
        </w:tabs>
        <w:ind w:left="1560" w:right="1796"/>
        <w:jc w:val="center"/>
      </w:pPr>
      <w:r w:rsidRPr="000237D5">
        <w:rPr>
          <w:b/>
        </w:rPr>
        <w:t>Reducing regulation in aged care – the South Australian Innovation Hub</w:t>
      </w:r>
      <w:r w:rsidRPr="000237D5">
        <w:rPr>
          <w:b/>
        </w:rPr>
        <w:br/>
      </w:r>
    </w:p>
    <w:p w:rsidR="00D836E4" w:rsidRPr="000237D5" w:rsidRDefault="007418A0" w:rsidP="00D836E4">
      <w:pPr>
        <w:pStyle w:val="Pullouttext"/>
        <w:pBdr>
          <w:top w:val="threeDEngrave" w:sz="24" w:space="1" w:color="275D38" w:themeColor="accent1"/>
          <w:left w:val="threeDEngrave" w:sz="24" w:space="1" w:color="275D38" w:themeColor="accent1"/>
          <w:bottom w:val="threeDEmboss" w:sz="24" w:space="0" w:color="275D38" w:themeColor="accent1"/>
          <w:right w:val="threeDEmboss" w:sz="24" w:space="1" w:color="275D38" w:themeColor="accent1"/>
        </w:pBdr>
        <w:shd w:val="clear" w:color="auto" w:fill="F8F8F8" w:themeFill="background2"/>
        <w:tabs>
          <w:tab w:val="left" w:pos="7513"/>
        </w:tabs>
        <w:ind w:left="1560" w:right="1796"/>
      </w:pPr>
      <w:r w:rsidRPr="000237D5">
        <w:t xml:space="preserve">The South Australian Innovation Hub is testing and evaluating the concept of ‘earned autonomy’ with aged care providers. </w:t>
      </w:r>
    </w:p>
    <w:p w:rsidR="00D836E4" w:rsidRPr="000237D5" w:rsidRDefault="00D836E4" w:rsidP="00D836E4">
      <w:pPr>
        <w:pStyle w:val="Pullouttext"/>
        <w:pBdr>
          <w:top w:val="threeDEngrave" w:sz="24" w:space="1" w:color="275D38" w:themeColor="accent1"/>
          <w:left w:val="threeDEngrave" w:sz="24" w:space="1" w:color="275D38" w:themeColor="accent1"/>
          <w:bottom w:val="threeDEmboss" w:sz="24" w:space="0" w:color="275D38" w:themeColor="accent1"/>
          <w:right w:val="threeDEmboss" w:sz="24" w:space="1" w:color="275D38" w:themeColor="accent1"/>
        </w:pBdr>
        <w:shd w:val="clear" w:color="auto" w:fill="F8F8F8" w:themeFill="background2"/>
        <w:tabs>
          <w:tab w:val="left" w:pos="7513"/>
        </w:tabs>
        <w:ind w:left="1560" w:right="1796"/>
      </w:pPr>
    </w:p>
    <w:p w:rsidR="00D836E4" w:rsidRPr="000237D5" w:rsidRDefault="007418A0" w:rsidP="00D836E4">
      <w:pPr>
        <w:pStyle w:val="Pullouttext"/>
        <w:pBdr>
          <w:top w:val="threeDEngrave" w:sz="24" w:space="1" w:color="275D38" w:themeColor="accent1"/>
          <w:left w:val="threeDEngrave" w:sz="24" w:space="1" w:color="275D38" w:themeColor="accent1"/>
          <w:bottom w:val="threeDEmboss" w:sz="24" w:space="0" w:color="275D38" w:themeColor="accent1"/>
          <w:right w:val="threeDEmboss" w:sz="24" w:space="1" w:color="275D38" w:themeColor="accent1"/>
        </w:pBdr>
        <w:shd w:val="clear" w:color="auto" w:fill="F8F8F8" w:themeFill="background2"/>
        <w:tabs>
          <w:tab w:val="left" w:pos="7513"/>
        </w:tabs>
        <w:ind w:left="1560" w:right="1796"/>
      </w:pPr>
      <w:r w:rsidRPr="000237D5">
        <w:t xml:space="preserve">The Hub trial has been limited to ten aged care providers. Regulation will be reduced for high performing providers participating in the trial. </w:t>
      </w:r>
    </w:p>
    <w:p w:rsidR="00D836E4" w:rsidRPr="000237D5" w:rsidRDefault="00D836E4" w:rsidP="00D836E4">
      <w:pPr>
        <w:pStyle w:val="Pullouttext"/>
        <w:pBdr>
          <w:top w:val="threeDEngrave" w:sz="24" w:space="1" w:color="275D38" w:themeColor="accent1"/>
          <w:left w:val="threeDEngrave" w:sz="24" w:space="1" w:color="275D38" w:themeColor="accent1"/>
          <w:bottom w:val="threeDEmboss" w:sz="24" w:space="0" w:color="275D38" w:themeColor="accent1"/>
          <w:right w:val="threeDEmboss" w:sz="24" w:space="1" w:color="275D38" w:themeColor="accent1"/>
        </w:pBdr>
        <w:shd w:val="clear" w:color="auto" w:fill="F8F8F8" w:themeFill="background2"/>
        <w:tabs>
          <w:tab w:val="left" w:pos="7513"/>
        </w:tabs>
        <w:ind w:left="1560" w:right="1796"/>
      </w:pPr>
    </w:p>
    <w:p w:rsidR="00D836E4" w:rsidRPr="000237D5" w:rsidRDefault="007418A0" w:rsidP="00D836E4">
      <w:pPr>
        <w:pStyle w:val="Pullouttext"/>
        <w:pBdr>
          <w:top w:val="threeDEngrave" w:sz="24" w:space="1" w:color="275D38" w:themeColor="accent1"/>
          <w:left w:val="threeDEngrave" w:sz="24" w:space="1" w:color="275D38" w:themeColor="accent1"/>
          <w:bottom w:val="threeDEmboss" w:sz="24" w:space="0" w:color="275D38" w:themeColor="accent1"/>
          <w:right w:val="threeDEmboss" w:sz="24" w:space="1" w:color="275D38" w:themeColor="accent1"/>
        </w:pBdr>
        <w:shd w:val="clear" w:color="auto" w:fill="F8F8F8" w:themeFill="background2"/>
        <w:tabs>
          <w:tab w:val="left" w:pos="7513"/>
        </w:tabs>
        <w:ind w:left="1560" w:right="1796"/>
      </w:pPr>
      <w:r w:rsidRPr="000237D5">
        <w:t>Reduced regulation means providers can focus on delivering a better quality of aged care and involving care recipients in the design and delivery of care.</w:t>
      </w:r>
    </w:p>
    <w:p w:rsidR="00D836E4" w:rsidRPr="000237D5" w:rsidRDefault="00D836E4" w:rsidP="00D836E4">
      <w:pPr>
        <w:pStyle w:val="Pullouttext"/>
        <w:pBdr>
          <w:top w:val="threeDEngrave" w:sz="24" w:space="1" w:color="275D38" w:themeColor="accent1"/>
          <w:left w:val="threeDEngrave" w:sz="24" w:space="1" w:color="275D38" w:themeColor="accent1"/>
          <w:bottom w:val="threeDEmboss" w:sz="24" w:space="0" w:color="275D38" w:themeColor="accent1"/>
          <w:right w:val="threeDEmboss" w:sz="24" w:space="1" w:color="275D38" w:themeColor="accent1"/>
        </w:pBdr>
        <w:shd w:val="clear" w:color="auto" w:fill="F8F8F8" w:themeFill="background2"/>
        <w:tabs>
          <w:tab w:val="left" w:pos="7513"/>
        </w:tabs>
        <w:ind w:left="1560" w:right="1796"/>
      </w:pPr>
    </w:p>
    <w:p w:rsidR="00D836E4" w:rsidRPr="000237D5" w:rsidRDefault="007418A0" w:rsidP="00D836E4">
      <w:pPr>
        <w:pStyle w:val="Pullouttext"/>
        <w:pBdr>
          <w:top w:val="threeDEngrave" w:sz="24" w:space="1" w:color="275D38" w:themeColor="accent1"/>
          <w:left w:val="threeDEngrave" w:sz="24" w:space="1" w:color="275D38" w:themeColor="accent1"/>
          <w:bottom w:val="threeDEmboss" w:sz="24" w:space="0" w:color="275D38" w:themeColor="accent1"/>
          <w:right w:val="threeDEmboss" w:sz="24" w:space="1" w:color="275D38" w:themeColor="accent1"/>
        </w:pBdr>
        <w:shd w:val="clear" w:color="auto" w:fill="F8F8F8" w:themeFill="background2"/>
        <w:tabs>
          <w:tab w:val="left" w:pos="7513"/>
        </w:tabs>
        <w:ind w:left="1560" w:right="1796"/>
      </w:pPr>
      <w:r w:rsidRPr="000237D5">
        <w:t>The Hub trial recognises there needs to be a healthy balance between regulatory safeguards and support for innovative quality aged care services.</w:t>
      </w:r>
      <w:r w:rsidRPr="000237D5">
        <w:br/>
      </w:r>
    </w:p>
    <w:p w:rsidR="00D836E4" w:rsidRPr="000237D5" w:rsidRDefault="007418A0" w:rsidP="00D836E4">
      <w:pPr>
        <w:pStyle w:val="Pullouttext"/>
        <w:pBdr>
          <w:top w:val="threeDEngrave" w:sz="24" w:space="1" w:color="275D38" w:themeColor="accent1"/>
          <w:left w:val="threeDEngrave" w:sz="24" w:space="1" w:color="275D38" w:themeColor="accent1"/>
          <w:bottom w:val="threeDEmboss" w:sz="24" w:space="0" w:color="275D38" w:themeColor="accent1"/>
          <w:right w:val="threeDEmboss" w:sz="24" w:space="1" w:color="275D38" w:themeColor="accent1"/>
        </w:pBdr>
        <w:shd w:val="clear" w:color="auto" w:fill="F8F8F8" w:themeFill="background2"/>
        <w:tabs>
          <w:tab w:val="left" w:pos="7513"/>
        </w:tabs>
        <w:ind w:left="1560" w:right="1796"/>
      </w:pPr>
      <w:r w:rsidRPr="000237D5">
        <w:t xml:space="preserve">All ten aged care providers have met criteria around accreditation, compliance, complaints, prudential and Aged Care Funding Instrument (ACFI) history for entry into the Hub. </w:t>
      </w:r>
    </w:p>
    <w:p w:rsidR="00D836E4" w:rsidRPr="000237D5" w:rsidRDefault="00D836E4" w:rsidP="00D836E4">
      <w:pPr>
        <w:pStyle w:val="Pullouttext"/>
        <w:pBdr>
          <w:top w:val="threeDEngrave" w:sz="24" w:space="1" w:color="275D38" w:themeColor="accent1"/>
          <w:left w:val="threeDEngrave" w:sz="24" w:space="1" w:color="275D38" w:themeColor="accent1"/>
          <w:bottom w:val="threeDEmboss" w:sz="24" w:space="0" w:color="275D38" w:themeColor="accent1"/>
          <w:right w:val="threeDEmboss" w:sz="24" w:space="1" w:color="275D38" w:themeColor="accent1"/>
        </w:pBdr>
        <w:shd w:val="clear" w:color="auto" w:fill="F8F8F8" w:themeFill="background2"/>
        <w:tabs>
          <w:tab w:val="left" w:pos="7513"/>
        </w:tabs>
        <w:ind w:left="1560" w:right="1796"/>
      </w:pPr>
    </w:p>
    <w:p w:rsidR="00D836E4" w:rsidRPr="000237D5" w:rsidRDefault="007418A0" w:rsidP="00D836E4">
      <w:pPr>
        <w:pStyle w:val="Pullouttext"/>
        <w:pBdr>
          <w:top w:val="threeDEngrave" w:sz="24" w:space="1" w:color="275D38" w:themeColor="accent1"/>
          <w:left w:val="threeDEngrave" w:sz="24" w:space="1" w:color="275D38" w:themeColor="accent1"/>
          <w:bottom w:val="threeDEmboss" w:sz="24" w:space="0" w:color="275D38" w:themeColor="accent1"/>
          <w:right w:val="threeDEmboss" w:sz="24" w:space="1" w:color="275D38" w:themeColor="accent1"/>
        </w:pBdr>
        <w:shd w:val="clear" w:color="auto" w:fill="F8F8F8" w:themeFill="background2"/>
        <w:tabs>
          <w:tab w:val="left" w:pos="7513"/>
        </w:tabs>
        <w:spacing w:before="0" w:after="0"/>
        <w:ind w:left="1560" w:right="1796"/>
        <w:rPr>
          <w:sz w:val="10"/>
        </w:rPr>
      </w:pPr>
      <w:r w:rsidRPr="000237D5">
        <w:t>The Hub will be independently evaluated after 12 months. Depending on the evaluation outcomes, the Government will consider the feasibility of rolling out the initiative nationally.</w:t>
      </w:r>
      <w:r w:rsidRPr="000237D5">
        <w:br/>
      </w:r>
    </w:p>
    <w:p w:rsidR="00D836E4" w:rsidRDefault="00D836E4" w:rsidP="00D836E4"/>
    <w:p w:rsidR="00D836E4" w:rsidRDefault="00D836E4" w:rsidP="00D836E4">
      <w:pPr>
        <w:sectPr w:rsidR="00D836E4" w:rsidSect="00D836E4">
          <w:headerReference w:type="default" r:id="rId25"/>
          <w:footerReference w:type="default" r:id="rId26"/>
          <w:type w:val="continuous"/>
          <w:pgSz w:w="11906" w:h="16838"/>
          <w:pgMar w:top="1440" w:right="1440" w:bottom="851" w:left="1440" w:header="709" w:footer="336" w:gutter="0"/>
          <w:cols w:space="708"/>
          <w:docGrid w:linePitch="360"/>
        </w:sectPr>
      </w:pPr>
    </w:p>
    <w:p w:rsidR="00D836E4" w:rsidRPr="00FE6662" w:rsidRDefault="007418A0" w:rsidP="00D836E4">
      <w:pPr>
        <w:pStyle w:val="Heading1"/>
      </w:pPr>
      <w:bookmarkStart w:id="11" w:name="_Toc256000039"/>
      <w:bookmarkStart w:id="12" w:name="_Toc256000013"/>
      <w:bookmarkStart w:id="13" w:name="_Toc256000003"/>
      <w:bookmarkStart w:id="14" w:name="_Toc413079645"/>
      <w:bookmarkStart w:id="15" w:name="_Toc414443739"/>
      <w:r w:rsidRPr="00FE6662">
        <w:lastRenderedPageBreak/>
        <w:t>Summary of key regulatory savings and costs 2014</w:t>
      </w:r>
      <w:bookmarkEnd w:id="11"/>
      <w:bookmarkEnd w:id="12"/>
      <w:bookmarkEnd w:id="13"/>
      <w:bookmarkEnd w:id="14"/>
      <w:bookmarkEnd w:id="15"/>
    </w:p>
    <w:p w:rsidR="00D836E4" w:rsidRDefault="007418A0" w:rsidP="00D836E4">
      <w:r w:rsidRPr="00FE6662">
        <w:t>Following the machinery-of-government changes in Dec</w:t>
      </w:r>
      <w:r>
        <w:t>ember 2014, responsibility for c</w:t>
      </w:r>
      <w:r w:rsidRPr="00FE6662">
        <w:t xml:space="preserve">hild </w:t>
      </w:r>
      <w:r>
        <w:t>c</w:t>
      </w:r>
      <w:r w:rsidRPr="00FE6662">
        <w:t xml:space="preserve">are was transferred from the Department of Education into the Social Services Portfolio. </w:t>
      </w:r>
    </w:p>
    <w:p w:rsidR="00D836E4" w:rsidRDefault="007418A0" w:rsidP="00D836E4">
      <w:r w:rsidRPr="00FE6662">
        <w:t xml:space="preserve">This </w:t>
      </w:r>
      <w:r>
        <w:t>A</w:t>
      </w:r>
      <w:r w:rsidRPr="00FE6662">
        <w:t xml:space="preserve">nnual </w:t>
      </w:r>
      <w:r>
        <w:t>Deregulation R</w:t>
      </w:r>
      <w:r w:rsidRPr="00FE6662">
        <w:t>eport covers the deregulatory activities undertaken throughout 2014, many of which preceded and/or were not affected by the machinery-of-government changes.</w:t>
      </w:r>
      <w:r>
        <w:t xml:space="preserve"> The Department of Education will include in its Annual Deregulation Report any child care deregulation activity prior to the machinery of government changes.</w:t>
      </w:r>
    </w:p>
    <w:p w:rsidR="00D836E4" w:rsidRDefault="00D836E4" w:rsidP="00D836E4">
      <w:pPr>
        <w:pStyle w:val="Tableheading"/>
        <w:spacing w:after="0"/>
      </w:pPr>
    </w:p>
    <w:p w:rsidR="00D836E4" w:rsidRPr="00D50919" w:rsidRDefault="007418A0" w:rsidP="00D836E4">
      <w:pPr>
        <w:pStyle w:val="Tableheading"/>
        <w:spacing w:after="0"/>
      </w:pPr>
      <w:r w:rsidRPr="00D50919">
        <w:t>Table 1</w:t>
      </w:r>
      <w:r>
        <w:t>A:</w:t>
      </w:r>
      <w:r w:rsidRPr="00D50919">
        <w:t xml:space="preserve"> Summary of key regulatory costs reported or announced between Sept</w:t>
      </w:r>
      <w:r>
        <w:t>ember 2013 and 31 December 2014 (d</w:t>
      </w:r>
      <w:r w:rsidRPr="00D50919">
        <w:t>etails on individual measur</w:t>
      </w:r>
      <w:r>
        <w:t>es are outlined in Appendix A)</w:t>
      </w:r>
    </w:p>
    <w:tbl>
      <w:tblPr>
        <w:tblStyle w:val="LightList-Accent2"/>
        <w:tblW w:w="5000" w:type="pct"/>
        <w:tblBorders>
          <w:insideH w:val="single" w:sz="8" w:space="0" w:color="78BE20" w:themeColor="accent2"/>
          <w:insideV w:val="single" w:sz="8" w:space="0" w:color="78BE20" w:themeColor="accent2"/>
        </w:tblBorders>
        <w:tblLook w:val="04A0" w:firstRow="1" w:lastRow="0" w:firstColumn="1" w:lastColumn="0" w:noHBand="0" w:noVBand="1"/>
        <w:tblCaption w:val="Table 1A: Summary of key regulatory costs reported or announced between September 2013 and 31 December 2014"/>
      </w:tblPr>
      <w:tblGrid>
        <w:gridCol w:w="7763"/>
        <w:gridCol w:w="1479"/>
      </w:tblGrid>
      <w:tr w:rsidR="001305B2" w:rsidRPr="003B5A6E" w:rsidTr="001305B2">
        <w:trPr>
          <w:cnfStyle w:val="100000000000" w:firstRow="1" w:lastRow="0" w:firstColumn="0" w:lastColumn="0" w:oddVBand="0" w:evenVBand="0" w:oddHBand="0" w:evenHBand="0" w:firstRowFirstColumn="0" w:firstRowLastColumn="0" w:lastRowFirstColumn="0" w:lastRowLastColumn="0"/>
          <w:trHeight w:val="1180"/>
          <w:tblHeader/>
        </w:trPr>
        <w:tc>
          <w:tcPr>
            <w:cnfStyle w:val="001000000000" w:firstRow="0" w:lastRow="0" w:firstColumn="1" w:lastColumn="0" w:oddVBand="0" w:evenVBand="0" w:oddHBand="0" w:evenHBand="0" w:firstRowFirstColumn="0" w:firstRowLastColumn="0" w:lastRowFirstColumn="0" w:lastRowLastColumn="0"/>
            <w:tcW w:w="4200" w:type="pct"/>
            <w:shd w:val="clear" w:color="auto" w:fill="DAEDB8" w:themeFill="accent6" w:themeFillTint="99"/>
            <w:noWrap/>
            <w:hideMark/>
          </w:tcPr>
          <w:p w:rsidR="001305B2" w:rsidRPr="003B5A6E" w:rsidRDefault="001305B2" w:rsidP="00D836E4">
            <w:pPr>
              <w:rPr>
                <w:rFonts w:cs="Arial"/>
                <w:color w:val="auto"/>
                <w:szCs w:val="18"/>
              </w:rPr>
            </w:pPr>
            <w:r w:rsidRPr="003B5A6E">
              <w:rPr>
                <w:rFonts w:cs="Arial"/>
                <w:color w:val="auto"/>
                <w:szCs w:val="18"/>
              </w:rPr>
              <w:t>KEY MEASURE</w:t>
            </w:r>
            <w:r w:rsidRPr="00EB146C">
              <w:rPr>
                <w:rFonts w:cs="Arial"/>
                <w:color w:val="auto"/>
                <w:szCs w:val="18"/>
              </w:rPr>
              <w:t>S*</w:t>
            </w:r>
          </w:p>
        </w:tc>
        <w:tc>
          <w:tcPr>
            <w:tcW w:w="800" w:type="pct"/>
            <w:shd w:val="clear" w:color="auto" w:fill="DAEDB8" w:themeFill="accent6" w:themeFillTint="99"/>
            <w:noWrap/>
            <w:hideMark/>
          </w:tcPr>
          <w:p w:rsidR="001305B2" w:rsidRPr="001305B2" w:rsidRDefault="001305B2" w:rsidP="00D836E4">
            <w:pPr>
              <w:cnfStyle w:val="100000000000" w:firstRow="1" w:lastRow="0" w:firstColumn="0" w:lastColumn="0" w:oddVBand="0" w:evenVBand="0" w:oddHBand="0" w:evenHBand="0" w:firstRowFirstColumn="0" w:firstRowLastColumn="0" w:lastRowFirstColumn="0" w:lastRowLastColumn="0"/>
              <w:rPr>
                <w:rFonts w:cs="Arial"/>
                <w:color w:val="auto"/>
                <w:szCs w:val="18"/>
              </w:rPr>
            </w:pPr>
            <w:r w:rsidRPr="001305B2">
              <w:rPr>
                <w:rFonts w:cs="Arial"/>
                <w:color w:val="auto"/>
                <w:szCs w:val="18"/>
              </w:rPr>
              <w:t>Reported</w:t>
            </w:r>
          </w:p>
          <w:p w:rsidR="001305B2" w:rsidRPr="001305B2" w:rsidRDefault="001305B2" w:rsidP="00D836E4">
            <w:pPr>
              <w:cnfStyle w:val="100000000000" w:firstRow="1" w:lastRow="0" w:firstColumn="0" w:lastColumn="0" w:oddVBand="0" w:evenVBand="0" w:oddHBand="0" w:evenHBand="0" w:firstRowFirstColumn="0" w:firstRowLastColumn="0" w:lastRowFirstColumn="0" w:lastRowLastColumn="0"/>
              <w:rPr>
                <w:rFonts w:cs="Arial"/>
                <w:color w:val="auto"/>
                <w:szCs w:val="18"/>
              </w:rPr>
            </w:pPr>
            <w:r w:rsidRPr="001305B2">
              <w:rPr>
                <w:color w:val="auto"/>
              </w:rPr>
              <w:t>($ million)</w:t>
            </w:r>
          </w:p>
        </w:tc>
      </w:tr>
      <w:tr w:rsidR="00493496" w:rsidTr="001305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00" w:type="pct"/>
          </w:tcPr>
          <w:p w:rsidR="00D836E4" w:rsidRPr="00BB17A1" w:rsidRDefault="007418A0" w:rsidP="00D836E4">
            <w:pPr>
              <w:rPr>
                <w:rFonts w:cs="Arial"/>
                <w:color w:val="000000"/>
              </w:rPr>
            </w:pPr>
            <w:r w:rsidRPr="00DD5AE8">
              <w:rPr>
                <w:b w:val="0"/>
              </w:rPr>
              <w:t>Disability Employment Services-Disability Management Service – partial tender</w:t>
            </w:r>
          </w:p>
        </w:tc>
        <w:tc>
          <w:tcPr>
            <w:tcW w:w="800" w:type="pct"/>
          </w:tcPr>
          <w:p w:rsidR="00D836E4" w:rsidRPr="00BB17A1" w:rsidRDefault="007418A0" w:rsidP="00D836E4">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2.333</w:t>
            </w:r>
          </w:p>
        </w:tc>
      </w:tr>
      <w:tr w:rsidR="00493496" w:rsidTr="001305B2">
        <w:trPr>
          <w:trHeight w:val="300"/>
        </w:trPr>
        <w:tc>
          <w:tcPr>
            <w:cnfStyle w:val="001000000000" w:firstRow="0" w:lastRow="0" w:firstColumn="1" w:lastColumn="0" w:oddVBand="0" w:evenVBand="0" w:oddHBand="0" w:evenHBand="0" w:firstRowFirstColumn="0" w:firstRowLastColumn="0" w:lastRowFirstColumn="0" w:lastRowLastColumn="0"/>
            <w:tcW w:w="4200" w:type="pct"/>
            <w:hideMark/>
          </w:tcPr>
          <w:p w:rsidR="00D836E4" w:rsidRPr="00BB17A1" w:rsidRDefault="007418A0" w:rsidP="00D836E4">
            <w:pPr>
              <w:rPr>
                <w:rFonts w:cs="Arial"/>
                <w:color w:val="000000"/>
              </w:rPr>
            </w:pPr>
            <w:r>
              <w:rPr>
                <w:rFonts w:cs="Arial"/>
                <w:b w:val="0"/>
                <w:color w:val="000000"/>
              </w:rPr>
              <w:t xml:space="preserve">Disability Support Pension </w:t>
            </w:r>
            <w:r w:rsidRPr="006E68A8">
              <w:rPr>
                <w:rFonts w:cs="Arial"/>
                <w:b w:val="0"/>
                <w:color w:val="000000"/>
              </w:rPr>
              <w:t>revised assessment process</w:t>
            </w:r>
          </w:p>
        </w:tc>
        <w:tc>
          <w:tcPr>
            <w:tcW w:w="800" w:type="pct"/>
            <w:hideMark/>
          </w:tcPr>
          <w:p w:rsidR="00D836E4" w:rsidRPr="00BB17A1" w:rsidRDefault="007418A0" w:rsidP="00D836E4">
            <w:pPr>
              <w:jc w:val="right"/>
              <w:cnfStyle w:val="000000000000" w:firstRow="0" w:lastRow="0" w:firstColumn="0" w:lastColumn="0" w:oddVBand="0" w:evenVBand="0" w:oddHBand="0" w:evenHBand="0" w:firstRowFirstColumn="0" w:firstRowLastColumn="0" w:lastRowFirstColumn="0" w:lastRowLastColumn="0"/>
              <w:rPr>
                <w:rFonts w:cs="Arial"/>
              </w:rPr>
            </w:pPr>
            <w:r w:rsidRPr="00BB17A1">
              <w:rPr>
                <w:rFonts w:cs="Arial"/>
              </w:rPr>
              <w:t xml:space="preserve">1.463 </w:t>
            </w:r>
          </w:p>
        </w:tc>
      </w:tr>
      <w:tr w:rsidR="00493496" w:rsidTr="001305B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200" w:type="pct"/>
            <w:hideMark/>
          </w:tcPr>
          <w:p w:rsidR="00D836E4" w:rsidRPr="00BB17A1" w:rsidRDefault="007418A0" w:rsidP="00D836E4">
            <w:pPr>
              <w:rPr>
                <w:rFonts w:cs="Arial"/>
                <w:color w:val="000000"/>
              </w:rPr>
            </w:pPr>
            <w:r w:rsidRPr="00BB17A1">
              <w:rPr>
                <w:rFonts w:cs="Arial"/>
                <w:b w:val="0"/>
                <w:color w:val="000000"/>
              </w:rPr>
              <w:t xml:space="preserve">Student Start-Up Loan measure </w:t>
            </w:r>
            <w:r>
              <w:rPr>
                <w:rFonts w:cs="Arial"/>
                <w:b w:val="0"/>
                <w:color w:val="000000"/>
              </w:rPr>
              <w:t>–</w:t>
            </w:r>
            <w:r w:rsidRPr="00BB17A1">
              <w:rPr>
                <w:rFonts w:cs="Arial"/>
                <w:b w:val="0"/>
                <w:color w:val="000000"/>
              </w:rPr>
              <w:t xml:space="preserve"> </w:t>
            </w:r>
            <w:r>
              <w:rPr>
                <w:rFonts w:cs="Arial"/>
                <w:b w:val="0"/>
                <w:color w:val="000000"/>
              </w:rPr>
              <w:t xml:space="preserve">replacing </w:t>
            </w:r>
            <w:r w:rsidRPr="00BB17A1">
              <w:rPr>
                <w:rFonts w:cs="Arial"/>
                <w:b w:val="0"/>
                <w:color w:val="000000"/>
              </w:rPr>
              <w:t>the Student Start-up Scholarship</w:t>
            </w:r>
          </w:p>
        </w:tc>
        <w:tc>
          <w:tcPr>
            <w:tcW w:w="800" w:type="pct"/>
            <w:hideMark/>
          </w:tcPr>
          <w:p w:rsidR="00D836E4" w:rsidRPr="00BB17A1" w:rsidRDefault="007418A0" w:rsidP="00D836E4">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BB17A1">
              <w:rPr>
                <w:rFonts w:cs="Arial"/>
                <w:color w:val="000000"/>
              </w:rPr>
              <w:t>1.436</w:t>
            </w:r>
          </w:p>
        </w:tc>
      </w:tr>
      <w:tr w:rsidR="00493496" w:rsidTr="001305B2">
        <w:trPr>
          <w:trHeight w:val="330"/>
        </w:trPr>
        <w:tc>
          <w:tcPr>
            <w:cnfStyle w:val="001000000000" w:firstRow="0" w:lastRow="0" w:firstColumn="1" w:lastColumn="0" w:oddVBand="0" w:evenVBand="0" w:oddHBand="0" w:evenHBand="0" w:firstRowFirstColumn="0" w:firstRowLastColumn="0" w:lastRowFirstColumn="0" w:lastRowLastColumn="0"/>
            <w:tcW w:w="4200" w:type="pct"/>
            <w:hideMark/>
          </w:tcPr>
          <w:p w:rsidR="00D836E4" w:rsidRPr="00BB17A1" w:rsidRDefault="007418A0" w:rsidP="00D836E4">
            <w:pPr>
              <w:rPr>
                <w:rFonts w:cs="Arial"/>
                <w:color w:val="000000"/>
              </w:rPr>
            </w:pPr>
            <w:r w:rsidRPr="00BB17A1">
              <w:rPr>
                <w:rFonts w:cs="Arial"/>
                <w:b w:val="0"/>
                <w:color w:val="000000"/>
              </w:rPr>
              <w:t>Apply one week ordinary waiting period for all working age payments</w:t>
            </w:r>
          </w:p>
        </w:tc>
        <w:tc>
          <w:tcPr>
            <w:tcW w:w="800" w:type="pct"/>
            <w:hideMark/>
          </w:tcPr>
          <w:p w:rsidR="00D836E4" w:rsidRPr="00BB17A1" w:rsidRDefault="007418A0" w:rsidP="00D836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BB17A1">
              <w:rPr>
                <w:rFonts w:cs="Arial"/>
                <w:color w:val="000000"/>
              </w:rPr>
              <w:t>1.012</w:t>
            </w:r>
          </w:p>
        </w:tc>
      </w:tr>
    </w:tbl>
    <w:p w:rsidR="00D836E4" w:rsidRPr="00D50919" w:rsidRDefault="007418A0" w:rsidP="00D836E4">
      <w:pPr>
        <w:pStyle w:val="Tableheading"/>
        <w:spacing w:before="0"/>
        <w:rPr>
          <w:b w:val="0"/>
          <w:sz w:val="18"/>
        </w:rPr>
      </w:pPr>
      <w:r>
        <w:rPr>
          <w:b w:val="0"/>
          <w:sz w:val="18"/>
        </w:rPr>
        <w:t xml:space="preserve">* </w:t>
      </w:r>
      <w:r w:rsidRPr="00D50919">
        <w:rPr>
          <w:b w:val="0"/>
          <w:sz w:val="18"/>
        </w:rPr>
        <w:t>This table only includes measures which impose a regulatory cost of over $1 million.</w:t>
      </w:r>
    </w:p>
    <w:p w:rsidR="00D836E4" w:rsidRDefault="007418A0" w:rsidP="00D836E4">
      <w:pPr>
        <w:rPr>
          <w:sz w:val="20"/>
          <w:szCs w:val="20"/>
        </w:rPr>
      </w:pPr>
      <w:r>
        <w:br w:type="page"/>
      </w:r>
    </w:p>
    <w:p w:rsidR="00D836E4" w:rsidRPr="00D50919" w:rsidRDefault="007418A0" w:rsidP="00D836E4">
      <w:pPr>
        <w:pStyle w:val="Tableheading"/>
        <w:spacing w:after="0"/>
      </w:pPr>
      <w:r>
        <w:lastRenderedPageBreak/>
        <w:t>Table 1B:</w:t>
      </w:r>
      <w:r w:rsidRPr="00D50919">
        <w:t xml:space="preserve"> Summary of key deregulatory savings reported or announced between </w:t>
      </w:r>
      <w:r>
        <w:br/>
      </w:r>
      <w:r w:rsidRPr="00D50919">
        <w:t xml:space="preserve">September 2013 and 31 December 2014 </w:t>
      </w:r>
    </w:p>
    <w:tbl>
      <w:tblPr>
        <w:tblStyle w:val="LightList-Accent2"/>
        <w:tblW w:w="5000" w:type="pct"/>
        <w:tblBorders>
          <w:insideH w:val="single" w:sz="8" w:space="0" w:color="78BE20" w:themeColor="accent2"/>
          <w:insideV w:val="single" w:sz="8" w:space="0" w:color="78BE20" w:themeColor="accent2"/>
        </w:tblBorders>
        <w:tblLook w:val="04A0" w:firstRow="1" w:lastRow="0" w:firstColumn="1" w:lastColumn="0" w:noHBand="0" w:noVBand="1"/>
        <w:tblCaption w:val="Table 1B: Summary of key deregulatory savings reported or announced between "/>
      </w:tblPr>
      <w:tblGrid>
        <w:gridCol w:w="7854"/>
        <w:gridCol w:w="1388"/>
      </w:tblGrid>
      <w:tr w:rsidR="001305B2" w:rsidTr="00A41578">
        <w:trPr>
          <w:cnfStyle w:val="100000000000" w:firstRow="1" w:lastRow="0" w:firstColumn="0" w:lastColumn="0" w:oddVBand="0" w:evenVBand="0" w:oddHBand="0" w:evenHBand="0" w:firstRowFirstColumn="0" w:firstRowLastColumn="0" w:lastRowFirstColumn="0" w:lastRowLastColumn="0"/>
          <w:trHeight w:val="1180"/>
          <w:tblHeader/>
        </w:trPr>
        <w:tc>
          <w:tcPr>
            <w:cnfStyle w:val="001000000000" w:firstRow="0" w:lastRow="0" w:firstColumn="1" w:lastColumn="0" w:oddVBand="0" w:evenVBand="0" w:oddHBand="0" w:evenHBand="0" w:firstRowFirstColumn="0" w:firstRowLastColumn="0" w:lastRowFirstColumn="0" w:lastRowLastColumn="0"/>
            <w:tcW w:w="4249" w:type="pct"/>
            <w:shd w:val="clear" w:color="auto" w:fill="DAEDB8" w:themeFill="accent6" w:themeFillTint="99"/>
            <w:noWrap/>
            <w:hideMark/>
          </w:tcPr>
          <w:p w:rsidR="001305B2" w:rsidRPr="00EB146C" w:rsidRDefault="001305B2" w:rsidP="00D836E4">
            <w:pPr>
              <w:rPr>
                <w:rFonts w:cs="Arial"/>
                <w:color w:val="auto"/>
                <w:szCs w:val="18"/>
              </w:rPr>
            </w:pPr>
            <w:r w:rsidRPr="00EB146C">
              <w:rPr>
                <w:rFonts w:cs="Arial"/>
                <w:color w:val="auto"/>
                <w:szCs w:val="18"/>
              </w:rPr>
              <w:t>KEY MEASURES*</w:t>
            </w:r>
          </w:p>
        </w:tc>
        <w:tc>
          <w:tcPr>
            <w:tcW w:w="751" w:type="pct"/>
            <w:shd w:val="clear" w:color="auto" w:fill="DAEDB8" w:themeFill="accent6" w:themeFillTint="99"/>
            <w:noWrap/>
            <w:hideMark/>
          </w:tcPr>
          <w:p w:rsidR="001305B2" w:rsidRPr="001305B2" w:rsidRDefault="001305B2" w:rsidP="00D836E4">
            <w:pPr>
              <w:cnfStyle w:val="100000000000" w:firstRow="1" w:lastRow="0" w:firstColumn="0" w:lastColumn="0" w:oddVBand="0" w:evenVBand="0" w:oddHBand="0" w:evenHBand="0" w:firstRowFirstColumn="0" w:firstRowLastColumn="0" w:lastRowFirstColumn="0" w:lastRowLastColumn="0"/>
              <w:rPr>
                <w:rFonts w:cs="Arial"/>
                <w:b w:val="0"/>
                <w:bCs w:val="0"/>
                <w:color w:val="auto"/>
                <w:szCs w:val="18"/>
              </w:rPr>
            </w:pPr>
            <w:r w:rsidRPr="001305B2">
              <w:rPr>
                <w:rFonts w:cs="Arial"/>
                <w:color w:val="auto"/>
                <w:szCs w:val="18"/>
              </w:rPr>
              <w:t>Reported</w:t>
            </w:r>
          </w:p>
          <w:p w:rsidR="001305B2" w:rsidRPr="001305B2" w:rsidRDefault="001305B2" w:rsidP="00D836E4">
            <w:pPr>
              <w:cnfStyle w:val="100000000000" w:firstRow="1" w:lastRow="0" w:firstColumn="0" w:lastColumn="0" w:oddVBand="0" w:evenVBand="0" w:oddHBand="0" w:evenHBand="0" w:firstRowFirstColumn="0" w:firstRowLastColumn="0" w:lastRowFirstColumn="0" w:lastRowLastColumn="0"/>
              <w:rPr>
                <w:rFonts w:cs="Arial"/>
                <w:color w:val="auto"/>
                <w:szCs w:val="18"/>
              </w:rPr>
            </w:pPr>
            <w:r w:rsidRPr="001305B2">
              <w:rPr>
                <w:rFonts w:cs="Arial"/>
                <w:color w:val="auto"/>
                <w:szCs w:val="18"/>
              </w:rPr>
              <w:t>($ million)</w:t>
            </w:r>
          </w:p>
        </w:tc>
      </w:tr>
      <w:tr w:rsidR="00493496" w:rsidTr="00EB14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9" w:type="pct"/>
          </w:tcPr>
          <w:p w:rsidR="00D836E4" w:rsidRPr="0071628B" w:rsidRDefault="007418A0" w:rsidP="00D836E4">
            <w:pPr>
              <w:rPr>
                <w:rFonts w:cs="Arial"/>
                <w:szCs w:val="18"/>
              </w:rPr>
            </w:pPr>
            <w:r w:rsidRPr="0071628B">
              <w:rPr>
                <w:rFonts w:cs="Arial"/>
                <w:b w:val="0"/>
                <w:szCs w:val="18"/>
              </w:rPr>
              <w:t>Implementing reforms to support responsible gambling</w:t>
            </w:r>
          </w:p>
        </w:tc>
        <w:tc>
          <w:tcPr>
            <w:tcW w:w="751" w:type="pct"/>
          </w:tcPr>
          <w:p w:rsidR="00D836E4" w:rsidRPr="007846B0" w:rsidRDefault="007418A0" w:rsidP="00D836E4">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7846B0">
              <w:rPr>
                <w:rFonts w:cs="Arial"/>
                <w:szCs w:val="18"/>
              </w:rPr>
              <w:t>82.306</w:t>
            </w:r>
          </w:p>
        </w:tc>
      </w:tr>
      <w:tr w:rsidR="00493496" w:rsidTr="00EB146C">
        <w:trPr>
          <w:trHeight w:val="300"/>
        </w:trPr>
        <w:tc>
          <w:tcPr>
            <w:cnfStyle w:val="001000000000" w:firstRow="0" w:lastRow="0" w:firstColumn="1" w:lastColumn="0" w:oddVBand="0" w:evenVBand="0" w:oddHBand="0" w:evenHBand="0" w:firstRowFirstColumn="0" w:firstRowLastColumn="0" w:lastRowFirstColumn="0" w:lastRowLastColumn="0"/>
            <w:tcW w:w="4249" w:type="pct"/>
          </w:tcPr>
          <w:p w:rsidR="00D836E4" w:rsidRPr="0071628B" w:rsidRDefault="007418A0" w:rsidP="00D836E4">
            <w:pPr>
              <w:rPr>
                <w:rFonts w:cs="Arial"/>
                <w:szCs w:val="18"/>
              </w:rPr>
            </w:pPr>
            <w:r w:rsidRPr="0071628B">
              <w:rPr>
                <w:rFonts w:cs="Arial"/>
                <w:b w:val="0"/>
                <w:szCs w:val="18"/>
              </w:rPr>
              <w:t xml:space="preserve">Progress election commitment to remove mandatory employer role as paymaster of the Paid Parental Leave Scheme </w:t>
            </w:r>
          </w:p>
        </w:tc>
        <w:tc>
          <w:tcPr>
            <w:tcW w:w="751" w:type="pct"/>
          </w:tcPr>
          <w:p w:rsidR="00D836E4" w:rsidRPr="007846B0" w:rsidRDefault="007418A0" w:rsidP="00D836E4">
            <w:pPr>
              <w:jc w:val="right"/>
              <w:cnfStyle w:val="000000000000" w:firstRow="0" w:lastRow="0" w:firstColumn="0" w:lastColumn="0" w:oddVBand="0" w:evenVBand="0" w:oddHBand="0" w:evenHBand="0" w:firstRowFirstColumn="0" w:firstRowLastColumn="0" w:lastRowFirstColumn="0" w:lastRowLastColumn="0"/>
              <w:rPr>
                <w:rFonts w:cs="Arial"/>
                <w:szCs w:val="18"/>
              </w:rPr>
            </w:pPr>
            <w:r w:rsidRPr="007846B0">
              <w:rPr>
                <w:rFonts w:cs="Arial"/>
                <w:szCs w:val="18"/>
              </w:rPr>
              <w:t>48.539</w:t>
            </w:r>
          </w:p>
        </w:tc>
      </w:tr>
      <w:tr w:rsidR="00493496" w:rsidTr="00EB14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9" w:type="pct"/>
          </w:tcPr>
          <w:p w:rsidR="00D836E4" w:rsidRPr="0071628B" w:rsidRDefault="007418A0" w:rsidP="00D836E4">
            <w:pPr>
              <w:rPr>
                <w:rFonts w:cs="Arial"/>
                <w:szCs w:val="18"/>
              </w:rPr>
            </w:pPr>
            <w:r w:rsidRPr="0071628B">
              <w:rPr>
                <w:rFonts w:cs="Arial"/>
                <w:b w:val="0"/>
                <w:szCs w:val="18"/>
              </w:rPr>
              <w:t>Abolishment of the Schoolkids Bonus</w:t>
            </w:r>
          </w:p>
        </w:tc>
        <w:tc>
          <w:tcPr>
            <w:tcW w:w="751" w:type="pct"/>
          </w:tcPr>
          <w:p w:rsidR="00D836E4" w:rsidRPr="007846B0" w:rsidRDefault="007418A0" w:rsidP="00D836E4">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7846B0">
              <w:rPr>
                <w:rFonts w:cs="Arial"/>
                <w:szCs w:val="18"/>
              </w:rPr>
              <w:t>8.100</w:t>
            </w:r>
          </w:p>
        </w:tc>
      </w:tr>
      <w:tr w:rsidR="00493496" w:rsidTr="00EB146C">
        <w:trPr>
          <w:trHeight w:val="300"/>
        </w:trPr>
        <w:tc>
          <w:tcPr>
            <w:cnfStyle w:val="001000000000" w:firstRow="0" w:lastRow="0" w:firstColumn="1" w:lastColumn="0" w:oddVBand="0" w:evenVBand="0" w:oddHBand="0" w:evenHBand="0" w:firstRowFirstColumn="0" w:firstRowLastColumn="0" w:lastRowFirstColumn="0" w:lastRowLastColumn="0"/>
            <w:tcW w:w="4249" w:type="pct"/>
          </w:tcPr>
          <w:p w:rsidR="00D836E4" w:rsidRPr="0071628B" w:rsidRDefault="007418A0" w:rsidP="00D836E4">
            <w:pPr>
              <w:rPr>
                <w:rFonts w:cs="Arial"/>
                <w:szCs w:val="18"/>
              </w:rPr>
            </w:pPr>
            <w:r w:rsidRPr="0071628B">
              <w:rPr>
                <w:rFonts w:cs="Arial"/>
                <w:b w:val="0"/>
                <w:szCs w:val="18"/>
              </w:rPr>
              <w:t>Streamlining reporting requirements for Disability Employment Services</w:t>
            </w:r>
          </w:p>
        </w:tc>
        <w:tc>
          <w:tcPr>
            <w:tcW w:w="751" w:type="pct"/>
          </w:tcPr>
          <w:p w:rsidR="00D836E4" w:rsidRPr="007846B0" w:rsidRDefault="007418A0" w:rsidP="00D836E4">
            <w:pPr>
              <w:jc w:val="right"/>
              <w:cnfStyle w:val="000000000000" w:firstRow="0" w:lastRow="0" w:firstColumn="0" w:lastColumn="0" w:oddVBand="0" w:evenVBand="0" w:oddHBand="0" w:evenHBand="0" w:firstRowFirstColumn="0" w:firstRowLastColumn="0" w:lastRowFirstColumn="0" w:lastRowLastColumn="0"/>
              <w:rPr>
                <w:rFonts w:cs="Arial"/>
                <w:szCs w:val="18"/>
              </w:rPr>
            </w:pPr>
            <w:r w:rsidRPr="007846B0">
              <w:rPr>
                <w:rFonts w:cs="Arial"/>
                <w:szCs w:val="18"/>
              </w:rPr>
              <w:t>7.404</w:t>
            </w:r>
          </w:p>
        </w:tc>
      </w:tr>
      <w:tr w:rsidR="00493496" w:rsidTr="00EB14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9" w:type="pct"/>
          </w:tcPr>
          <w:p w:rsidR="00D836E4" w:rsidRPr="0071628B" w:rsidRDefault="007418A0" w:rsidP="00D836E4">
            <w:pPr>
              <w:rPr>
                <w:rFonts w:cs="Arial"/>
                <w:szCs w:val="18"/>
              </w:rPr>
            </w:pPr>
            <w:r w:rsidRPr="0071628B">
              <w:rPr>
                <w:rFonts w:cs="Arial"/>
                <w:b w:val="0"/>
                <w:szCs w:val="18"/>
              </w:rPr>
              <w:t>Disability Employment Services – further red tape reduction measures</w:t>
            </w:r>
          </w:p>
        </w:tc>
        <w:tc>
          <w:tcPr>
            <w:tcW w:w="751" w:type="pct"/>
          </w:tcPr>
          <w:p w:rsidR="00D836E4" w:rsidRPr="007846B0" w:rsidRDefault="007418A0" w:rsidP="00D836E4">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7846B0">
              <w:rPr>
                <w:rFonts w:cs="Arial"/>
                <w:szCs w:val="18"/>
              </w:rPr>
              <w:t>5.574</w:t>
            </w:r>
          </w:p>
        </w:tc>
      </w:tr>
      <w:tr w:rsidR="00493496" w:rsidTr="00EB146C">
        <w:trPr>
          <w:trHeight w:val="300"/>
        </w:trPr>
        <w:tc>
          <w:tcPr>
            <w:cnfStyle w:val="001000000000" w:firstRow="0" w:lastRow="0" w:firstColumn="1" w:lastColumn="0" w:oddVBand="0" w:evenVBand="0" w:oddHBand="0" w:evenHBand="0" w:firstRowFirstColumn="0" w:firstRowLastColumn="0" w:lastRowFirstColumn="0" w:lastRowLastColumn="0"/>
            <w:tcW w:w="4249" w:type="pct"/>
          </w:tcPr>
          <w:p w:rsidR="00D836E4" w:rsidRPr="0071628B" w:rsidRDefault="007418A0" w:rsidP="00D836E4">
            <w:pPr>
              <w:rPr>
                <w:rFonts w:cs="Arial"/>
                <w:szCs w:val="18"/>
              </w:rPr>
            </w:pPr>
            <w:r w:rsidRPr="0071628B">
              <w:rPr>
                <w:rFonts w:cs="Arial"/>
                <w:b w:val="0"/>
                <w:szCs w:val="18"/>
              </w:rPr>
              <w:t>Streamlining financial reporting requirements for service providers under the Home Care Programme</w:t>
            </w:r>
          </w:p>
        </w:tc>
        <w:tc>
          <w:tcPr>
            <w:tcW w:w="751" w:type="pct"/>
          </w:tcPr>
          <w:p w:rsidR="00D836E4" w:rsidRPr="007846B0" w:rsidRDefault="007418A0" w:rsidP="00D836E4">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4.388</w:t>
            </w:r>
          </w:p>
        </w:tc>
      </w:tr>
      <w:tr w:rsidR="00493496" w:rsidTr="00EB14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9" w:type="pct"/>
          </w:tcPr>
          <w:p w:rsidR="00D836E4" w:rsidRPr="0071628B" w:rsidRDefault="007418A0" w:rsidP="00D836E4">
            <w:pPr>
              <w:rPr>
                <w:rFonts w:cs="Arial"/>
                <w:szCs w:val="18"/>
              </w:rPr>
            </w:pPr>
            <w:r w:rsidRPr="0071628B">
              <w:rPr>
                <w:rFonts w:cs="Arial"/>
                <w:b w:val="0"/>
                <w:szCs w:val="18"/>
              </w:rPr>
              <w:t>Reduced administrative burden for investors in the National Rental Affordability Scheme through online solutions</w:t>
            </w:r>
          </w:p>
        </w:tc>
        <w:tc>
          <w:tcPr>
            <w:tcW w:w="751" w:type="pct"/>
          </w:tcPr>
          <w:p w:rsidR="00D836E4" w:rsidRPr="007846B0" w:rsidRDefault="007418A0" w:rsidP="00D836E4">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7846B0">
              <w:rPr>
                <w:rFonts w:cs="Arial"/>
                <w:szCs w:val="18"/>
              </w:rPr>
              <w:t>3.628</w:t>
            </w:r>
          </w:p>
        </w:tc>
      </w:tr>
      <w:tr w:rsidR="00493496" w:rsidTr="00EB146C">
        <w:trPr>
          <w:trHeight w:val="300"/>
        </w:trPr>
        <w:tc>
          <w:tcPr>
            <w:cnfStyle w:val="001000000000" w:firstRow="0" w:lastRow="0" w:firstColumn="1" w:lastColumn="0" w:oddVBand="0" w:evenVBand="0" w:oddHBand="0" w:evenHBand="0" w:firstRowFirstColumn="0" w:firstRowLastColumn="0" w:lastRowFirstColumn="0" w:lastRowLastColumn="0"/>
            <w:tcW w:w="4249" w:type="pct"/>
          </w:tcPr>
          <w:p w:rsidR="00D836E4" w:rsidRPr="0071628B" w:rsidRDefault="007418A0" w:rsidP="00D836E4">
            <w:pPr>
              <w:rPr>
                <w:rFonts w:cs="Arial"/>
                <w:szCs w:val="18"/>
              </w:rPr>
            </w:pPr>
            <w:r w:rsidRPr="0071628B">
              <w:rPr>
                <w:rFonts w:cstheme="minorHAnsi"/>
                <w:b w:val="0"/>
              </w:rPr>
              <w:t>Streamlining aged care building certification requirements</w:t>
            </w:r>
          </w:p>
        </w:tc>
        <w:tc>
          <w:tcPr>
            <w:tcW w:w="751" w:type="pct"/>
          </w:tcPr>
          <w:p w:rsidR="00D836E4" w:rsidRPr="007846B0" w:rsidRDefault="007418A0" w:rsidP="00D836E4">
            <w:pPr>
              <w:jc w:val="right"/>
              <w:cnfStyle w:val="000000000000" w:firstRow="0" w:lastRow="0" w:firstColumn="0" w:lastColumn="0" w:oddVBand="0" w:evenVBand="0" w:oddHBand="0" w:evenHBand="0" w:firstRowFirstColumn="0" w:firstRowLastColumn="0" w:lastRowFirstColumn="0" w:lastRowLastColumn="0"/>
              <w:rPr>
                <w:rFonts w:cs="Arial"/>
                <w:szCs w:val="18"/>
              </w:rPr>
            </w:pPr>
            <w:r w:rsidRPr="007846B0">
              <w:rPr>
                <w:rFonts w:cs="Arial"/>
                <w:szCs w:val="18"/>
              </w:rPr>
              <w:t>3.587</w:t>
            </w:r>
          </w:p>
        </w:tc>
      </w:tr>
      <w:tr w:rsidR="00493496" w:rsidTr="00EB14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9" w:type="pct"/>
          </w:tcPr>
          <w:p w:rsidR="00D836E4" w:rsidRPr="0071628B" w:rsidRDefault="007418A0" w:rsidP="00D836E4">
            <w:pPr>
              <w:rPr>
                <w:rFonts w:cs="Arial"/>
                <w:szCs w:val="18"/>
              </w:rPr>
            </w:pPr>
            <w:r w:rsidRPr="0071628B">
              <w:rPr>
                <w:rFonts w:cs="Arial"/>
                <w:b w:val="0"/>
                <w:szCs w:val="18"/>
              </w:rPr>
              <w:t>Better targeting of Family Tax Benefit Part B by reducing the primary earner income limit from $150,000 per annum to $100,000 per annum</w:t>
            </w:r>
          </w:p>
        </w:tc>
        <w:tc>
          <w:tcPr>
            <w:tcW w:w="751" w:type="pct"/>
          </w:tcPr>
          <w:p w:rsidR="00D836E4" w:rsidRPr="001E484A" w:rsidRDefault="007418A0" w:rsidP="00D836E4">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1E484A">
              <w:rPr>
                <w:rFonts w:cs="Arial"/>
                <w:szCs w:val="18"/>
              </w:rPr>
              <w:t>2.733</w:t>
            </w:r>
          </w:p>
        </w:tc>
      </w:tr>
      <w:tr w:rsidR="00493496" w:rsidTr="00EB146C">
        <w:trPr>
          <w:trHeight w:val="300"/>
        </w:trPr>
        <w:tc>
          <w:tcPr>
            <w:cnfStyle w:val="001000000000" w:firstRow="0" w:lastRow="0" w:firstColumn="1" w:lastColumn="0" w:oddVBand="0" w:evenVBand="0" w:oddHBand="0" w:evenHBand="0" w:firstRowFirstColumn="0" w:firstRowLastColumn="0" w:lastRowFirstColumn="0" w:lastRowLastColumn="0"/>
            <w:tcW w:w="4249" w:type="pct"/>
          </w:tcPr>
          <w:p w:rsidR="00D836E4" w:rsidRPr="0071628B" w:rsidRDefault="007418A0" w:rsidP="00D836E4">
            <w:pPr>
              <w:rPr>
                <w:rFonts w:cs="Arial"/>
                <w:szCs w:val="18"/>
              </w:rPr>
            </w:pPr>
            <w:r w:rsidRPr="0071628B">
              <w:rPr>
                <w:rFonts w:cs="Arial"/>
                <w:b w:val="0"/>
                <w:szCs w:val="18"/>
              </w:rPr>
              <w:t>Cessation of the Aged Care Workforce Supplement</w:t>
            </w:r>
          </w:p>
        </w:tc>
        <w:tc>
          <w:tcPr>
            <w:tcW w:w="751" w:type="pct"/>
          </w:tcPr>
          <w:p w:rsidR="00D836E4" w:rsidRPr="001E484A" w:rsidRDefault="007418A0" w:rsidP="00D836E4">
            <w:pPr>
              <w:jc w:val="right"/>
              <w:cnfStyle w:val="000000000000" w:firstRow="0" w:lastRow="0" w:firstColumn="0" w:lastColumn="0" w:oddVBand="0" w:evenVBand="0" w:oddHBand="0" w:evenHBand="0" w:firstRowFirstColumn="0" w:firstRowLastColumn="0" w:lastRowFirstColumn="0" w:lastRowLastColumn="0"/>
              <w:rPr>
                <w:rFonts w:cs="Arial"/>
                <w:szCs w:val="18"/>
              </w:rPr>
            </w:pPr>
            <w:r w:rsidRPr="001E484A">
              <w:rPr>
                <w:rFonts w:cs="Arial"/>
                <w:szCs w:val="18"/>
              </w:rPr>
              <w:t>2.587</w:t>
            </w:r>
          </w:p>
        </w:tc>
      </w:tr>
      <w:tr w:rsidR="00493496" w:rsidTr="00EB14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9" w:type="pct"/>
          </w:tcPr>
          <w:p w:rsidR="00D836E4" w:rsidRPr="0071628B" w:rsidRDefault="007418A0" w:rsidP="00D836E4">
            <w:pPr>
              <w:rPr>
                <w:rFonts w:cs="Arial"/>
                <w:szCs w:val="18"/>
              </w:rPr>
            </w:pPr>
            <w:r w:rsidRPr="0071628B">
              <w:rPr>
                <w:rFonts w:cs="Arial"/>
                <w:b w:val="0"/>
                <w:szCs w:val="18"/>
              </w:rPr>
              <w:t>Streamlining of forms for the Aged Care Approvals Round (ACAR)</w:t>
            </w:r>
          </w:p>
        </w:tc>
        <w:tc>
          <w:tcPr>
            <w:tcW w:w="751" w:type="pct"/>
          </w:tcPr>
          <w:p w:rsidR="00D836E4" w:rsidRPr="001E484A" w:rsidRDefault="007418A0" w:rsidP="00D836E4">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1E484A">
              <w:rPr>
                <w:rFonts w:cs="Arial"/>
                <w:szCs w:val="18"/>
              </w:rPr>
              <w:t>2.084</w:t>
            </w:r>
          </w:p>
        </w:tc>
      </w:tr>
    </w:tbl>
    <w:p w:rsidR="00D836E4" w:rsidRPr="00D50919" w:rsidRDefault="007418A0" w:rsidP="00D836E4">
      <w:pPr>
        <w:pStyle w:val="Tableheading"/>
        <w:spacing w:before="0"/>
        <w:rPr>
          <w:b w:val="0"/>
          <w:sz w:val="18"/>
        </w:rPr>
      </w:pPr>
      <w:bookmarkStart w:id="16" w:name="_Toc382330235"/>
      <w:r w:rsidRPr="004309AF">
        <w:rPr>
          <w:b w:val="0"/>
          <w:sz w:val="18"/>
        </w:rPr>
        <w:t>*</w:t>
      </w:r>
      <w:r w:rsidRPr="00D50919">
        <w:rPr>
          <w:b w:val="0"/>
          <w:sz w:val="18"/>
        </w:rPr>
        <w:t xml:space="preserve"> This table </w:t>
      </w:r>
      <w:r>
        <w:rPr>
          <w:b w:val="0"/>
          <w:sz w:val="18"/>
        </w:rPr>
        <w:t xml:space="preserve">only </w:t>
      </w:r>
      <w:r w:rsidRPr="00D50919">
        <w:rPr>
          <w:b w:val="0"/>
          <w:sz w:val="18"/>
        </w:rPr>
        <w:t xml:space="preserve">includes measures which impose a regulatory </w:t>
      </w:r>
      <w:r>
        <w:rPr>
          <w:b w:val="0"/>
          <w:sz w:val="18"/>
        </w:rPr>
        <w:t xml:space="preserve">saving </w:t>
      </w:r>
      <w:r w:rsidRPr="00D50919">
        <w:rPr>
          <w:b w:val="0"/>
          <w:sz w:val="18"/>
        </w:rPr>
        <w:t>of over $</w:t>
      </w:r>
      <w:r>
        <w:rPr>
          <w:b w:val="0"/>
          <w:sz w:val="18"/>
        </w:rPr>
        <w:t>2</w:t>
      </w:r>
      <w:r w:rsidRPr="00D50919">
        <w:rPr>
          <w:b w:val="0"/>
          <w:sz w:val="18"/>
        </w:rPr>
        <w:t xml:space="preserve"> million.</w:t>
      </w:r>
    </w:p>
    <w:p w:rsidR="00D836E4" w:rsidRPr="00106ECF" w:rsidRDefault="00D836E4" w:rsidP="00D836E4">
      <w:pPr>
        <w:rPr>
          <w:b/>
          <w:color w:val="000000" w:themeColor="text1"/>
        </w:rPr>
        <w:sectPr w:rsidR="00D836E4" w:rsidRPr="00106ECF" w:rsidSect="00D836E4">
          <w:headerReference w:type="default" r:id="rId27"/>
          <w:pgSz w:w="11906" w:h="16838"/>
          <w:pgMar w:top="1440" w:right="1440" w:bottom="851" w:left="1440" w:header="709" w:footer="336" w:gutter="0"/>
          <w:cols w:space="708"/>
          <w:docGrid w:linePitch="360"/>
        </w:sectPr>
      </w:pPr>
    </w:p>
    <w:p w:rsidR="00D836E4" w:rsidRPr="00600B21" w:rsidRDefault="007418A0" w:rsidP="00D836E4">
      <w:pPr>
        <w:pStyle w:val="Heading1"/>
      </w:pPr>
      <w:bookmarkStart w:id="17" w:name="_Toc256000045"/>
      <w:bookmarkStart w:id="18" w:name="_Toc256000019"/>
      <w:bookmarkStart w:id="19" w:name="_Toc256000004"/>
      <w:bookmarkStart w:id="20" w:name="_Toc413079646"/>
      <w:bookmarkStart w:id="21" w:name="_Toc382330236"/>
      <w:bookmarkStart w:id="22" w:name="_Toc414443740"/>
      <w:bookmarkEnd w:id="16"/>
      <w:r w:rsidRPr="00600B21">
        <w:lastRenderedPageBreak/>
        <w:t>Regulation Impact Statements</w:t>
      </w:r>
      <w:bookmarkEnd w:id="17"/>
      <w:bookmarkEnd w:id="18"/>
      <w:bookmarkEnd w:id="19"/>
      <w:bookmarkEnd w:id="20"/>
      <w:bookmarkEnd w:id="22"/>
    </w:p>
    <w:p w:rsidR="00D836E4" w:rsidRDefault="007418A0" w:rsidP="00D836E4">
      <w:pPr>
        <w:rPr>
          <w:lang w:val="en-GB"/>
        </w:rPr>
      </w:pPr>
      <w:r>
        <w:rPr>
          <w:lang w:val="en-GB"/>
        </w:rPr>
        <w:t xml:space="preserve">The Department has been found compliant by the Office of Best Practice Regulation (OBPR) </w:t>
      </w:r>
      <w:r w:rsidRPr="004C575C">
        <w:rPr>
          <w:lang w:val="en-GB"/>
        </w:rPr>
        <w:t xml:space="preserve">for its </w:t>
      </w:r>
      <w:r>
        <w:rPr>
          <w:lang w:val="en-GB"/>
        </w:rPr>
        <w:t>Regulation Impact Statement (</w:t>
      </w:r>
      <w:r w:rsidRPr="004C575C">
        <w:rPr>
          <w:lang w:val="en-GB"/>
        </w:rPr>
        <w:t>RIS</w:t>
      </w:r>
      <w:r>
        <w:rPr>
          <w:lang w:val="en-GB"/>
        </w:rPr>
        <w:t>)</w:t>
      </w:r>
      <w:r w:rsidRPr="004C575C">
        <w:rPr>
          <w:lang w:val="en-GB"/>
        </w:rPr>
        <w:t xml:space="preserve"> activity in the </w:t>
      </w:r>
      <w:r>
        <w:rPr>
          <w:lang w:val="en-GB"/>
        </w:rPr>
        <w:br/>
      </w:r>
      <w:r w:rsidRPr="004C575C">
        <w:rPr>
          <w:lang w:val="en-GB"/>
        </w:rPr>
        <w:t>1 July 2013</w:t>
      </w:r>
      <w:r>
        <w:rPr>
          <w:lang w:val="en-GB"/>
        </w:rPr>
        <w:t>–</w:t>
      </w:r>
      <w:r w:rsidRPr="004C575C">
        <w:rPr>
          <w:lang w:val="en-GB"/>
        </w:rPr>
        <w:t>30 June 2014 reporting period</w:t>
      </w:r>
      <w:r>
        <w:rPr>
          <w:lang w:val="en-GB"/>
        </w:rPr>
        <w:t xml:space="preserve">. </w:t>
      </w:r>
      <w:r w:rsidRPr="004C575C">
        <w:rPr>
          <w:lang w:val="en-GB"/>
        </w:rPr>
        <w:t>Three standard-form RISs were completed by the Department in that period for the following measures:</w:t>
      </w:r>
      <w:r>
        <w:rPr>
          <w:lang w:val="en-GB"/>
        </w:rPr>
        <w:t xml:space="preserve"> </w:t>
      </w:r>
    </w:p>
    <w:p w:rsidR="00D836E4" w:rsidRDefault="007418A0" w:rsidP="0038770B">
      <w:pPr>
        <w:pStyle w:val="ListParagraph"/>
        <w:numPr>
          <w:ilvl w:val="0"/>
          <w:numId w:val="10"/>
        </w:numPr>
        <w:spacing w:before="0" w:after="200" w:line="276" w:lineRule="auto"/>
        <w:ind w:hanging="357"/>
        <w:rPr>
          <w:lang w:val="en-GB"/>
        </w:rPr>
      </w:pPr>
      <w:r>
        <w:rPr>
          <w:lang w:val="en-GB"/>
        </w:rPr>
        <w:t>Repeal of the Australian Charities and Not-for-profits Commission</w:t>
      </w:r>
    </w:p>
    <w:p w:rsidR="00D836E4" w:rsidRDefault="007418A0" w:rsidP="0038770B">
      <w:pPr>
        <w:pStyle w:val="ListParagraph"/>
        <w:numPr>
          <w:ilvl w:val="0"/>
          <w:numId w:val="10"/>
        </w:numPr>
        <w:spacing w:before="0" w:after="200" w:line="276" w:lineRule="auto"/>
        <w:ind w:hanging="357"/>
        <w:rPr>
          <w:lang w:val="en-GB"/>
        </w:rPr>
      </w:pPr>
      <w:r>
        <w:rPr>
          <w:lang w:val="en-GB"/>
        </w:rPr>
        <w:t>Regulation of aged care accommodation payments and the simplification of the residential aged care pricing system</w:t>
      </w:r>
    </w:p>
    <w:p w:rsidR="00D836E4" w:rsidRDefault="007418A0" w:rsidP="0038770B">
      <w:pPr>
        <w:pStyle w:val="ListParagraph"/>
        <w:numPr>
          <w:ilvl w:val="0"/>
          <w:numId w:val="10"/>
        </w:numPr>
        <w:spacing w:before="0" w:after="200" w:line="276" w:lineRule="auto"/>
        <w:ind w:hanging="357"/>
        <w:rPr>
          <w:lang w:val="en-GB"/>
        </w:rPr>
      </w:pPr>
      <w:r>
        <w:rPr>
          <w:lang w:val="en-GB"/>
        </w:rPr>
        <w:t xml:space="preserve">Removing the mandatory employer role from the current Paid Parental Leave Scheme. </w:t>
      </w:r>
    </w:p>
    <w:p w:rsidR="00D836E4" w:rsidRPr="00DA1F08" w:rsidRDefault="007418A0" w:rsidP="00D836E4">
      <w:pPr>
        <w:rPr>
          <w:lang w:val="en-GB"/>
        </w:rPr>
      </w:pPr>
      <w:r>
        <w:rPr>
          <w:lang w:val="en-GB"/>
        </w:rPr>
        <w:t xml:space="preserve">For more information on these RISs, go to the </w:t>
      </w:r>
      <w:r w:rsidR="00314E2C" w:rsidRPr="00EB146C">
        <w:t xml:space="preserve">OBPR </w:t>
      </w:r>
      <w:proofErr w:type="spellStart"/>
      <w:r w:rsidR="00314E2C" w:rsidRPr="00EB146C">
        <w:t>websit</w:t>
      </w:r>
      <w:proofErr w:type="spellEnd"/>
      <w:r w:rsidR="00314E2C">
        <w:rPr>
          <w:lang w:val="en-GB"/>
        </w:rPr>
        <w:t>e.</w:t>
      </w:r>
      <w:r w:rsidR="00314E2C">
        <w:rPr>
          <w:rStyle w:val="FootnoteReference"/>
          <w:lang w:val="en-GB"/>
        </w:rPr>
        <w:footnoteReference w:id="1"/>
      </w:r>
      <w:r>
        <w:rPr>
          <w:rStyle w:val="Hyperlink"/>
          <w:sz w:val="24"/>
          <w:lang w:val="en-GB"/>
        </w:rPr>
        <w:t xml:space="preserve"> </w:t>
      </w:r>
    </w:p>
    <w:p w:rsidR="00D836E4" w:rsidRDefault="007418A0" w:rsidP="00D836E4">
      <w:pPr>
        <w:rPr>
          <w:lang w:val="en-GB"/>
        </w:rPr>
      </w:pPr>
      <w:r>
        <w:rPr>
          <w:lang w:val="en-GB"/>
        </w:rPr>
        <w:t xml:space="preserve">For measures announced in 2014 that did not require a RIS, the Department completed self-assessed regulatory </w:t>
      </w:r>
      <w:proofErr w:type="spellStart"/>
      <w:r>
        <w:rPr>
          <w:lang w:val="en-GB"/>
        </w:rPr>
        <w:t>costings</w:t>
      </w:r>
      <w:proofErr w:type="spellEnd"/>
      <w:r>
        <w:rPr>
          <w:lang w:val="en-GB"/>
        </w:rPr>
        <w:t xml:space="preserve"> </w:t>
      </w:r>
      <w:r w:rsidRPr="004C575C">
        <w:rPr>
          <w:lang w:val="en-GB"/>
        </w:rPr>
        <w:t xml:space="preserve">for </w:t>
      </w:r>
      <w:r>
        <w:rPr>
          <w:lang w:val="en-GB"/>
        </w:rPr>
        <w:t xml:space="preserve">each </w:t>
      </w:r>
      <w:r w:rsidRPr="004C575C">
        <w:rPr>
          <w:lang w:val="en-GB"/>
        </w:rPr>
        <w:t>measure</w:t>
      </w:r>
      <w:r>
        <w:rPr>
          <w:lang w:val="en-GB"/>
        </w:rPr>
        <w:t xml:space="preserve">. </w:t>
      </w:r>
    </w:p>
    <w:p w:rsidR="00D836E4" w:rsidRDefault="00D836E4" w:rsidP="00D836E4">
      <w:pPr>
        <w:pStyle w:val="Tableheading"/>
        <w:spacing w:after="0"/>
      </w:pPr>
    </w:p>
    <w:p w:rsidR="00D836E4" w:rsidRPr="00D11AF0" w:rsidRDefault="007418A0" w:rsidP="00D836E4">
      <w:pPr>
        <w:pStyle w:val="Tableheading"/>
        <w:spacing w:after="0"/>
      </w:pPr>
      <w:r w:rsidRPr="00D11AF0">
        <w:t xml:space="preserve">Table </w:t>
      </w:r>
      <w:r>
        <w:t>2</w:t>
      </w:r>
      <w:r w:rsidRPr="00D11AF0">
        <w:t>: Regulation Impact Statement compliance 2014</w:t>
      </w:r>
    </w:p>
    <w:tbl>
      <w:tblPr>
        <w:tblStyle w:val="LightList-Accent2"/>
        <w:tblW w:w="5000" w:type="pct"/>
        <w:jc w:val="center"/>
        <w:tblLook w:val="0000" w:firstRow="0" w:lastRow="0" w:firstColumn="0" w:lastColumn="0" w:noHBand="0" w:noVBand="0"/>
        <w:tblCaption w:val="Table 2: Regulation Impact Statement compliance 2014"/>
      </w:tblPr>
      <w:tblGrid>
        <w:gridCol w:w="4459"/>
        <w:gridCol w:w="1617"/>
        <w:gridCol w:w="1617"/>
        <w:gridCol w:w="1549"/>
      </w:tblGrid>
      <w:tr w:rsidR="00493496" w:rsidTr="00EB146C">
        <w:trPr>
          <w:tblHeader/>
          <w:jc w:val="center"/>
        </w:trPr>
        <w:tc>
          <w:tcPr>
            <w:cnfStyle w:val="000010000000" w:firstRow="0" w:lastRow="0" w:firstColumn="0" w:lastColumn="0" w:oddVBand="1" w:evenVBand="0" w:oddHBand="0" w:evenHBand="0" w:firstRowFirstColumn="0" w:firstRowLastColumn="0" w:lastRowFirstColumn="0" w:lastRowLastColumn="0"/>
            <w:tcW w:w="2412" w:type="pct"/>
            <w:shd w:val="clear" w:color="auto" w:fill="DAEDB8" w:themeFill="accent6" w:themeFillTint="99"/>
          </w:tcPr>
          <w:p w:rsidR="00D836E4" w:rsidRPr="00EB146C" w:rsidRDefault="00D836E4" w:rsidP="00D836E4">
            <w:pPr>
              <w:rPr>
                <w:b/>
              </w:rPr>
            </w:pPr>
          </w:p>
        </w:tc>
        <w:tc>
          <w:tcPr>
            <w:tcW w:w="875" w:type="pct"/>
            <w:shd w:val="clear" w:color="auto" w:fill="DAEDB8" w:themeFill="accent6" w:themeFillTint="99"/>
          </w:tcPr>
          <w:p w:rsidR="00D836E4" w:rsidRPr="00EB146C" w:rsidRDefault="007418A0" w:rsidP="00D836E4">
            <w:pPr>
              <w:cnfStyle w:val="000000000000" w:firstRow="0" w:lastRow="0" w:firstColumn="0" w:lastColumn="0" w:oddVBand="0" w:evenVBand="0" w:oddHBand="0" w:evenHBand="0" w:firstRowFirstColumn="0" w:firstRowLastColumn="0" w:lastRowFirstColumn="0" w:lastRowLastColumn="0"/>
              <w:rPr>
                <w:b/>
              </w:rPr>
            </w:pPr>
            <w:r w:rsidRPr="00EB146C">
              <w:rPr>
                <w:b/>
              </w:rPr>
              <w:t>RIS Compliance</w:t>
            </w:r>
          </w:p>
        </w:tc>
        <w:tc>
          <w:tcPr>
            <w:cnfStyle w:val="000010000000" w:firstRow="0" w:lastRow="0" w:firstColumn="0" w:lastColumn="0" w:oddVBand="1" w:evenVBand="0" w:oddHBand="0" w:evenHBand="0" w:firstRowFirstColumn="0" w:firstRowLastColumn="0" w:lastRowFirstColumn="0" w:lastRowLastColumn="0"/>
            <w:tcW w:w="875" w:type="pct"/>
            <w:shd w:val="clear" w:color="auto" w:fill="DAEDB8" w:themeFill="accent6" w:themeFillTint="99"/>
          </w:tcPr>
          <w:p w:rsidR="00D836E4" w:rsidRPr="00EB146C" w:rsidRDefault="007418A0" w:rsidP="00D836E4">
            <w:pPr>
              <w:rPr>
                <w:b/>
              </w:rPr>
            </w:pPr>
            <w:r w:rsidRPr="00EB146C">
              <w:rPr>
                <w:b/>
              </w:rPr>
              <w:t>PM’s Exemptions</w:t>
            </w:r>
          </w:p>
        </w:tc>
        <w:tc>
          <w:tcPr>
            <w:tcW w:w="838" w:type="pct"/>
            <w:shd w:val="clear" w:color="auto" w:fill="DAEDB8" w:themeFill="accent6" w:themeFillTint="99"/>
          </w:tcPr>
          <w:p w:rsidR="00D836E4" w:rsidRPr="00EB146C" w:rsidRDefault="007418A0" w:rsidP="00D836E4">
            <w:pPr>
              <w:cnfStyle w:val="000000000000" w:firstRow="0" w:lastRow="0" w:firstColumn="0" w:lastColumn="0" w:oddVBand="0" w:evenVBand="0" w:oddHBand="0" w:evenHBand="0" w:firstRowFirstColumn="0" w:firstRowLastColumn="0" w:lastRowFirstColumn="0" w:lastRowLastColumn="0"/>
              <w:rPr>
                <w:b/>
              </w:rPr>
            </w:pPr>
            <w:r w:rsidRPr="00EB146C">
              <w:rPr>
                <w:b/>
              </w:rPr>
              <w:t xml:space="preserve">PIR </w:t>
            </w:r>
            <w:r w:rsidRPr="00EB146C">
              <w:rPr>
                <w:b/>
              </w:rPr>
              <w:br/>
              <w:t>required</w:t>
            </w:r>
          </w:p>
        </w:tc>
      </w:tr>
      <w:tr w:rsidR="00493496" w:rsidTr="00493496">
        <w:trPr>
          <w:cnfStyle w:val="000000100000" w:firstRow="0" w:lastRow="0" w:firstColumn="0" w:lastColumn="0" w:oddVBand="0" w:evenVBand="0" w:oddHBand="1" w:evenHBand="0" w:firstRowFirstColumn="0" w:firstRowLastColumn="0" w:lastRowFirstColumn="0" w:lastRowLastColumn="0"/>
          <w:trHeight w:hRule="exact" w:val="525"/>
          <w:jc w:val="center"/>
        </w:trPr>
        <w:tc>
          <w:tcPr>
            <w:cnfStyle w:val="000010000000" w:firstRow="0" w:lastRow="0" w:firstColumn="0" w:lastColumn="0" w:oddVBand="1" w:evenVBand="0" w:oddHBand="0" w:evenHBand="0" w:firstRowFirstColumn="0" w:firstRowLastColumn="0" w:lastRowFirstColumn="0" w:lastRowLastColumn="0"/>
            <w:tcW w:w="2412" w:type="pct"/>
          </w:tcPr>
          <w:p w:rsidR="00D836E4" w:rsidRPr="00D11AF0" w:rsidRDefault="007418A0" w:rsidP="00D836E4">
            <w:pPr>
              <w:rPr>
                <w:b/>
              </w:rPr>
            </w:pPr>
            <w:r w:rsidRPr="00D11AF0">
              <w:rPr>
                <w:b/>
              </w:rPr>
              <w:t>Department of Social Services Total</w:t>
            </w:r>
          </w:p>
        </w:tc>
        <w:tc>
          <w:tcPr>
            <w:tcW w:w="875" w:type="pct"/>
          </w:tcPr>
          <w:p w:rsidR="00D836E4" w:rsidRPr="000E0956" w:rsidRDefault="007418A0" w:rsidP="00D836E4">
            <w:pP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875" w:type="pct"/>
          </w:tcPr>
          <w:p w:rsidR="00D836E4" w:rsidRPr="000E0956" w:rsidRDefault="007418A0" w:rsidP="00D836E4">
            <w:r>
              <w:t>0</w:t>
            </w:r>
          </w:p>
        </w:tc>
        <w:tc>
          <w:tcPr>
            <w:tcW w:w="838" w:type="pct"/>
          </w:tcPr>
          <w:p w:rsidR="00D836E4" w:rsidRPr="000E0956" w:rsidRDefault="007418A0" w:rsidP="00D836E4">
            <w:pPr>
              <w:cnfStyle w:val="000000100000" w:firstRow="0" w:lastRow="0" w:firstColumn="0" w:lastColumn="0" w:oddVBand="0" w:evenVBand="0" w:oddHBand="1" w:evenHBand="0" w:firstRowFirstColumn="0" w:firstRowLastColumn="0" w:lastRowFirstColumn="0" w:lastRowLastColumn="0"/>
            </w:pPr>
            <w:r>
              <w:t>0</w:t>
            </w:r>
          </w:p>
        </w:tc>
      </w:tr>
    </w:tbl>
    <w:p w:rsidR="00D836E4" w:rsidRDefault="00D836E4" w:rsidP="00D836E4">
      <w:pPr>
        <w:pStyle w:val="Tableheading"/>
        <w:rPr>
          <w:b w:val="0"/>
        </w:rPr>
      </w:pPr>
    </w:p>
    <w:p w:rsidR="00D836E4" w:rsidRPr="00BB17A1" w:rsidRDefault="007418A0" w:rsidP="00D836E4">
      <w:pPr>
        <w:pStyle w:val="Tableheading"/>
        <w:rPr>
          <w:b w:val="0"/>
        </w:rPr>
      </w:pPr>
      <w:r>
        <w:rPr>
          <w:b w:val="0"/>
        </w:rPr>
        <w:br w:type="page"/>
      </w:r>
    </w:p>
    <w:bookmarkEnd w:id="21"/>
    <w:p w:rsidR="00D836E4" w:rsidRDefault="00D836E4" w:rsidP="00D836E4">
      <w:pPr>
        <w:pStyle w:val="Heading1"/>
        <w:sectPr w:rsidR="00D836E4" w:rsidSect="00D836E4">
          <w:headerReference w:type="default" r:id="rId28"/>
          <w:pgSz w:w="11906" w:h="16838"/>
          <w:pgMar w:top="1440" w:right="1440" w:bottom="851" w:left="1440" w:header="709" w:footer="291" w:gutter="0"/>
          <w:cols w:space="708"/>
          <w:docGrid w:linePitch="360"/>
        </w:sectPr>
      </w:pPr>
    </w:p>
    <w:p w:rsidR="00D836E4" w:rsidRDefault="007418A0" w:rsidP="00D836E4">
      <w:pPr>
        <w:pStyle w:val="Heading1"/>
      </w:pPr>
      <w:bookmarkStart w:id="23" w:name="_Toc256000049"/>
      <w:bookmarkStart w:id="24" w:name="_Toc256000023"/>
      <w:bookmarkStart w:id="25" w:name="_Toc256000006"/>
      <w:bookmarkStart w:id="26" w:name="_Toc413079647"/>
      <w:bookmarkStart w:id="27" w:name="_Toc414443741"/>
      <w:r>
        <w:lastRenderedPageBreak/>
        <w:t>Portfolio activity supporting the Government’s red tape objective</w:t>
      </w:r>
      <w:bookmarkEnd w:id="23"/>
      <w:bookmarkEnd w:id="24"/>
      <w:bookmarkEnd w:id="25"/>
      <w:bookmarkEnd w:id="26"/>
      <w:bookmarkEnd w:id="27"/>
    </w:p>
    <w:p w:rsidR="00D836E4" w:rsidRPr="00FE6662" w:rsidRDefault="007418A0" w:rsidP="00D836E4">
      <w:pPr>
        <w:pStyle w:val="Heading2"/>
      </w:pPr>
      <w:bookmarkStart w:id="28" w:name="_Toc256000051"/>
      <w:bookmarkStart w:id="29" w:name="_Toc256000025"/>
      <w:bookmarkStart w:id="30" w:name="_Toc256000007"/>
      <w:bookmarkStart w:id="31" w:name="_Toc413079648"/>
      <w:bookmarkStart w:id="32" w:name="_Toc414443742"/>
      <w:r w:rsidRPr="00FE6662">
        <w:t>Deregulation Unit</w:t>
      </w:r>
      <w:bookmarkEnd w:id="28"/>
      <w:bookmarkEnd w:id="29"/>
      <w:bookmarkEnd w:id="30"/>
      <w:bookmarkEnd w:id="31"/>
      <w:bookmarkEnd w:id="32"/>
    </w:p>
    <w:p w:rsidR="00D836E4" w:rsidRDefault="007418A0" w:rsidP="00D836E4">
      <w:r>
        <w:rPr>
          <w:lang w:val="en-GB"/>
        </w:rPr>
        <w:t>In October 2013, t</w:t>
      </w:r>
      <w:r w:rsidRPr="00077A52">
        <w:rPr>
          <w:lang w:val="en-GB"/>
        </w:rPr>
        <w:t xml:space="preserve">he Department established its Deregulation </w:t>
      </w:r>
      <w:r>
        <w:rPr>
          <w:lang w:val="en-GB"/>
        </w:rPr>
        <w:t>Unit under the direction of a Senior Executive Service (SES) Band 1 officer</w:t>
      </w:r>
      <w:r w:rsidRPr="00077A52">
        <w:rPr>
          <w:lang w:val="en-GB"/>
        </w:rPr>
        <w:t xml:space="preserve">, with </w:t>
      </w:r>
      <w:r>
        <w:rPr>
          <w:lang w:val="en-GB"/>
        </w:rPr>
        <w:t>6</w:t>
      </w:r>
      <w:r w:rsidRPr="00077A52">
        <w:rPr>
          <w:lang w:val="en-GB"/>
        </w:rPr>
        <w:t xml:space="preserve">.5 </w:t>
      </w:r>
      <w:r>
        <w:rPr>
          <w:lang w:val="en-GB"/>
        </w:rPr>
        <w:t xml:space="preserve">additional </w:t>
      </w:r>
      <w:r w:rsidRPr="00077A52">
        <w:rPr>
          <w:lang w:val="en-GB"/>
        </w:rPr>
        <w:t>f</w:t>
      </w:r>
      <w:r>
        <w:rPr>
          <w:lang w:val="en-GB"/>
        </w:rPr>
        <w:t xml:space="preserve">ull-time equivalent (FTE) staff. </w:t>
      </w:r>
    </w:p>
    <w:p w:rsidR="00D836E4" w:rsidRDefault="007418A0" w:rsidP="00D836E4">
      <w:r>
        <w:t>The Deregulation Unit is responsible for:</w:t>
      </w:r>
    </w:p>
    <w:p w:rsidR="00D836E4" w:rsidRPr="00684339" w:rsidRDefault="007418A0" w:rsidP="0038770B">
      <w:pPr>
        <w:pStyle w:val="ListParagraph"/>
        <w:numPr>
          <w:ilvl w:val="0"/>
          <w:numId w:val="9"/>
        </w:numPr>
        <w:spacing w:before="0" w:after="200" w:line="276" w:lineRule="auto"/>
        <w:rPr>
          <w:lang w:val="en-GB"/>
        </w:rPr>
      </w:pPr>
      <w:r w:rsidRPr="00684339">
        <w:rPr>
          <w:lang w:val="en-GB"/>
        </w:rPr>
        <w:t xml:space="preserve">tracking the Department’s progress </w:t>
      </w:r>
      <w:r>
        <w:rPr>
          <w:lang w:val="en-GB"/>
        </w:rPr>
        <w:t>against</w:t>
      </w:r>
      <w:r w:rsidRPr="00684339">
        <w:rPr>
          <w:lang w:val="en-GB"/>
        </w:rPr>
        <w:t xml:space="preserve"> </w:t>
      </w:r>
      <w:r>
        <w:rPr>
          <w:lang w:val="en-GB"/>
        </w:rPr>
        <w:t>its</w:t>
      </w:r>
      <w:r w:rsidRPr="00684339">
        <w:rPr>
          <w:lang w:val="en-GB"/>
        </w:rPr>
        <w:t xml:space="preserve"> regulatory savings target and supporting the delivery </w:t>
      </w:r>
      <w:r>
        <w:rPr>
          <w:lang w:val="en-GB"/>
        </w:rPr>
        <w:t>of additional savings measures</w:t>
      </w:r>
    </w:p>
    <w:p w:rsidR="00D836E4" w:rsidRPr="00684339" w:rsidRDefault="007418A0" w:rsidP="0038770B">
      <w:pPr>
        <w:pStyle w:val="ListParagraph"/>
        <w:numPr>
          <w:ilvl w:val="0"/>
          <w:numId w:val="9"/>
        </w:numPr>
        <w:spacing w:before="0" w:after="200" w:line="276" w:lineRule="auto"/>
        <w:rPr>
          <w:lang w:val="en-GB"/>
        </w:rPr>
      </w:pPr>
      <w:r w:rsidRPr="00684339">
        <w:rPr>
          <w:lang w:val="en-GB"/>
        </w:rPr>
        <w:t xml:space="preserve">providing support to </w:t>
      </w:r>
      <w:r>
        <w:rPr>
          <w:lang w:val="en-GB"/>
        </w:rPr>
        <w:t>the Department</w:t>
      </w:r>
      <w:r w:rsidRPr="00684339">
        <w:rPr>
          <w:lang w:val="en-GB"/>
        </w:rPr>
        <w:t xml:space="preserve"> in tracking </w:t>
      </w:r>
      <w:r>
        <w:rPr>
          <w:lang w:val="en-GB"/>
        </w:rPr>
        <w:t>regulatory impacts and</w:t>
      </w:r>
      <w:r w:rsidRPr="00684339">
        <w:rPr>
          <w:lang w:val="en-GB"/>
        </w:rPr>
        <w:t xml:space="preserve"> complying with Regulation Impact Statement requirements </w:t>
      </w:r>
    </w:p>
    <w:p w:rsidR="00D836E4" w:rsidRPr="00684339" w:rsidRDefault="007418A0" w:rsidP="0038770B">
      <w:pPr>
        <w:pStyle w:val="ListParagraph"/>
        <w:numPr>
          <w:ilvl w:val="0"/>
          <w:numId w:val="9"/>
        </w:numPr>
        <w:spacing w:before="0" w:after="200" w:line="276" w:lineRule="auto"/>
        <w:rPr>
          <w:lang w:val="en-GB"/>
        </w:rPr>
      </w:pPr>
      <w:proofErr w:type="gramStart"/>
      <w:r w:rsidRPr="00684339">
        <w:rPr>
          <w:lang w:val="en-GB"/>
        </w:rPr>
        <w:t>driving</w:t>
      </w:r>
      <w:proofErr w:type="gramEnd"/>
      <w:r w:rsidRPr="00684339">
        <w:rPr>
          <w:lang w:val="en-GB"/>
        </w:rPr>
        <w:t xml:space="preserve"> a significant shift in the culture and practices of staff, focused on risk-based approaches to policy and program design, and pro</w:t>
      </w:r>
      <w:r>
        <w:rPr>
          <w:lang w:val="en-GB"/>
        </w:rPr>
        <w:t>portional regulatory treatments.</w:t>
      </w:r>
    </w:p>
    <w:p w:rsidR="00D836E4" w:rsidRPr="00FE6662" w:rsidRDefault="007418A0" w:rsidP="00D836E4">
      <w:pPr>
        <w:pStyle w:val="Heading2"/>
      </w:pPr>
      <w:bookmarkStart w:id="33" w:name="_Toc256000054"/>
      <w:bookmarkStart w:id="34" w:name="_Toc256000028"/>
      <w:bookmarkStart w:id="35" w:name="_Toc256000008"/>
      <w:bookmarkStart w:id="36" w:name="_Toc413079649"/>
      <w:bookmarkStart w:id="37" w:name="_Toc414443743"/>
      <w:r w:rsidRPr="00FE6662">
        <w:t>Ministerial Advisory Councils</w:t>
      </w:r>
      <w:bookmarkEnd w:id="33"/>
      <w:bookmarkEnd w:id="34"/>
      <w:bookmarkEnd w:id="35"/>
      <w:bookmarkEnd w:id="36"/>
      <w:bookmarkEnd w:id="37"/>
    </w:p>
    <w:p w:rsidR="00D836E4" w:rsidRDefault="007418A0" w:rsidP="00D836E4">
      <w:pPr>
        <w:rPr>
          <w:rFonts w:cs="Arial"/>
        </w:rPr>
      </w:pPr>
      <w:r>
        <w:rPr>
          <w:rFonts w:cs="Arial"/>
        </w:rPr>
        <w:t>In preference to establishing a new Ministerial Advisory Council on deregulation, t</w:t>
      </w:r>
      <w:r w:rsidRPr="003C7E17">
        <w:rPr>
          <w:rFonts w:cs="Arial"/>
        </w:rPr>
        <w:t xml:space="preserve">he </w:t>
      </w:r>
      <w:r>
        <w:rPr>
          <w:rFonts w:cs="Arial"/>
        </w:rPr>
        <w:t xml:space="preserve">former Minister for Social Services, the Hon Kevin Andrews MP, chose to </w:t>
      </w:r>
      <w:r w:rsidRPr="003C7E17">
        <w:rPr>
          <w:rFonts w:cs="Arial"/>
        </w:rPr>
        <w:t>us</w:t>
      </w:r>
      <w:r>
        <w:rPr>
          <w:rFonts w:cs="Arial"/>
        </w:rPr>
        <w:t>e</w:t>
      </w:r>
      <w:r w:rsidRPr="003C7E17">
        <w:rPr>
          <w:rFonts w:cs="Arial"/>
        </w:rPr>
        <w:t xml:space="preserve"> formal, ongoing consultation groups such as the Aged Care Sector Committee </w:t>
      </w:r>
      <w:r>
        <w:rPr>
          <w:rFonts w:cs="Arial"/>
        </w:rPr>
        <w:t xml:space="preserve">and the Community-Business Partnership </w:t>
      </w:r>
      <w:r w:rsidRPr="003C7E17">
        <w:rPr>
          <w:rFonts w:cs="Arial"/>
        </w:rPr>
        <w:t xml:space="preserve">and </w:t>
      </w:r>
      <w:r>
        <w:rPr>
          <w:rFonts w:cs="Arial"/>
        </w:rPr>
        <w:t xml:space="preserve">ad-hoc </w:t>
      </w:r>
      <w:r w:rsidRPr="003C7E17">
        <w:rPr>
          <w:rFonts w:cs="Arial"/>
        </w:rPr>
        <w:t xml:space="preserve">targeted consultations, to test policy issues </w:t>
      </w:r>
      <w:r>
        <w:rPr>
          <w:rFonts w:cs="Arial"/>
        </w:rPr>
        <w:t xml:space="preserve">of </w:t>
      </w:r>
      <w:r w:rsidRPr="003C7E17">
        <w:rPr>
          <w:rFonts w:cs="Arial"/>
        </w:rPr>
        <w:t>relevan</w:t>
      </w:r>
      <w:r>
        <w:rPr>
          <w:rFonts w:cs="Arial"/>
        </w:rPr>
        <w:t>ce</w:t>
      </w:r>
      <w:r w:rsidRPr="003C7E17">
        <w:rPr>
          <w:rFonts w:cs="Arial"/>
        </w:rPr>
        <w:t xml:space="preserve"> to the portfolio. </w:t>
      </w:r>
    </w:p>
    <w:p w:rsidR="00D836E4" w:rsidRPr="00204C49" w:rsidRDefault="007418A0" w:rsidP="00D836E4">
      <w:pPr>
        <w:rPr>
          <w:rFonts w:cs="Arial"/>
        </w:rPr>
      </w:pPr>
      <w:r w:rsidRPr="00204C49">
        <w:rPr>
          <w:rFonts w:cs="Arial"/>
        </w:rPr>
        <w:t xml:space="preserve">This approach </w:t>
      </w:r>
      <w:r>
        <w:rPr>
          <w:rFonts w:cs="Arial"/>
        </w:rPr>
        <w:t xml:space="preserve">is </w:t>
      </w:r>
      <w:r w:rsidRPr="00204C49">
        <w:rPr>
          <w:rFonts w:cs="Arial"/>
        </w:rPr>
        <w:t xml:space="preserve">consistent with the Government’s </w:t>
      </w:r>
      <w:r>
        <w:rPr>
          <w:rFonts w:cs="Arial"/>
        </w:rPr>
        <w:t>aim</w:t>
      </w:r>
      <w:r w:rsidRPr="00204C49">
        <w:rPr>
          <w:rFonts w:cs="Arial"/>
        </w:rPr>
        <w:t xml:space="preserve"> to reduce the number of non-statutory advi</w:t>
      </w:r>
      <w:r>
        <w:rPr>
          <w:rFonts w:cs="Arial"/>
        </w:rPr>
        <w:t>sory bodies. It also reinforced</w:t>
      </w:r>
      <w:r w:rsidRPr="00204C49">
        <w:rPr>
          <w:rFonts w:cs="Arial"/>
        </w:rPr>
        <w:t xml:space="preserve"> the portfolio’s established approach to continuous consultation with stakeholders, including through the funding of advocacy groups, peak bodies, welfare groups and industry groups.</w:t>
      </w:r>
    </w:p>
    <w:p w:rsidR="00D836E4" w:rsidRDefault="007418A0" w:rsidP="00D836E4">
      <w:pPr>
        <w:rPr>
          <w:rFonts w:cs="Arial"/>
        </w:rPr>
      </w:pPr>
      <w:r w:rsidRPr="00204C49">
        <w:rPr>
          <w:rFonts w:cs="Arial"/>
        </w:rPr>
        <w:t>This stru</w:t>
      </w:r>
      <w:r>
        <w:rPr>
          <w:rFonts w:cs="Arial"/>
        </w:rPr>
        <w:t xml:space="preserve">cture was selected because it </w:t>
      </w:r>
      <w:r w:rsidRPr="00204C49">
        <w:rPr>
          <w:rFonts w:cs="Arial"/>
        </w:rPr>
        <w:t>recognise</w:t>
      </w:r>
      <w:r>
        <w:rPr>
          <w:rFonts w:cs="Arial"/>
        </w:rPr>
        <w:t>d</w:t>
      </w:r>
      <w:r w:rsidRPr="00204C49">
        <w:rPr>
          <w:rFonts w:cs="Arial"/>
        </w:rPr>
        <w:t xml:space="preserve"> the depth and breadth of existing consultation mechanisms;</w:t>
      </w:r>
      <w:r>
        <w:rPr>
          <w:rFonts w:cs="Arial"/>
        </w:rPr>
        <w:t xml:space="preserve"> </w:t>
      </w:r>
      <w:r w:rsidRPr="00204C49">
        <w:rPr>
          <w:rFonts w:cs="Arial"/>
        </w:rPr>
        <w:t xml:space="preserve">effectively </w:t>
      </w:r>
      <w:r>
        <w:rPr>
          <w:rFonts w:cs="Arial"/>
        </w:rPr>
        <w:t>achieved</w:t>
      </w:r>
      <w:r w:rsidRPr="00204C49">
        <w:rPr>
          <w:rFonts w:cs="Arial"/>
        </w:rPr>
        <w:t xml:space="preserve"> the Minister’s responsibilities to consult on deregulation and other policy priorities, without establishing and funding a new Ministerial Advisory Council;</w:t>
      </w:r>
      <w:r>
        <w:rPr>
          <w:rFonts w:cs="Arial"/>
        </w:rPr>
        <w:t xml:space="preserve"> </w:t>
      </w:r>
      <w:r w:rsidRPr="00204C49">
        <w:rPr>
          <w:rFonts w:cs="Arial"/>
        </w:rPr>
        <w:t>maximise</w:t>
      </w:r>
      <w:r>
        <w:rPr>
          <w:rFonts w:cs="Arial"/>
        </w:rPr>
        <w:t>d</w:t>
      </w:r>
      <w:r w:rsidRPr="00204C49">
        <w:rPr>
          <w:rFonts w:cs="Arial"/>
        </w:rPr>
        <w:t xml:space="preserve"> the role and responsibilities of advisory groups that are funded through the portfolio to develop options support</w:t>
      </w:r>
      <w:r>
        <w:rPr>
          <w:rFonts w:cs="Arial"/>
        </w:rPr>
        <w:t>ing</w:t>
      </w:r>
      <w:r w:rsidRPr="00204C49">
        <w:rPr>
          <w:rFonts w:cs="Arial"/>
        </w:rPr>
        <w:t xml:space="preserve"> the deregulation agenda;</w:t>
      </w:r>
      <w:r>
        <w:rPr>
          <w:rFonts w:cs="Arial"/>
        </w:rPr>
        <w:t xml:space="preserve"> </w:t>
      </w:r>
      <w:r w:rsidRPr="00204C49">
        <w:rPr>
          <w:rFonts w:cs="Arial"/>
        </w:rPr>
        <w:t>ensure</w:t>
      </w:r>
      <w:r>
        <w:rPr>
          <w:rFonts w:cs="Arial"/>
        </w:rPr>
        <w:t>d</w:t>
      </w:r>
      <w:r w:rsidRPr="00204C49">
        <w:rPr>
          <w:rFonts w:cs="Arial"/>
        </w:rPr>
        <w:t xml:space="preserve"> well-established and valued stakeholder consultation mechanisms maintain</w:t>
      </w:r>
      <w:r>
        <w:rPr>
          <w:rFonts w:cs="Arial"/>
        </w:rPr>
        <w:t>ed</w:t>
      </w:r>
      <w:r w:rsidRPr="00204C49">
        <w:rPr>
          <w:rFonts w:cs="Arial"/>
        </w:rPr>
        <w:t xml:space="preserve"> their relevance and contribution to Government’s priority social policy agendas; and</w:t>
      </w:r>
      <w:r>
        <w:rPr>
          <w:rFonts w:cs="Arial"/>
        </w:rPr>
        <w:t xml:space="preserve"> </w:t>
      </w:r>
      <w:r w:rsidRPr="00204C49">
        <w:rPr>
          <w:rFonts w:cs="Arial"/>
        </w:rPr>
        <w:t>efficiently engage</w:t>
      </w:r>
      <w:r>
        <w:rPr>
          <w:rFonts w:cs="Arial"/>
        </w:rPr>
        <w:t>d</w:t>
      </w:r>
      <w:r w:rsidRPr="00204C49">
        <w:rPr>
          <w:rFonts w:cs="Arial"/>
        </w:rPr>
        <w:t xml:space="preserve"> four new non-statutory consultation bodies in supporting Government’s goal to boost productivity and reduce regulation.</w:t>
      </w:r>
    </w:p>
    <w:p w:rsidR="00D836E4" w:rsidRDefault="007418A0">
      <w:pPr>
        <w:spacing w:before="0" w:after="200" w:line="276" w:lineRule="auto"/>
        <w:rPr>
          <w:b/>
          <w:bCs/>
          <w:sz w:val="20"/>
          <w:szCs w:val="20"/>
        </w:rPr>
      </w:pPr>
      <w:r>
        <w:br w:type="page"/>
      </w:r>
    </w:p>
    <w:p w:rsidR="00D836E4" w:rsidRPr="00D11AF0" w:rsidRDefault="007418A0" w:rsidP="00D836E4">
      <w:pPr>
        <w:pStyle w:val="Tableheading"/>
        <w:spacing w:after="0"/>
      </w:pPr>
      <w:r>
        <w:lastRenderedPageBreak/>
        <w:t xml:space="preserve">Table 3: Department of Social Services </w:t>
      </w:r>
      <w:r w:rsidRPr="00D11AF0">
        <w:t>Ministerial Advisory Councils</w:t>
      </w:r>
    </w:p>
    <w:tbl>
      <w:tblPr>
        <w:tblStyle w:val="LightList-Accent2"/>
        <w:tblW w:w="5000" w:type="pct"/>
        <w:tblInd w:w="108" w:type="dxa"/>
        <w:tblLook w:val="04A0" w:firstRow="1" w:lastRow="0" w:firstColumn="1" w:lastColumn="0" w:noHBand="0" w:noVBand="1"/>
        <w:tblCaption w:val="Table 3: Department of Social Services Ministerial Advisory Councils"/>
      </w:tblPr>
      <w:tblGrid>
        <w:gridCol w:w="6111"/>
        <w:gridCol w:w="3131"/>
      </w:tblGrid>
      <w:tr w:rsidR="00493496" w:rsidTr="00EB146C">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306" w:type="pct"/>
            <w:tcBorders>
              <w:left w:val="single" w:sz="8" w:space="0" w:color="78BE20" w:themeColor="accent2"/>
              <w:right w:val="single" w:sz="8" w:space="0" w:color="78BE20" w:themeColor="accent2"/>
            </w:tcBorders>
            <w:shd w:val="clear" w:color="auto" w:fill="DAEDB8" w:themeFill="accent6" w:themeFillTint="99"/>
            <w:hideMark/>
          </w:tcPr>
          <w:p w:rsidR="00D836E4" w:rsidRPr="00EB146C" w:rsidRDefault="007418A0" w:rsidP="00D836E4">
            <w:pPr>
              <w:rPr>
                <w:color w:val="auto"/>
              </w:rPr>
            </w:pPr>
            <w:r w:rsidRPr="00EB146C">
              <w:rPr>
                <w:color w:val="auto"/>
              </w:rPr>
              <w:t>Name of Ministerial Advisory Council</w:t>
            </w:r>
          </w:p>
        </w:tc>
        <w:tc>
          <w:tcPr>
            <w:tcW w:w="1694" w:type="pct"/>
            <w:tcBorders>
              <w:top w:val="single" w:sz="8" w:space="0" w:color="78BE20" w:themeColor="accent2"/>
              <w:left w:val="single" w:sz="8" w:space="0" w:color="78BE20" w:themeColor="accent2"/>
              <w:bottom w:val="single" w:sz="8" w:space="0" w:color="78BE20" w:themeColor="accent2"/>
            </w:tcBorders>
            <w:shd w:val="clear" w:color="auto" w:fill="DAEDB8" w:themeFill="accent6" w:themeFillTint="99"/>
            <w:hideMark/>
          </w:tcPr>
          <w:p w:rsidR="00D836E4" w:rsidRPr="00EB146C" w:rsidRDefault="007418A0" w:rsidP="00D836E4">
            <w:pPr>
              <w:cnfStyle w:val="100000000000" w:firstRow="1" w:lastRow="0" w:firstColumn="0" w:lastColumn="0" w:oddVBand="0" w:evenVBand="0" w:oddHBand="0" w:evenHBand="0" w:firstRowFirstColumn="0" w:firstRowLastColumn="0" w:lastRowFirstColumn="0" w:lastRowLastColumn="0"/>
              <w:rPr>
                <w:color w:val="auto"/>
              </w:rPr>
            </w:pPr>
            <w:r w:rsidRPr="00EB146C">
              <w:rPr>
                <w:color w:val="auto"/>
              </w:rPr>
              <w:t>Meeting date(s)</w:t>
            </w:r>
          </w:p>
        </w:tc>
      </w:tr>
      <w:tr w:rsidR="00493496" w:rsidTr="0049349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06" w:type="pct"/>
            <w:tcBorders>
              <w:right w:val="single" w:sz="8" w:space="0" w:color="78BE20" w:themeColor="accent2"/>
            </w:tcBorders>
            <w:hideMark/>
          </w:tcPr>
          <w:p w:rsidR="00D836E4" w:rsidRPr="00BB17A1" w:rsidRDefault="007418A0" w:rsidP="00D836E4">
            <w:r w:rsidRPr="00BB17A1">
              <w:rPr>
                <w:b w:val="0"/>
              </w:rPr>
              <w:t>Aged Care Sector Committee</w:t>
            </w:r>
          </w:p>
        </w:tc>
        <w:tc>
          <w:tcPr>
            <w:tcW w:w="1694" w:type="pct"/>
            <w:tcBorders>
              <w:left w:val="single" w:sz="8" w:space="0" w:color="78BE20" w:themeColor="accent2"/>
            </w:tcBorders>
            <w:hideMark/>
          </w:tcPr>
          <w:p w:rsidR="00D836E4" w:rsidRPr="00BB17A1" w:rsidRDefault="007418A0" w:rsidP="00D836E4">
            <w:pPr>
              <w:cnfStyle w:val="000000100000" w:firstRow="0" w:lastRow="0" w:firstColumn="0" w:lastColumn="0" w:oddVBand="0" w:evenVBand="0" w:oddHBand="1" w:evenHBand="0" w:firstRowFirstColumn="0" w:firstRowLastColumn="0" w:lastRowFirstColumn="0" w:lastRowLastColumn="0"/>
            </w:pPr>
            <w:r w:rsidRPr="00BB17A1">
              <w:t xml:space="preserve">9 May, 13 June, 21 July, </w:t>
            </w:r>
            <w:r w:rsidRPr="00BB17A1">
              <w:br/>
              <w:t xml:space="preserve">5 September, </w:t>
            </w:r>
            <w:r>
              <w:br/>
            </w:r>
            <w:r w:rsidRPr="00BB17A1">
              <w:t>20 November</w:t>
            </w:r>
          </w:p>
        </w:tc>
      </w:tr>
      <w:tr w:rsidR="00493496" w:rsidTr="00493496">
        <w:trPr>
          <w:trHeight w:val="454"/>
        </w:trPr>
        <w:tc>
          <w:tcPr>
            <w:cnfStyle w:val="001000000000" w:firstRow="0" w:lastRow="0" w:firstColumn="1" w:lastColumn="0" w:oddVBand="0" w:evenVBand="0" w:oddHBand="0" w:evenHBand="0" w:firstRowFirstColumn="0" w:firstRowLastColumn="0" w:lastRowFirstColumn="0" w:lastRowLastColumn="0"/>
            <w:tcW w:w="3306" w:type="pct"/>
            <w:tcBorders>
              <w:right w:val="single" w:sz="8" w:space="0" w:color="78BE20" w:themeColor="accent2"/>
            </w:tcBorders>
          </w:tcPr>
          <w:p w:rsidR="00D836E4" w:rsidRPr="00BB17A1" w:rsidRDefault="007418A0" w:rsidP="00D836E4">
            <w:r w:rsidRPr="00BB17A1">
              <w:rPr>
                <w:b w:val="0"/>
              </w:rPr>
              <w:t>Community-Business Partnership</w:t>
            </w:r>
          </w:p>
        </w:tc>
        <w:tc>
          <w:tcPr>
            <w:tcW w:w="1694" w:type="pct"/>
            <w:tcBorders>
              <w:top w:val="single" w:sz="8" w:space="0" w:color="78BE20" w:themeColor="accent2"/>
              <w:left w:val="single" w:sz="8" w:space="0" w:color="78BE20" w:themeColor="accent2"/>
              <w:bottom w:val="single" w:sz="8" w:space="0" w:color="78BE20" w:themeColor="accent2"/>
            </w:tcBorders>
          </w:tcPr>
          <w:p w:rsidR="00D836E4" w:rsidRPr="00BB17A1" w:rsidRDefault="007418A0" w:rsidP="00D836E4">
            <w:pPr>
              <w:cnfStyle w:val="000000000000" w:firstRow="0" w:lastRow="0" w:firstColumn="0" w:lastColumn="0" w:oddVBand="0" w:evenVBand="0" w:oddHBand="0" w:evenHBand="0" w:firstRowFirstColumn="0" w:firstRowLastColumn="0" w:lastRowFirstColumn="0" w:lastRowLastColumn="0"/>
            </w:pPr>
            <w:r w:rsidRPr="00BB17A1">
              <w:t>3 December</w:t>
            </w:r>
          </w:p>
        </w:tc>
      </w:tr>
    </w:tbl>
    <w:p w:rsidR="00D836E4" w:rsidRPr="0096692D" w:rsidRDefault="007418A0" w:rsidP="00D836E4">
      <w:pPr>
        <w:spacing w:before="240"/>
      </w:pPr>
      <w:r>
        <w:t>In addition, t</w:t>
      </w:r>
      <w:r w:rsidRPr="0096692D">
        <w:t xml:space="preserve">he Department undertook stakeholder consultations throughout </w:t>
      </w:r>
      <w:r>
        <w:t>the year</w:t>
      </w:r>
      <w:r w:rsidRPr="0096692D">
        <w:t xml:space="preserve"> with key sectors to test the findings of </w:t>
      </w:r>
      <w:r>
        <w:t>the Department’s</w:t>
      </w:r>
      <w:r w:rsidRPr="0096692D">
        <w:t xml:space="preserve"> </w:t>
      </w:r>
      <w:r>
        <w:t xml:space="preserve">regulation </w:t>
      </w:r>
      <w:r w:rsidRPr="0096692D">
        <w:t>audit</w:t>
      </w:r>
      <w:r>
        <w:t xml:space="preserve"> and to discuss opportunities for regulatory reform. </w:t>
      </w:r>
    </w:p>
    <w:p w:rsidR="00D836E4" w:rsidRDefault="007418A0" w:rsidP="00D836E4">
      <w:pPr>
        <w:spacing w:before="240"/>
      </w:pPr>
      <w:r w:rsidRPr="000C462D">
        <w:t xml:space="preserve">The Deregulation Units of both </w:t>
      </w:r>
      <w:r>
        <w:t>the Department</w:t>
      </w:r>
      <w:r w:rsidRPr="000C462D">
        <w:t xml:space="preserve"> and</w:t>
      </w:r>
      <w:r>
        <w:t xml:space="preserve"> the Department of Human Services (</w:t>
      </w:r>
      <w:r w:rsidRPr="000C462D">
        <w:t>DHS</w:t>
      </w:r>
      <w:r>
        <w:t>)</w:t>
      </w:r>
      <w:r w:rsidRPr="000C462D">
        <w:t xml:space="preserve"> have been working closely to ensure that information is shared from stakeholder meetings regarding red tape reduction.</w:t>
      </w:r>
      <w:r>
        <w:t xml:space="preserve"> </w:t>
      </w:r>
    </w:p>
    <w:p w:rsidR="00D836E4" w:rsidRPr="00DB177D" w:rsidRDefault="007418A0" w:rsidP="00D836E4">
      <w:pPr>
        <w:spacing w:after="0"/>
        <w:rPr>
          <w:rFonts w:cs="Arial"/>
        </w:rPr>
      </w:pPr>
      <w:r>
        <w:rPr>
          <w:rFonts w:cs="Arial"/>
        </w:rPr>
        <w:t xml:space="preserve">A </w:t>
      </w:r>
      <w:r w:rsidRPr="00DB177D">
        <w:rPr>
          <w:rFonts w:cs="Arial"/>
        </w:rPr>
        <w:t>23 December 2014</w:t>
      </w:r>
      <w:r>
        <w:rPr>
          <w:rFonts w:cs="Arial"/>
        </w:rPr>
        <w:t xml:space="preserve"> Administrative Arrangements Order transferred responsibility for child care to the Department from the Department of Education. </w:t>
      </w:r>
      <w:r w:rsidRPr="00805234">
        <w:rPr>
          <w:rFonts w:cs="Arial"/>
        </w:rPr>
        <w:t>The Department has assumed responsibility for the Ministerial Advisory Council on Child Care and Early Learning.</w:t>
      </w:r>
      <w:r>
        <w:rPr>
          <w:rFonts w:cs="Arial"/>
        </w:rPr>
        <w:t xml:space="preserve"> This Ministerial Advisory Council will be used by the Department in future consultation with the child care and early learning sectors.</w:t>
      </w:r>
    </w:p>
    <w:p w:rsidR="00D836E4" w:rsidRPr="00FE6662" w:rsidRDefault="007418A0" w:rsidP="00D836E4">
      <w:pPr>
        <w:pStyle w:val="Heading2"/>
      </w:pPr>
      <w:bookmarkStart w:id="38" w:name="_Toc256000061"/>
      <w:bookmarkStart w:id="39" w:name="_Toc256000035"/>
      <w:bookmarkStart w:id="40" w:name="_Toc256000009"/>
      <w:bookmarkStart w:id="41" w:name="_Toc413079650"/>
      <w:bookmarkStart w:id="42" w:name="_Toc414443744"/>
      <w:r w:rsidRPr="00FE6662">
        <w:t>Letters of Expectation</w:t>
      </w:r>
      <w:bookmarkEnd w:id="38"/>
      <w:bookmarkEnd w:id="39"/>
      <w:bookmarkEnd w:id="40"/>
      <w:bookmarkEnd w:id="41"/>
      <w:bookmarkEnd w:id="42"/>
    </w:p>
    <w:p w:rsidR="00D836E4" w:rsidRPr="00204C49" w:rsidRDefault="007418A0" w:rsidP="00D836E4">
      <w:pPr>
        <w:rPr>
          <w:rFonts w:cs="Arial"/>
          <w:lang w:val="en-GB"/>
        </w:rPr>
      </w:pPr>
      <w:r w:rsidRPr="00204C49">
        <w:rPr>
          <w:rFonts w:cs="Arial"/>
          <w:lang w:val="en-GB"/>
        </w:rPr>
        <w:t xml:space="preserve">As part of the deregulation agenda, the Government has committed to improving the administration of regulation and the performance of regulators. This commitment includes issuing letters from </w:t>
      </w:r>
      <w:r>
        <w:rPr>
          <w:rFonts w:cs="Arial"/>
          <w:lang w:val="en-GB"/>
        </w:rPr>
        <w:t>m</w:t>
      </w:r>
      <w:r w:rsidRPr="00204C49">
        <w:rPr>
          <w:rFonts w:cs="Arial"/>
          <w:lang w:val="en-GB"/>
        </w:rPr>
        <w:t>inisters to heads of regulatory bodies within their portfolio, setting out performance expectations.</w:t>
      </w:r>
    </w:p>
    <w:p w:rsidR="00D836E4" w:rsidRPr="00204C49" w:rsidRDefault="007418A0" w:rsidP="00D836E4">
      <w:pPr>
        <w:rPr>
          <w:rFonts w:cs="Arial"/>
          <w:lang w:val="en-GB"/>
        </w:rPr>
      </w:pPr>
      <w:r w:rsidRPr="00204C49">
        <w:rPr>
          <w:rFonts w:cs="Arial"/>
          <w:lang w:val="en-GB"/>
        </w:rPr>
        <w:t>The Department has two portfolio bodies tha</w:t>
      </w:r>
      <w:r>
        <w:rPr>
          <w:rFonts w:cs="Arial"/>
          <w:lang w:val="en-GB"/>
        </w:rPr>
        <w:t>t exercise regulatory functions:</w:t>
      </w:r>
      <w:r w:rsidRPr="00204C49">
        <w:rPr>
          <w:rFonts w:cs="Arial"/>
          <w:lang w:val="en-GB"/>
        </w:rPr>
        <w:t xml:space="preserve"> the National Disability Insurance Agency and the Australian Aged Care Quality Agency. </w:t>
      </w:r>
    </w:p>
    <w:p w:rsidR="00D836E4" w:rsidRPr="00204C49" w:rsidRDefault="007418A0" w:rsidP="00D836E4">
      <w:pPr>
        <w:rPr>
          <w:rFonts w:cs="Arial"/>
          <w:lang w:val="en-GB"/>
        </w:rPr>
      </w:pPr>
      <w:r w:rsidRPr="00204C49">
        <w:rPr>
          <w:rFonts w:cs="Arial"/>
          <w:lang w:val="en-GB"/>
        </w:rPr>
        <w:t>In addition, the Department also has two statutory office holders</w:t>
      </w:r>
      <w:r>
        <w:rPr>
          <w:rFonts w:cs="Arial"/>
          <w:lang w:val="en-GB"/>
        </w:rPr>
        <w:t>;</w:t>
      </w:r>
      <w:r w:rsidRPr="00204C49">
        <w:rPr>
          <w:rFonts w:cs="Arial"/>
          <w:lang w:val="en-GB"/>
        </w:rPr>
        <w:t xml:space="preserve"> the Aged Care Commissioner and the Aged Care Pricin</w:t>
      </w:r>
      <w:r w:rsidRPr="009D789F">
        <w:rPr>
          <w:rFonts w:cs="Arial"/>
          <w:lang w:val="en-GB"/>
        </w:rPr>
        <w:t>g</w:t>
      </w:r>
      <w:r w:rsidRPr="00204C49">
        <w:rPr>
          <w:rFonts w:cs="Arial"/>
          <w:lang w:val="en-GB"/>
        </w:rPr>
        <w:t xml:space="preserve"> Commissioner. These office holders exercise independent statutory functions with administrative support from the Department.</w:t>
      </w:r>
      <w:r>
        <w:rPr>
          <w:rFonts w:cs="Arial"/>
          <w:lang w:val="en-GB"/>
        </w:rPr>
        <w:t xml:space="preserve"> Of these, the Aged Care Pricing Commissioner has regulatory functions.</w:t>
      </w:r>
    </w:p>
    <w:p w:rsidR="009B3A91" w:rsidRDefault="007418A0" w:rsidP="00D836E4">
      <w:pPr>
        <w:rPr>
          <w:rFonts w:cs="Arial"/>
          <w:lang w:val="en-GB"/>
        </w:rPr>
      </w:pPr>
      <w:r w:rsidRPr="00204C49">
        <w:rPr>
          <w:rFonts w:cs="Arial"/>
          <w:lang w:val="en-GB"/>
        </w:rPr>
        <w:t xml:space="preserve">Further, the National Accreditation Authority for Translators and Interpreters Ltd (NAATI) is a company owned jointly by the Commonwealth and </w:t>
      </w:r>
      <w:r>
        <w:rPr>
          <w:rFonts w:cs="Arial"/>
          <w:lang w:val="en-GB"/>
        </w:rPr>
        <w:t>s</w:t>
      </w:r>
      <w:r w:rsidRPr="00204C49">
        <w:rPr>
          <w:rFonts w:cs="Arial"/>
          <w:lang w:val="en-GB"/>
        </w:rPr>
        <w:t xml:space="preserve">tate and </w:t>
      </w:r>
      <w:r>
        <w:rPr>
          <w:rFonts w:cs="Arial"/>
          <w:lang w:val="en-GB"/>
        </w:rPr>
        <w:t>t</w:t>
      </w:r>
      <w:r w:rsidRPr="00204C49">
        <w:rPr>
          <w:rFonts w:cs="Arial"/>
          <w:lang w:val="en-GB"/>
        </w:rPr>
        <w:t>erritory governments which exercises regulatory functions by providing accreditation and other credentialing services for translators and interpreters.</w:t>
      </w:r>
      <w:r>
        <w:rPr>
          <w:rFonts w:cs="Arial"/>
          <w:lang w:val="en-GB"/>
        </w:rPr>
        <w:t xml:space="preserve"> </w:t>
      </w:r>
    </w:p>
    <w:p w:rsidR="009B3A91" w:rsidRDefault="009B3A91" w:rsidP="009B3A91">
      <w:pPr>
        <w:rPr>
          <w:lang w:val="en-GB"/>
        </w:rPr>
      </w:pPr>
      <w:r>
        <w:rPr>
          <w:lang w:val="en-GB"/>
        </w:rPr>
        <w:br w:type="page"/>
      </w:r>
    </w:p>
    <w:p w:rsidR="00D836E4" w:rsidRPr="00204C49" w:rsidRDefault="007418A0" w:rsidP="00D836E4">
      <w:pPr>
        <w:rPr>
          <w:rFonts w:cs="Arial"/>
          <w:lang w:val="en-GB"/>
        </w:rPr>
      </w:pPr>
      <w:r w:rsidRPr="00204C49">
        <w:rPr>
          <w:rFonts w:cs="Arial"/>
          <w:lang w:val="en-GB"/>
        </w:rPr>
        <w:lastRenderedPageBreak/>
        <w:t xml:space="preserve">Letters of expectation co-signed by </w:t>
      </w:r>
      <w:r>
        <w:rPr>
          <w:rFonts w:cs="Arial"/>
          <w:lang w:val="en-GB"/>
        </w:rPr>
        <w:t xml:space="preserve">the former Social Services </w:t>
      </w:r>
      <w:r w:rsidRPr="00204C49">
        <w:rPr>
          <w:rFonts w:cs="Arial"/>
          <w:lang w:val="en-GB"/>
        </w:rPr>
        <w:t>Minister</w:t>
      </w:r>
      <w:r>
        <w:rPr>
          <w:rFonts w:cs="Arial"/>
          <w:lang w:val="en-GB"/>
        </w:rPr>
        <w:t xml:space="preserve">, </w:t>
      </w:r>
      <w:r>
        <w:rPr>
          <w:rFonts w:cs="Arial"/>
          <w:lang w:val="en-GB"/>
        </w:rPr>
        <w:br/>
        <w:t>the Hon Kevin</w:t>
      </w:r>
      <w:r w:rsidRPr="00204C49">
        <w:rPr>
          <w:rFonts w:cs="Arial"/>
          <w:lang w:val="en-GB"/>
        </w:rPr>
        <w:t xml:space="preserve"> Andrews </w:t>
      </w:r>
      <w:r>
        <w:rPr>
          <w:rFonts w:cs="Arial"/>
          <w:lang w:val="en-GB"/>
        </w:rPr>
        <w:t xml:space="preserve">MP, </w:t>
      </w:r>
      <w:r w:rsidRPr="00204C49">
        <w:rPr>
          <w:rFonts w:cs="Arial"/>
          <w:lang w:val="en-GB"/>
        </w:rPr>
        <w:t xml:space="preserve">and </w:t>
      </w:r>
      <w:r>
        <w:rPr>
          <w:rFonts w:cs="Arial"/>
          <w:lang w:val="en-GB"/>
        </w:rPr>
        <w:t xml:space="preserve">the </w:t>
      </w:r>
      <w:r w:rsidRPr="00204C49">
        <w:rPr>
          <w:rFonts w:cs="Arial"/>
          <w:lang w:val="en-GB"/>
        </w:rPr>
        <w:t>Assistant Minister</w:t>
      </w:r>
      <w:r>
        <w:rPr>
          <w:rFonts w:cs="Arial"/>
          <w:lang w:val="en-GB"/>
        </w:rPr>
        <w:t xml:space="preserve"> for Social Services, Senator the Hon Mitch </w:t>
      </w:r>
      <w:proofErr w:type="spellStart"/>
      <w:r w:rsidRPr="00204C49">
        <w:rPr>
          <w:rFonts w:cs="Arial"/>
          <w:lang w:val="en-GB"/>
        </w:rPr>
        <w:t>Fifield</w:t>
      </w:r>
      <w:proofErr w:type="spellEnd"/>
      <w:r>
        <w:rPr>
          <w:rFonts w:cs="Arial"/>
          <w:lang w:val="en-GB"/>
        </w:rPr>
        <w:t>,</w:t>
      </w:r>
      <w:r w:rsidRPr="00204C49">
        <w:rPr>
          <w:rFonts w:cs="Arial"/>
          <w:lang w:val="en-GB"/>
        </w:rPr>
        <w:t xml:space="preserve"> were sent on 4 April 2014 to the following </w:t>
      </w:r>
      <w:r>
        <w:rPr>
          <w:rFonts w:cs="Arial"/>
          <w:lang w:val="en-GB"/>
        </w:rPr>
        <w:t>Department</w:t>
      </w:r>
      <w:r w:rsidRPr="00204C49">
        <w:rPr>
          <w:rFonts w:cs="Arial"/>
          <w:lang w:val="en-GB"/>
        </w:rPr>
        <w:t xml:space="preserve"> portfolio bodies and statutory office holders </w:t>
      </w:r>
      <w:r>
        <w:rPr>
          <w:rFonts w:cs="Arial"/>
          <w:lang w:val="en-GB"/>
        </w:rPr>
        <w:t xml:space="preserve">considered to </w:t>
      </w:r>
      <w:r w:rsidRPr="00204C49">
        <w:rPr>
          <w:rFonts w:cs="Arial"/>
          <w:lang w:val="en-GB"/>
        </w:rPr>
        <w:t>have regulatory functions under their legislation:</w:t>
      </w:r>
    </w:p>
    <w:p w:rsidR="00D836E4" w:rsidRPr="00204C49" w:rsidRDefault="007418A0" w:rsidP="0038770B">
      <w:pPr>
        <w:pStyle w:val="ListParagraph"/>
        <w:numPr>
          <w:ilvl w:val="0"/>
          <w:numId w:val="7"/>
        </w:numPr>
        <w:spacing w:before="0" w:after="0" w:line="276" w:lineRule="auto"/>
        <w:ind w:left="714" w:hanging="357"/>
        <w:contextualSpacing w:val="0"/>
        <w:rPr>
          <w:rFonts w:cs="Arial"/>
        </w:rPr>
      </w:pPr>
      <w:r w:rsidRPr="00204C49">
        <w:rPr>
          <w:rFonts w:cs="Arial"/>
        </w:rPr>
        <w:t>National Disability Insurance Agency</w:t>
      </w:r>
    </w:p>
    <w:p w:rsidR="00D836E4" w:rsidRPr="00204C49" w:rsidRDefault="007418A0" w:rsidP="0038770B">
      <w:pPr>
        <w:pStyle w:val="ListParagraph"/>
        <w:numPr>
          <w:ilvl w:val="0"/>
          <w:numId w:val="7"/>
        </w:numPr>
        <w:spacing w:before="0" w:after="0" w:line="276" w:lineRule="auto"/>
        <w:ind w:left="714" w:hanging="357"/>
        <w:contextualSpacing w:val="0"/>
        <w:rPr>
          <w:rFonts w:cs="Arial"/>
        </w:rPr>
      </w:pPr>
      <w:r w:rsidRPr="00204C49">
        <w:rPr>
          <w:rFonts w:cs="Arial"/>
        </w:rPr>
        <w:t>Aged Care Pricing Commissioner</w:t>
      </w:r>
    </w:p>
    <w:p w:rsidR="00D836E4" w:rsidRPr="00204C49" w:rsidRDefault="007418A0" w:rsidP="0038770B">
      <w:pPr>
        <w:pStyle w:val="ListParagraph"/>
        <w:numPr>
          <w:ilvl w:val="0"/>
          <w:numId w:val="7"/>
        </w:numPr>
        <w:tabs>
          <w:tab w:val="left" w:pos="426"/>
        </w:tabs>
        <w:spacing w:before="0" w:after="0" w:line="276" w:lineRule="auto"/>
        <w:ind w:left="714" w:hanging="357"/>
        <w:contextualSpacing w:val="0"/>
        <w:rPr>
          <w:rFonts w:cs="Arial"/>
        </w:rPr>
      </w:pPr>
      <w:r w:rsidRPr="00204C49">
        <w:rPr>
          <w:rFonts w:cs="Arial"/>
        </w:rPr>
        <w:t>Aged Care Commissioner</w:t>
      </w:r>
    </w:p>
    <w:p w:rsidR="00D836E4" w:rsidRPr="009D789F" w:rsidRDefault="007418A0" w:rsidP="0038770B">
      <w:pPr>
        <w:pStyle w:val="ListParagraph"/>
        <w:numPr>
          <w:ilvl w:val="0"/>
          <w:numId w:val="7"/>
        </w:numPr>
        <w:spacing w:before="0" w:after="200" w:line="276" w:lineRule="auto"/>
        <w:ind w:left="714" w:hanging="357"/>
        <w:contextualSpacing w:val="0"/>
        <w:rPr>
          <w:rFonts w:cs="Arial"/>
        </w:rPr>
      </w:pPr>
      <w:r w:rsidRPr="00204C49">
        <w:rPr>
          <w:rFonts w:cs="Arial"/>
        </w:rPr>
        <w:t>Australian Aged Care Quality Agency</w:t>
      </w:r>
      <w:r>
        <w:rPr>
          <w:rFonts w:cs="Arial"/>
        </w:rPr>
        <w:t>.</w:t>
      </w:r>
    </w:p>
    <w:p w:rsidR="00D836E4" w:rsidRPr="00204C49" w:rsidRDefault="007418A0" w:rsidP="00674AC4">
      <w:r w:rsidRPr="00204C49">
        <w:rPr>
          <w:lang w:val="en-GB"/>
        </w:rPr>
        <w:t xml:space="preserve">The letters were published on </w:t>
      </w:r>
      <w:r>
        <w:rPr>
          <w:lang w:val="en-GB"/>
        </w:rPr>
        <w:t xml:space="preserve">the </w:t>
      </w:r>
      <w:r w:rsidR="00314E2C" w:rsidRPr="00EB146C">
        <w:t>Department of Social Services</w:t>
      </w:r>
      <w:r w:rsidRPr="006F7897">
        <w:t xml:space="preserve"> </w:t>
      </w:r>
      <w:r w:rsidRPr="00674AC4">
        <w:t>website</w:t>
      </w:r>
      <w:r w:rsidR="00674AC4">
        <w:t xml:space="preserve"> </w:t>
      </w:r>
      <w:r w:rsidRPr="00674AC4">
        <w:t>on</w:t>
      </w:r>
      <w:r w:rsidRPr="00204C49">
        <w:rPr>
          <w:lang w:val="en-GB"/>
        </w:rPr>
        <w:t xml:space="preserve"> 28 April 2014.</w:t>
      </w:r>
      <w:r w:rsidR="00314E2C">
        <w:rPr>
          <w:rStyle w:val="FootnoteReference"/>
        </w:rPr>
        <w:footnoteReference w:id="2"/>
      </w:r>
      <w:r w:rsidRPr="00204C49">
        <w:rPr>
          <w:lang w:val="en-GB"/>
        </w:rPr>
        <w:t xml:space="preserve"> </w:t>
      </w:r>
      <w:r w:rsidRPr="00204C49">
        <w:t xml:space="preserve">These letters covered: </w:t>
      </w:r>
    </w:p>
    <w:p w:rsidR="00D836E4" w:rsidRPr="00D00D81" w:rsidRDefault="007418A0" w:rsidP="0038770B">
      <w:pPr>
        <w:pStyle w:val="ListParagraph"/>
        <w:numPr>
          <w:ilvl w:val="0"/>
          <w:numId w:val="7"/>
        </w:numPr>
        <w:spacing w:before="0" w:after="0" w:line="276" w:lineRule="auto"/>
        <w:ind w:left="714" w:hanging="357"/>
        <w:contextualSpacing w:val="0"/>
        <w:rPr>
          <w:rFonts w:cs="Arial"/>
        </w:rPr>
      </w:pPr>
      <w:r w:rsidRPr="00D00D81">
        <w:rPr>
          <w:rFonts w:cs="Arial"/>
        </w:rPr>
        <w:t>the broader government policy framework in which the regulator must operate, starting with the Government</w:t>
      </w:r>
      <w:r>
        <w:rPr>
          <w:rFonts w:cs="Arial"/>
        </w:rPr>
        <w:t>’s red tape reduction programme</w:t>
      </w:r>
      <w:r w:rsidRPr="00D00D81">
        <w:rPr>
          <w:rFonts w:cs="Arial"/>
        </w:rPr>
        <w:t xml:space="preserve"> </w:t>
      </w:r>
    </w:p>
    <w:p w:rsidR="00D836E4" w:rsidRPr="00D00D81" w:rsidRDefault="007418A0" w:rsidP="0038770B">
      <w:pPr>
        <w:pStyle w:val="ListParagraph"/>
        <w:numPr>
          <w:ilvl w:val="0"/>
          <w:numId w:val="7"/>
        </w:numPr>
        <w:spacing w:before="0" w:after="0" w:line="276" w:lineRule="auto"/>
        <w:ind w:left="714" w:hanging="357"/>
        <w:contextualSpacing w:val="0"/>
        <w:rPr>
          <w:rFonts w:cs="Arial"/>
        </w:rPr>
      </w:pPr>
      <w:r w:rsidRPr="00D00D81">
        <w:rPr>
          <w:rFonts w:cs="Arial"/>
        </w:rPr>
        <w:t xml:space="preserve">strategic direction (to the extent legislation allows) on how work is to be conducted by the regulator, broad guidance on the role of the regulator and on the Government's vision of how regulators should operate </w:t>
      </w:r>
      <w:r>
        <w:rPr>
          <w:rFonts w:cs="Arial"/>
        </w:rPr>
        <w:t>with business and the community</w:t>
      </w:r>
    </w:p>
    <w:p w:rsidR="00D836E4" w:rsidRPr="00D00D81" w:rsidRDefault="007418A0" w:rsidP="0038770B">
      <w:pPr>
        <w:pStyle w:val="ListParagraph"/>
        <w:numPr>
          <w:ilvl w:val="0"/>
          <w:numId w:val="7"/>
        </w:numPr>
        <w:spacing w:before="0" w:after="0" w:line="276" w:lineRule="auto"/>
        <w:ind w:left="714" w:hanging="357"/>
        <w:contextualSpacing w:val="0"/>
        <w:rPr>
          <w:rFonts w:cs="Arial"/>
        </w:rPr>
      </w:pPr>
      <w:r w:rsidRPr="00D00D81">
        <w:rPr>
          <w:rFonts w:cs="Arial"/>
        </w:rPr>
        <w:t>an acknowledgement that whil</w:t>
      </w:r>
      <w:r>
        <w:rPr>
          <w:rFonts w:cs="Arial"/>
        </w:rPr>
        <w:t>e</w:t>
      </w:r>
      <w:r w:rsidRPr="00D00D81">
        <w:rPr>
          <w:rFonts w:cs="Arial"/>
        </w:rPr>
        <w:t xml:space="preserve"> the Government will have a broad role in setting policy and regulatory posture, it is important that regulators, where appropriate, exercise their regulatory functions in acc</w:t>
      </w:r>
      <w:r>
        <w:rPr>
          <w:rFonts w:cs="Arial"/>
        </w:rPr>
        <w:t>ordance with their legislation</w:t>
      </w:r>
    </w:p>
    <w:p w:rsidR="00D836E4" w:rsidRPr="00D00D81" w:rsidRDefault="007418A0" w:rsidP="0038770B">
      <w:pPr>
        <w:pStyle w:val="ListParagraph"/>
        <w:numPr>
          <w:ilvl w:val="0"/>
          <w:numId w:val="7"/>
        </w:numPr>
        <w:spacing w:before="0" w:after="0" w:line="276" w:lineRule="auto"/>
        <w:ind w:left="714" w:hanging="357"/>
        <w:contextualSpacing w:val="0"/>
        <w:rPr>
          <w:rFonts w:cs="Arial"/>
        </w:rPr>
      </w:pPr>
      <w:proofErr w:type="gramStart"/>
      <w:r w:rsidRPr="00D00D81">
        <w:rPr>
          <w:rFonts w:cs="Arial"/>
        </w:rPr>
        <w:t>the</w:t>
      </w:r>
      <w:proofErr w:type="gramEnd"/>
      <w:r w:rsidRPr="00D00D81">
        <w:rPr>
          <w:rFonts w:cs="Arial"/>
        </w:rPr>
        <w:t xml:space="preserve"> expectation that regulators act in accordance with best practice. That is, that they should ensure transparency and accountability in decision-making; and adopt approaches, processes and communication practices that minimise regulatory burden and m</w:t>
      </w:r>
      <w:r>
        <w:rPr>
          <w:rFonts w:cs="Arial"/>
        </w:rPr>
        <w:t>aximise clarity and transparency</w:t>
      </w:r>
    </w:p>
    <w:p w:rsidR="00D836E4" w:rsidRDefault="007418A0" w:rsidP="0038770B">
      <w:pPr>
        <w:pStyle w:val="ListParagraph"/>
        <w:numPr>
          <w:ilvl w:val="0"/>
          <w:numId w:val="7"/>
        </w:numPr>
        <w:spacing w:before="0" w:after="0" w:line="276" w:lineRule="auto"/>
        <w:ind w:left="714" w:hanging="357"/>
        <w:contextualSpacing w:val="0"/>
        <w:rPr>
          <w:rFonts w:cs="Arial"/>
        </w:rPr>
      </w:pPr>
      <w:proofErr w:type="gramStart"/>
      <w:r w:rsidRPr="00D00D81">
        <w:rPr>
          <w:rFonts w:cs="Arial"/>
        </w:rPr>
        <w:t>a</w:t>
      </w:r>
      <w:proofErr w:type="gramEnd"/>
      <w:r w:rsidRPr="00D00D81">
        <w:rPr>
          <w:rFonts w:cs="Arial"/>
        </w:rPr>
        <w:t xml:space="preserve"> preference for regulators to adopt a risk based approach in relation to compliance obligations and enforcement responses, such as increased targeting of those businesses and activities which present a higher risk in relation to the matter being regulated, and for adoption of lesser compliance cost approaches for lower risk businesses</w:t>
      </w:r>
      <w:r>
        <w:rPr>
          <w:rFonts w:cs="Arial"/>
        </w:rPr>
        <w:t>.</w:t>
      </w:r>
    </w:p>
    <w:p w:rsidR="00D836E4" w:rsidRPr="00204C49" w:rsidRDefault="007418A0" w:rsidP="00D836E4">
      <w:pPr>
        <w:rPr>
          <w:rFonts w:cs="Arial"/>
          <w:lang w:val="en-GB"/>
        </w:rPr>
      </w:pPr>
      <w:r w:rsidRPr="00204C49">
        <w:rPr>
          <w:rFonts w:cs="Arial"/>
          <w:lang w:val="en-GB"/>
        </w:rPr>
        <w:t>In addition</w:t>
      </w:r>
      <w:r>
        <w:rPr>
          <w:rFonts w:cs="Arial"/>
          <w:lang w:val="en-GB"/>
        </w:rPr>
        <w:t xml:space="preserve"> to the above portfolio bodies</w:t>
      </w:r>
      <w:r w:rsidRPr="00204C49">
        <w:rPr>
          <w:rFonts w:cs="Arial"/>
          <w:lang w:val="en-GB"/>
        </w:rPr>
        <w:t xml:space="preserve">, on 1 April 2014, Deputy Secretary Barbara Bennett </w:t>
      </w:r>
      <w:r>
        <w:rPr>
          <w:rFonts w:cs="Arial"/>
          <w:lang w:val="en-GB"/>
        </w:rPr>
        <w:t>wrote to</w:t>
      </w:r>
      <w:r w:rsidRPr="00204C49">
        <w:rPr>
          <w:rFonts w:cs="Arial"/>
          <w:lang w:val="en-GB"/>
        </w:rPr>
        <w:t xml:space="preserve"> the Chief Executive Officer of the National Accreditation Authority for Translator</w:t>
      </w:r>
      <w:r>
        <w:rPr>
          <w:rFonts w:cs="Arial"/>
          <w:lang w:val="en-GB"/>
        </w:rPr>
        <w:t xml:space="preserve">s and Interpreters Ltd (NAATI), </w:t>
      </w:r>
      <w:r w:rsidRPr="00204C49">
        <w:rPr>
          <w:rFonts w:cs="Arial"/>
          <w:lang w:val="en-GB"/>
        </w:rPr>
        <w:t xml:space="preserve">outlining the Government’s deregulation agenda and encouraging the jointly-owned Commonwealth, </w:t>
      </w:r>
      <w:r>
        <w:rPr>
          <w:rFonts w:cs="Arial"/>
          <w:lang w:val="en-GB"/>
        </w:rPr>
        <w:t>s</w:t>
      </w:r>
      <w:r w:rsidRPr="00204C49">
        <w:rPr>
          <w:rFonts w:cs="Arial"/>
          <w:lang w:val="en-GB"/>
        </w:rPr>
        <w:t xml:space="preserve">tate and </w:t>
      </w:r>
      <w:r>
        <w:rPr>
          <w:rFonts w:cs="Arial"/>
          <w:lang w:val="en-GB"/>
        </w:rPr>
        <w:t>t</w:t>
      </w:r>
      <w:r w:rsidRPr="00204C49">
        <w:rPr>
          <w:rFonts w:cs="Arial"/>
          <w:lang w:val="en-GB"/>
        </w:rPr>
        <w:t>erritory owned corporation to consider the Government’s expectations in relation to reducing regulation.</w:t>
      </w:r>
    </w:p>
    <w:p w:rsidR="00D836E4" w:rsidRDefault="007418A0">
      <w:pPr>
        <w:spacing w:before="0" w:after="200" w:line="276" w:lineRule="auto"/>
        <w:rPr>
          <w:rFonts w:cs="Arial"/>
          <w:lang w:val="en-GB"/>
        </w:rPr>
      </w:pPr>
      <w:r>
        <w:rPr>
          <w:rFonts w:cs="Arial"/>
          <w:lang w:val="en-GB"/>
        </w:rPr>
        <w:br w:type="page"/>
      </w:r>
    </w:p>
    <w:p w:rsidR="00D836E4" w:rsidRPr="00204C49" w:rsidRDefault="007418A0" w:rsidP="00D836E4">
      <w:pPr>
        <w:spacing w:before="240" w:after="0"/>
        <w:rPr>
          <w:rFonts w:cs="Arial"/>
          <w:lang w:val="en-GB"/>
        </w:rPr>
      </w:pPr>
      <w:r w:rsidRPr="00204C49">
        <w:rPr>
          <w:rFonts w:cs="Arial"/>
          <w:lang w:val="en-GB"/>
        </w:rPr>
        <w:lastRenderedPageBreak/>
        <w:t xml:space="preserve">The Department also provided advice to Minister </w:t>
      </w:r>
      <w:r>
        <w:rPr>
          <w:rFonts w:cs="Arial"/>
          <w:lang w:val="en-GB"/>
        </w:rPr>
        <w:t xml:space="preserve">Andrews </w:t>
      </w:r>
      <w:r w:rsidRPr="00204C49">
        <w:rPr>
          <w:rFonts w:cs="Arial"/>
          <w:lang w:val="en-GB"/>
        </w:rPr>
        <w:t>that the Department’s range of internal regulatory functions would be performed in accordance with the Government’s commitment to boost productivity and reduce regulation.</w:t>
      </w:r>
      <w:r>
        <w:rPr>
          <w:rFonts w:cs="Arial"/>
          <w:lang w:val="en-GB"/>
        </w:rPr>
        <w:t xml:space="preserve"> </w:t>
      </w:r>
      <w:r>
        <w:rPr>
          <w:rFonts w:cs="Arial"/>
          <w:lang w:val="en-GB"/>
        </w:rPr>
        <w:br/>
      </w:r>
      <w:r w:rsidRPr="00204C49">
        <w:rPr>
          <w:rFonts w:cs="Arial"/>
          <w:lang w:val="en-GB"/>
        </w:rPr>
        <w:t xml:space="preserve">On 6 May 2014, </w:t>
      </w:r>
      <w:r>
        <w:rPr>
          <w:rFonts w:cs="Arial"/>
          <w:lang w:val="en-GB"/>
        </w:rPr>
        <w:t xml:space="preserve">the Department’s </w:t>
      </w:r>
      <w:r w:rsidRPr="00204C49">
        <w:rPr>
          <w:rFonts w:cs="Arial"/>
          <w:lang w:val="en-GB"/>
        </w:rPr>
        <w:t>Secretary</w:t>
      </w:r>
      <w:r>
        <w:rPr>
          <w:rFonts w:cs="Arial"/>
          <w:lang w:val="en-GB"/>
        </w:rPr>
        <w:t>,</w:t>
      </w:r>
      <w:r w:rsidRPr="00204C49">
        <w:rPr>
          <w:rFonts w:cs="Arial"/>
          <w:lang w:val="en-GB"/>
        </w:rPr>
        <w:t xml:space="preserve"> Finn Pratt</w:t>
      </w:r>
      <w:r>
        <w:rPr>
          <w:rFonts w:cs="Arial"/>
          <w:lang w:val="en-GB"/>
        </w:rPr>
        <w:t>,</w:t>
      </w:r>
      <w:r w:rsidRPr="00204C49">
        <w:rPr>
          <w:rFonts w:cs="Arial"/>
          <w:lang w:val="en-GB"/>
        </w:rPr>
        <w:t xml:space="preserve"> </w:t>
      </w:r>
      <w:r>
        <w:rPr>
          <w:rFonts w:cs="Arial"/>
          <w:lang w:val="en-GB"/>
        </w:rPr>
        <w:t xml:space="preserve">emailed </w:t>
      </w:r>
      <w:r w:rsidRPr="00204C49">
        <w:rPr>
          <w:rFonts w:cs="Arial"/>
          <w:lang w:val="en-GB"/>
        </w:rPr>
        <w:t xml:space="preserve">all SES staff outlining his expectations </w:t>
      </w:r>
      <w:r>
        <w:rPr>
          <w:rFonts w:cs="Arial"/>
          <w:lang w:val="en-GB"/>
        </w:rPr>
        <w:t>of</w:t>
      </w:r>
      <w:r w:rsidRPr="00204C49">
        <w:rPr>
          <w:rFonts w:cs="Arial"/>
          <w:lang w:val="en-GB"/>
        </w:rPr>
        <w:t xml:space="preserve"> them under the Government’s commitment, including:</w:t>
      </w:r>
    </w:p>
    <w:p w:rsidR="00D836E4" w:rsidRPr="00204C49" w:rsidRDefault="007418A0" w:rsidP="0038770B">
      <w:pPr>
        <w:pStyle w:val="ListParagraph"/>
        <w:numPr>
          <w:ilvl w:val="0"/>
          <w:numId w:val="7"/>
        </w:numPr>
        <w:spacing w:before="240" w:after="0" w:line="276" w:lineRule="auto"/>
        <w:ind w:left="714" w:hanging="357"/>
        <w:contextualSpacing w:val="0"/>
        <w:rPr>
          <w:rFonts w:cs="Arial"/>
        </w:rPr>
      </w:pPr>
      <w:r w:rsidRPr="00204C49">
        <w:rPr>
          <w:rFonts w:cs="Arial"/>
        </w:rPr>
        <w:t xml:space="preserve">adopting a risk-based and proportional approach to regulation </w:t>
      </w:r>
    </w:p>
    <w:p w:rsidR="00D836E4" w:rsidRPr="00204C49" w:rsidRDefault="007418A0" w:rsidP="0038770B">
      <w:pPr>
        <w:pStyle w:val="ListParagraph"/>
        <w:numPr>
          <w:ilvl w:val="0"/>
          <w:numId w:val="7"/>
        </w:numPr>
        <w:spacing w:before="0" w:after="0" w:line="276" w:lineRule="auto"/>
        <w:ind w:left="714" w:hanging="357"/>
        <w:contextualSpacing w:val="0"/>
        <w:rPr>
          <w:rFonts w:cs="Arial"/>
        </w:rPr>
      </w:pPr>
      <w:r w:rsidRPr="00204C49">
        <w:rPr>
          <w:rFonts w:cs="Arial"/>
        </w:rPr>
        <w:t xml:space="preserve">complying fully with the Government’s new Regulation Impact Statement requirements and directions from Cabinet </w:t>
      </w:r>
    </w:p>
    <w:p w:rsidR="00D836E4" w:rsidRPr="004B42F1" w:rsidRDefault="007418A0" w:rsidP="0038770B">
      <w:pPr>
        <w:pStyle w:val="ListParagraph"/>
        <w:numPr>
          <w:ilvl w:val="0"/>
          <w:numId w:val="7"/>
        </w:numPr>
        <w:spacing w:before="0" w:after="0" w:line="276" w:lineRule="auto"/>
        <w:ind w:left="714" w:hanging="357"/>
        <w:contextualSpacing w:val="0"/>
        <w:rPr>
          <w:lang w:val="en-US"/>
        </w:rPr>
      </w:pPr>
      <w:proofErr w:type="gramStart"/>
      <w:r w:rsidRPr="004B42F1">
        <w:rPr>
          <w:rFonts w:cs="Arial"/>
        </w:rPr>
        <w:t>pursuing</w:t>
      </w:r>
      <w:proofErr w:type="gramEnd"/>
      <w:r w:rsidRPr="004B42F1">
        <w:rPr>
          <w:rFonts w:cs="Arial"/>
        </w:rPr>
        <w:t xml:space="preserve"> opportunities to reduce regulation and red tape burdens that the community recognises as genuine productivity gains.</w:t>
      </w:r>
    </w:p>
    <w:p w:rsidR="00D836E4" w:rsidRDefault="00D836E4" w:rsidP="00D836E4">
      <w:pPr>
        <w:rPr>
          <w:lang w:val="en-US"/>
        </w:rPr>
      </w:pPr>
    </w:p>
    <w:p w:rsidR="00D836E4" w:rsidRDefault="00D836E4" w:rsidP="00D836E4">
      <w:pPr>
        <w:rPr>
          <w:lang w:val="en-US"/>
        </w:rPr>
        <w:sectPr w:rsidR="00D836E4" w:rsidSect="00D836E4">
          <w:headerReference w:type="default" r:id="rId29"/>
          <w:type w:val="continuous"/>
          <w:pgSz w:w="11906" w:h="16838"/>
          <w:pgMar w:top="1440" w:right="1440" w:bottom="851" w:left="1440" w:header="709" w:footer="291" w:gutter="0"/>
          <w:cols w:space="708"/>
          <w:docGrid w:linePitch="360"/>
        </w:sectPr>
      </w:pPr>
    </w:p>
    <w:p w:rsidR="00D836E4" w:rsidRPr="00BF2DB7" w:rsidRDefault="007418A0" w:rsidP="00D836E4">
      <w:pPr>
        <w:pStyle w:val="Heading1"/>
      </w:pPr>
      <w:bookmarkStart w:id="43" w:name="_Toc256000062"/>
      <w:bookmarkStart w:id="44" w:name="_Toc256000036"/>
      <w:bookmarkStart w:id="45" w:name="_Toc256000010"/>
      <w:bookmarkStart w:id="46" w:name="_Toc413079651"/>
      <w:bookmarkStart w:id="47" w:name="_Toc414443745"/>
      <w:r w:rsidRPr="00BF2DB7">
        <w:lastRenderedPageBreak/>
        <w:t>The Audit</w:t>
      </w:r>
      <w:r>
        <w:t xml:space="preserve"> of Regulations – major findings</w:t>
      </w:r>
      <w:bookmarkEnd w:id="43"/>
      <w:bookmarkEnd w:id="44"/>
      <w:bookmarkEnd w:id="45"/>
      <w:bookmarkEnd w:id="46"/>
      <w:bookmarkEnd w:id="47"/>
    </w:p>
    <w:p w:rsidR="00D836E4" w:rsidRPr="00674AC4" w:rsidRDefault="007418A0" w:rsidP="00674AC4">
      <w:pPr>
        <w:spacing w:before="240" w:after="0"/>
        <w:rPr>
          <w:rFonts w:cs="Arial"/>
          <w:lang w:val="en-GB"/>
        </w:rPr>
      </w:pPr>
      <w:r w:rsidRPr="00674AC4">
        <w:rPr>
          <w:rFonts w:cs="Arial"/>
          <w:lang w:val="en-GB"/>
        </w:rPr>
        <w:t xml:space="preserve">The Department conducted a two-stage audit to estimate the burden of the regulation for which it had responsibility for under the 3 October 2013 Administrative Arrangements Orders. This included identifying primary acts, subordinate instruments and quasi-regulation (Stage One) and estimating the costs of these regulations (Stage Two). Stage </w:t>
      </w:r>
      <w:proofErr w:type="gramStart"/>
      <w:r w:rsidRPr="00674AC4">
        <w:rPr>
          <w:rFonts w:cs="Arial"/>
          <w:lang w:val="en-GB"/>
        </w:rPr>
        <w:t>One</w:t>
      </w:r>
      <w:proofErr w:type="gramEnd"/>
      <w:r w:rsidRPr="00674AC4">
        <w:rPr>
          <w:rFonts w:cs="Arial"/>
          <w:lang w:val="en-GB"/>
        </w:rPr>
        <w:t xml:space="preserve"> was completed in June 2014 and Stage Two was completed in December 2014.</w:t>
      </w:r>
    </w:p>
    <w:p w:rsidR="00D836E4" w:rsidRPr="00FE6662" w:rsidRDefault="00674AC4" w:rsidP="00D836E4">
      <w:pPr>
        <w:pStyle w:val="Heading2"/>
      </w:pPr>
      <w:bookmarkStart w:id="48" w:name="_Toc256000063"/>
      <w:bookmarkStart w:id="49" w:name="_Toc256000037"/>
      <w:bookmarkStart w:id="50" w:name="_Toc256000011"/>
      <w:bookmarkStart w:id="51" w:name="_Toc413079652"/>
      <w:bookmarkStart w:id="52" w:name="_Toc414443746"/>
      <w:r>
        <w:t>Stage O</w:t>
      </w:r>
      <w:r w:rsidR="007418A0" w:rsidRPr="00FE6662">
        <w:t>ne</w:t>
      </w:r>
      <w:bookmarkEnd w:id="48"/>
      <w:bookmarkEnd w:id="49"/>
      <w:bookmarkEnd w:id="50"/>
      <w:bookmarkEnd w:id="51"/>
      <w:bookmarkEnd w:id="52"/>
    </w:p>
    <w:p w:rsidR="00D836E4" w:rsidRPr="004529CF" w:rsidRDefault="007418A0" w:rsidP="00D836E4">
      <w:pPr>
        <w:rPr>
          <w:rFonts w:cs="Arial"/>
        </w:rPr>
      </w:pPr>
      <w:r w:rsidRPr="004529CF">
        <w:rPr>
          <w:rFonts w:cs="Arial"/>
        </w:rPr>
        <w:t xml:space="preserve">The table below summarises the count of the frameworks and regulation administered by </w:t>
      </w:r>
      <w:r>
        <w:rPr>
          <w:rFonts w:cs="Arial"/>
        </w:rPr>
        <w:t>the Department</w:t>
      </w:r>
      <w:r w:rsidRPr="004529CF">
        <w:rPr>
          <w:rFonts w:cs="Arial"/>
        </w:rPr>
        <w:t xml:space="preserve">, </w:t>
      </w:r>
      <w:r>
        <w:rPr>
          <w:rFonts w:cs="Arial"/>
        </w:rPr>
        <w:t>categorised by level of burden.</w:t>
      </w:r>
    </w:p>
    <w:p w:rsidR="00D836E4" w:rsidRDefault="007418A0" w:rsidP="00D836E4">
      <w:pPr>
        <w:rPr>
          <w:rFonts w:cs="Arial"/>
        </w:rPr>
      </w:pPr>
      <w:r w:rsidRPr="004529CF">
        <w:rPr>
          <w:rFonts w:cs="Arial"/>
        </w:rPr>
        <w:t>Frameworks and regulation that are administered by the Department of Human Services have been listed in the Zero Cost Burden column.</w:t>
      </w:r>
      <w:r>
        <w:rPr>
          <w:rFonts w:cs="Arial"/>
        </w:rPr>
        <w:t xml:space="preserve"> </w:t>
      </w:r>
      <w:r w:rsidRPr="004529CF">
        <w:rPr>
          <w:rFonts w:cs="Arial"/>
        </w:rPr>
        <w:t xml:space="preserve">The regulatory burden of these </w:t>
      </w:r>
      <w:r>
        <w:rPr>
          <w:rFonts w:cs="Arial"/>
        </w:rPr>
        <w:t>f</w:t>
      </w:r>
      <w:r w:rsidRPr="004529CF">
        <w:rPr>
          <w:rFonts w:cs="Arial"/>
        </w:rPr>
        <w:t xml:space="preserve">rameworks </w:t>
      </w:r>
      <w:r>
        <w:rPr>
          <w:rFonts w:cs="Arial"/>
        </w:rPr>
        <w:t xml:space="preserve">was </w:t>
      </w:r>
      <w:r w:rsidRPr="004529CF">
        <w:rPr>
          <w:rFonts w:cs="Arial"/>
        </w:rPr>
        <w:t>assessed and included in the Department of Human Services</w:t>
      </w:r>
      <w:r>
        <w:rPr>
          <w:rFonts w:cs="Arial"/>
        </w:rPr>
        <w:t>’</w:t>
      </w:r>
      <w:r w:rsidRPr="004529CF">
        <w:rPr>
          <w:rFonts w:cs="Arial"/>
        </w:rPr>
        <w:t xml:space="preserve"> audit, </w:t>
      </w:r>
      <w:r>
        <w:rPr>
          <w:rFonts w:cs="Arial"/>
        </w:rPr>
        <w:t xml:space="preserve">in line with guidance from </w:t>
      </w:r>
      <w:r w:rsidRPr="004529CF">
        <w:rPr>
          <w:rFonts w:cs="Arial"/>
        </w:rPr>
        <w:t xml:space="preserve">the </w:t>
      </w:r>
      <w:r>
        <w:rPr>
          <w:rFonts w:cs="Arial"/>
        </w:rPr>
        <w:t>Office of Deregulation in the Department of the Prime Minister and Cabinet.</w:t>
      </w:r>
    </w:p>
    <w:p w:rsidR="00D836E4" w:rsidRDefault="00D836E4" w:rsidP="00D836E4">
      <w:pPr>
        <w:rPr>
          <w:rFonts w:cs="Arial"/>
        </w:rPr>
      </w:pPr>
    </w:p>
    <w:p w:rsidR="00D836E4" w:rsidRPr="00F809BC" w:rsidRDefault="007418A0" w:rsidP="00D836E4">
      <w:pPr>
        <w:pStyle w:val="Tableheading"/>
        <w:spacing w:before="0" w:after="0"/>
        <w:rPr>
          <w:caps/>
        </w:rPr>
      </w:pPr>
      <w:r w:rsidRPr="00F809BC">
        <w:t xml:space="preserve">Table </w:t>
      </w:r>
      <w:r>
        <w:t>4</w:t>
      </w:r>
      <w:r w:rsidRPr="00F809BC">
        <w:t>: R</w:t>
      </w:r>
      <w:r>
        <w:t>esults of Stage one of the Department of Social Services’ a</w:t>
      </w:r>
      <w:r w:rsidRPr="00F809BC">
        <w:t>udit of regulations</w:t>
      </w:r>
    </w:p>
    <w:tbl>
      <w:tblPr>
        <w:tblStyle w:val="TableGrid1"/>
        <w:tblW w:w="4821" w:type="pct"/>
        <w:tblInd w:w="108" w:type="dxa"/>
        <w:tblLook w:val="04A0" w:firstRow="1" w:lastRow="0" w:firstColumn="1" w:lastColumn="0" w:noHBand="0" w:noVBand="1"/>
        <w:tblCaption w:val="Table 4: Results of Stage one of the Department of Social Services’ audit of regulations"/>
        <w:tblDescription w:val="This table outlines that DSS has:&#10;&#10;3 high burden frameworks, 3 medium burden frameworks, 4 low burden frameworks, 4 zero cost burden frameworks.&#10;&#10;11 high burden primary legislation, 17 medium burden primary legislation, 1 low burden primary legislation, 28 zero cost burden primary legislation.&#10;&#10;55 high burden subordinate instruments, 5 medium burden subordinate instruments, 0 low burden subordinate instruments, 351 zero cost burden subordinate instruments.&#10;&#10;95 high burden quasi-regulation (administrative processes), 98 medium burden quasi-regulation (administrative processes), 49 low burden quasi-regulation (administrative processes), 0 zero cost burden quasi-regulation (administrative processes)."/>
      </w:tblPr>
      <w:tblGrid>
        <w:gridCol w:w="1436"/>
        <w:gridCol w:w="1577"/>
        <w:gridCol w:w="1176"/>
        <w:gridCol w:w="1183"/>
        <w:gridCol w:w="1183"/>
        <w:gridCol w:w="1183"/>
        <w:gridCol w:w="1173"/>
      </w:tblGrid>
      <w:tr w:rsidR="00493496" w:rsidTr="00D836E4">
        <w:trPr>
          <w:trHeight w:val="248"/>
          <w:tblHeader/>
        </w:trPr>
        <w:tc>
          <w:tcPr>
            <w:tcW w:w="1690" w:type="pct"/>
            <w:gridSpan w:val="2"/>
            <w:vMerge w:val="restart"/>
            <w:tcBorders>
              <w:top w:val="single" w:sz="4" w:space="0" w:color="78BE20" w:themeColor="accent2"/>
              <w:left w:val="single" w:sz="4" w:space="0" w:color="78BE20" w:themeColor="accent2"/>
              <w:bottom w:val="single" w:sz="6" w:space="0" w:color="78BE20" w:themeColor="accent2"/>
              <w:right w:val="single" w:sz="6" w:space="0" w:color="78BE20" w:themeColor="accent2"/>
            </w:tcBorders>
            <w:shd w:val="clear" w:color="auto" w:fill="AFE66A" w:themeFill="accent2" w:themeFillTint="99"/>
            <w:vAlign w:val="center"/>
          </w:tcPr>
          <w:p w:rsidR="00D836E4" w:rsidRPr="0000534B" w:rsidRDefault="007418A0" w:rsidP="00D836E4">
            <w:pPr>
              <w:jc w:val="center"/>
              <w:rPr>
                <w:b/>
                <w:sz w:val="20"/>
                <w:szCs w:val="20"/>
              </w:rPr>
            </w:pPr>
            <w:r w:rsidRPr="0000534B">
              <w:rPr>
                <w:b/>
                <w:sz w:val="20"/>
                <w:szCs w:val="20"/>
              </w:rPr>
              <w:t>Regulation Type</w:t>
            </w:r>
          </w:p>
        </w:tc>
        <w:tc>
          <w:tcPr>
            <w:tcW w:w="2652" w:type="pct"/>
            <w:gridSpan w:val="4"/>
            <w:tcBorders>
              <w:top w:val="single" w:sz="4" w:space="0" w:color="78BE20" w:themeColor="accent2"/>
              <w:left w:val="single" w:sz="6" w:space="0" w:color="78BE20" w:themeColor="accent2"/>
              <w:bottom w:val="single" w:sz="6" w:space="0" w:color="78BE20" w:themeColor="accent2"/>
              <w:right w:val="single" w:sz="6" w:space="0" w:color="78BE20" w:themeColor="accent2"/>
            </w:tcBorders>
            <w:shd w:val="clear" w:color="auto" w:fill="AFE66A" w:themeFill="accent2" w:themeFillTint="99"/>
            <w:vAlign w:val="center"/>
          </w:tcPr>
          <w:p w:rsidR="00D836E4" w:rsidRPr="0000534B" w:rsidRDefault="007418A0" w:rsidP="00D836E4">
            <w:pPr>
              <w:jc w:val="center"/>
              <w:rPr>
                <w:b/>
                <w:sz w:val="20"/>
                <w:szCs w:val="20"/>
              </w:rPr>
            </w:pPr>
            <w:r w:rsidRPr="0000534B">
              <w:rPr>
                <w:b/>
                <w:sz w:val="20"/>
                <w:szCs w:val="20"/>
              </w:rPr>
              <w:t>Counts of Regulations</w:t>
            </w:r>
          </w:p>
        </w:tc>
        <w:tc>
          <w:tcPr>
            <w:tcW w:w="658" w:type="pct"/>
            <w:vMerge w:val="restart"/>
            <w:tcBorders>
              <w:top w:val="single" w:sz="4" w:space="0" w:color="78BE20" w:themeColor="accent2"/>
              <w:left w:val="single" w:sz="6" w:space="0" w:color="78BE20" w:themeColor="accent2"/>
              <w:bottom w:val="single" w:sz="6" w:space="0" w:color="78BE20" w:themeColor="accent2"/>
              <w:right w:val="single" w:sz="4" w:space="0" w:color="78BE20" w:themeColor="accent2"/>
            </w:tcBorders>
            <w:shd w:val="clear" w:color="auto" w:fill="78BE20" w:themeFill="accent2"/>
            <w:vAlign w:val="center"/>
          </w:tcPr>
          <w:p w:rsidR="00D836E4" w:rsidRPr="0000534B" w:rsidRDefault="007418A0" w:rsidP="00D836E4">
            <w:pPr>
              <w:jc w:val="center"/>
              <w:rPr>
                <w:b/>
                <w:sz w:val="20"/>
                <w:szCs w:val="20"/>
              </w:rPr>
            </w:pPr>
            <w:r w:rsidRPr="0000534B">
              <w:rPr>
                <w:b/>
                <w:sz w:val="20"/>
                <w:szCs w:val="20"/>
              </w:rPr>
              <w:t>Grand Total</w:t>
            </w:r>
          </w:p>
        </w:tc>
      </w:tr>
      <w:tr w:rsidR="00493496" w:rsidTr="00D836E4">
        <w:trPr>
          <w:trHeight w:val="132"/>
        </w:trPr>
        <w:tc>
          <w:tcPr>
            <w:tcW w:w="1690" w:type="pct"/>
            <w:gridSpan w:val="2"/>
            <w:vMerge/>
            <w:tcBorders>
              <w:top w:val="single" w:sz="6" w:space="0" w:color="78BE20" w:themeColor="accent2"/>
              <w:left w:val="single" w:sz="4" w:space="0" w:color="78BE20" w:themeColor="accent2"/>
              <w:bottom w:val="single" w:sz="6" w:space="0" w:color="78BE20" w:themeColor="accent2"/>
              <w:right w:val="single" w:sz="6" w:space="0" w:color="78BE20" w:themeColor="accent2"/>
            </w:tcBorders>
            <w:shd w:val="clear" w:color="auto" w:fill="AFE66A" w:themeFill="accent2" w:themeFillTint="99"/>
          </w:tcPr>
          <w:p w:rsidR="00D836E4" w:rsidRPr="0000534B" w:rsidRDefault="00D836E4" w:rsidP="00D836E4">
            <w:pPr>
              <w:rPr>
                <w:sz w:val="20"/>
                <w:szCs w:val="20"/>
              </w:rPr>
            </w:pPr>
          </w:p>
        </w:tc>
        <w:tc>
          <w:tcPr>
            <w:tcW w:w="660"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E4F6CD" w:themeFill="accent2" w:themeFillTint="33"/>
            <w:vAlign w:val="center"/>
          </w:tcPr>
          <w:p w:rsidR="00D836E4" w:rsidRPr="0000534B" w:rsidRDefault="007418A0" w:rsidP="00D836E4">
            <w:pPr>
              <w:jc w:val="center"/>
              <w:rPr>
                <w:sz w:val="20"/>
                <w:szCs w:val="20"/>
              </w:rPr>
            </w:pPr>
            <w:r w:rsidRPr="0000534B">
              <w:rPr>
                <w:sz w:val="20"/>
                <w:szCs w:val="20"/>
              </w:rPr>
              <w:t>High Burden</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E4F6CD" w:themeFill="accent2" w:themeFillTint="33"/>
            <w:vAlign w:val="center"/>
          </w:tcPr>
          <w:p w:rsidR="00D836E4" w:rsidRPr="0000534B" w:rsidRDefault="007418A0" w:rsidP="00D836E4">
            <w:pPr>
              <w:jc w:val="center"/>
              <w:rPr>
                <w:sz w:val="20"/>
                <w:szCs w:val="20"/>
              </w:rPr>
            </w:pPr>
            <w:r w:rsidRPr="0000534B">
              <w:rPr>
                <w:sz w:val="20"/>
                <w:szCs w:val="20"/>
              </w:rPr>
              <w:t>Medium Burden</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E4F6CD" w:themeFill="accent2" w:themeFillTint="33"/>
            <w:vAlign w:val="center"/>
          </w:tcPr>
          <w:p w:rsidR="00D836E4" w:rsidRPr="0000534B" w:rsidRDefault="007418A0" w:rsidP="00D836E4">
            <w:pPr>
              <w:jc w:val="center"/>
              <w:rPr>
                <w:sz w:val="20"/>
                <w:szCs w:val="20"/>
              </w:rPr>
            </w:pPr>
            <w:r w:rsidRPr="0000534B">
              <w:rPr>
                <w:sz w:val="20"/>
                <w:szCs w:val="20"/>
              </w:rPr>
              <w:t>Low Burden</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E4F6CD" w:themeFill="accent2" w:themeFillTint="33"/>
          </w:tcPr>
          <w:p w:rsidR="00D836E4" w:rsidRPr="0000534B" w:rsidRDefault="007418A0" w:rsidP="00D836E4">
            <w:pPr>
              <w:jc w:val="center"/>
              <w:rPr>
                <w:sz w:val="20"/>
                <w:szCs w:val="20"/>
              </w:rPr>
            </w:pPr>
            <w:r w:rsidRPr="0000534B">
              <w:rPr>
                <w:sz w:val="20"/>
                <w:szCs w:val="20"/>
              </w:rPr>
              <w:t>Zero Cost Burden</w:t>
            </w:r>
          </w:p>
        </w:tc>
        <w:tc>
          <w:tcPr>
            <w:tcW w:w="658" w:type="pct"/>
            <w:vMerge/>
            <w:tcBorders>
              <w:top w:val="single" w:sz="6" w:space="0" w:color="78BE20" w:themeColor="accent2"/>
              <w:left w:val="single" w:sz="6" w:space="0" w:color="78BE20" w:themeColor="accent2"/>
              <w:bottom w:val="single" w:sz="6" w:space="0" w:color="78BE20" w:themeColor="accent2"/>
              <w:right w:val="single" w:sz="4" w:space="0" w:color="78BE20" w:themeColor="accent2"/>
            </w:tcBorders>
            <w:shd w:val="clear" w:color="auto" w:fill="78BE20" w:themeFill="accent2"/>
          </w:tcPr>
          <w:p w:rsidR="00D836E4" w:rsidRPr="0000534B" w:rsidRDefault="00D836E4" w:rsidP="00D836E4">
            <w:pPr>
              <w:rPr>
                <w:sz w:val="20"/>
                <w:szCs w:val="20"/>
              </w:rPr>
            </w:pPr>
          </w:p>
        </w:tc>
      </w:tr>
      <w:tr w:rsidR="00493496" w:rsidTr="00D836E4">
        <w:trPr>
          <w:trHeight w:val="248"/>
        </w:trPr>
        <w:tc>
          <w:tcPr>
            <w:tcW w:w="805" w:type="pct"/>
            <w:vMerge w:val="restart"/>
            <w:tcBorders>
              <w:top w:val="single" w:sz="6" w:space="0" w:color="78BE20" w:themeColor="accent2"/>
              <w:left w:val="single" w:sz="4" w:space="0" w:color="78BE20" w:themeColor="accent2"/>
              <w:bottom w:val="single" w:sz="6" w:space="0" w:color="78BE20" w:themeColor="accent2"/>
              <w:right w:val="single" w:sz="6" w:space="0" w:color="78BE20" w:themeColor="accent2"/>
            </w:tcBorders>
            <w:shd w:val="clear" w:color="auto" w:fill="AFE66A" w:themeFill="accent2" w:themeFillTint="99"/>
            <w:vAlign w:val="center"/>
          </w:tcPr>
          <w:p w:rsidR="00D836E4" w:rsidRPr="0000534B" w:rsidRDefault="007418A0" w:rsidP="00D836E4">
            <w:pPr>
              <w:jc w:val="center"/>
              <w:rPr>
                <w:sz w:val="20"/>
                <w:szCs w:val="20"/>
              </w:rPr>
            </w:pPr>
            <w:r w:rsidRPr="0000534B">
              <w:rPr>
                <w:b/>
                <w:sz w:val="20"/>
                <w:szCs w:val="20"/>
              </w:rPr>
              <w:t>Frameworks</w:t>
            </w:r>
          </w:p>
        </w:tc>
        <w:tc>
          <w:tcPr>
            <w:tcW w:w="885"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E4F6CD" w:themeFill="accent2" w:themeFillTint="33"/>
          </w:tcPr>
          <w:p w:rsidR="00D836E4" w:rsidRPr="0000534B" w:rsidRDefault="007418A0" w:rsidP="00D836E4">
            <w:pPr>
              <w:rPr>
                <w:sz w:val="20"/>
                <w:szCs w:val="20"/>
              </w:rPr>
            </w:pPr>
            <w:r w:rsidRPr="0000534B">
              <w:rPr>
                <w:sz w:val="20"/>
                <w:szCs w:val="20"/>
              </w:rPr>
              <w:t>Frameworks</w:t>
            </w:r>
          </w:p>
        </w:tc>
        <w:tc>
          <w:tcPr>
            <w:tcW w:w="660"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3</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6</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4</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4</w:t>
            </w:r>
          </w:p>
        </w:tc>
        <w:tc>
          <w:tcPr>
            <w:tcW w:w="658" w:type="pct"/>
            <w:tcBorders>
              <w:top w:val="single" w:sz="6" w:space="0" w:color="78BE20" w:themeColor="accent2"/>
              <w:left w:val="single" w:sz="6" w:space="0" w:color="78BE20" w:themeColor="accent2"/>
              <w:bottom w:val="single" w:sz="6" w:space="0" w:color="78BE20" w:themeColor="accent2"/>
              <w:right w:val="single" w:sz="4"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17</w:t>
            </w:r>
          </w:p>
        </w:tc>
      </w:tr>
      <w:tr w:rsidR="00493496" w:rsidTr="00D836E4">
        <w:trPr>
          <w:trHeight w:val="132"/>
        </w:trPr>
        <w:tc>
          <w:tcPr>
            <w:tcW w:w="805" w:type="pct"/>
            <w:vMerge/>
            <w:tcBorders>
              <w:top w:val="single" w:sz="6" w:space="0" w:color="78BE20" w:themeColor="accent2"/>
              <w:left w:val="single" w:sz="4" w:space="0" w:color="78BE20" w:themeColor="accent2"/>
              <w:bottom w:val="single" w:sz="6" w:space="0" w:color="78BE20" w:themeColor="accent2"/>
              <w:right w:val="single" w:sz="6" w:space="0" w:color="78BE20" w:themeColor="accent2"/>
            </w:tcBorders>
            <w:shd w:val="clear" w:color="auto" w:fill="AFE66A" w:themeFill="accent2" w:themeFillTint="99"/>
          </w:tcPr>
          <w:p w:rsidR="00D836E4" w:rsidRPr="0000534B" w:rsidRDefault="00D836E4" w:rsidP="00D836E4">
            <w:pPr>
              <w:rPr>
                <w:sz w:val="20"/>
                <w:szCs w:val="20"/>
              </w:rPr>
            </w:pPr>
          </w:p>
        </w:tc>
        <w:tc>
          <w:tcPr>
            <w:tcW w:w="885"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E4F6CD" w:themeFill="accent2" w:themeFillTint="33"/>
          </w:tcPr>
          <w:p w:rsidR="00D836E4" w:rsidRPr="0000534B" w:rsidRDefault="007418A0" w:rsidP="00D836E4">
            <w:pPr>
              <w:rPr>
                <w:sz w:val="20"/>
                <w:szCs w:val="20"/>
              </w:rPr>
            </w:pPr>
            <w:r w:rsidRPr="0000534B">
              <w:rPr>
                <w:sz w:val="20"/>
                <w:szCs w:val="20"/>
              </w:rPr>
              <w:t>Primary Legislation</w:t>
            </w:r>
          </w:p>
        </w:tc>
        <w:tc>
          <w:tcPr>
            <w:tcW w:w="660"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11</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17</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1</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28</w:t>
            </w:r>
          </w:p>
        </w:tc>
        <w:tc>
          <w:tcPr>
            <w:tcW w:w="658" w:type="pct"/>
            <w:tcBorders>
              <w:top w:val="single" w:sz="6" w:space="0" w:color="78BE20" w:themeColor="accent2"/>
              <w:left w:val="single" w:sz="6" w:space="0" w:color="78BE20" w:themeColor="accent2"/>
              <w:bottom w:val="single" w:sz="6" w:space="0" w:color="78BE20" w:themeColor="accent2"/>
              <w:right w:val="single" w:sz="4"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57</w:t>
            </w:r>
          </w:p>
        </w:tc>
      </w:tr>
      <w:tr w:rsidR="00493496" w:rsidTr="00D836E4">
        <w:trPr>
          <w:trHeight w:val="132"/>
        </w:trPr>
        <w:tc>
          <w:tcPr>
            <w:tcW w:w="805" w:type="pct"/>
            <w:vMerge/>
            <w:tcBorders>
              <w:top w:val="single" w:sz="6" w:space="0" w:color="78BE20" w:themeColor="accent2"/>
              <w:left w:val="single" w:sz="4" w:space="0" w:color="78BE20" w:themeColor="accent2"/>
              <w:bottom w:val="single" w:sz="6" w:space="0" w:color="78BE20" w:themeColor="accent2"/>
              <w:right w:val="single" w:sz="6" w:space="0" w:color="78BE20" w:themeColor="accent2"/>
            </w:tcBorders>
            <w:shd w:val="clear" w:color="auto" w:fill="AFE66A" w:themeFill="accent2" w:themeFillTint="99"/>
          </w:tcPr>
          <w:p w:rsidR="00D836E4" w:rsidRPr="0000534B" w:rsidRDefault="00D836E4" w:rsidP="00D836E4">
            <w:pPr>
              <w:rPr>
                <w:sz w:val="20"/>
                <w:szCs w:val="20"/>
              </w:rPr>
            </w:pPr>
          </w:p>
        </w:tc>
        <w:tc>
          <w:tcPr>
            <w:tcW w:w="885"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E4F6CD" w:themeFill="accent2" w:themeFillTint="33"/>
          </w:tcPr>
          <w:p w:rsidR="00D836E4" w:rsidRPr="0000534B" w:rsidRDefault="007418A0" w:rsidP="00D836E4">
            <w:pPr>
              <w:rPr>
                <w:sz w:val="20"/>
                <w:szCs w:val="20"/>
              </w:rPr>
            </w:pPr>
            <w:r w:rsidRPr="0000534B">
              <w:rPr>
                <w:sz w:val="20"/>
                <w:szCs w:val="20"/>
              </w:rPr>
              <w:t>Subordinate Instruments</w:t>
            </w:r>
          </w:p>
        </w:tc>
        <w:tc>
          <w:tcPr>
            <w:tcW w:w="660"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55</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5</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0</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351</w:t>
            </w:r>
          </w:p>
        </w:tc>
        <w:tc>
          <w:tcPr>
            <w:tcW w:w="658" w:type="pct"/>
            <w:tcBorders>
              <w:top w:val="single" w:sz="6" w:space="0" w:color="78BE20" w:themeColor="accent2"/>
              <w:left w:val="single" w:sz="6" w:space="0" w:color="78BE20" w:themeColor="accent2"/>
              <w:bottom w:val="single" w:sz="6" w:space="0" w:color="78BE20" w:themeColor="accent2"/>
              <w:right w:val="single" w:sz="4"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411</w:t>
            </w:r>
          </w:p>
        </w:tc>
      </w:tr>
      <w:tr w:rsidR="00493496" w:rsidTr="00D836E4">
        <w:trPr>
          <w:trHeight w:val="132"/>
        </w:trPr>
        <w:tc>
          <w:tcPr>
            <w:tcW w:w="805" w:type="pct"/>
            <w:vMerge/>
            <w:tcBorders>
              <w:top w:val="single" w:sz="6" w:space="0" w:color="78BE20" w:themeColor="accent2"/>
              <w:left w:val="single" w:sz="4" w:space="0" w:color="78BE20" w:themeColor="accent2"/>
              <w:bottom w:val="single" w:sz="6" w:space="0" w:color="78BE20" w:themeColor="accent2"/>
              <w:right w:val="single" w:sz="6" w:space="0" w:color="78BE20" w:themeColor="accent2"/>
            </w:tcBorders>
            <w:shd w:val="clear" w:color="auto" w:fill="AFE66A" w:themeFill="accent2" w:themeFillTint="99"/>
          </w:tcPr>
          <w:p w:rsidR="00D836E4" w:rsidRPr="0000534B" w:rsidRDefault="00D836E4" w:rsidP="00D836E4">
            <w:pPr>
              <w:rPr>
                <w:sz w:val="20"/>
                <w:szCs w:val="20"/>
              </w:rPr>
            </w:pPr>
          </w:p>
        </w:tc>
        <w:tc>
          <w:tcPr>
            <w:tcW w:w="885"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E4F6CD" w:themeFill="accent2" w:themeFillTint="33"/>
          </w:tcPr>
          <w:p w:rsidR="00D836E4" w:rsidRPr="0000534B" w:rsidRDefault="007418A0" w:rsidP="00D836E4">
            <w:pPr>
              <w:rPr>
                <w:sz w:val="20"/>
                <w:szCs w:val="20"/>
              </w:rPr>
            </w:pPr>
            <w:r w:rsidRPr="0000534B">
              <w:rPr>
                <w:sz w:val="20"/>
                <w:szCs w:val="20"/>
              </w:rPr>
              <w:t>Quasi-regulations (administrative processes)</w:t>
            </w:r>
          </w:p>
        </w:tc>
        <w:tc>
          <w:tcPr>
            <w:tcW w:w="660"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95</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98</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49</w:t>
            </w:r>
          </w:p>
        </w:tc>
        <w:tc>
          <w:tcPr>
            <w:tcW w:w="664" w:type="pct"/>
            <w:tcBorders>
              <w:top w:val="single" w:sz="6" w:space="0" w:color="78BE20" w:themeColor="accent2"/>
              <w:left w:val="single" w:sz="6" w:space="0" w:color="78BE20" w:themeColor="accent2"/>
              <w:bottom w:val="single" w:sz="6" w:space="0" w:color="78BE20" w:themeColor="accent2"/>
              <w:right w:val="single" w:sz="6"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0</w:t>
            </w:r>
          </w:p>
        </w:tc>
        <w:tc>
          <w:tcPr>
            <w:tcW w:w="658" w:type="pct"/>
            <w:tcBorders>
              <w:top w:val="single" w:sz="6" w:space="0" w:color="78BE20" w:themeColor="accent2"/>
              <w:left w:val="single" w:sz="6" w:space="0" w:color="78BE20" w:themeColor="accent2"/>
              <w:bottom w:val="single" w:sz="6" w:space="0" w:color="78BE20" w:themeColor="accent2"/>
              <w:right w:val="single" w:sz="4" w:space="0" w:color="78BE20" w:themeColor="accent2"/>
            </w:tcBorders>
            <w:shd w:val="clear" w:color="auto" w:fill="F2F9E7" w:themeFill="accent6" w:themeFillTint="33"/>
          </w:tcPr>
          <w:p w:rsidR="00D836E4" w:rsidRPr="0000534B" w:rsidRDefault="007418A0" w:rsidP="00D836E4">
            <w:pPr>
              <w:rPr>
                <w:sz w:val="20"/>
                <w:szCs w:val="20"/>
              </w:rPr>
            </w:pPr>
            <w:r w:rsidRPr="0000534B">
              <w:rPr>
                <w:sz w:val="20"/>
                <w:szCs w:val="20"/>
              </w:rPr>
              <w:t>242</w:t>
            </w:r>
          </w:p>
        </w:tc>
      </w:tr>
    </w:tbl>
    <w:p w:rsidR="00045770" w:rsidRDefault="00045770" w:rsidP="00045770">
      <w:bookmarkStart w:id="53" w:name="_Toc256000066"/>
      <w:bookmarkStart w:id="54" w:name="_Toc256000040"/>
      <w:bookmarkStart w:id="55" w:name="_Toc256000014"/>
      <w:bookmarkStart w:id="56" w:name="_Toc413079653"/>
    </w:p>
    <w:p w:rsidR="00045770" w:rsidRDefault="00045770">
      <w:pPr>
        <w:spacing w:before="0" w:after="200" w:line="276" w:lineRule="auto"/>
        <w:rPr>
          <w:rFonts w:ascii="Georgia" w:hAnsi="Georgia"/>
          <w:bCs/>
          <w:color w:val="275D38"/>
          <w:sz w:val="32"/>
          <w:szCs w:val="26"/>
        </w:rPr>
      </w:pPr>
      <w:r>
        <w:br w:type="page"/>
      </w:r>
    </w:p>
    <w:p w:rsidR="00D836E4" w:rsidRPr="00FE6662" w:rsidRDefault="007418A0" w:rsidP="00D836E4">
      <w:pPr>
        <w:pStyle w:val="Heading2"/>
      </w:pPr>
      <w:bookmarkStart w:id="57" w:name="_Toc414443747"/>
      <w:r w:rsidRPr="00FE6662">
        <w:lastRenderedPageBreak/>
        <w:t xml:space="preserve">Stage </w:t>
      </w:r>
      <w:r w:rsidR="00674AC4">
        <w:t>T</w:t>
      </w:r>
      <w:r w:rsidRPr="00FE6662">
        <w:t>wo</w:t>
      </w:r>
      <w:bookmarkEnd w:id="53"/>
      <w:bookmarkEnd w:id="54"/>
      <w:bookmarkEnd w:id="55"/>
      <w:bookmarkEnd w:id="56"/>
      <w:bookmarkEnd w:id="57"/>
    </w:p>
    <w:p w:rsidR="00D836E4" w:rsidRDefault="007418A0" w:rsidP="00D836E4">
      <w:r>
        <w:t>Stage Two involved costing the regulatory requirements identified in Stage One to identify the cost of the regulatory burden the Department places on the community.</w:t>
      </w:r>
    </w:p>
    <w:p w:rsidR="00D836E4" w:rsidRDefault="007418A0" w:rsidP="00D836E4">
      <w:r>
        <w:t>The Department costed the entirety of its regulatory stock for Stage Two of the audit, excluding regulation that is administered by the Department of Human Services.</w:t>
      </w:r>
    </w:p>
    <w:p w:rsidR="00D836E4" w:rsidRPr="00457ED2" w:rsidRDefault="007418A0" w:rsidP="00D836E4">
      <w:pPr>
        <w:shd w:val="clear" w:color="auto" w:fill="FFFFFF"/>
      </w:pPr>
      <w:r w:rsidRPr="00457ED2">
        <w:t xml:space="preserve">Noting that it does not capture work progressed since October 2013 to improve regulatory practices, </w:t>
      </w:r>
      <w:r>
        <w:t xml:space="preserve">and that </w:t>
      </w:r>
      <w:r w:rsidRPr="00457ED2">
        <w:t xml:space="preserve">regulation relating to </w:t>
      </w:r>
      <w:r>
        <w:t xml:space="preserve">social security </w:t>
      </w:r>
      <w:r w:rsidRPr="00457ED2">
        <w:t xml:space="preserve">payments </w:t>
      </w:r>
      <w:r>
        <w:t xml:space="preserve">was not included, </w:t>
      </w:r>
      <w:r w:rsidRPr="00457ED2">
        <w:t xml:space="preserve">the key </w:t>
      </w:r>
      <w:r>
        <w:t xml:space="preserve">findings from the </w:t>
      </w:r>
      <w:r w:rsidRPr="00457ED2">
        <w:t>Stage Two</w:t>
      </w:r>
      <w:r>
        <w:t xml:space="preserve"> audit included that</w:t>
      </w:r>
      <w:r w:rsidRPr="00457ED2">
        <w:t>:</w:t>
      </w:r>
    </w:p>
    <w:p w:rsidR="00D836E4" w:rsidRPr="00D11AF0" w:rsidRDefault="007418A0" w:rsidP="0038770B">
      <w:pPr>
        <w:pStyle w:val="ListParagraph"/>
        <w:numPr>
          <w:ilvl w:val="0"/>
          <w:numId w:val="7"/>
        </w:numPr>
        <w:spacing w:before="0" w:after="0" w:line="276" w:lineRule="auto"/>
        <w:ind w:left="714" w:hanging="357"/>
        <w:contextualSpacing w:val="0"/>
        <w:rPr>
          <w:rFonts w:cs="Arial"/>
        </w:rPr>
      </w:pPr>
      <w:r w:rsidRPr="00D11AF0">
        <w:rPr>
          <w:rFonts w:cs="Arial"/>
        </w:rPr>
        <w:t xml:space="preserve">Aged care was </w:t>
      </w:r>
      <w:r>
        <w:rPr>
          <w:rFonts w:cs="Arial"/>
        </w:rPr>
        <w:t>the highest burden framework</w:t>
      </w:r>
    </w:p>
    <w:p w:rsidR="00D836E4" w:rsidRPr="00D11AF0" w:rsidRDefault="007418A0" w:rsidP="0038770B">
      <w:pPr>
        <w:pStyle w:val="ListParagraph"/>
        <w:numPr>
          <w:ilvl w:val="0"/>
          <w:numId w:val="7"/>
        </w:numPr>
        <w:spacing w:before="0" w:after="0" w:line="276" w:lineRule="auto"/>
        <w:ind w:left="714" w:hanging="357"/>
        <w:contextualSpacing w:val="0"/>
        <w:rPr>
          <w:rFonts w:cs="Arial"/>
        </w:rPr>
      </w:pPr>
      <w:r w:rsidRPr="00D11AF0">
        <w:rPr>
          <w:rFonts w:cs="Arial"/>
        </w:rPr>
        <w:t>Individual agreements and assessments in the areas of disability and aged care have a high regulatory burden (on both</w:t>
      </w:r>
      <w:r>
        <w:rPr>
          <w:rFonts w:cs="Arial"/>
        </w:rPr>
        <w:t xml:space="preserve"> organisations and individuals)</w:t>
      </w:r>
    </w:p>
    <w:p w:rsidR="00D836E4" w:rsidRPr="00D11AF0" w:rsidRDefault="007418A0" w:rsidP="0038770B">
      <w:pPr>
        <w:pStyle w:val="ListParagraph"/>
        <w:numPr>
          <w:ilvl w:val="0"/>
          <w:numId w:val="7"/>
        </w:numPr>
        <w:spacing w:before="0" w:after="0" w:line="276" w:lineRule="auto"/>
        <w:ind w:left="714" w:hanging="357"/>
        <w:contextualSpacing w:val="0"/>
        <w:rPr>
          <w:rFonts w:cs="Arial"/>
        </w:rPr>
      </w:pPr>
      <w:r w:rsidRPr="00D11AF0">
        <w:rPr>
          <w:rFonts w:cs="Arial"/>
        </w:rPr>
        <w:t>The majority of burden experienced by grant-funded organisations relates to performance reporting requirements, followed by application processes, although the latter burden is significantly less than the reporting requirements burden.</w:t>
      </w:r>
    </w:p>
    <w:p w:rsidR="00D836E4" w:rsidRDefault="007418A0" w:rsidP="00D836E4">
      <w:pPr>
        <w:pStyle w:val="Heading2"/>
      </w:pPr>
      <w:bookmarkStart w:id="58" w:name="_Toc256000067"/>
      <w:bookmarkStart w:id="59" w:name="_Toc256000041"/>
      <w:bookmarkStart w:id="60" w:name="_Toc256000015"/>
      <w:bookmarkStart w:id="61" w:name="_Toc413079654"/>
      <w:bookmarkStart w:id="62" w:name="_Toc414443748"/>
      <w:r>
        <w:t>Consultation</w:t>
      </w:r>
      <w:bookmarkEnd w:id="58"/>
      <w:bookmarkEnd w:id="59"/>
      <w:bookmarkEnd w:id="60"/>
      <w:bookmarkEnd w:id="61"/>
      <w:bookmarkEnd w:id="62"/>
    </w:p>
    <w:p w:rsidR="00D836E4" w:rsidRPr="00D11AF0" w:rsidRDefault="007418A0" w:rsidP="00D836E4">
      <w:r w:rsidRPr="00D11AF0">
        <w:t xml:space="preserve">The former Minister for Social Services, the Hon Kevin Andrews MP, </w:t>
      </w:r>
      <w:r w:rsidRPr="0096692D">
        <w:t xml:space="preserve">convened a meeting with a group of key stakeholders on 25 June </w:t>
      </w:r>
      <w:r>
        <w:t xml:space="preserve">2014 </w:t>
      </w:r>
      <w:r w:rsidRPr="0096692D">
        <w:t xml:space="preserve">to test the findings of the Department’s regulation audit, and to </w:t>
      </w:r>
      <w:r>
        <w:t>canvass</w:t>
      </w:r>
      <w:r w:rsidRPr="0096692D">
        <w:t xml:space="preserve"> views about priority areas for regulatory reform within the Department.</w:t>
      </w:r>
      <w:r>
        <w:t xml:space="preserve"> </w:t>
      </w:r>
      <w:r w:rsidRPr="00D11AF0">
        <w:t>Given the breadth of the Social Services portfolio, representatives from key stakeholder groups and front line practitioners were invited to attend this meeting.</w:t>
      </w:r>
    </w:p>
    <w:p w:rsidR="00D836E4" w:rsidRPr="00D11AF0" w:rsidRDefault="007418A0" w:rsidP="00D836E4">
      <w:r w:rsidRPr="00D11AF0">
        <w:t>In addition, the Department used existing stakeholder meetings, and arranged ad hoc meetings with stakeholders to test the audit findings by sector.</w:t>
      </w:r>
    </w:p>
    <w:p w:rsidR="00D836E4" w:rsidRDefault="007418A0" w:rsidP="009B3A91">
      <w:pPr>
        <w:rPr>
          <w:lang w:val="en-GB"/>
        </w:rPr>
      </w:pPr>
      <w:r w:rsidRPr="00D11AF0">
        <w:t xml:space="preserve">Stakeholders agreed with the audit findings, and provided advice to the Department on areas where they considered there were opportunities for regulatory reform. </w:t>
      </w:r>
    </w:p>
    <w:p w:rsidR="00D836E4" w:rsidRDefault="00D836E4" w:rsidP="00D836E4">
      <w:pPr>
        <w:sectPr w:rsidR="00D836E4" w:rsidSect="00D836E4">
          <w:headerReference w:type="default" r:id="rId30"/>
          <w:pgSz w:w="11906" w:h="16838"/>
          <w:pgMar w:top="1440" w:right="1440" w:bottom="851" w:left="1440" w:header="709" w:footer="291" w:gutter="0"/>
          <w:cols w:space="708"/>
          <w:docGrid w:linePitch="360"/>
        </w:sectPr>
      </w:pPr>
    </w:p>
    <w:p w:rsidR="00D836E4" w:rsidRDefault="007418A0" w:rsidP="00D836E4">
      <w:pPr>
        <w:pStyle w:val="Heading1"/>
      </w:pPr>
      <w:bookmarkStart w:id="63" w:name="_Toc256000068"/>
      <w:bookmarkStart w:id="64" w:name="_Toc256000042"/>
      <w:bookmarkStart w:id="65" w:name="_Toc256000016"/>
      <w:bookmarkStart w:id="66" w:name="_Toc413079655"/>
      <w:bookmarkStart w:id="67" w:name="_Toc414443749"/>
      <w:r>
        <w:lastRenderedPageBreak/>
        <w:t xml:space="preserve">Appendix A: </w:t>
      </w:r>
      <w:r w:rsidRPr="00BF2DB7">
        <w:t xml:space="preserve">Measures announced </w:t>
      </w:r>
      <w:r>
        <w:t>in</w:t>
      </w:r>
      <w:r w:rsidRPr="00BF2DB7">
        <w:t xml:space="preserve"> 2014</w:t>
      </w:r>
      <w:bookmarkEnd w:id="63"/>
      <w:bookmarkEnd w:id="64"/>
      <w:bookmarkEnd w:id="65"/>
      <w:bookmarkEnd w:id="66"/>
      <w:bookmarkEnd w:id="67"/>
    </w:p>
    <w:p w:rsidR="00B8188E" w:rsidRPr="00EB146C" w:rsidRDefault="007418A0" w:rsidP="00D836E4">
      <w:pPr>
        <w:rPr>
          <w:sz w:val="20"/>
        </w:rPr>
      </w:pPr>
      <w:r w:rsidRPr="00EB146C">
        <w:rPr>
          <w:sz w:val="20"/>
        </w:rPr>
        <w:t>The value of some regulatory costs and savings listed in this Annual Deregulation Report may differ to amounts previously reported in the 2014 Autumn Repeal Day and 2014 Spring Repeal Day summa</w:t>
      </w:r>
      <w:r w:rsidR="00674AC4">
        <w:rPr>
          <w:sz w:val="20"/>
        </w:rPr>
        <w:t>ry documents, as a result of up-</w:t>
      </w:r>
      <w:r w:rsidRPr="00EB146C">
        <w:rPr>
          <w:sz w:val="20"/>
        </w:rPr>
        <w:t xml:space="preserve">to-date information becoming available. Measures marked with an asterisk (*) indicate where a </w:t>
      </w:r>
      <w:proofErr w:type="spellStart"/>
      <w:r w:rsidRPr="00EB146C">
        <w:rPr>
          <w:sz w:val="20"/>
        </w:rPr>
        <w:t>recosting</w:t>
      </w:r>
      <w:proofErr w:type="spellEnd"/>
      <w:r w:rsidRPr="00EB146C">
        <w:rPr>
          <w:sz w:val="20"/>
        </w:rPr>
        <w:t xml:space="preserve"> has occurred.</w:t>
      </w:r>
    </w:p>
    <w:p w:rsidR="00D836E4" w:rsidRPr="00FE6662" w:rsidRDefault="007418A0" w:rsidP="00D836E4">
      <w:pPr>
        <w:pStyle w:val="Heading2"/>
      </w:pPr>
      <w:bookmarkStart w:id="68" w:name="_Toc256000069"/>
      <w:bookmarkStart w:id="69" w:name="_Toc256000043"/>
      <w:bookmarkStart w:id="70" w:name="_Toc256000017"/>
      <w:bookmarkStart w:id="71" w:name="_Toc413079656"/>
      <w:bookmarkStart w:id="72" w:name="_Toc414443750"/>
      <w:r w:rsidRPr="00FE6662">
        <w:t>Regulatory Savings</w:t>
      </w:r>
      <w:bookmarkEnd w:id="68"/>
      <w:bookmarkEnd w:id="69"/>
      <w:bookmarkEnd w:id="70"/>
      <w:bookmarkEnd w:id="71"/>
      <w:bookmarkEnd w:id="72"/>
    </w:p>
    <w:p w:rsidR="00D836E4" w:rsidRPr="005F2103" w:rsidRDefault="007418A0" w:rsidP="00D836E4">
      <w:pPr>
        <w:pStyle w:val="Heading3"/>
      </w:pPr>
      <w:bookmarkStart w:id="73" w:name="_Toc256000070"/>
      <w:bookmarkStart w:id="74" w:name="_Toc256000044"/>
      <w:bookmarkStart w:id="75" w:name="_Toc256000018"/>
      <w:bookmarkStart w:id="76" w:name="_Toc413079657"/>
      <w:bookmarkStart w:id="77" w:name="_Toc414443751"/>
      <w:r w:rsidRPr="005F2103">
        <w:t>Ageing and Aged Care</w:t>
      </w:r>
      <w:bookmarkEnd w:id="73"/>
      <w:bookmarkEnd w:id="74"/>
      <w:bookmarkEnd w:id="75"/>
      <w:bookmarkEnd w:id="76"/>
      <w:bookmarkEnd w:id="77"/>
    </w:p>
    <w:p w:rsidR="00D836E4" w:rsidRPr="00203EE6" w:rsidRDefault="007418A0" w:rsidP="00D836E4">
      <w:pPr>
        <w:pStyle w:val="ReportMeasureTitle"/>
        <w:shd w:val="clear" w:color="auto" w:fill="DAEDB8" w:themeFill="accent6" w:themeFillTint="99"/>
        <w:rPr>
          <w:rFonts w:ascii="Arial" w:hAnsi="Arial" w:cs="Arial"/>
          <w:b/>
          <w:lang w:eastAsia="en-AU"/>
        </w:rPr>
      </w:pPr>
      <w:r w:rsidRPr="00203EE6">
        <w:rPr>
          <w:rFonts w:ascii="Arial" w:hAnsi="Arial" w:cs="Arial"/>
          <w:b/>
        </w:rPr>
        <w:t>Cessation of the Aged Care Workforce Supplement</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On 13 December 2013, the Aged Care Workforce Supplement was discontinued.</w:t>
      </w:r>
    </w:p>
    <w:p w:rsidR="00D836E4" w:rsidRPr="005E35BC" w:rsidRDefault="007418A0" w:rsidP="00D836E4">
      <w:pPr>
        <w:pStyle w:val="ReportBulletPoint"/>
        <w:shd w:val="clear" w:color="auto" w:fill="F2F9E7" w:themeFill="accent6" w:themeFillTint="33"/>
        <w:rPr>
          <w:rFonts w:ascii="Arial" w:hAnsi="Arial" w:cs="Arial"/>
        </w:rPr>
      </w:pPr>
      <w:r w:rsidRPr="005E35BC">
        <w:rPr>
          <w:rFonts w:ascii="Arial" w:hAnsi="Arial" w:cs="Arial"/>
        </w:rPr>
        <w:t>The Government redirected $1.5 billion in Aged Care Workforce Supplement funding to the sector over five years from 2013-14, consisting of $1.1 billion between 2013-14 and 2016-17 and $0.4 billion in 2017-18. This reduced red tape as providers will have more flexibility in how to use these additional funds.</w:t>
      </w:r>
    </w:p>
    <w:p w:rsidR="00D836E4" w:rsidRPr="00D836E4" w:rsidRDefault="007418A0" w:rsidP="00D836E4">
      <w:pPr>
        <w:pStyle w:val="ReportBulletPoint"/>
        <w:shd w:val="clear" w:color="auto" w:fill="F2F9E7" w:themeFill="accent6" w:themeFillTint="33"/>
        <w:rPr>
          <w:rFonts w:ascii="Arial" w:hAnsi="Arial" w:cs="Arial"/>
          <w:b/>
        </w:rPr>
      </w:pPr>
      <w:r>
        <w:rPr>
          <w:rFonts w:ascii="Arial" w:hAnsi="Arial" w:cs="Arial"/>
        </w:rPr>
        <w:t>The Department</w:t>
      </w:r>
      <w:r w:rsidRPr="00A44F88">
        <w:rPr>
          <w:rFonts w:ascii="Arial" w:hAnsi="Arial" w:cs="Arial"/>
        </w:rPr>
        <w:t xml:space="preserve"> has estimated that this will lead to an annual saving of $2.58</w:t>
      </w:r>
      <w:r>
        <w:rPr>
          <w:rFonts w:ascii="Arial" w:hAnsi="Arial" w:cs="Arial"/>
        </w:rPr>
        <w:t>7</w:t>
      </w:r>
      <w:r w:rsidRPr="00A44F88">
        <w:rPr>
          <w:rFonts w:ascii="Arial" w:hAnsi="Arial" w:cs="Arial"/>
        </w:rPr>
        <w:t xml:space="preserve"> million in compliance costs.</w:t>
      </w:r>
    </w:p>
    <w:p w:rsidR="00D836E4" w:rsidRPr="00203EE6" w:rsidRDefault="007418A0" w:rsidP="00D836E4">
      <w:pPr>
        <w:pStyle w:val="ReportMeasureTitle"/>
        <w:shd w:val="clear" w:color="auto" w:fill="DAEDB8" w:themeFill="accent6" w:themeFillTint="99"/>
        <w:rPr>
          <w:rFonts w:ascii="Arial" w:hAnsi="Arial" w:cs="Arial"/>
          <w:b/>
          <w:noProof/>
        </w:rPr>
      </w:pPr>
      <w:r w:rsidRPr="00203EE6">
        <w:rPr>
          <w:rFonts w:ascii="Arial" w:hAnsi="Arial" w:cs="Arial"/>
          <w:b/>
        </w:rPr>
        <w:t>Streamlining the pricing process for residential aged care*</w:t>
      </w:r>
    </w:p>
    <w:p w:rsidR="00D836E4" w:rsidRPr="00CF2F6D" w:rsidRDefault="007418A0" w:rsidP="00D836E4">
      <w:pPr>
        <w:pStyle w:val="ReportBulletPoint"/>
        <w:shd w:val="clear" w:color="auto" w:fill="F2F9E7" w:themeFill="accent6" w:themeFillTint="33"/>
        <w:rPr>
          <w:rFonts w:ascii="Arial" w:hAnsi="Arial" w:cs="Arial"/>
        </w:rPr>
      </w:pPr>
      <w:r w:rsidRPr="00CF2F6D">
        <w:rPr>
          <w:rFonts w:ascii="Arial" w:hAnsi="Arial" w:cs="Arial"/>
        </w:rPr>
        <w:t>The Government removed the requirement for residential aged care providers to follow a prescriptive process in setting accommodation prices which was to commence on 1 July 2014.</w:t>
      </w:r>
    </w:p>
    <w:p w:rsidR="00D836E4" w:rsidRPr="00CF2F6D" w:rsidRDefault="007418A0" w:rsidP="00D836E4">
      <w:pPr>
        <w:pStyle w:val="ReportBulletPoint"/>
        <w:shd w:val="clear" w:color="auto" w:fill="F2F9E7" w:themeFill="accent6" w:themeFillTint="33"/>
        <w:rPr>
          <w:rFonts w:ascii="Arial" w:hAnsi="Arial" w:cs="Arial"/>
        </w:rPr>
      </w:pPr>
      <w:r w:rsidRPr="00CF2F6D">
        <w:rPr>
          <w:rFonts w:ascii="Arial" w:hAnsi="Arial" w:cs="Arial"/>
        </w:rPr>
        <w:t>Under the changes, providers are only required to publish all accommodation prices and information about their facility and seek approval from the Aged Care Pricing Commissioner to charge accommodation payment amounts above a $550,000 lump sum (or daily payment equivalent).</w:t>
      </w:r>
    </w:p>
    <w:p w:rsidR="00D836E4" w:rsidRPr="00CF2F6D" w:rsidRDefault="007418A0" w:rsidP="00D836E4">
      <w:pPr>
        <w:pStyle w:val="ReportBulletPoint"/>
        <w:shd w:val="clear" w:color="auto" w:fill="F2F9E7" w:themeFill="accent6" w:themeFillTint="33"/>
        <w:rPr>
          <w:rFonts w:ascii="Arial" w:hAnsi="Arial" w:cs="Arial"/>
        </w:rPr>
      </w:pPr>
      <w:r w:rsidRPr="00CF2F6D">
        <w:rPr>
          <w:rFonts w:ascii="Arial" w:hAnsi="Arial" w:cs="Arial"/>
        </w:rPr>
        <w:t>These changes will make the sector more transparent and competitive in a way that places less administrative burden on providers.</w:t>
      </w:r>
    </w:p>
    <w:p w:rsidR="00D836E4" w:rsidRPr="00D836E4" w:rsidRDefault="007418A0" w:rsidP="00D836E4">
      <w:pPr>
        <w:pStyle w:val="ReportBulletPoint"/>
        <w:shd w:val="clear" w:color="auto" w:fill="F2F9E7" w:themeFill="accent6" w:themeFillTint="33"/>
        <w:rPr>
          <w:rFonts w:ascii="Arial" w:hAnsi="Arial" w:cs="Arial"/>
          <w:b/>
          <w:noProof/>
        </w:rPr>
      </w:pPr>
      <w:r>
        <w:rPr>
          <w:rFonts w:ascii="Arial" w:hAnsi="Arial" w:cs="Arial"/>
        </w:rPr>
        <w:t>The Department</w:t>
      </w:r>
      <w:r w:rsidRPr="00A44F88">
        <w:rPr>
          <w:rFonts w:ascii="Arial" w:hAnsi="Arial" w:cs="Arial"/>
        </w:rPr>
        <w:t xml:space="preserve"> has estimated that this</w:t>
      </w:r>
      <w:r w:rsidRPr="00A44F88">
        <w:rPr>
          <w:rFonts w:ascii="Arial" w:hAnsi="Arial" w:cs="Arial"/>
          <w:noProof/>
        </w:rPr>
        <w:t xml:space="preserve"> will lead to an annual saving of $1.7</w:t>
      </w:r>
      <w:r>
        <w:rPr>
          <w:rFonts w:ascii="Arial" w:hAnsi="Arial" w:cs="Arial"/>
          <w:noProof/>
        </w:rPr>
        <w:t>03</w:t>
      </w:r>
      <w:r w:rsidRPr="00A44F88">
        <w:rPr>
          <w:rFonts w:ascii="Arial" w:hAnsi="Arial" w:cs="Arial"/>
          <w:noProof/>
        </w:rPr>
        <w:t xml:space="preserve"> million in compliance costs.</w:t>
      </w:r>
    </w:p>
    <w:p w:rsidR="00D836E4" w:rsidRPr="00203EE6" w:rsidRDefault="007418A0" w:rsidP="00D836E4">
      <w:pPr>
        <w:pStyle w:val="ReportMeasureTitle"/>
        <w:shd w:val="clear" w:color="auto" w:fill="DAEDB8" w:themeFill="accent6" w:themeFillTint="99"/>
        <w:rPr>
          <w:rFonts w:ascii="Arial" w:hAnsi="Arial" w:cs="Arial"/>
          <w:b/>
        </w:rPr>
      </w:pPr>
      <w:r w:rsidRPr="00203EE6">
        <w:rPr>
          <w:rFonts w:ascii="Arial" w:hAnsi="Arial" w:cs="Arial"/>
          <w:b/>
        </w:rPr>
        <w:t>Streamlining of Quality Reporting Processes for Aged Care service providers</w:t>
      </w:r>
    </w:p>
    <w:p w:rsidR="00D836E4" w:rsidRPr="00A44F88" w:rsidRDefault="007418A0" w:rsidP="00D836E4">
      <w:pPr>
        <w:pStyle w:val="ReportBulletPoint"/>
        <w:shd w:val="clear" w:color="auto" w:fill="F2F9E7" w:themeFill="accent6" w:themeFillTint="33"/>
        <w:rPr>
          <w:rFonts w:ascii="Arial" w:eastAsia="Arial" w:hAnsi="Arial" w:cs="Arial"/>
          <w:b/>
        </w:rPr>
      </w:pPr>
      <w:r w:rsidRPr="00A44F88">
        <w:rPr>
          <w:rFonts w:ascii="Arial" w:hAnsi="Arial" w:cs="Arial"/>
        </w:rPr>
        <w:t>From 1 January 2014, the Department introduced streamlined quality reporting processes for aged care service providers.</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 xml:space="preserve">Streamlining quality reporting will reduce the amount of duplicative reporting aged care providers are required to submit to the Commonwealth. </w:t>
      </w:r>
    </w:p>
    <w:p w:rsidR="00D836E4" w:rsidRPr="00A44F88" w:rsidRDefault="007418A0" w:rsidP="00D836E4">
      <w:pPr>
        <w:pStyle w:val="ReportBulletPoint"/>
        <w:shd w:val="clear" w:color="auto" w:fill="F2F9E7" w:themeFill="accent6" w:themeFillTint="33"/>
        <w:rPr>
          <w:rFonts w:ascii="Arial" w:hAnsi="Arial" w:cs="Arial"/>
        </w:rPr>
      </w:pPr>
      <w:r>
        <w:rPr>
          <w:rFonts w:ascii="Arial" w:hAnsi="Arial" w:cs="Arial"/>
        </w:rPr>
        <w:t>The Department</w:t>
      </w:r>
      <w:r w:rsidRPr="00A44F88">
        <w:rPr>
          <w:rFonts w:ascii="Arial" w:hAnsi="Arial" w:cs="Arial"/>
        </w:rPr>
        <w:t xml:space="preserve"> has estimated that this will lead to an annual saving of $0.077 million in compliance costs.</w:t>
      </w:r>
    </w:p>
    <w:p w:rsidR="00674AC4" w:rsidRDefault="00674AC4">
      <w:pPr>
        <w:spacing w:before="0" w:after="200" w:line="276" w:lineRule="auto"/>
        <w:rPr>
          <w:rFonts w:ascii="Verdana" w:hAnsi="Verdana"/>
          <w:spacing w:val="0"/>
          <w:sz w:val="20"/>
          <w:szCs w:val="20"/>
          <w:lang w:eastAsia="en-US"/>
        </w:rPr>
      </w:pPr>
      <w:r>
        <w:br w:type="page"/>
      </w:r>
    </w:p>
    <w:p w:rsidR="00D836E4" w:rsidRPr="00203EE6" w:rsidRDefault="00D836E4" w:rsidP="00D836E4">
      <w:pPr>
        <w:pStyle w:val="ReportMeasureTitle"/>
        <w:shd w:val="clear" w:color="auto" w:fill="DAEDB8" w:themeFill="accent6" w:themeFillTint="99"/>
        <w:rPr>
          <w:rFonts w:ascii="Arial" w:hAnsi="Arial" w:cs="Arial"/>
          <w:b/>
        </w:rPr>
      </w:pPr>
      <w:r>
        <w:rPr>
          <w:rFonts w:ascii="Arial" w:hAnsi="Arial" w:cs="Arial"/>
          <w:b/>
        </w:rPr>
        <w:lastRenderedPageBreak/>
        <w:t>Measures from the Aged Care Sector Red Tape Reduction Action Plan</w:t>
      </w:r>
    </w:p>
    <w:p w:rsidR="00D836E4" w:rsidRPr="00D836E4" w:rsidRDefault="00D836E4" w:rsidP="008B2DE6">
      <w:pPr>
        <w:pStyle w:val="ReportBulletPoint"/>
        <w:shd w:val="clear" w:color="auto" w:fill="F2F9E7" w:themeFill="accent6" w:themeFillTint="33"/>
        <w:rPr>
          <w:rFonts w:ascii="Arial" w:hAnsi="Arial" w:cs="Arial"/>
        </w:rPr>
      </w:pPr>
      <w:r w:rsidRPr="00D836E4">
        <w:rPr>
          <w:rFonts w:ascii="Arial" w:hAnsi="Arial" w:cs="Arial"/>
        </w:rPr>
        <w:t>The Government’s Aged Care Sector Committee has developed a Red Tape Reduction Action</w:t>
      </w:r>
      <w:r w:rsidR="00674AC4">
        <w:rPr>
          <w:rFonts w:ascii="Arial" w:hAnsi="Arial" w:cs="Arial"/>
        </w:rPr>
        <w:t xml:space="preserve"> Plan</w:t>
      </w:r>
      <w:r w:rsidRPr="00D836E4">
        <w:rPr>
          <w:rFonts w:ascii="Arial" w:hAnsi="Arial" w:cs="Arial"/>
        </w:rPr>
        <w:t xml:space="preserve"> to reduce red tape for the aged care sector. </w:t>
      </w:r>
    </w:p>
    <w:p w:rsidR="00D836E4" w:rsidRPr="00D836E4" w:rsidRDefault="00D836E4" w:rsidP="008B2DE6">
      <w:pPr>
        <w:pStyle w:val="ReportBulletPoint"/>
        <w:shd w:val="clear" w:color="auto" w:fill="F2F9E7" w:themeFill="accent6" w:themeFillTint="33"/>
        <w:rPr>
          <w:rFonts w:ascii="Arial" w:hAnsi="Arial" w:cs="Arial"/>
        </w:rPr>
      </w:pPr>
      <w:r w:rsidRPr="00D836E4">
        <w:rPr>
          <w:rFonts w:ascii="Arial" w:hAnsi="Arial" w:cs="Arial"/>
        </w:rPr>
        <w:t>The Plan identifies a total of 35 items as possible red tape reduction opportunities with 20 of these items recognised as ‘to be actioned’ and a further 15 highlighted as ‘to be explored’.</w:t>
      </w:r>
    </w:p>
    <w:p w:rsidR="008B2DE6" w:rsidRDefault="00D836E4" w:rsidP="008B2DE6">
      <w:pPr>
        <w:pStyle w:val="ReportBulletPoint"/>
        <w:shd w:val="clear" w:color="auto" w:fill="F2F9E7" w:themeFill="accent6" w:themeFillTint="33"/>
        <w:rPr>
          <w:rFonts w:ascii="Arial" w:hAnsi="Arial" w:cs="Arial"/>
        </w:rPr>
      </w:pPr>
      <w:r w:rsidRPr="00D836E4">
        <w:rPr>
          <w:rFonts w:ascii="Arial" w:hAnsi="Arial" w:cs="Arial"/>
        </w:rPr>
        <w:t>A number of items from the Action Plan were completed during 2014.  Some of these actions included:</w:t>
      </w:r>
    </w:p>
    <w:p w:rsidR="007A664D" w:rsidRPr="0038770B" w:rsidRDefault="0038770B" w:rsidP="0038770B">
      <w:pPr>
        <w:pStyle w:val="ReportBulletPoint"/>
        <w:numPr>
          <w:ilvl w:val="0"/>
          <w:numId w:val="11"/>
        </w:numPr>
        <w:shd w:val="clear" w:color="auto" w:fill="F2F9E7" w:themeFill="accent6" w:themeFillTint="33"/>
        <w:ind w:left="0" w:firstLine="426"/>
        <w:rPr>
          <w:rFonts w:ascii="Arial" w:hAnsi="Arial" w:cs="Arial"/>
          <w:noProof/>
        </w:rPr>
      </w:pPr>
      <w:r>
        <w:rPr>
          <w:rFonts w:ascii="Arial" w:hAnsi="Arial" w:cs="Arial"/>
          <w:noProof/>
        </w:rPr>
        <w:t>r</w:t>
      </w:r>
      <w:r w:rsidR="007A664D" w:rsidRPr="00A44F88">
        <w:rPr>
          <w:rFonts w:ascii="Arial" w:hAnsi="Arial" w:cs="Arial"/>
          <w:noProof/>
        </w:rPr>
        <w:t>emov</w:t>
      </w:r>
      <w:r>
        <w:rPr>
          <w:rFonts w:ascii="Arial" w:hAnsi="Arial" w:cs="Arial"/>
          <w:noProof/>
        </w:rPr>
        <w:t xml:space="preserve">al of </w:t>
      </w:r>
      <w:r w:rsidR="007A664D" w:rsidRPr="00A44F88">
        <w:rPr>
          <w:rFonts w:ascii="Arial" w:hAnsi="Arial" w:cs="Arial"/>
          <w:noProof/>
        </w:rPr>
        <w:t xml:space="preserve"> the requirement for residential aged care service providers to notify the </w:t>
      </w:r>
      <w:r>
        <w:rPr>
          <w:rFonts w:ascii="Arial" w:hAnsi="Arial" w:cs="Arial"/>
          <w:noProof/>
        </w:rPr>
        <w:tab/>
      </w:r>
      <w:r w:rsidR="007A664D" w:rsidRPr="0038770B">
        <w:rPr>
          <w:rFonts w:ascii="Arial" w:hAnsi="Arial" w:cs="Arial"/>
          <w:noProof/>
        </w:rPr>
        <w:t>Department</w:t>
      </w:r>
      <w:r w:rsidRPr="0038770B">
        <w:rPr>
          <w:rFonts w:ascii="Arial" w:hAnsi="Arial" w:cs="Arial"/>
          <w:noProof/>
        </w:rPr>
        <w:t xml:space="preserve"> </w:t>
      </w:r>
      <w:r w:rsidR="007A664D" w:rsidRPr="0038770B">
        <w:rPr>
          <w:rFonts w:ascii="Arial" w:hAnsi="Arial" w:cs="Arial"/>
          <w:noProof/>
        </w:rPr>
        <w:t xml:space="preserve">of non-compliance with state and territory fire laws </w:t>
      </w:r>
      <w:r>
        <w:rPr>
          <w:rFonts w:ascii="Arial" w:hAnsi="Arial" w:cs="Arial"/>
          <w:noProof/>
        </w:rPr>
        <w:t>as</w:t>
      </w:r>
      <w:r w:rsidRPr="0038770B">
        <w:rPr>
          <w:rFonts w:ascii="Arial" w:hAnsi="Arial" w:cs="Arial"/>
          <w:noProof/>
        </w:rPr>
        <w:t xml:space="preserve"> fire safety </w:t>
      </w:r>
      <w:bookmarkStart w:id="78" w:name="_GoBack"/>
      <w:bookmarkEnd w:id="78"/>
      <w:r w:rsidRPr="0038770B">
        <w:rPr>
          <w:rFonts w:ascii="Arial" w:hAnsi="Arial" w:cs="Arial"/>
          <w:noProof/>
        </w:rPr>
        <w:t xml:space="preserve">regulation is </w:t>
      </w:r>
      <w:r>
        <w:rPr>
          <w:rFonts w:ascii="Arial" w:hAnsi="Arial" w:cs="Arial"/>
          <w:noProof/>
        </w:rPr>
        <w:tab/>
      </w:r>
      <w:r w:rsidRPr="0038770B">
        <w:rPr>
          <w:rFonts w:ascii="Arial" w:hAnsi="Arial" w:cs="Arial"/>
          <w:noProof/>
        </w:rPr>
        <w:t xml:space="preserve">the </w:t>
      </w:r>
      <w:r w:rsidR="007A664D" w:rsidRPr="0038770B">
        <w:rPr>
          <w:rFonts w:ascii="Arial" w:hAnsi="Arial" w:cs="Arial"/>
          <w:noProof/>
        </w:rPr>
        <w:t>responsibility of state and territory governments;</w:t>
      </w:r>
    </w:p>
    <w:p w:rsidR="007A664D" w:rsidRPr="0038770B" w:rsidRDefault="007A664D" w:rsidP="0038770B">
      <w:pPr>
        <w:pStyle w:val="ReportBulletPoint"/>
        <w:numPr>
          <w:ilvl w:val="0"/>
          <w:numId w:val="11"/>
        </w:numPr>
        <w:shd w:val="clear" w:color="auto" w:fill="F2F9E7" w:themeFill="accent6" w:themeFillTint="33"/>
        <w:ind w:left="0" w:firstLine="426"/>
        <w:rPr>
          <w:rFonts w:ascii="Arial" w:hAnsi="Arial" w:cs="Arial"/>
          <w:noProof/>
        </w:rPr>
      </w:pPr>
      <w:r>
        <w:rPr>
          <w:rFonts w:ascii="Arial" w:hAnsi="Arial" w:cs="Arial"/>
          <w:noProof/>
        </w:rPr>
        <w:t>streamlin</w:t>
      </w:r>
      <w:r w:rsidR="0038770B">
        <w:rPr>
          <w:rFonts w:ascii="Arial" w:hAnsi="Arial" w:cs="Arial"/>
          <w:noProof/>
        </w:rPr>
        <w:t>ing</w:t>
      </w:r>
      <w:r>
        <w:rPr>
          <w:rFonts w:ascii="Arial" w:hAnsi="Arial" w:cs="Arial"/>
          <w:noProof/>
        </w:rPr>
        <w:t xml:space="preserve"> the Annual Prudential Compliance Statements form from 21 to 14 pages and </w:t>
      </w:r>
      <w:r w:rsidR="0038770B">
        <w:rPr>
          <w:rFonts w:ascii="Arial" w:hAnsi="Arial" w:cs="Arial"/>
          <w:noProof/>
        </w:rPr>
        <w:tab/>
      </w:r>
      <w:r w:rsidRPr="0038770B">
        <w:rPr>
          <w:rFonts w:ascii="Arial" w:hAnsi="Arial" w:cs="Arial"/>
          <w:noProof/>
        </w:rPr>
        <w:t>introducing a provi</w:t>
      </w:r>
      <w:r w:rsidR="00674AC4">
        <w:rPr>
          <w:rFonts w:ascii="Arial" w:hAnsi="Arial" w:cs="Arial"/>
          <w:noProof/>
        </w:rPr>
        <w:t>ders’</w:t>
      </w:r>
      <w:r w:rsidRPr="0038770B">
        <w:rPr>
          <w:rFonts w:ascii="Arial" w:hAnsi="Arial" w:cs="Arial"/>
          <w:noProof/>
        </w:rPr>
        <w:t xml:space="preserve"> self-assessment toolkit;</w:t>
      </w:r>
    </w:p>
    <w:p w:rsidR="008B2DE6" w:rsidRPr="00DF41E9" w:rsidRDefault="008B2DE6" w:rsidP="0038770B">
      <w:pPr>
        <w:pStyle w:val="ReportBulletPoint"/>
        <w:numPr>
          <w:ilvl w:val="0"/>
          <w:numId w:val="11"/>
        </w:numPr>
        <w:shd w:val="clear" w:color="auto" w:fill="F2F9E7" w:themeFill="accent6" w:themeFillTint="33"/>
        <w:ind w:left="0" w:firstLine="426"/>
        <w:rPr>
          <w:rFonts w:ascii="Arial" w:hAnsi="Arial" w:cs="Arial"/>
          <w:noProof/>
        </w:rPr>
      </w:pPr>
      <w:r w:rsidRPr="008B2DE6">
        <w:rPr>
          <w:rFonts w:ascii="Arial" w:hAnsi="Arial" w:cs="Arial"/>
          <w:noProof/>
        </w:rPr>
        <w:t>streamlining of the 2014 Aged Care Approvals Round, includ</w:t>
      </w:r>
      <w:r w:rsidR="0012009C">
        <w:rPr>
          <w:rFonts w:ascii="Arial" w:hAnsi="Arial" w:cs="Arial"/>
          <w:noProof/>
        </w:rPr>
        <w:t xml:space="preserve">ing simplifying the application </w:t>
      </w:r>
      <w:r w:rsidR="00DF41E9">
        <w:rPr>
          <w:rFonts w:ascii="Arial" w:hAnsi="Arial" w:cs="Arial"/>
          <w:noProof/>
        </w:rPr>
        <w:tab/>
      </w:r>
      <w:r w:rsidR="0012009C" w:rsidRPr="00DF41E9">
        <w:rPr>
          <w:rFonts w:ascii="Arial" w:hAnsi="Arial" w:cs="Arial"/>
          <w:noProof/>
        </w:rPr>
        <w:t>p</w:t>
      </w:r>
      <w:r w:rsidRPr="00DF41E9">
        <w:rPr>
          <w:rFonts w:ascii="Arial" w:hAnsi="Arial" w:cs="Arial"/>
          <w:noProof/>
        </w:rPr>
        <w:t>rocess, forms and guidance material;</w:t>
      </w:r>
    </w:p>
    <w:p w:rsidR="008B2DE6" w:rsidRPr="00DF41E9" w:rsidRDefault="008B2DE6" w:rsidP="0038770B">
      <w:pPr>
        <w:pStyle w:val="ReportBulletPoint"/>
        <w:numPr>
          <w:ilvl w:val="0"/>
          <w:numId w:val="11"/>
        </w:numPr>
        <w:shd w:val="clear" w:color="auto" w:fill="F2F9E7" w:themeFill="accent6" w:themeFillTint="33"/>
        <w:ind w:left="0" w:firstLine="426"/>
        <w:rPr>
          <w:rFonts w:ascii="Arial" w:hAnsi="Arial" w:cs="Arial"/>
          <w:noProof/>
        </w:rPr>
      </w:pPr>
      <w:r w:rsidRPr="008B2DE6">
        <w:rPr>
          <w:rFonts w:ascii="Arial" w:hAnsi="Arial" w:cs="Arial"/>
          <w:noProof/>
        </w:rPr>
        <w:t xml:space="preserve">streamlining of the reporting requirements for Home Care Package providers by reducing the </w:t>
      </w:r>
      <w:r w:rsidR="00DF41E9" w:rsidRPr="00DF41E9">
        <w:rPr>
          <w:rFonts w:ascii="Arial" w:hAnsi="Arial" w:cs="Arial"/>
          <w:noProof/>
        </w:rPr>
        <w:tab/>
      </w:r>
      <w:r w:rsidRPr="00DF41E9">
        <w:rPr>
          <w:rFonts w:ascii="Arial" w:hAnsi="Arial" w:cs="Arial"/>
          <w:noProof/>
        </w:rPr>
        <w:t>number of financial reports required per year;</w:t>
      </w:r>
    </w:p>
    <w:p w:rsidR="008B2DE6" w:rsidRPr="00DF41E9" w:rsidRDefault="008B2DE6" w:rsidP="0038770B">
      <w:pPr>
        <w:pStyle w:val="ReportBulletPoint"/>
        <w:numPr>
          <w:ilvl w:val="0"/>
          <w:numId w:val="11"/>
        </w:numPr>
        <w:shd w:val="clear" w:color="auto" w:fill="F2F9E7" w:themeFill="accent6" w:themeFillTint="33"/>
        <w:ind w:left="0" w:firstLine="426"/>
        <w:rPr>
          <w:rFonts w:ascii="Arial" w:hAnsi="Arial" w:cs="Arial"/>
          <w:noProof/>
        </w:rPr>
      </w:pPr>
      <w:r w:rsidRPr="008B2DE6">
        <w:rPr>
          <w:rFonts w:ascii="Arial" w:hAnsi="Arial" w:cs="Arial"/>
          <w:noProof/>
        </w:rPr>
        <w:t xml:space="preserve">removal of building certification requirements, that duplicated state building requirements </w:t>
      </w:r>
      <w:r w:rsidR="00DF41E9">
        <w:rPr>
          <w:rFonts w:ascii="Arial" w:hAnsi="Arial" w:cs="Arial"/>
          <w:noProof/>
        </w:rPr>
        <w:tab/>
      </w:r>
      <w:r w:rsidRPr="00DF41E9">
        <w:rPr>
          <w:rFonts w:ascii="Arial" w:hAnsi="Arial" w:cs="Arial"/>
          <w:noProof/>
        </w:rPr>
        <w:t>under the Building Code of Australia; and</w:t>
      </w:r>
    </w:p>
    <w:p w:rsidR="008B2DE6" w:rsidRPr="00DF41E9" w:rsidRDefault="008B2DE6" w:rsidP="0038770B">
      <w:pPr>
        <w:pStyle w:val="ReportBulletPoint"/>
        <w:numPr>
          <w:ilvl w:val="0"/>
          <w:numId w:val="11"/>
        </w:numPr>
        <w:shd w:val="clear" w:color="auto" w:fill="F2F9E7" w:themeFill="accent6" w:themeFillTint="33"/>
        <w:ind w:left="0" w:firstLine="426"/>
        <w:rPr>
          <w:rFonts w:ascii="Arial" w:hAnsi="Arial" w:cs="Arial"/>
          <w:noProof/>
        </w:rPr>
      </w:pPr>
      <w:r w:rsidRPr="008B2DE6">
        <w:rPr>
          <w:rFonts w:ascii="Arial" w:hAnsi="Arial" w:cs="Arial"/>
          <w:noProof/>
        </w:rPr>
        <w:t xml:space="preserve">removal of the requirements for a progressive financial activity report for some National </w:t>
      </w:r>
      <w:r w:rsidR="00DF41E9">
        <w:rPr>
          <w:rFonts w:ascii="Arial" w:hAnsi="Arial" w:cs="Arial"/>
          <w:noProof/>
        </w:rPr>
        <w:tab/>
      </w:r>
      <w:r w:rsidRPr="00DF41E9">
        <w:rPr>
          <w:rFonts w:ascii="Arial" w:hAnsi="Arial" w:cs="Arial"/>
          <w:noProof/>
        </w:rPr>
        <w:t>Respite of Carers Programme and Day Therapy Centres providers.</w:t>
      </w:r>
    </w:p>
    <w:p w:rsidR="008B2DE6" w:rsidRPr="008B2DE6" w:rsidRDefault="008B2DE6" w:rsidP="0038770B">
      <w:pPr>
        <w:pStyle w:val="ReportBulletPoint"/>
        <w:shd w:val="clear" w:color="auto" w:fill="F2F9E7" w:themeFill="accent6" w:themeFillTint="33"/>
        <w:rPr>
          <w:rFonts w:ascii="Arial" w:hAnsi="Arial" w:cs="Arial"/>
        </w:rPr>
      </w:pPr>
      <w:r w:rsidRPr="008B2DE6">
        <w:rPr>
          <w:rFonts w:ascii="Arial" w:hAnsi="Arial" w:cs="Arial"/>
        </w:rPr>
        <w:t>The Department has estimated that the items completed from the Action Plan i</w:t>
      </w:r>
      <w:r w:rsidR="00DF41E9">
        <w:rPr>
          <w:rFonts w:ascii="Arial" w:hAnsi="Arial" w:cs="Arial"/>
        </w:rPr>
        <w:t>n</w:t>
      </w:r>
      <w:r w:rsidRPr="008B2DE6">
        <w:rPr>
          <w:rFonts w:ascii="Arial" w:hAnsi="Arial" w:cs="Arial"/>
        </w:rPr>
        <w:t xml:space="preserve"> 2014 will lead to an annual saving of nearly $</w:t>
      </w:r>
      <w:r w:rsidR="00DF41E9">
        <w:rPr>
          <w:rFonts w:ascii="Arial" w:hAnsi="Arial" w:cs="Arial"/>
        </w:rPr>
        <w:t>10.89</w:t>
      </w:r>
      <w:r w:rsidR="0038770B">
        <w:rPr>
          <w:rFonts w:ascii="Arial" w:hAnsi="Arial" w:cs="Arial"/>
        </w:rPr>
        <w:t>8</w:t>
      </w:r>
      <w:r w:rsidR="00DF41E9">
        <w:rPr>
          <w:rFonts w:ascii="Arial" w:hAnsi="Arial" w:cs="Arial"/>
        </w:rPr>
        <w:t xml:space="preserve"> million</w:t>
      </w:r>
      <w:r w:rsidRPr="008B2DE6">
        <w:rPr>
          <w:rFonts w:ascii="Arial" w:hAnsi="Arial" w:cs="Arial"/>
        </w:rPr>
        <w:t xml:space="preserve"> in compliance costs.</w:t>
      </w:r>
    </w:p>
    <w:p w:rsidR="00D836E4" w:rsidRPr="00BE7DD1" w:rsidRDefault="007418A0" w:rsidP="00D836E4">
      <w:pPr>
        <w:pStyle w:val="Heading3"/>
      </w:pPr>
      <w:bookmarkStart w:id="79" w:name="_Toc256000072"/>
      <w:bookmarkStart w:id="80" w:name="_Toc256000046"/>
      <w:bookmarkStart w:id="81" w:name="_Toc256000020"/>
      <w:bookmarkStart w:id="82" w:name="_Toc413079658"/>
      <w:bookmarkStart w:id="83" w:name="_Toc414443752"/>
      <w:r w:rsidRPr="00BE7DD1">
        <w:t>Disability Employment Services</w:t>
      </w:r>
      <w:bookmarkEnd w:id="79"/>
      <w:bookmarkEnd w:id="80"/>
      <w:bookmarkEnd w:id="81"/>
      <w:bookmarkEnd w:id="82"/>
      <w:bookmarkEnd w:id="83"/>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t>Streamlining reporting requirements for Disability Employment Services (DES)*</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 xml:space="preserve">On 20 December 2013, Senator the Hon Mitch Fifield, Assistant Minister for Social Services, announced administrative changes to reduce the burden on DES providers. </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 xml:space="preserve">These changes included: </w:t>
      </w:r>
    </w:p>
    <w:p w:rsidR="00D836E4" w:rsidRPr="001F1072" w:rsidRDefault="007418A0" w:rsidP="0038770B">
      <w:pPr>
        <w:pStyle w:val="ReportBulletPoint"/>
        <w:numPr>
          <w:ilvl w:val="0"/>
          <w:numId w:val="11"/>
        </w:numPr>
        <w:shd w:val="clear" w:color="auto" w:fill="F2F9E7" w:themeFill="accent6" w:themeFillTint="33"/>
        <w:ind w:left="0" w:firstLine="426"/>
        <w:rPr>
          <w:rFonts w:ascii="Arial" w:hAnsi="Arial" w:cs="Arial"/>
          <w:noProof/>
        </w:rPr>
      </w:pPr>
      <w:r w:rsidRPr="00A44F88">
        <w:rPr>
          <w:rFonts w:ascii="Arial" w:hAnsi="Arial" w:cs="Arial"/>
          <w:noProof/>
        </w:rPr>
        <w:t xml:space="preserve">providing DES providers with greater certainty about programme settings by confining </w:t>
      </w:r>
      <w:r>
        <w:rPr>
          <w:rFonts w:ascii="Arial" w:hAnsi="Arial" w:cs="Arial"/>
          <w:noProof/>
        </w:rPr>
        <w:tab/>
      </w:r>
      <w:r w:rsidRPr="00A44F88">
        <w:rPr>
          <w:rFonts w:ascii="Arial" w:hAnsi="Arial" w:cs="Arial"/>
          <w:noProof/>
        </w:rPr>
        <w:t xml:space="preserve">changes to the programme guidelines to a quarterly basis; </w:t>
      </w:r>
    </w:p>
    <w:p w:rsidR="00D836E4" w:rsidRPr="001F1072" w:rsidRDefault="007418A0" w:rsidP="0038770B">
      <w:pPr>
        <w:pStyle w:val="ReportBulletPoint"/>
        <w:numPr>
          <w:ilvl w:val="0"/>
          <w:numId w:val="11"/>
        </w:numPr>
        <w:shd w:val="clear" w:color="auto" w:fill="F2F9E7" w:themeFill="accent6" w:themeFillTint="33"/>
        <w:ind w:left="0" w:firstLine="426"/>
        <w:rPr>
          <w:rFonts w:ascii="Arial" w:hAnsi="Arial" w:cs="Arial"/>
          <w:noProof/>
        </w:rPr>
      </w:pPr>
      <w:r w:rsidRPr="00A44F88">
        <w:rPr>
          <w:rFonts w:ascii="Arial" w:hAnsi="Arial" w:cs="Arial"/>
          <w:noProof/>
        </w:rPr>
        <w:t xml:space="preserve">doubling the claim period for outcome fees (from 28 days to 56 days); </w:t>
      </w:r>
    </w:p>
    <w:p w:rsidR="00D836E4" w:rsidRPr="001F1072" w:rsidRDefault="007418A0" w:rsidP="0038770B">
      <w:pPr>
        <w:pStyle w:val="ReportBulletPoint"/>
        <w:numPr>
          <w:ilvl w:val="0"/>
          <w:numId w:val="11"/>
        </w:numPr>
        <w:shd w:val="clear" w:color="auto" w:fill="F2F9E7" w:themeFill="accent6" w:themeFillTint="33"/>
        <w:ind w:left="0" w:firstLine="426"/>
        <w:rPr>
          <w:rFonts w:ascii="Arial" w:hAnsi="Arial" w:cs="Arial"/>
          <w:noProof/>
        </w:rPr>
      </w:pPr>
      <w:r w:rsidRPr="00A44F88">
        <w:rPr>
          <w:rFonts w:ascii="Arial" w:hAnsi="Arial" w:cs="Arial"/>
          <w:noProof/>
        </w:rPr>
        <w:t xml:space="preserve">removing the need for DES providers to keep paper copies of records if they have electronic </w:t>
      </w:r>
      <w:r>
        <w:rPr>
          <w:rFonts w:ascii="Arial" w:hAnsi="Arial" w:cs="Arial"/>
          <w:noProof/>
        </w:rPr>
        <w:tab/>
      </w:r>
      <w:r w:rsidRPr="00A44F88">
        <w:rPr>
          <w:rFonts w:ascii="Arial" w:hAnsi="Arial" w:cs="Arial"/>
          <w:noProof/>
        </w:rPr>
        <w:t>copies; and</w:t>
      </w:r>
    </w:p>
    <w:p w:rsidR="00D836E4" w:rsidRPr="001F1072" w:rsidRDefault="007418A0" w:rsidP="0038770B">
      <w:pPr>
        <w:pStyle w:val="ReportBulletPoint"/>
        <w:numPr>
          <w:ilvl w:val="0"/>
          <w:numId w:val="11"/>
        </w:numPr>
        <w:shd w:val="clear" w:color="auto" w:fill="F2F9E7" w:themeFill="accent6" w:themeFillTint="33"/>
        <w:ind w:left="0" w:firstLine="426"/>
        <w:rPr>
          <w:rFonts w:ascii="Arial" w:hAnsi="Arial" w:cs="Arial"/>
          <w:noProof/>
        </w:rPr>
      </w:pPr>
      <w:r w:rsidRPr="00A44F88">
        <w:rPr>
          <w:rFonts w:ascii="Arial" w:hAnsi="Arial" w:cs="Arial"/>
          <w:noProof/>
        </w:rPr>
        <w:t xml:space="preserve">reviewing the 54 DES programme guidelines in order to streamline and provide greater clarity </w:t>
      </w:r>
      <w:r>
        <w:rPr>
          <w:rFonts w:ascii="Arial" w:hAnsi="Arial" w:cs="Arial"/>
          <w:noProof/>
        </w:rPr>
        <w:tab/>
      </w:r>
      <w:r w:rsidRPr="00A44F88">
        <w:rPr>
          <w:rFonts w:ascii="Arial" w:hAnsi="Arial" w:cs="Arial"/>
          <w:noProof/>
        </w:rPr>
        <w:t>about programme requirements.</w:t>
      </w:r>
    </w:p>
    <w:p w:rsidR="00D836E4" w:rsidRDefault="007418A0" w:rsidP="00D836E4">
      <w:pPr>
        <w:pStyle w:val="ReportBulletPoint"/>
        <w:shd w:val="clear" w:color="auto" w:fill="F2F9E7" w:themeFill="accent6" w:themeFillTint="33"/>
        <w:rPr>
          <w:rFonts w:ascii="Arial" w:hAnsi="Arial" w:cs="Arial"/>
          <w:noProof/>
        </w:rPr>
      </w:pPr>
      <w:r>
        <w:rPr>
          <w:rFonts w:ascii="Arial" w:hAnsi="Arial" w:cs="Arial"/>
        </w:rPr>
        <w:t xml:space="preserve">The </w:t>
      </w:r>
      <w:r>
        <w:rPr>
          <w:rFonts w:ascii="Arial" w:hAnsi="Arial" w:cs="Arial"/>
          <w:noProof/>
        </w:rPr>
        <w:t>Department</w:t>
      </w:r>
      <w:r w:rsidRPr="00A44F88">
        <w:rPr>
          <w:rFonts w:ascii="Arial" w:hAnsi="Arial" w:cs="Arial"/>
          <w:noProof/>
        </w:rPr>
        <w:t xml:space="preserve"> has estimated that these measures will lead to an annual saving of $7.4</w:t>
      </w:r>
      <w:r>
        <w:rPr>
          <w:rFonts w:ascii="Arial" w:hAnsi="Arial" w:cs="Arial"/>
          <w:noProof/>
        </w:rPr>
        <w:t>04</w:t>
      </w:r>
      <w:r w:rsidRPr="00A44F88">
        <w:rPr>
          <w:rFonts w:ascii="Arial" w:hAnsi="Arial" w:cs="Arial"/>
          <w:noProof/>
        </w:rPr>
        <w:t xml:space="preserve"> million in compliance costs.</w:t>
      </w:r>
    </w:p>
    <w:p w:rsidR="009B3A91" w:rsidRDefault="009B3A91">
      <w:pPr>
        <w:spacing w:before="0" w:after="200" w:line="276" w:lineRule="auto"/>
        <w:rPr>
          <w:rFonts w:ascii="Verdana" w:hAnsi="Verdana"/>
          <w:spacing w:val="0"/>
          <w:sz w:val="20"/>
          <w:szCs w:val="20"/>
          <w:lang w:eastAsia="en-US"/>
        </w:rPr>
      </w:pPr>
      <w:r>
        <w:br w:type="page"/>
      </w:r>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lastRenderedPageBreak/>
        <w:t>Disability Employment Services (DES) – further red tape reduction measures*</w:t>
      </w:r>
    </w:p>
    <w:p w:rsidR="00D836E4" w:rsidRPr="001F1072" w:rsidRDefault="007418A0" w:rsidP="00D836E4">
      <w:pPr>
        <w:pStyle w:val="ReportBulletPoint"/>
        <w:shd w:val="clear" w:color="auto" w:fill="F2F9E7" w:themeFill="accent6" w:themeFillTint="33"/>
        <w:rPr>
          <w:rFonts w:ascii="Arial" w:hAnsi="Arial" w:cs="Arial"/>
          <w:noProof/>
        </w:rPr>
      </w:pPr>
      <w:r>
        <w:rPr>
          <w:rFonts w:ascii="Arial" w:hAnsi="Arial" w:cs="Arial"/>
          <w:noProof/>
        </w:rPr>
        <w:t>O</w:t>
      </w:r>
      <w:r w:rsidRPr="00A44F88">
        <w:rPr>
          <w:rFonts w:ascii="Arial" w:hAnsi="Arial" w:cs="Arial"/>
          <w:noProof/>
        </w:rPr>
        <w:t>n 14 August</w:t>
      </w:r>
      <w:r w:rsidR="00674AC4">
        <w:rPr>
          <w:rFonts w:ascii="Arial" w:hAnsi="Arial" w:cs="Arial"/>
          <w:noProof/>
        </w:rPr>
        <w:t xml:space="preserve"> 2014, Senator the Hon Mitch Fi</w:t>
      </w:r>
      <w:r w:rsidRPr="00A44F88">
        <w:rPr>
          <w:rFonts w:ascii="Arial" w:hAnsi="Arial" w:cs="Arial"/>
          <w:noProof/>
        </w:rPr>
        <w:t>field, Assistant Minister for Social Services, announced a further six red tape reduction measures under the DES programme.</w:t>
      </w:r>
      <w:r>
        <w:rPr>
          <w:rFonts w:ascii="Arial" w:hAnsi="Arial" w:cs="Arial"/>
          <w:noProof/>
        </w:rPr>
        <w:t xml:space="preserve"> </w:t>
      </w:r>
      <w:r w:rsidRPr="00A44F88">
        <w:rPr>
          <w:rFonts w:ascii="Arial" w:hAnsi="Arial" w:cs="Arial"/>
          <w:noProof/>
        </w:rPr>
        <w:t xml:space="preserve"> </w:t>
      </w:r>
    </w:p>
    <w:p w:rsidR="00D836E4" w:rsidRPr="001F1072" w:rsidRDefault="007418A0" w:rsidP="00D836E4">
      <w:pPr>
        <w:pStyle w:val="ReportBulletPoint"/>
        <w:shd w:val="clear" w:color="auto" w:fill="F2F9E7" w:themeFill="accent6" w:themeFillTint="33"/>
        <w:rPr>
          <w:rFonts w:ascii="Arial" w:hAnsi="Arial" w:cs="Arial"/>
          <w:noProof/>
        </w:rPr>
      </w:pPr>
      <w:r w:rsidRPr="00A44F88">
        <w:rPr>
          <w:rFonts w:ascii="Arial" w:hAnsi="Arial" w:cs="Arial"/>
          <w:noProof/>
        </w:rPr>
        <w:t>These measures included:</w:t>
      </w:r>
    </w:p>
    <w:p w:rsidR="00D836E4" w:rsidRPr="001F1072" w:rsidRDefault="007418A0" w:rsidP="0038770B">
      <w:pPr>
        <w:pStyle w:val="ReportBulletPoint"/>
        <w:numPr>
          <w:ilvl w:val="0"/>
          <w:numId w:val="11"/>
        </w:numPr>
        <w:shd w:val="clear" w:color="auto" w:fill="F2F9E7" w:themeFill="accent6" w:themeFillTint="33"/>
        <w:ind w:left="0" w:firstLine="426"/>
        <w:rPr>
          <w:rFonts w:ascii="Arial" w:hAnsi="Arial" w:cs="Arial"/>
          <w:noProof/>
        </w:rPr>
      </w:pPr>
      <w:r w:rsidRPr="00A44F88">
        <w:rPr>
          <w:rFonts w:ascii="Arial" w:hAnsi="Arial" w:cs="Arial"/>
          <w:noProof/>
        </w:rPr>
        <w:t xml:space="preserve">Enhanced IT functionality to enable participants to accept their Employment Pathway Plan on </w:t>
      </w:r>
      <w:r>
        <w:rPr>
          <w:rFonts w:ascii="Arial" w:hAnsi="Arial" w:cs="Arial"/>
          <w:noProof/>
        </w:rPr>
        <w:tab/>
      </w:r>
      <w:r w:rsidRPr="00A44F88">
        <w:rPr>
          <w:rFonts w:ascii="Arial" w:hAnsi="Arial" w:cs="Arial"/>
          <w:noProof/>
        </w:rPr>
        <w:t>the Australian Job Search website;</w:t>
      </w:r>
    </w:p>
    <w:p w:rsidR="00D836E4" w:rsidRPr="001F1072" w:rsidRDefault="007418A0" w:rsidP="0038770B">
      <w:pPr>
        <w:pStyle w:val="ReportBulletPoint"/>
        <w:numPr>
          <w:ilvl w:val="0"/>
          <w:numId w:val="11"/>
        </w:numPr>
        <w:shd w:val="clear" w:color="auto" w:fill="F2F9E7" w:themeFill="accent6" w:themeFillTint="33"/>
        <w:ind w:left="0" w:firstLine="426"/>
        <w:rPr>
          <w:rFonts w:ascii="Arial" w:hAnsi="Arial" w:cs="Arial"/>
          <w:noProof/>
        </w:rPr>
      </w:pPr>
      <w:r w:rsidRPr="00A44F88">
        <w:rPr>
          <w:rFonts w:ascii="Arial" w:hAnsi="Arial" w:cs="Arial"/>
          <w:noProof/>
        </w:rPr>
        <w:t xml:space="preserve">DES providers no longer needing to collect and retain documentary evidence from the </w:t>
      </w:r>
      <w:r>
        <w:rPr>
          <w:rFonts w:ascii="Arial" w:hAnsi="Arial" w:cs="Arial"/>
          <w:noProof/>
        </w:rPr>
        <w:tab/>
      </w:r>
      <w:r w:rsidRPr="00A44F88">
        <w:rPr>
          <w:rFonts w:ascii="Arial" w:hAnsi="Arial" w:cs="Arial"/>
          <w:noProof/>
        </w:rPr>
        <w:t xml:space="preserve">employer or participant for an outcome claim if there is sufficient data from the Department of </w:t>
      </w:r>
      <w:r>
        <w:rPr>
          <w:rFonts w:ascii="Arial" w:hAnsi="Arial" w:cs="Arial"/>
          <w:noProof/>
        </w:rPr>
        <w:tab/>
      </w:r>
      <w:r w:rsidRPr="00A44F88">
        <w:rPr>
          <w:rFonts w:ascii="Arial" w:hAnsi="Arial" w:cs="Arial"/>
          <w:noProof/>
        </w:rPr>
        <w:t>Human Services to support the claim for payment;</w:t>
      </w:r>
    </w:p>
    <w:p w:rsidR="00D836E4" w:rsidRPr="001F1072" w:rsidRDefault="007418A0" w:rsidP="0038770B">
      <w:pPr>
        <w:pStyle w:val="ReportBulletPoint"/>
        <w:numPr>
          <w:ilvl w:val="0"/>
          <w:numId w:val="11"/>
        </w:numPr>
        <w:shd w:val="clear" w:color="auto" w:fill="F2F9E7" w:themeFill="accent6" w:themeFillTint="33"/>
        <w:ind w:left="0" w:firstLine="426"/>
        <w:rPr>
          <w:rFonts w:ascii="Arial" w:hAnsi="Arial" w:cs="Arial"/>
          <w:noProof/>
        </w:rPr>
      </w:pPr>
      <w:r w:rsidRPr="00A44F88">
        <w:rPr>
          <w:rFonts w:ascii="Arial" w:hAnsi="Arial" w:cs="Arial"/>
          <w:noProof/>
        </w:rPr>
        <w:t xml:space="preserve">Where employers do not require a medical certificate, DES providers will now be able to </w:t>
      </w:r>
      <w:r>
        <w:rPr>
          <w:rFonts w:ascii="Arial" w:hAnsi="Arial" w:cs="Arial"/>
          <w:noProof/>
        </w:rPr>
        <w:tab/>
      </w:r>
      <w:r w:rsidRPr="00A44F88">
        <w:rPr>
          <w:rFonts w:ascii="Arial" w:hAnsi="Arial" w:cs="Arial"/>
          <w:noProof/>
        </w:rPr>
        <w:t xml:space="preserve">satisfy documentary evidence requirements for a permissible break with a signed statement </w:t>
      </w:r>
      <w:r>
        <w:rPr>
          <w:rFonts w:ascii="Arial" w:hAnsi="Arial" w:cs="Arial"/>
          <w:noProof/>
        </w:rPr>
        <w:tab/>
      </w:r>
      <w:r w:rsidRPr="00A44F88">
        <w:rPr>
          <w:rFonts w:ascii="Arial" w:hAnsi="Arial" w:cs="Arial"/>
          <w:noProof/>
        </w:rPr>
        <w:t>from the employer, rather than a medical certificate;</w:t>
      </w:r>
    </w:p>
    <w:p w:rsidR="00D836E4" w:rsidRPr="001F1072" w:rsidRDefault="007418A0" w:rsidP="0038770B">
      <w:pPr>
        <w:pStyle w:val="ReportBulletPoint"/>
        <w:numPr>
          <w:ilvl w:val="0"/>
          <w:numId w:val="11"/>
        </w:numPr>
        <w:shd w:val="clear" w:color="auto" w:fill="F2F9E7" w:themeFill="accent6" w:themeFillTint="33"/>
        <w:ind w:left="0" w:firstLine="426"/>
        <w:rPr>
          <w:rFonts w:ascii="Arial" w:hAnsi="Arial" w:cs="Arial"/>
          <w:noProof/>
        </w:rPr>
      </w:pPr>
      <w:r w:rsidRPr="00A44F88">
        <w:rPr>
          <w:rFonts w:ascii="Arial" w:hAnsi="Arial" w:cs="Arial"/>
          <w:noProof/>
        </w:rPr>
        <w:t xml:space="preserve">News items are now published on the online provider portal once a week instead of </w:t>
      </w:r>
      <w:r>
        <w:rPr>
          <w:rFonts w:ascii="Arial" w:hAnsi="Arial" w:cs="Arial"/>
          <w:noProof/>
        </w:rPr>
        <w:tab/>
      </w:r>
      <w:r w:rsidRPr="00A44F88">
        <w:rPr>
          <w:rFonts w:ascii="Arial" w:hAnsi="Arial" w:cs="Arial"/>
          <w:noProof/>
        </w:rPr>
        <w:t>sporadically to streamline information management;</w:t>
      </w:r>
    </w:p>
    <w:p w:rsidR="00D836E4" w:rsidRPr="001F1072" w:rsidRDefault="007418A0" w:rsidP="0038770B">
      <w:pPr>
        <w:pStyle w:val="ReportBulletPoint"/>
        <w:numPr>
          <w:ilvl w:val="0"/>
          <w:numId w:val="11"/>
        </w:numPr>
        <w:shd w:val="clear" w:color="auto" w:fill="F2F9E7" w:themeFill="accent6" w:themeFillTint="33"/>
        <w:ind w:left="0" w:firstLine="426"/>
        <w:rPr>
          <w:rFonts w:ascii="Arial" w:hAnsi="Arial" w:cs="Arial"/>
          <w:noProof/>
        </w:rPr>
      </w:pPr>
      <w:r w:rsidRPr="00A44F88">
        <w:rPr>
          <w:rFonts w:ascii="Arial" w:hAnsi="Arial" w:cs="Arial"/>
          <w:noProof/>
        </w:rPr>
        <w:t xml:space="preserve">System enhancements to the Department’s IT </w:t>
      </w:r>
      <w:r>
        <w:rPr>
          <w:rFonts w:ascii="Arial" w:hAnsi="Arial" w:cs="Arial"/>
          <w:noProof/>
        </w:rPr>
        <w:t>s</w:t>
      </w:r>
      <w:r w:rsidRPr="00A44F88">
        <w:rPr>
          <w:rFonts w:ascii="Arial" w:hAnsi="Arial" w:cs="Arial"/>
          <w:noProof/>
        </w:rPr>
        <w:t xml:space="preserve">ystems allowing for streamlined processes </w:t>
      </w:r>
      <w:r>
        <w:rPr>
          <w:rFonts w:ascii="Arial" w:hAnsi="Arial" w:cs="Arial"/>
          <w:noProof/>
        </w:rPr>
        <w:tab/>
      </w:r>
      <w:r w:rsidRPr="00A44F88">
        <w:rPr>
          <w:rFonts w:ascii="Arial" w:hAnsi="Arial" w:cs="Arial"/>
          <w:noProof/>
        </w:rPr>
        <w:t xml:space="preserve">and the automation of Relocation Assistance to Take up a Job Programme reimbursements, </w:t>
      </w:r>
      <w:r>
        <w:rPr>
          <w:rFonts w:ascii="Arial" w:hAnsi="Arial" w:cs="Arial"/>
          <w:noProof/>
        </w:rPr>
        <w:tab/>
      </w:r>
      <w:r w:rsidRPr="00A44F88">
        <w:rPr>
          <w:rFonts w:ascii="Arial" w:hAnsi="Arial" w:cs="Arial"/>
          <w:noProof/>
        </w:rPr>
        <w:t>thereby reducing the number of manual special claims submitted; and</w:t>
      </w:r>
    </w:p>
    <w:p w:rsidR="00D836E4" w:rsidRPr="001F1072" w:rsidRDefault="007418A0" w:rsidP="0038770B">
      <w:pPr>
        <w:pStyle w:val="ReportBulletPoint"/>
        <w:numPr>
          <w:ilvl w:val="0"/>
          <w:numId w:val="11"/>
        </w:numPr>
        <w:shd w:val="clear" w:color="auto" w:fill="F2F9E7" w:themeFill="accent6" w:themeFillTint="33"/>
        <w:ind w:left="0" w:firstLine="426"/>
        <w:rPr>
          <w:rFonts w:ascii="Arial" w:hAnsi="Arial" w:cs="Arial"/>
          <w:noProof/>
        </w:rPr>
      </w:pPr>
      <w:r w:rsidRPr="00A44F88">
        <w:rPr>
          <w:rFonts w:ascii="Arial" w:hAnsi="Arial" w:cs="Arial"/>
          <w:noProof/>
        </w:rPr>
        <w:t xml:space="preserve">DES providers now being able to use payslips as an alternative form of documentary </w:t>
      </w:r>
      <w:r>
        <w:rPr>
          <w:rFonts w:ascii="Arial" w:hAnsi="Arial" w:cs="Arial"/>
          <w:noProof/>
        </w:rPr>
        <w:tab/>
      </w:r>
      <w:r w:rsidRPr="00A44F88">
        <w:rPr>
          <w:rFonts w:ascii="Arial" w:hAnsi="Arial" w:cs="Arial"/>
          <w:noProof/>
        </w:rPr>
        <w:t>evidence to support outcome fee claims for participants in unsubsidised self-employment.</w:t>
      </w:r>
    </w:p>
    <w:p w:rsidR="00D836E4" w:rsidRPr="00023EC2" w:rsidRDefault="007418A0" w:rsidP="00D836E4">
      <w:pPr>
        <w:pStyle w:val="ReportBulletPoint"/>
        <w:shd w:val="clear" w:color="auto" w:fill="F2F9E7" w:themeFill="accent6" w:themeFillTint="33"/>
        <w:rPr>
          <w:rFonts w:ascii="Arial" w:hAnsi="Arial" w:cs="Arial"/>
          <w:noProof/>
        </w:rPr>
      </w:pPr>
      <w:r>
        <w:rPr>
          <w:rFonts w:ascii="Arial" w:hAnsi="Arial" w:cs="Arial"/>
          <w:noProof/>
        </w:rPr>
        <w:t>The Department</w:t>
      </w:r>
      <w:r w:rsidRPr="00A44F88">
        <w:rPr>
          <w:rFonts w:ascii="Arial" w:hAnsi="Arial" w:cs="Arial"/>
          <w:noProof/>
        </w:rPr>
        <w:t xml:space="preserve"> has estimated that these measures will lead to an annual saving of $5.57</w:t>
      </w:r>
      <w:r>
        <w:rPr>
          <w:rFonts w:ascii="Arial" w:hAnsi="Arial" w:cs="Arial"/>
          <w:noProof/>
        </w:rPr>
        <w:t>4</w:t>
      </w:r>
      <w:r w:rsidRPr="00A44F88">
        <w:rPr>
          <w:rFonts w:ascii="Arial" w:hAnsi="Arial" w:cs="Arial"/>
          <w:noProof/>
        </w:rPr>
        <w:t> million in compliance costs.</w:t>
      </w:r>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t>Streamlining processes for Australian Disability Enterprises (ADEs)*</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 xml:space="preserve">The Section 5 Guidelines under the </w:t>
      </w:r>
      <w:r w:rsidRPr="00A44F88">
        <w:rPr>
          <w:rFonts w:ascii="Arial" w:hAnsi="Arial" w:cs="Arial"/>
          <w:i/>
          <w:noProof/>
        </w:rPr>
        <w:t>Disability Services Act 1986</w:t>
      </w:r>
      <w:r w:rsidRPr="00A44F88">
        <w:rPr>
          <w:rFonts w:ascii="Arial" w:hAnsi="Arial" w:cs="Arial"/>
          <w:noProof/>
        </w:rPr>
        <w:t xml:space="preserve"> have been amended to streamline the process for mergers and amalgamations of ADEs from March 2014. </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This will provide greater flexibility and reduced red tape for ADEs that wish to merge for viability and sustainability reasons.</w:t>
      </w:r>
    </w:p>
    <w:p w:rsidR="00D836E4" w:rsidRPr="00A44F88" w:rsidRDefault="007418A0" w:rsidP="00D836E4">
      <w:pPr>
        <w:pStyle w:val="ReportBulletPoint"/>
        <w:shd w:val="clear" w:color="auto" w:fill="F2F9E7" w:themeFill="accent6" w:themeFillTint="33"/>
        <w:rPr>
          <w:rFonts w:ascii="Arial" w:hAnsi="Arial" w:cs="Arial"/>
          <w:b/>
        </w:rPr>
      </w:pPr>
      <w:r>
        <w:rPr>
          <w:rFonts w:ascii="Arial" w:hAnsi="Arial" w:cs="Arial"/>
        </w:rPr>
        <w:t>The Department</w:t>
      </w:r>
      <w:r w:rsidRPr="00A44F88">
        <w:rPr>
          <w:rFonts w:ascii="Arial" w:hAnsi="Arial" w:cs="Arial"/>
        </w:rPr>
        <w:t xml:space="preserve"> has estimated that </w:t>
      </w:r>
      <w:r w:rsidRPr="00A44F88">
        <w:rPr>
          <w:rFonts w:ascii="Arial" w:hAnsi="Arial" w:cs="Arial"/>
          <w:noProof/>
        </w:rPr>
        <w:t>this will lead to an annual saving of nearly $0.01</w:t>
      </w:r>
      <w:r>
        <w:rPr>
          <w:rFonts w:ascii="Arial" w:hAnsi="Arial" w:cs="Arial"/>
          <w:noProof/>
        </w:rPr>
        <w:t>7</w:t>
      </w:r>
      <w:r w:rsidRPr="00A44F88">
        <w:rPr>
          <w:rFonts w:ascii="Arial" w:hAnsi="Arial" w:cs="Arial"/>
          <w:noProof/>
        </w:rPr>
        <w:t xml:space="preserve"> million in compliance costs. </w:t>
      </w:r>
    </w:p>
    <w:p w:rsidR="00D836E4" w:rsidRPr="005F2103" w:rsidRDefault="007418A0" w:rsidP="00D836E4">
      <w:pPr>
        <w:pStyle w:val="Heading3"/>
      </w:pPr>
      <w:bookmarkStart w:id="84" w:name="_Toc256000074"/>
      <w:bookmarkStart w:id="85" w:name="_Toc256000048"/>
      <w:bookmarkStart w:id="86" w:name="_Toc256000022"/>
      <w:bookmarkStart w:id="87" w:name="_Toc413079659"/>
      <w:bookmarkStart w:id="88" w:name="_Toc414443753"/>
      <w:r w:rsidRPr="005F2103">
        <w:t>Social Security</w:t>
      </w:r>
      <w:bookmarkEnd w:id="84"/>
      <w:bookmarkEnd w:id="85"/>
      <w:bookmarkEnd w:id="86"/>
      <w:bookmarkEnd w:id="87"/>
      <w:bookmarkEnd w:id="88"/>
    </w:p>
    <w:p w:rsidR="00D836E4" w:rsidRPr="001F1072" w:rsidRDefault="007418A0" w:rsidP="00D836E4">
      <w:pPr>
        <w:pStyle w:val="ReportMeasureTitle"/>
        <w:shd w:val="clear" w:color="auto" w:fill="DAEDB8" w:themeFill="accent6" w:themeFillTint="99"/>
        <w:rPr>
          <w:rFonts w:ascii="Arial" w:hAnsi="Arial" w:cs="Arial"/>
          <w:b/>
          <w:bCs/>
          <w:lang w:eastAsia="en-AU"/>
        </w:rPr>
      </w:pPr>
      <w:r>
        <w:rPr>
          <w:rFonts w:ascii="Arial" w:hAnsi="Arial" w:cs="Arial"/>
          <w:b/>
          <w:bCs/>
          <w:lang w:eastAsia="en-AU"/>
        </w:rPr>
        <w:t>Abolishment of Schoolk</w:t>
      </w:r>
      <w:r w:rsidRPr="001F1072">
        <w:rPr>
          <w:rFonts w:ascii="Arial" w:hAnsi="Arial" w:cs="Arial"/>
          <w:b/>
          <w:bCs/>
          <w:lang w:eastAsia="en-AU"/>
        </w:rPr>
        <w:t>ids Bonus</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On 2 September 2014, legislation passed to end the Schoolkids Bonus payments.</w:t>
      </w:r>
      <w:r>
        <w:rPr>
          <w:rFonts w:ascii="Arial" w:hAnsi="Arial" w:cs="Arial"/>
          <w:noProof/>
        </w:rPr>
        <w:t xml:space="preserve"> </w:t>
      </w:r>
      <w:r w:rsidRPr="00A44F88">
        <w:rPr>
          <w:rFonts w:ascii="Arial" w:hAnsi="Arial" w:cs="Arial"/>
          <w:noProof/>
        </w:rPr>
        <w:br/>
        <w:t>The Schoolkids Bonus will continue until the end of 2016 to allow families time to adjust to the change.</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Once the payment ceases, parents will no longer be required to comply with requirements relating to the payment.</w:t>
      </w:r>
      <w:r>
        <w:rPr>
          <w:rFonts w:ascii="Arial" w:hAnsi="Arial" w:cs="Arial"/>
          <w:noProof/>
        </w:rPr>
        <w:t xml:space="preserve"> </w:t>
      </w:r>
      <w:r w:rsidRPr="00A44F88">
        <w:rPr>
          <w:rFonts w:ascii="Arial" w:hAnsi="Arial" w:cs="Arial"/>
          <w:noProof/>
        </w:rPr>
        <w:t xml:space="preserve">For example, parents will no longer be required to notify the Department of Human Services </w:t>
      </w:r>
      <w:r>
        <w:rPr>
          <w:rFonts w:ascii="Arial" w:hAnsi="Arial" w:cs="Arial"/>
          <w:noProof/>
        </w:rPr>
        <w:t xml:space="preserve">of transitions to secondary </w:t>
      </w:r>
      <w:r w:rsidRPr="00A44F88">
        <w:rPr>
          <w:rFonts w:ascii="Arial" w:hAnsi="Arial" w:cs="Arial"/>
          <w:noProof/>
        </w:rPr>
        <w:t>school.</w:t>
      </w:r>
    </w:p>
    <w:p w:rsidR="00D836E4" w:rsidRDefault="007418A0" w:rsidP="00D836E4">
      <w:pPr>
        <w:pStyle w:val="ReportBulletPoint"/>
        <w:shd w:val="clear" w:color="auto" w:fill="F2F9E7" w:themeFill="accent6" w:themeFillTint="33"/>
        <w:rPr>
          <w:rFonts w:ascii="Arial" w:hAnsi="Arial" w:cs="Arial"/>
          <w:noProof/>
        </w:rPr>
      </w:pPr>
      <w:r>
        <w:rPr>
          <w:rFonts w:ascii="Arial" w:hAnsi="Arial" w:cs="Arial"/>
        </w:rPr>
        <w:t xml:space="preserve">The </w:t>
      </w:r>
      <w:r>
        <w:rPr>
          <w:rFonts w:ascii="Arial" w:hAnsi="Arial" w:cs="Arial"/>
          <w:noProof/>
        </w:rPr>
        <w:t>Department</w:t>
      </w:r>
      <w:r w:rsidRPr="00A44F88">
        <w:rPr>
          <w:rFonts w:ascii="Arial" w:hAnsi="Arial" w:cs="Arial"/>
          <w:noProof/>
        </w:rPr>
        <w:t xml:space="preserve"> has estimated that this will lead to an annual saving of $8.1</w:t>
      </w:r>
      <w:r>
        <w:rPr>
          <w:rFonts w:ascii="Arial" w:hAnsi="Arial" w:cs="Arial"/>
          <w:noProof/>
        </w:rPr>
        <w:t>00</w:t>
      </w:r>
      <w:r w:rsidRPr="00A44F88">
        <w:rPr>
          <w:rFonts w:ascii="Arial" w:hAnsi="Arial" w:cs="Arial"/>
          <w:noProof/>
        </w:rPr>
        <w:t xml:space="preserve"> million in compliance costs.</w:t>
      </w:r>
    </w:p>
    <w:p w:rsidR="003B7507" w:rsidRPr="003B7507" w:rsidRDefault="003B7507" w:rsidP="003B7507">
      <w:pPr>
        <w:pStyle w:val="ReportBodyText"/>
      </w:pPr>
    </w:p>
    <w:p w:rsidR="00D836E4" w:rsidRPr="004309AF" w:rsidRDefault="007418A0" w:rsidP="00D836E4">
      <w:pPr>
        <w:pStyle w:val="ReportMeasureTitle"/>
        <w:shd w:val="clear" w:color="auto" w:fill="DAEDB8" w:themeFill="accent6" w:themeFillTint="99"/>
        <w:rPr>
          <w:rFonts w:ascii="Arial" w:hAnsi="Arial" w:cs="Arial"/>
          <w:bCs/>
          <w:lang w:eastAsia="en-AU"/>
        </w:rPr>
      </w:pPr>
      <w:r w:rsidRPr="001F1072">
        <w:rPr>
          <w:rFonts w:ascii="Arial" w:hAnsi="Arial" w:cs="Arial"/>
          <w:b/>
          <w:bCs/>
          <w:lang w:eastAsia="en-AU"/>
        </w:rPr>
        <w:lastRenderedPageBreak/>
        <w:t xml:space="preserve">Better targeting of Family Tax Benefit </w:t>
      </w:r>
      <w:r>
        <w:rPr>
          <w:rFonts w:ascii="Arial" w:hAnsi="Arial" w:cs="Arial"/>
          <w:b/>
          <w:bCs/>
          <w:lang w:eastAsia="en-AU"/>
        </w:rPr>
        <w:t xml:space="preserve">(FTB) </w:t>
      </w:r>
      <w:r w:rsidRPr="001F1072">
        <w:rPr>
          <w:rFonts w:ascii="Arial" w:hAnsi="Arial" w:cs="Arial"/>
          <w:b/>
          <w:bCs/>
          <w:lang w:eastAsia="en-AU"/>
        </w:rPr>
        <w:t>Part B</w:t>
      </w:r>
      <w:r>
        <w:rPr>
          <w:rFonts w:ascii="Arial" w:hAnsi="Arial" w:cs="Arial"/>
          <w:b/>
          <w:bCs/>
          <w:lang w:eastAsia="en-AU"/>
        </w:rPr>
        <w:t xml:space="preserve"> </w:t>
      </w:r>
      <w:r w:rsidRPr="006E68A8">
        <w:rPr>
          <w:rFonts w:ascii="Arial" w:hAnsi="Arial" w:cs="Arial"/>
          <w:b/>
          <w:bCs/>
          <w:lang w:eastAsia="en-AU"/>
        </w:rPr>
        <w:t>by reducing the primary earner income limit from $150,000 per annum to $100,000 per annum</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 xml:space="preserve">From 1 July 2015, the primary earner income limit for </w:t>
      </w:r>
      <w:r>
        <w:rPr>
          <w:rFonts w:ascii="Arial" w:hAnsi="Arial" w:cs="Arial"/>
          <w:noProof/>
        </w:rPr>
        <w:t xml:space="preserve">FTB </w:t>
      </w:r>
      <w:r w:rsidRPr="00A44F88">
        <w:rPr>
          <w:rFonts w:ascii="Arial" w:hAnsi="Arial" w:cs="Arial"/>
          <w:noProof/>
        </w:rPr>
        <w:t>Part B will be $100,000 instead of $150,000.</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This means that where the income of the primary earner in a family is more than $100,000 they will not be eligible to receive the payment.</w:t>
      </w:r>
      <w:r>
        <w:rPr>
          <w:rFonts w:ascii="Arial" w:hAnsi="Arial" w:cs="Arial"/>
          <w:noProof/>
        </w:rPr>
        <w:t xml:space="preserve"> F</w:t>
      </w:r>
      <w:r w:rsidRPr="00A44F88">
        <w:rPr>
          <w:rFonts w:ascii="Arial" w:hAnsi="Arial" w:cs="Arial"/>
          <w:noProof/>
        </w:rPr>
        <w:t xml:space="preserve">amilies </w:t>
      </w:r>
      <w:r>
        <w:rPr>
          <w:rFonts w:ascii="Arial" w:hAnsi="Arial" w:cs="Arial"/>
          <w:noProof/>
        </w:rPr>
        <w:t xml:space="preserve">who were only entitled to FTB Part B to begin with </w:t>
      </w:r>
      <w:r w:rsidRPr="00A44F88">
        <w:rPr>
          <w:rFonts w:ascii="Arial" w:hAnsi="Arial" w:cs="Arial"/>
          <w:noProof/>
        </w:rPr>
        <w:t>will no longer be required to comply with requirements relating to the payment.</w:t>
      </w:r>
      <w:r>
        <w:rPr>
          <w:rFonts w:ascii="Arial" w:hAnsi="Arial" w:cs="Arial"/>
          <w:noProof/>
        </w:rPr>
        <w:t xml:space="preserve"> </w:t>
      </w:r>
      <w:r w:rsidRPr="00A44F88">
        <w:rPr>
          <w:rFonts w:ascii="Arial" w:hAnsi="Arial" w:cs="Arial"/>
          <w:noProof/>
        </w:rPr>
        <w:t xml:space="preserve">For example, </w:t>
      </w:r>
      <w:r>
        <w:rPr>
          <w:rFonts w:ascii="Arial" w:hAnsi="Arial" w:cs="Arial"/>
          <w:noProof/>
        </w:rPr>
        <w:t xml:space="preserve">providing an estimate of </w:t>
      </w:r>
      <w:r w:rsidRPr="00A44F88">
        <w:rPr>
          <w:rFonts w:ascii="Arial" w:hAnsi="Arial" w:cs="Arial"/>
          <w:noProof/>
        </w:rPr>
        <w:t>the family’s income at the beginning of the financial year.</w:t>
      </w:r>
    </w:p>
    <w:p w:rsidR="00D836E4" w:rsidRPr="00A44F88" w:rsidRDefault="007418A0" w:rsidP="00D836E4">
      <w:pPr>
        <w:pStyle w:val="ReportBulletPoint"/>
        <w:shd w:val="clear" w:color="auto" w:fill="F2F9E7" w:themeFill="accent6" w:themeFillTint="33"/>
        <w:rPr>
          <w:rFonts w:ascii="Arial" w:hAnsi="Arial" w:cs="Arial"/>
          <w:b/>
        </w:rPr>
      </w:pPr>
      <w:r>
        <w:rPr>
          <w:rFonts w:ascii="Arial" w:hAnsi="Arial" w:cs="Arial"/>
        </w:rPr>
        <w:t xml:space="preserve">The </w:t>
      </w:r>
      <w:r>
        <w:rPr>
          <w:rFonts w:ascii="Arial" w:hAnsi="Arial" w:cs="Arial"/>
          <w:noProof/>
        </w:rPr>
        <w:t>Department</w:t>
      </w:r>
      <w:r w:rsidRPr="00A44F88">
        <w:rPr>
          <w:rFonts w:ascii="Arial" w:hAnsi="Arial" w:cs="Arial"/>
          <w:noProof/>
        </w:rPr>
        <w:t xml:space="preserve"> has estimated that this will lead to an annual saving of $2.7</w:t>
      </w:r>
      <w:r>
        <w:rPr>
          <w:rFonts w:ascii="Arial" w:hAnsi="Arial" w:cs="Arial"/>
          <w:noProof/>
        </w:rPr>
        <w:t>33</w:t>
      </w:r>
      <w:r w:rsidRPr="00A44F88">
        <w:rPr>
          <w:rFonts w:ascii="Arial" w:hAnsi="Arial" w:cs="Arial"/>
          <w:noProof/>
        </w:rPr>
        <w:t xml:space="preserve"> million in compliance costs.</w:t>
      </w:r>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t xml:space="preserve">Social Security </w:t>
      </w:r>
      <w:r>
        <w:rPr>
          <w:rFonts w:ascii="Arial" w:hAnsi="Arial" w:cs="Arial"/>
          <w:b/>
          <w:bCs/>
          <w:lang w:eastAsia="en-AU"/>
        </w:rPr>
        <w:t>–</w:t>
      </w:r>
      <w:r w:rsidRPr="001F1072">
        <w:rPr>
          <w:rFonts w:ascii="Arial" w:hAnsi="Arial" w:cs="Arial"/>
          <w:b/>
          <w:bCs/>
          <w:lang w:eastAsia="en-AU"/>
        </w:rPr>
        <w:t xml:space="preserve"> From 1 January 2015, the deeming rules that apply to financial investments will be extended to account-based income streams</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From 1 January 2015, the deeming rules that apply to financial investments will be extended to account-based income streams, also known as allocated pensions and account based pensions.</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Some recipients with an account-based income stream will have reduced reporting requirements under the deeming provisions compared to the previous income stream rules.</w:t>
      </w:r>
      <w:r>
        <w:rPr>
          <w:rFonts w:ascii="Arial" w:hAnsi="Arial" w:cs="Arial"/>
        </w:rPr>
        <w:t xml:space="preserve"> </w:t>
      </w:r>
      <w:r w:rsidRPr="00A44F88">
        <w:rPr>
          <w:rFonts w:ascii="Arial" w:hAnsi="Arial" w:cs="Arial"/>
        </w:rPr>
        <w:t>In addition, a small number of people will lose eligibility for the payment, and will therefore no longer be required to comply with the regular reporting requirements.</w:t>
      </w:r>
    </w:p>
    <w:p w:rsidR="00D836E4" w:rsidRPr="00023EC2" w:rsidRDefault="007418A0" w:rsidP="00D836E4">
      <w:pPr>
        <w:pStyle w:val="ReportBulletPoint"/>
        <w:shd w:val="clear" w:color="auto" w:fill="F2F9E7" w:themeFill="accent6" w:themeFillTint="33"/>
        <w:rPr>
          <w:rFonts w:ascii="Arial" w:hAnsi="Arial" w:cs="Arial"/>
        </w:rPr>
      </w:pPr>
      <w:r>
        <w:rPr>
          <w:rFonts w:ascii="Arial" w:hAnsi="Arial" w:cs="Arial"/>
        </w:rPr>
        <w:t xml:space="preserve">The </w:t>
      </w:r>
      <w:r>
        <w:rPr>
          <w:rFonts w:ascii="Arial" w:hAnsi="Arial" w:cs="Arial"/>
          <w:noProof/>
        </w:rPr>
        <w:t>Department</w:t>
      </w:r>
      <w:r w:rsidRPr="00A44F88">
        <w:rPr>
          <w:rFonts w:ascii="Arial" w:hAnsi="Arial" w:cs="Arial"/>
          <w:noProof/>
        </w:rPr>
        <w:t xml:space="preserve"> has estimated that this will lead to an annual saving of $1.24</w:t>
      </w:r>
      <w:r>
        <w:rPr>
          <w:rFonts w:ascii="Arial" w:hAnsi="Arial" w:cs="Arial"/>
          <w:noProof/>
        </w:rPr>
        <w:t>5</w:t>
      </w:r>
      <w:r w:rsidRPr="00A44F88">
        <w:rPr>
          <w:rFonts w:ascii="Arial" w:hAnsi="Arial" w:cs="Arial"/>
          <w:noProof/>
        </w:rPr>
        <w:t xml:space="preserve"> million in compliance costs.</w:t>
      </w:r>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t>Remove the per-child add-on that currently applies for each child after the first under the income test for the base rate of Family Tax Benefit</w:t>
      </w:r>
      <w:r>
        <w:rPr>
          <w:rFonts w:ascii="Arial" w:hAnsi="Arial" w:cs="Arial"/>
          <w:b/>
          <w:bCs/>
          <w:lang w:eastAsia="en-AU"/>
        </w:rPr>
        <w:t xml:space="preserve"> (FTB)</w:t>
      </w:r>
      <w:r w:rsidRPr="001F1072">
        <w:rPr>
          <w:rFonts w:ascii="Arial" w:hAnsi="Arial" w:cs="Arial"/>
          <w:b/>
          <w:bCs/>
          <w:lang w:eastAsia="en-AU"/>
        </w:rPr>
        <w:t xml:space="preserve"> Part A</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 xml:space="preserve">From 1 July 2015, the </w:t>
      </w:r>
      <w:r>
        <w:rPr>
          <w:rFonts w:ascii="Arial" w:hAnsi="Arial" w:cs="Arial"/>
        </w:rPr>
        <w:t xml:space="preserve">FTB </w:t>
      </w:r>
      <w:r w:rsidRPr="00A44F88">
        <w:rPr>
          <w:rFonts w:ascii="Arial" w:hAnsi="Arial" w:cs="Arial"/>
        </w:rPr>
        <w:t>Part A per child add-on will be removed to the higher income free threshold for each addition child.</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Some families will lose their eligibility for the payment as a result of this change and will therefore no longer be required to comply with the associated requirements relating to the payment (e.g. estimating their income, and balancing their payments).</w:t>
      </w:r>
      <w:r>
        <w:rPr>
          <w:rFonts w:ascii="Arial" w:hAnsi="Arial" w:cs="Arial"/>
        </w:rPr>
        <w:t xml:space="preserve"> </w:t>
      </w:r>
    </w:p>
    <w:p w:rsidR="00D836E4" w:rsidRPr="00A44F88" w:rsidRDefault="007418A0" w:rsidP="00D836E4">
      <w:pPr>
        <w:pStyle w:val="ReportBulletPoint"/>
        <w:shd w:val="clear" w:color="auto" w:fill="F2F9E7" w:themeFill="accent6" w:themeFillTint="33"/>
        <w:rPr>
          <w:rFonts w:ascii="Arial" w:hAnsi="Arial" w:cs="Arial"/>
        </w:rPr>
      </w:pPr>
      <w:r>
        <w:rPr>
          <w:rFonts w:ascii="Arial" w:hAnsi="Arial" w:cs="Arial"/>
        </w:rPr>
        <w:t>The Department</w:t>
      </w:r>
      <w:r w:rsidRPr="00A44F88">
        <w:rPr>
          <w:rFonts w:ascii="Arial" w:hAnsi="Arial" w:cs="Arial"/>
        </w:rPr>
        <w:t xml:space="preserve"> has estimated that this will lead to an annual saving of $0.28</w:t>
      </w:r>
      <w:r>
        <w:rPr>
          <w:rFonts w:ascii="Arial" w:hAnsi="Arial" w:cs="Arial"/>
        </w:rPr>
        <w:t>6</w:t>
      </w:r>
      <w:r w:rsidRPr="00A44F88">
        <w:rPr>
          <w:rFonts w:ascii="Arial" w:hAnsi="Arial" w:cs="Arial"/>
        </w:rPr>
        <w:t xml:space="preserve"> million in compliance costs.</w:t>
      </w:r>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t>Limit the Family Tax Benefit (FTB) Part A large family supplement to families with four or more children</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 xml:space="preserve">From 1 July 2015, the </w:t>
      </w:r>
      <w:r>
        <w:rPr>
          <w:rFonts w:ascii="Arial" w:hAnsi="Arial" w:cs="Arial"/>
        </w:rPr>
        <w:t xml:space="preserve">FTB </w:t>
      </w:r>
      <w:r w:rsidRPr="00A44F88">
        <w:rPr>
          <w:rFonts w:ascii="Arial" w:hAnsi="Arial" w:cs="Arial"/>
        </w:rPr>
        <w:t>Part A large family supplement will be limited to families with four or more children.</w:t>
      </w:r>
    </w:p>
    <w:p w:rsidR="00D836E4" w:rsidRPr="000B5AA7" w:rsidRDefault="007418A0" w:rsidP="00D836E4">
      <w:pPr>
        <w:pStyle w:val="ReportBulletPoint"/>
        <w:shd w:val="clear" w:color="auto" w:fill="F2F9E7" w:themeFill="accent6" w:themeFillTint="33"/>
        <w:rPr>
          <w:rFonts w:ascii="Arial" w:hAnsi="Arial" w:cs="Arial"/>
        </w:rPr>
      </w:pPr>
      <w:r w:rsidRPr="000B5AA7">
        <w:rPr>
          <w:rFonts w:ascii="Arial" w:hAnsi="Arial" w:cs="Arial"/>
        </w:rPr>
        <w:t>Some families with three or more children, who no longer receive large family supplement for their third child as a result of this change, will also lose eligibility for FTB Part A, and will therefore no longer be required to comply with the associated requirements relating to the payment</w:t>
      </w:r>
      <w:r>
        <w:rPr>
          <w:rFonts w:ascii="Arial" w:hAnsi="Arial" w:cs="Arial"/>
        </w:rPr>
        <w:t>.</w:t>
      </w:r>
    </w:p>
    <w:p w:rsidR="00D836E4" w:rsidRPr="001F1072" w:rsidRDefault="007418A0" w:rsidP="00D836E4">
      <w:pPr>
        <w:pStyle w:val="ReportBulletPoint"/>
        <w:shd w:val="clear" w:color="auto" w:fill="F2F9E7" w:themeFill="accent6" w:themeFillTint="33"/>
        <w:rPr>
          <w:rFonts w:ascii="Arial" w:hAnsi="Arial" w:cs="Arial"/>
          <w:b/>
        </w:rPr>
      </w:pPr>
      <w:r>
        <w:rPr>
          <w:rFonts w:ascii="Arial" w:hAnsi="Arial" w:cs="Arial"/>
        </w:rPr>
        <w:t>The Department</w:t>
      </w:r>
      <w:r w:rsidRPr="00A44F88">
        <w:rPr>
          <w:rFonts w:ascii="Arial" w:hAnsi="Arial" w:cs="Arial"/>
        </w:rPr>
        <w:t xml:space="preserve"> has estimated that this will lead to an annual saving of $0.27</w:t>
      </w:r>
      <w:r>
        <w:rPr>
          <w:rFonts w:ascii="Arial" w:hAnsi="Arial" w:cs="Arial"/>
        </w:rPr>
        <w:t>3</w:t>
      </w:r>
      <w:r w:rsidRPr="00A44F88">
        <w:rPr>
          <w:rFonts w:ascii="Arial" w:hAnsi="Arial" w:cs="Arial"/>
        </w:rPr>
        <w:t xml:space="preserve"> million in compliance costs.</w:t>
      </w:r>
    </w:p>
    <w:p w:rsidR="00BE4304" w:rsidRDefault="00BE4304">
      <w:pPr>
        <w:spacing w:before="0" w:after="200" w:line="276" w:lineRule="auto"/>
        <w:rPr>
          <w:rFonts w:cs="Arial"/>
          <w:b/>
          <w:bCs/>
          <w:spacing w:val="0"/>
          <w:sz w:val="20"/>
          <w:szCs w:val="20"/>
        </w:rPr>
      </w:pPr>
      <w:r>
        <w:rPr>
          <w:rFonts w:cs="Arial"/>
          <w:b/>
          <w:bCs/>
        </w:rPr>
        <w:br w:type="page"/>
      </w:r>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lastRenderedPageBreak/>
        <w:t>Early termination of the Home Energy Saver Scheme (HESS)</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HESS terminated on 30 June 2014, one year earlier than scheduled.</w:t>
      </w:r>
      <w:r>
        <w:rPr>
          <w:rFonts w:ascii="Arial" w:hAnsi="Arial" w:cs="Arial"/>
          <w:noProof/>
        </w:rPr>
        <w:t xml:space="preserve"> </w:t>
      </w:r>
      <w:r w:rsidRPr="00A44F88">
        <w:rPr>
          <w:rFonts w:ascii="Arial" w:hAnsi="Arial" w:cs="Arial"/>
          <w:noProof/>
        </w:rPr>
        <w:t>HESS formed part of the previous Government’s climate change plan.</w:t>
      </w:r>
      <w:r>
        <w:rPr>
          <w:rFonts w:ascii="Arial" w:hAnsi="Arial" w:cs="Arial"/>
          <w:noProof/>
        </w:rPr>
        <w:t xml:space="preserve"> </w:t>
      </w:r>
      <w:r w:rsidRPr="00A44F88">
        <w:rPr>
          <w:rFonts w:ascii="Arial" w:hAnsi="Arial" w:cs="Arial"/>
          <w:noProof/>
        </w:rPr>
        <w:t>HESS assisted low-income households across Australia experiencing difficulty meeting and paying for their energy needs.</w:t>
      </w:r>
      <w:r>
        <w:rPr>
          <w:rFonts w:ascii="Arial" w:hAnsi="Arial" w:cs="Arial"/>
          <w:noProof/>
        </w:rPr>
        <w:t xml:space="preserve"> </w:t>
      </w:r>
      <w:r w:rsidRPr="00A44F88">
        <w:rPr>
          <w:rFonts w:ascii="Arial" w:hAnsi="Arial" w:cs="Arial"/>
          <w:noProof/>
        </w:rPr>
        <w:t xml:space="preserve">It provided energy efficiency and financial management information and education, including advice, advocacy, support and referral to the No Interest Loans Scheme and subsidies to help households purchase energy efficient appliances. </w:t>
      </w:r>
    </w:p>
    <w:p w:rsidR="00D836E4" w:rsidRPr="00A44F88" w:rsidRDefault="007418A0" w:rsidP="00D836E4">
      <w:pPr>
        <w:pStyle w:val="ReportBulletPoint"/>
        <w:shd w:val="clear" w:color="auto" w:fill="F2F9E7" w:themeFill="accent6" w:themeFillTint="33"/>
        <w:rPr>
          <w:rFonts w:ascii="Arial" w:hAnsi="Arial" w:cs="Arial"/>
        </w:rPr>
      </w:pPr>
      <w:r w:rsidRPr="00A44F88">
        <w:rPr>
          <w:rFonts w:ascii="Arial" w:hAnsi="Arial" w:cs="Arial"/>
          <w:noProof/>
        </w:rPr>
        <w:t xml:space="preserve">The termination of HESS means that providers of the Scheme will no longer be required to meet performance reporting requirements or undertake financial acquittals. </w:t>
      </w:r>
    </w:p>
    <w:p w:rsidR="00D836E4" w:rsidRDefault="007418A0" w:rsidP="00D836E4">
      <w:pPr>
        <w:pStyle w:val="ReportBulletPoint"/>
        <w:shd w:val="clear" w:color="auto" w:fill="F2F9E7" w:themeFill="accent6" w:themeFillTint="33"/>
        <w:rPr>
          <w:rFonts w:ascii="Arial" w:hAnsi="Arial" w:cs="Arial"/>
          <w:lang w:eastAsia="en-AU"/>
        </w:rPr>
      </w:pPr>
      <w:r w:rsidRPr="001F1072">
        <w:rPr>
          <w:rFonts w:ascii="Arial" w:hAnsi="Arial" w:cs="Arial"/>
        </w:rPr>
        <w:t xml:space="preserve">The </w:t>
      </w:r>
      <w:r w:rsidRPr="001F1072">
        <w:rPr>
          <w:rFonts w:ascii="Arial" w:hAnsi="Arial" w:cs="Arial"/>
          <w:noProof/>
        </w:rPr>
        <w:t>Department has estimated that this will lead to an annual saving of $0.14</w:t>
      </w:r>
      <w:r>
        <w:rPr>
          <w:rFonts w:ascii="Arial" w:hAnsi="Arial" w:cs="Arial"/>
          <w:noProof/>
        </w:rPr>
        <w:t>8</w:t>
      </w:r>
      <w:r w:rsidRPr="001F1072">
        <w:rPr>
          <w:rFonts w:ascii="Arial" w:hAnsi="Arial" w:cs="Arial"/>
          <w:noProof/>
        </w:rPr>
        <w:t xml:space="preserve"> million in compliance costs.</w:t>
      </w:r>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t>Income Management — one year extension and expansion to Ceduna, South Australia (including eliminating requirement for eligible businesses to issue or keep itemised receipts)</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In the 2014-15 Budget, the Government announced that Income Management will continue until 30 June 2015 in the Northern Territory; parts of Western Australia; and the Anangu Pitjantjatjara Yankunyathatjara Lands in South Australia.</w:t>
      </w:r>
      <w:r>
        <w:rPr>
          <w:rFonts w:ascii="Arial" w:hAnsi="Arial" w:cs="Arial"/>
          <w:noProof/>
        </w:rPr>
        <w:t xml:space="preserve"> </w:t>
      </w:r>
      <w:r w:rsidRPr="00A44F88">
        <w:rPr>
          <w:rFonts w:ascii="Arial" w:hAnsi="Arial" w:cs="Arial"/>
          <w:noProof/>
        </w:rPr>
        <w:t xml:space="preserve">In addition, Income Management was rolled out from 1 July 2014 until 30 June 2015 in South Australia to the Ceduna Local Government Area, and in locations surrounding Ceduna. </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Previously, all BasicsCard merchants were required to retain itemised receipts for two years, which was particularly onerous for those businesses without automated and itemised point-of-sale systems, as they would need to write and store manual receipts for every BasicsCard transaction.</w:t>
      </w:r>
      <w:r>
        <w:rPr>
          <w:rFonts w:ascii="Arial" w:hAnsi="Arial" w:cs="Arial"/>
          <w:noProof/>
        </w:rPr>
        <w:t xml:space="preserve"> </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Under the extension and expansion of Income Management, BasicsCard merchants not selling excluded items are no longer required to keep itemised receipts for BasicsCard transactions.</w:t>
      </w:r>
    </w:p>
    <w:p w:rsidR="00D836E4" w:rsidRPr="00A44F88" w:rsidRDefault="007418A0" w:rsidP="00D836E4">
      <w:pPr>
        <w:pStyle w:val="ReportBulletPoint"/>
        <w:shd w:val="clear" w:color="auto" w:fill="F2F9E7" w:themeFill="accent6" w:themeFillTint="33"/>
        <w:rPr>
          <w:rFonts w:ascii="Arial" w:hAnsi="Arial" w:cs="Arial"/>
        </w:rPr>
      </w:pPr>
      <w:r>
        <w:rPr>
          <w:rFonts w:ascii="Arial" w:hAnsi="Arial" w:cs="Arial"/>
        </w:rPr>
        <w:t xml:space="preserve">The </w:t>
      </w:r>
      <w:r>
        <w:rPr>
          <w:rFonts w:ascii="Arial" w:hAnsi="Arial" w:cs="Arial"/>
          <w:noProof/>
        </w:rPr>
        <w:t>Department</w:t>
      </w:r>
      <w:r w:rsidRPr="00A44F88">
        <w:rPr>
          <w:rFonts w:ascii="Arial" w:hAnsi="Arial" w:cs="Arial"/>
          <w:noProof/>
        </w:rPr>
        <w:t xml:space="preserve"> has estimated that this will lead to an annual saving of $0.07</w:t>
      </w:r>
      <w:r>
        <w:rPr>
          <w:rFonts w:ascii="Arial" w:hAnsi="Arial" w:cs="Arial"/>
          <w:noProof/>
        </w:rPr>
        <w:t>0</w:t>
      </w:r>
      <w:r w:rsidRPr="00A44F88">
        <w:rPr>
          <w:rFonts w:ascii="Arial" w:hAnsi="Arial" w:cs="Arial"/>
          <w:noProof/>
        </w:rPr>
        <w:t xml:space="preserve"> million in compliance costs.</w:t>
      </w:r>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t>Social Security Agreement with India: Facilitating business between Australia and India</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A Social Security agreement with India was signed on 18 November 2014 and is expected to start on 1 July 2015.</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 xml:space="preserve">This agreement facilitates business between Australia and India by exempting from the requirement to pay compulsory contributions into both countries’ superannuation/pension systems for temporarily seconded workers, as long as they remain subject to their home country’s system. </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The agreement reduces compliance burden for both Australian and Indian businesses. In addition, the regulatory burden on Australian superannuation funds is lowered as they will not have to process as many superannuation payments.</w:t>
      </w:r>
      <w:r>
        <w:rPr>
          <w:rFonts w:ascii="Arial" w:hAnsi="Arial" w:cs="Arial"/>
        </w:rPr>
        <w:t xml:space="preserve"> </w:t>
      </w:r>
      <w:r w:rsidRPr="00A44F88">
        <w:rPr>
          <w:rFonts w:ascii="Arial" w:hAnsi="Arial" w:cs="Arial"/>
        </w:rPr>
        <w:t>There will also be less unclaimed superannuation money sent to the Australian Tax Office by superannuation funds resulting from this agreement.</w:t>
      </w:r>
    </w:p>
    <w:p w:rsidR="00D836E4" w:rsidRPr="00A44F88" w:rsidRDefault="007418A0" w:rsidP="00D836E4">
      <w:pPr>
        <w:pStyle w:val="ReportBulletPoint"/>
        <w:shd w:val="clear" w:color="auto" w:fill="F2F9E7" w:themeFill="accent6" w:themeFillTint="33"/>
        <w:rPr>
          <w:rFonts w:ascii="Arial" w:hAnsi="Arial" w:cs="Arial"/>
        </w:rPr>
      </w:pPr>
      <w:r w:rsidRPr="00A44F88">
        <w:rPr>
          <w:rFonts w:ascii="Arial" w:hAnsi="Arial" w:cs="Arial"/>
        </w:rPr>
        <w:t>It is estimated that this will lead to an annual saving of $0.012 million in compliance costs.</w:t>
      </w:r>
    </w:p>
    <w:p w:rsidR="009B3A91" w:rsidRDefault="009B3A91">
      <w:pPr>
        <w:spacing w:before="0" w:after="200" w:line="276" w:lineRule="auto"/>
        <w:rPr>
          <w:rFonts w:ascii="Georgia" w:hAnsi="Georgia"/>
          <w:bCs/>
          <w:sz w:val="28"/>
        </w:rPr>
      </w:pPr>
      <w:bookmarkStart w:id="89" w:name="_Toc256000076"/>
      <w:bookmarkStart w:id="90" w:name="_Toc256000050"/>
      <w:bookmarkStart w:id="91" w:name="_Toc256000024"/>
      <w:bookmarkStart w:id="92" w:name="_Toc413079660"/>
      <w:r>
        <w:br w:type="page"/>
      </w:r>
    </w:p>
    <w:p w:rsidR="00D836E4" w:rsidRPr="005F2103" w:rsidRDefault="007418A0" w:rsidP="00D836E4">
      <w:pPr>
        <w:pStyle w:val="Heading3"/>
      </w:pPr>
      <w:bookmarkStart w:id="93" w:name="_Toc414443754"/>
      <w:r w:rsidRPr="005F2103">
        <w:lastRenderedPageBreak/>
        <w:t>Gambling</w:t>
      </w:r>
      <w:bookmarkEnd w:id="89"/>
      <w:bookmarkEnd w:id="90"/>
      <w:bookmarkEnd w:id="91"/>
      <w:bookmarkEnd w:id="92"/>
      <w:bookmarkEnd w:id="93"/>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t>Implementing reforms to support responsible gambling*</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The Social Services and Other Legislation Amendment Bill 2013, which included changes to Commonwealth gambling regulation, received Royal Assent on 31 March 2014.</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As part of the first stage of implementing the Government’s national approach to gambling, the National Gambling Regulator was abolished, removing considerable Commonwealth duplication of state and territory government gambling regulatory responsibilities.</w:t>
      </w:r>
      <w:r>
        <w:rPr>
          <w:rFonts w:ascii="Arial" w:hAnsi="Arial" w:cs="Arial"/>
          <w:noProof/>
        </w:rPr>
        <w:t xml:space="preserve"> </w:t>
      </w:r>
      <w:r w:rsidRPr="00A44F88">
        <w:rPr>
          <w:rFonts w:ascii="Arial" w:hAnsi="Arial" w:cs="Arial"/>
          <w:noProof/>
        </w:rPr>
        <w:t xml:space="preserve">Also repealed were the requirements for a $250 limit on cash withdrawals from ATMs in gaming venues, state-wide voluntary pre-commitment and mandatory capability requirements, and dynamic warning requirements for gaming machines. </w:t>
      </w:r>
    </w:p>
    <w:p w:rsidR="00D836E4" w:rsidRPr="00A44F88" w:rsidRDefault="007418A0" w:rsidP="00D836E4">
      <w:pPr>
        <w:pStyle w:val="ReportBulletPoint"/>
        <w:shd w:val="clear" w:color="auto" w:fill="F2F9E7" w:themeFill="accent6" w:themeFillTint="33"/>
        <w:rPr>
          <w:rFonts w:ascii="Arial" w:hAnsi="Arial" w:cs="Arial"/>
          <w:b/>
          <w:noProof/>
        </w:rPr>
      </w:pPr>
      <w:r w:rsidRPr="00A44F88">
        <w:rPr>
          <w:rFonts w:ascii="Arial" w:hAnsi="Arial" w:cs="Arial"/>
          <w:noProof/>
        </w:rPr>
        <w:t>These changes will save considerable costs to the industry, as well as manufacturers and importers.</w:t>
      </w:r>
      <w:r>
        <w:rPr>
          <w:rFonts w:ascii="Arial" w:hAnsi="Arial" w:cs="Arial"/>
          <w:noProof/>
        </w:rPr>
        <w:t xml:space="preserve"> </w:t>
      </w:r>
      <w:r w:rsidRPr="00A44F88">
        <w:rPr>
          <w:rFonts w:ascii="Arial" w:hAnsi="Arial" w:cs="Arial"/>
          <w:noProof/>
        </w:rPr>
        <w:t xml:space="preserve">This makes way for the Government’s second stage, to work with state and territory governments, industry, the community sector, and researchers on implementing reforms to help problem gamblers. </w:t>
      </w:r>
    </w:p>
    <w:p w:rsidR="00D836E4" w:rsidRPr="003B7507" w:rsidRDefault="007418A0" w:rsidP="00D836E4">
      <w:pPr>
        <w:pStyle w:val="ReportBulletPoint"/>
        <w:shd w:val="clear" w:color="auto" w:fill="F2F9E7" w:themeFill="accent6" w:themeFillTint="33"/>
        <w:rPr>
          <w:rFonts w:ascii="Arial" w:hAnsi="Arial" w:cs="Arial"/>
        </w:rPr>
      </w:pPr>
      <w:r>
        <w:rPr>
          <w:rFonts w:ascii="Arial" w:hAnsi="Arial" w:cs="Arial"/>
        </w:rPr>
        <w:t xml:space="preserve">The </w:t>
      </w:r>
      <w:r>
        <w:rPr>
          <w:rFonts w:ascii="Arial" w:hAnsi="Arial" w:cs="Arial"/>
          <w:noProof/>
        </w:rPr>
        <w:t>Department</w:t>
      </w:r>
      <w:r w:rsidRPr="00A44F88">
        <w:rPr>
          <w:rFonts w:ascii="Arial" w:hAnsi="Arial" w:cs="Arial"/>
          <w:noProof/>
        </w:rPr>
        <w:t xml:space="preserve"> has estimated that this will lead to an annual saving of $82.3</w:t>
      </w:r>
      <w:r>
        <w:rPr>
          <w:rFonts w:ascii="Arial" w:hAnsi="Arial" w:cs="Arial"/>
          <w:noProof/>
        </w:rPr>
        <w:t>06</w:t>
      </w:r>
      <w:r w:rsidRPr="00A44F88">
        <w:rPr>
          <w:rFonts w:ascii="Arial" w:hAnsi="Arial" w:cs="Arial"/>
          <w:noProof/>
        </w:rPr>
        <w:t xml:space="preserve"> million in compliance costs.</w:t>
      </w:r>
    </w:p>
    <w:p w:rsidR="00D836E4" w:rsidRPr="005F2103" w:rsidRDefault="007418A0" w:rsidP="00D836E4">
      <w:pPr>
        <w:pStyle w:val="Heading3"/>
      </w:pPr>
      <w:bookmarkStart w:id="94" w:name="_Toc256000078"/>
      <w:bookmarkStart w:id="95" w:name="_Toc256000052"/>
      <w:bookmarkStart w:id="96" w:name="_Toc256000026"/>
      <w:bookmarkStart w:id="97" w:name="_Toc413079661"/>
      <w:bookmarkStart w:id="98" w:name="_Toc414443755"/>
      <w:r w:rsidRPr="005F2103">
        <w:t>Settlement Services</w:t>
      </w:r>
      <w:bookmarkEnd w:id="94"/>
      <w:bookmarkEnd w:id="95"/>
      <w:bookmarkEnd w:id="96"/>
      <w:bookmarkEnd w:id="97"/>
      <w:bookmarkEnd w:id="98"/>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t>Introduction of a new performance management regime, including streamlined key performance indicators</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From 1 October 2014, the Department introduced streamlined contract performance reporting for 16 service providers delivering Humanitarian Settlement Services (HSS).</w:t>
      </w:r>
      <w:r>
        <w:rPr>
          <w:rFonts w:ascii="Arial" w:hAnsi="Arial" w:cs="Arial"/>
        </w:rPr>
        <w:t xml:space="preserve"> </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This streamlining decreases the number of Key Performance Indicators under the HSS contracts from 23 to 16.</w:t>
      </w:r>
    </w:p>
    <w:p w:rsidR="003B7507" w:rsidRPr="003B7507" w:rsidRDefault="007418A0" w:rsidP="003B7507">
      <w:pPr>
        <w:pStyle w:val="ReportBulletPoint"/>
        <w:shd w:val="clear" w:color="auto" w:fill="F2F9E7" w:themeFill="accent6" w:themeFillTint="33"/>
      </w:pPr>
      <w:r>
        <w:rPr>
          <w:rFonts w:ascii="Arial" w:hAnsi="Arial" w:cs="Arial"/>
        </w:rPr>
        <w:t>The Department</w:t>
      </w:r>
      <w:r w:rsidRPr="00A44F88">
        <w:rPr>
          <w:rFonts w:ascii="Arial" w:hAnsi="Arial" w:cs="Arial"/>
        </w:rPr>
        <w:t xml:space="preserve"> has estimated that this will lead to an annual saving of $0.058 million in compliance costs.</w:t>
      </w:r>
    </w:p>
    <w:p w:rsidR="00D836E4" w:rsidRPr="005F2103" w:rsidRDefault="007418A0" w:rsidP="00D836E4">
      <w:pPr>
        <w:pStyle w:val="Heading3"/>
      </w:pPr>
      <w:bookmarkStart w:id="99" w:name="_Toc256000079"/>
      <w:bookmarkStart w:id="100" w:name="_Toc256000053"/>
      <w:bookmarkStart w:id="101" w:name="_Toc256000027"/>
      <w:bookmarkStart w:id="102" w:name="_Toc413079662"/>
      <w:bookmarkStart w:id="103" w:name="_Toc414443756"/>
      <w:r w:rsidRPr="005F2103">
        <w:t>Housing</w:t>
      </w:r>
      <w:bookmarkEnd w:id="99"/>
      <w:bookmarkEnd w:id="100"/>
      <w:bookmarkEnd w:id="101"/>
      <w:bookmarkEnd w:id="102"/>
      <w:bookmarkEnd w:id="103"/>
    </w:p>
    <w:p w:rsidR="00D836E4" w:rsidRDefault="007418A0" w:rsidP="00D836E4">
      <w:pPr>
        <w:pStyle w:val="ReportMeasureTitle"/>
        <w:shd w:val="clear" w:color="auto" w:fill="DAEDB8" w:themeFill="accent6" w:themeFillTint="99"/>
        <w:rPr>
          <w:rFonts w:ascii="Arial" w:hAnsi="Arial" w:cs="Arial"/>
          <w:b/>
          <w:bCs/>
          <w:lang w:eastAsia="en-AU"/>
        </w:rPr>
      </w:pPr>
      <w:r w:rsidRPr="006E68A8">
        <w:rPr>
          <w:rFonts w:ascii="Arial" w:hAnsi="Arial" w:cs="Arial"/>
          <w:b/>
          <w:bCs/>
          <w:lang w:eastAsia="en-AU"/>
        </w:rPr>
        <w:t xml:space="preserve">Reduced administrative burden for investors in the National Rental Affordability Scheme </w:t>
      </w:r>
      <w:r>
        <w:rPr>
          <w:rFonts w:ascii="Arial" w:hAnsi="Arial" w:cs="Arial"/>
          <w:b/>
          <w:bCs/>
          <w:lang w:eastAsia="en-AU"/>
        </w:rPr>
        <w:t xml:space="preserve">(NRAS) </w:t>
      </w:r>
      <w:r w:rsidRPr="006E68A8">
        <w:rPr>
          <w:rFonts w:ascii="Arial" w:hAnsi="Arial" w:cs="Arial"/>
          <w:b/>
          <w:bCs/>
          <w:lang w:eastAsia="en-AU"/>
        </w:rPr>
        <w:t xml:space="preserve">through online solutions </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In April 2014, the Department implemented an updated IT solution to reduce the administrative burden on participants in the NRAS.</w:t>
      </w:r>
      <w:r>
        <w:rPr>
          <w:rFonts w:ascii="Arial" w:hAnsi="Arial" w:cs="Arial"/>
        </w:rPr>
        <w:t xml:space="preserve"> </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As a result, participants can provide their compliance information throughout the year at point of collection thereby reducing their end-of-year workload.</w:t>
      </w:r>
      <w:r>
        <w:rPr>
          <w:rFonts w:ascii="Arial" w:hAnsi="Arial" w:cs="Arial"/>
        </w:rPr>
        <w:t xml:space="preserve"> </w:t>
      </w:r>
      <w:r w:rsidRPr="00A44F88">
        <w:rPr>
          <w:rFonts w:ascii="Arial" w:hAnsi="Arial" w:cs="Arial"/>
        </w:rPr>
        <w:t>The IT solution will allow participants to monitor dwelling compliance throughout the year.</w:t>
      </w:r>
      <w:r>
        <w:rPr>
          <w:rFonts w:ascii="Arial" w:hAnsi="Arial" w:cs="Arial"/>
        </w:rPr>
        <w:t xml:space="preserve"> </w:t>
      </w:r>
      <w:r w:rsidRPr="00A44F88">
        <w:rPr>
          <w:rFonts w:ascii="Arial" w:hAnsi="Arial" w:cs="Arial"/>
        </w:rPr>
        <w:t>When fully implemented, there will be faster processing of payments due to guided online entry and instant validation of tenancy information.</w:t>
      </w:r>
    </w:p>
    <w:p w:rsidR="00D836E4" w:rsidRPr="003B7507" w:rsidRDefault="007418A0" w:rsidP="00D836E4">
      <w:pPr>
        <w:pStyle w:val="ReportBulletPoint"/>
        <w:shd w:val="clear" w:color="auto" w:fill="F2F9E7" w:themeFill="accent6" w:themeFillTint="33"/>
        <w:rPr>
          <w:rFonts w:ascii="Arial" w:hAnsi="Arial" w:cs="Arial"/>
        </w:rPr>
      </w:pPr>
      <w:r>
        <w:rPr>
          <w:rFonts w:ascii="Arial" w:hAnsi="Arial" w:cs="Arial"/>
        </w:rPr>
        <w:t>The Department</w:t>
      </w:r>
      <w:r w:rsidRPr="00A44F88">
        <w:rPr>
          <w:rFonts w:ascii="Arial" w:hAnsi="Arial" w:cs="Arial"/>
        </w:rPr>
        <w:t xml:space="preserve"> has estimated that this will lead to an annual saving of $3.6</w:t>
      </w:r>
      <w:r>
        <w:rPr>
          <w:rFonts w:ascii="Arial" w:hAnsi="Arial" w:cs="Arial"/>
        </w:rPr>
        <w:t>28</w:t>
      </w:r>
      <w:r w:rsidRPr="00A44F88">
        <w:rPr>
          <w:rFonts w:ascii="Arial" w:hAnsi="Arial" w:cs="Arial"/>
        </w:rPr>
        <w:t xml:space="preserve"> million in compliance costs.</w:t>
      </w:r>
    </w:p>
    <w:p w:rsidR="009B3A91" w:rsidRDefault="009B3A91">
      <w:pPr>
        <w:spacing w:before="0" w:after="200" w:line="276" w:lineRule="auto"/>
        <w:rPr>
          <w:rFonts w:ascii="Georgia" w:hAnsi="Georgia"/>
          <w:bCs/>
          <w:sz w:val="28"/>
        </w:rPr>
      </w:pPr>
      <w:bookmarkStart w:id="104" w:name="_Toc256000081"/>
      <w:bookmarkStart w:id="105" w:name="_Toc256000055"/>
      <w:bookmarkStart w:id="106" w:name="_Toc256000029"/>
      <w:bookmarkStart w:id="107" w:name="_Toc413079663"/>
      <w:r>
        <w:br w:type="page"/>
      </w:r>
    </w:p>
    <w:p w:rsidR="00D836E4" w:rsidRPr="005F2103" w:rsidRDefault="007418A0" w:rsidP="00D836E4">
      <w:pPr>
        <w:pStyle w:val="Heading3"/>
      </w:pPr>
      <w:bookmarkStart w:id="108" w:name="_Toc414443757"/>
      <w:r w:rsidRPr="005F2103">
        <w:lastRenderedPageBreak/>
        <w:t>Data collection and access to information</w:t>
      </w:r>
      <w:bookmarkEnd w:id="104"/>
      <w:bookmarkEnd w:id="105"/>
      <w:bookmarkEnd w:id="106"/>
      <w:bookmarkEnd w:id="107"/>
      <w:bookmarkEnd w:id="108"/>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t>Streamline data collection for Family Mental Health Support Services</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In April 2014, the Department introduced changes to streamline the data collection for the Family Mental Health Support Service.</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 xml:space="preserve">This measure involved changes to the online information portal to reduce the reporting impost on providers as the pre-existing system was cumbersome. </w:t>
      </w:r>
    </w:p>
    <w:p w:rsidR="00D836E4" w:rsidRPr="00A44F88" w:rsidRDefault="007418A0" w:rsidP="00D836E4">
      <w:pPr>
        <w:pStyle w:val="ReportBulletPoint"/>
        <w:shd w:val="clear" w:color="auto" w:fill="F2F9E7" w:themeFill="accent6" w:themeFillTint="33"/>
        <w:rPr>
          <w:rFonts w:ascii="Arial" w:hAnsi="Arial" w:cs="Arial"/>
        </w:rPr>
      </w:pPr>
      <w:r>
        <w:rPr>
          <w:rFonts w:ascii="Arial" w:hAnsi="Arial" w:cs="Arial"/>
        </w:rPr>
        <w:t>The Department</w:t>
      </w:r>
      <w:r w:rsidRPr="00A44F88">
        <w:rPr>
          <w:rFonts w:ascii="Arial" w:hAnsi="Arial" w:cs="Arial"/>
        </w:rPr>
        <w:t xml:space="preserve"> has estimated that this will lead to an annual saving of $0.18</w:t>
      </w:r>
      <w:r>
        <w:rPr>
          <w:rFonts w:ascii="Arial" w:hAnsi="Arial" w:cs="Arial"/>
        </w:rPr>
        <w:t>3</w:t>
      </w:r>
      <w:r w:rsidRPr="00A44F88">
        <w:rPr>
          <w:rFonts w:ascii="Arial" w:hAnsi="Arial" w:cs="Arial"/>
        </w:rPr>
        <w:t> million in compliance costs.</w:t>
      </w:r>
    </w:p>
    <w:p w:rsidR="00D836E4" w:rsidRPr="001F1072" w:rsidRDefault="007418A0" w:rsidP="00D836E4">
      <w:pPr>
        <w:pStyle w:val="ReportMeasureTitle"/>
        <w:shd w:val="clear" w:color="auto" w:fill="DAEDB8" w:themeFill="accent6" w:themeFillTint="99"/>
        <w:rPr>
          <w:rFonts w:ascii="Arial" w:hAnsi="Arial" w:cs="Arial"/>
          <w:b/>
          <w:bCs/>
          <w:lang w:eastAsia="en-AU"/>
        </w:rPr>
      </w:pPr>
      <w:r w:rsidRPr="001F1072">
        <w:rPr>
          <w:rFonts w:ascii="Arial" w:hAnsi="Arial" w:cs="Arial"/>
          <w:b/>
          <w:bCs/>
          <w:lang w:eastAsia="en-AU"/>
        </w:rPr>
        <w:t>Publishing the Department’s data sets on Data.gov.au</w:t>
      </w:r>
    </w:p>
    <w:p w:rsidR="00D836E4" w:rsidRPr="00A44F88" w:rsidRDefault="007418A0" w:rsidP="00D836E4">
      <w:pPr>
        <w:pStyle w:val="ReportBulletPoint"/>
        <w:shd w:val="clear" w:color="auto" w:fill="F2F9E7" w:themeFill="accent6" w:themeFillTint="33"/>
        <w:rPr>
          <w:rFonts w:ascii="Arial" w:eastAsia="Arial" w:hAnsi="Arial" w:cs="Arial"/>
          <w:b/>
        </w:rPr>
      </w:pPr>
      <w:r w:rsidRPr="00A44F88">
        <w:rPr>
          <w:rFonts w:ascii="Arial" w:hAnsi="Arial" w:cs="Arial"/>
        </w:rPr>
        <w:t>On 3 July 2014, the former Minister for Social Services, the Hon Kevin Andrews MP, announced that more comprehensive and easier to use income support data will be available on the data.gov.au website.</w:t>
      </w:r>
    </w:p>
    <w:p w:rsidR="00D836E4" w:rsidRPr="00A44F88" w:rsidRDefault="007418A0" w:rsidP="00D836E4">
      <w:pPr>
        <w:pStyle w:val="ReportBulletPoint"/>
        <w:shd w:val="clear" w:color="auto" w:fill="F2F9E7" w:themeFill="accent6" w:themeFillTint="33"/>
        <w:rPr>
          <w:rFonts w:ascii="Arial" w:hAnsi="Arial" w:cs="Arial"/>
          <w:b/>
          <w:bCs/>
          <w:lang w:eastAsia="en-AU"/>
        </w:rPr>
      </w:pPr>
      <w:r w:rsidRPr="00A44F88">
        <w:rPr>
          <w:rFonts w:ascii="Arial" w:hAnsi="Arial" w:cs="Arial"/>
        </w:rPr>
        <w:t xml:space="preserve">This measure means that individuals will have access to more timely data in a format that encourages analysis and the creation of new ideas to improve the welfare system. </w:t>
      </w:r>
    </w:p>
    <w:p w:rsidR="00D836E4" w:rsidRPr="00A44F88" w:rsidRDefault="007418A0" w:rsidP="00D836E4">
      <w:pPr>
        <w:pStyle w:val="ReportBulletPoint"/>
        <w:shd w:val="clear" w:color="auto" w:fill="F2F9E7" w:themeFill="accent6" w:themeFillTint="33"/>
        <w:rPr>
          <w:rFonts w:ascii="Arial" w:hAnsi="Arial" w:cs="Arial"/>
        </w:rPr>
      </w:pPr>
      <w:r>
        <w:rPr>
          <w:rFonts w:ascii="Arial" w:hAnsi="Arial" w:cs="Arial"/>
        </w:rPr>
        <w:t>The Department</w:t>
      </w:r>
      <w:r w:rsidRPr="00A44F88">
        <w:rPr>
          <w:rFonts w:ascii="Arial" w:hAnsi="Arial" w:cs="Arial"/>
        </w:rPr>
        <w:t xml:space="preserve"> has estimated that this will lead to an annual saving of $0.003 million in compliance costs.</w:t>
      </w:r>
    </w:p>
    <w:p w:rsidR="00D836E4" w:rsidRDefault="00D836E4" w:rsidP="00D836E4">
      <w:pPr>
        <w:spacing w:before="80" w:after="80" w:line="288" w:lineRule="auto"/>
        <w:rPr>
          <w:rFonts w:ascii="Georgia" w:hAnsi="Georgia"/>
          <w:bCs/>
          <w:color w:val="275D38"/>
          <w:sz w:val="32"/>
          <w:szCs w:val="26"/>
        </w:rPr>
      </w:pPr>
    </w:p>
    <w:p w:rsidR="007D4B9F" w:rsidRDefault="007D4B9F">
      <w:pPr>
        <w:spacing w:before="0" w:after="200" w:line="276" w:lineRule="auto"/>
        <w:rPr>
          <w:rFonts w:ascii="Georgia" w:hAnsi="Georgia"/>
          <w:bCs/>
          <w:color w:val="275D38"/>
          <w:sz w:val="32"/>
          <w:szCs w:val="26"/>
        </w:rPr>
      </w:pPr>
      <w:bookmarkStart w:id="109" w:name="_Toc256000082"/>
      <w:bookmarkStart w:id="110" w:name="_Toc256000056"/>
      <w:bookmarkStart w:id="111" w:name="_Toc256000030"/>
      <w:bookmarkStart w:id="112" w:name="_Toc413079664"/>
      <w:r>
        <w:br w:type="page"/>
      </w:r>
    </w:p>
    <w:p w:rsidR="00D836E4" w:rsidRPr="005F2103" w:rsidRDefault="007418A0" w:rsidP="00D836E4">
      <w:pPr>
        <w:pStyle w:val="Heading2"/>
      </w:pPr>
      <w:bookmarkStart w:id="113" w:name="_Toc414443758"/>
      <w:r w:rsidRPr="005F2103">
        <w:lastRenderedPageBreak/>
        <w:t>Regulatory Costs</w:t>
      </w:r>
      <w:bookmarkEnd w:id="109"/>
      <w:bookmarkEnd w:id="110"/>
      <w:bookmarkEnd w:id="111"/>
      <w:bookmarkEnd w:id="112"/>
      <w:bookmarkEnd w:id="113"/>
    </w:p>
    <w:p w:rsidR="007D4B9F" w:rsidRPr="005F2103" w:rsidRDefault="007D4B9F" w:rsidP="007D4B9F">
      <w:pPr>
        <w:pStyle w:val="Heading3"/>
      </w:pPr>
      <w:bookmarkStart w:id="114" w:name="_Toc256000083"/>
      <w:bookmarkStart w:id="115" w:name="_Toc256000057"/>
      <w:bookmarkStart w:id="116" w:name="_Toc256000031"/>
      <w:bookmarkStart w:id="117" w:name="_Toc413079665"/>
      <w:bookmarkStart w:id="118" w:name="_Toc414443759"/>
      <w:r w:rsidRPr="005F2103">
        <w:t>Disability Employment Services</w:t>
      </w:r>
      <w:bookmarkEnd w:id="118"/>
    </w:p>
    <w:p w:rsidR="007D4B9F" w:rsidRPr="00EB146C" w:rsidRDefault="007D4B9F" w:rsidP="007D4B9F">
      <w:pPr>
        <w:pStyle w:val="ReportMeasureTitle"/>
        <w:shd w:val="clear" w:color="auto" w:fill="DAEDB8" w:themeFill="accent6" w:themeFillTint="99"/>
        <w:rPr>
          <w:rFonts w:ascii="Arial" w:hAnsi="Arial" w:cs="Arial"/>
          <w:b/>
          <w:bCs/>
          <w:lang w:eastAsia="en-AU"/>
        </w:rPr>
      </w:pPr>
      <w:r w:rsidRPr="00EB146C">
        <w:rPr>
          <w:rFonts w:ascii="Arial" w:hAnsi="Arial" w:cs="Arial"/>
          <w:b/>
          <w:bCs/>
          <w:lang w:eastAsia="en-AU"/>
        </w:rPr>
        <w:t xml:space="preserve">Disability Employment Services-Disability Management Service (DES-DMS) – partial tender </w:t>
      </w:r>
    </w:p>
    <w:p w:rsidR="007D4B9F" w:rsidRPr="00740E03" w:rsidRDefault="007D4B9F" w:rsidP="007D4B9F">
      <w:pPr>
        <w:pStyle w:val="ReportBulletPoint"/>
        <w:shd w:val="clear" w:color="auto" w:fill="F2F9E7" w:themeFill="accent6" w:themeFillTint="33"/>
        <w:rPr>
          <w:rFonts w:ascii="Arial" w:hAnsi="Arial" w:cs="Arial"/>
        </w:rPr>
      </w:pPr>
      <w:r w:rsidRPr="00740E03">
        <w:rPr>
          <w:rFonts w:ascii="Arial" w:hAnsi="Arial" w:cs="Arial"/>
        </w:rPr>
        <w:t>On 6 November</w:t>
      </w:r>
      <w:r w:rsidR="00674AC4">
        <w:rPr>
          <w:rFonts w:ascii="Arial" w:hAnsi="Arial" w:cs="Arial"/>
        </w:rPr>
        <w:t xml:space="preserve"> 2014</w:t>
      </w:r>
      <w:r w:rsidRPr="00740E03">
        <w:rPr>
          <w:rFonts w:ascii="Arial" w:hAnsi="Arial" w:cs="Arial"/>
        </w:rPr>
        <w:t xml:space="preserve">, Senator the Hon Mitch Fifield, Assistant Minister for Social Services, announced the outcome of the DES-DMS tender process. From 2 March 2015, the Australian Government agency CRS Australia will no longer deliver DES-DMS as the non-government sector has shown it can effectively deliver the service. </w:t>
      </w:r>
    </w:p>
    <w:p w:rsidR="007D4B9F" w:rsidRPr="00740E03" w:rsidRDefault="007D4B9F" w:rsidP="007D4B9F">
      <w:pPr>
        <w:pStyle w:val="ReportBulletPoint"/>
        <w:shd w:val="clear" w:color="auto" w:fill="F2F9E7" w:themeFill="accent6" w:themeFillTint="33"/>
        <w:rPr>
          <w:rFonts w:ascii="Arial" w:hAnsi="Arial" w:cs="Arial"/>
        </w:rPr>
      </w:pPr>
      <w:r w:rsidRPr="00740E03">
        <w:rPr>
          <w:rFonts w:ascii="Arial" w:hAnsi="Arial" w:cs="Arial"/>
        </w:rPr>
        <w:t>The business of CRS Australia will instead be delivered by successful tenderers with a record of high performance in helping people with disability find and keep a job. This is also the first time that the entire disability employment market has been fully open to competition.</w:t>
      </w:r>
    </w:p>
    <w:p w:rsidR="007D4B9F" w:rsidRPr="00740E03" w:rsidRDefault="007D4B9F" w:rsidP="007D4B9F">
      <w:pPr>
        <w:pStyle w:val="ReportBulletPoint"/>
        <w:shd w:val="clear" w:color="auto" w:fill="F2F9E7" w:themeFill="accent6" w:themeFillTint="33"/>
        <w:rPr>
          <w:rFonts w:ascii="Arial" w:hAnsi="Arial" w:cs="Arial"/>
        </w:rPr>
      </w:pPr>
      <w:r w:rsidRPr="00740E03">
        <w:rPr>
          <w:rFonts w:ascii="Arial" w:hAnsi="Arial" w:cs="Arial"/>
        </w:rPr>
        <w:t xml:space="preserve">Competitive tenders drive efficiency and innovation in service delivery, resulting in increased benefits and better outcomes for people with a disability. However, there are some short-term regulatory impacts that arise such as the application costs for the partial tender for all organisations that applied, and the ongoing post-application compliance costs on the successful organisations (e.g. reporting requirements). </w:t>
      </w:r>
    </w:p>
    <w:p w:rsidR="007D4B9F" w:rsidRPr="00A44F88" w:rsidRDefault="007D4B9F" w:rsidP="007D4B9F">
      <w:pPr>
        <w:pStyle w:val="ReportBulletPoint"/>
        <w:shd w:val="clear" w:color="auto" w:fill="F2F9E7" w:themeFill="accent6" w:themeFillTint="33"/>
        <w:rPr>
          <w:rFonts w:ascii="Arial" w:hAnsi="Arial" w:cs="Arial"/>
        </w:rPr>
      </w:pPr>
      <w:r w:rsidRPr="00740E03">
        <w:rPr>
          <w:rFonts w:ascii="Arial" w:hAnsi="Arial" w:cs="Arial"/>
        </w:rPr>
        <w:t>The Department has estimated that this measure will lead to an annual cost of $2.3</w:t>
      </w:r>
      <w:r>
        <w:rPr>
          <w:rFonts w:ascii="Arial" w:hAnsi="Arial" w:cs="Arial"/>
        </w:rPr>
        <w:t>3</w:t>
      </w:r>
      <w:r w:rsidRPr="00740E03">
        <w:rPr>
          <w:rFonts w:ascii="Arial" w:hAnsi="Arial" w:cs="Arial"/>
        </w:rPr>
        <w:t>3 million in compliance costs.</w:t>
      </w:r>
    </w:p>
    <w:p w:rsidR="00D836E4" w:rsidRPr="005F2103" w:rsidRDefault="007418A0" w:rsidP="00D836E4">
      <w:pPr>
        <w:pStyle w:val="Heading3"/>
      </w:pPr>
      <w:bookmarkStart w:id="119" w:name="_Toc414443760"/>
      <w:r w:rsidRPr="005F2103">
        <w:t>Social Security</w:t>
      </w:r>
      <w:bookmarkEnd w:id="114"/>
      <w:bookmarkEnd w:id="115"/>
      <w:bookmarkEnd w:id="116"/>
      <w:bookmarkEnd w:id="117"/>
      <w:bookmarkEnd w:id="119"/>
    </w:p>
    <w:p w:rsidR="00D836E4" w:rsidRPr="00EB146C" w:rsidRDefault="007418A0" w:rsidP="00EB146C">
      <w:pPr>
        <w:pStyle w:val="ReportMeasureTitle"/>
        <w:shd w:val="clear" w:color="auto" w:fill="DAEDB8" w:themeFill="accent6" w:themeFillTint="99"/>
        <w:rPr>
          <w:rFonts w:ascii="Arial" w:hAnsi="Arial" w:cs="Arial"/>
          <w:b/>
          <w:bCs/>
          <w:lang w:eastAsia="en-AU"/>
        </w:rPr>
      </w:pPr>
      <w:r w:rsidRPr="00EB146C">
        <w:rPr>
          <w:rFonts w:ascii="Arial" w:hAnsi="Arial" w:cs="Arial"/>
          <w:b/>
          <w:bCs/>
          <w:lang w:eastAsia="en-AU"/>
        </w:rPr>
        <w:t>Disability Support Pension (DSP) revised assessment process</w:t>
      </w:r>
    </w:p>
    <w:p w:rsidR="00D836E4" w:rsidRPr="00740E03" w:rsidRDefault="007418A0" w:rsidP="00D836E4">
      <w:pPr>
        <w:pStyle w:val="ReportBulletPoint"/>
        <w:shd w:val="clear" w:color="auto" w:fill="F2F9E7" w:themeFill="accent6" w:themeFillTint="33"/>
        <w:rPr>
          <w:rFonts w:ascii="Arial" w:hAnsi="Arial" w:cs="Arial"/>
          <w:noProof/>
        </w:rPr>
      </w:pPr>
      <w:r w:rsidRPr="00740E03">
        <w:rPr>
          <w:rFonts w:ascii="Arial" w:hAnsi="Arial" w:cs="Arial"/>
          <w:noProof/>
        </w:rPr>
        <w:t xml:space="preserve">On 12 December 2014, the Minister for Social Services announced that from </w:t>
      </w:r>
      <w:r w:rsidRPr="00740E03">
        <w:rPr>
          <w:rFonts w:ascii="Arial" w:hAnsi="Arial" w:cs="Arial"/>
          <w:noProof/>
        </w:rPr>
        <w:br/>
        <w:t xml:space="preserve">1 January 2015, Australian Government-contracted doctors will assess new claims for the DSP to achieve consistency and equity across the country. </w:t>
      </w:r>
    </w:p>
    <w:p w:rsidR="00D836E4" w:rsidRPr="00740E03" w:rsidRDefault="007418A0" w:rsidP="00D836E4">
      <w:pPr>
        <w:pStyle w:val="ReportBulletPoint"/>
        <w:shd w:val="clear" w:color="auto" w:fill="F2F9E7" w:themeFill="accent6" w:themeFillTint="33"/>
        <w:rPr>
          <w:rFonts w:ascii="Arial" w:hAnsi="Arial" w:cs="Arial"/>
        </w:rPr>
      </w:pPr>
      <w:r w:rsidRPr="00740E03">
        <w:rPr>
          <w:rFonts w:ascii="Arial" w:hAnsi="Arial" w:cs="Arial"/>
        </w:rPr>
        <w:t xml:space="preserve">Also from 1 January 2015, for certain customers the Treating Doctor Report will no longer be part of the DSP claim process. Instead, claimants will need to provide existing medical evidence to Centrelink as part of a claim. Claimants will still be referred for a Job Capacity Assessment (JCA), unless they do not meet the non-medical eligibility requirements for DSP or have been assessed as being manifestly eligible. Following a JCA, claimants may be referred for a face-to-face Disability Medical Assessment with a Government-contracted doctor. </w:t>
      </w:r>
    </w:p>
    <w:p w:rsidR="00D836E4" w:rsidRPr="00740E03" w:rsidRDefault="007418A0" w:rsidP="00D836E4">
      <w:pPr>
        <w:pStyle w:val="ReportBulletPoint"/>
        <w:shd w:val="clear" w:color="auto" w:fill="F2F9E7" w:themeFill="accent6" w:themeFillTint="33"/>
        <w:rPr>
          <w:rFonts w:ascii="Arial" w:hAnsi="Arial" w:cs="Arial"/>
        </w:rPr>
      </w:pPr>
      <w:r w:rsidRPr="00740E03">
        <w:rPr>
          <w:rFonts w:ascii="Arial" w:hAnsi="Arial" w:cs="Arial"/>
        </w:rPr>
        <w:t>Initially these changes will apply to DSP claimants 35 years of age or under, starting with those under 25, who live in a capital city. From 1 July 2015 the changes will apply to all DSP claimants.</w:t>
      </w:r>
    </w:p>
    <w:p w:rsidR="00D836E4" w:rsidRDefault="007418A0" w:rsidP="00D836E4">
      <w:pPr>
        <w:pStyle w:val="ReportBulletPoint"/>
        <w:shd w:val="clear" w:color="auto" w:fill="F2F9E7" w:themeFill="accent6" w:themeFillTint="33"/>
        <w:rPr>
          <w:rFonts w:ascii="Arial" w:hAnsi="Arial" w:cs="Arial"/>
          <w:noProof/>
        </w:rPr>
      </w:pPr>
      <w:r w:rsidRPr="00740E03">
        <w:rPr>
          <w:rFonts w:ascii="Arial" w:hAnsi="Arial" w:cs="Arial"/>
        </w:rPr>
        <w:t xml:space="preserve">The </w:t>
      </w:r>
      <w:r w:rsidRPr="00740E03">
        <w:rPr>
          <w:rFonts w:ascii="Arial" w:hAnsi="Arial" w:cs="Arial"/>
          <w:noProof/>
        </w:rPr>
        <w:t>Department has estimated that this will lead to an annual cost of $1.46</w:t>
      </w:r>
      <w:r>
        <w:rPr>
          <w:rFonts w:ascii="Arial" w:hAnsi="Arial" w:cs="Arial"/>
          <w:noProof/>
        </w:rPr>
        <w:t>3</w:t>
      </w:r>
      <w:r w:rsidRPr="00740E03">
        <w:rPr>
          <w:rFonts w:ascii="Arial" w:hAnsi="Arial" w:cs="Arial"/>
          <w:noProof/>
        </w:rPr>
        <w:t xml:space="preserve"> million in compliance costs.</w:t>
      </w:r>
    </w:p>
    <w:p w:rsidR="007D4B9F" w:rsidRDefault="007D4B9F">
      <w:pPr>
        <w:spacing w:before="0" w:after="200" w:line="276" w:lineRule="auto"/>
        <w:rPr>
          <w:rFonts w:cs="Arial"/>
          <w:b/>
          <w:bCs/>
          <w:spacing w:val="0"/>
          <w:sz w:val="20"/>
          <w:szCs w:val="20"/>
        </w:rPr>
      </w:pPr>
      <w:r>
        <w:rPr>
          <w:rFonts w:cs="Arial"/>
          <w:b/>
          <w:bCs/>
        </w:rPr>
        <w:br w:type="page"/>
      </w:r>
    </w:p>
    <w:p w:rsidR="00D836E4" w:rsidRPr="00EB146C" w:rsidRDefault="007418A0" w:rsidP="00EB146C">
      <w:pPr>
        <w:pStyle w:val="ReportMeasureTitle"/>
        <w:shd w:val="clear" w:color="auto" w:fill="DAEDB8" w:themeFill="accent6" w:themeFillTint="99"/>
        <w:rPr>
          <w:rFonts w:ascii="Arial" w:hAnsi="Arial" w:cs="Arial"/>
          <w:b/>
          <w:bCs/>
          <w:lang w:eastAsia="en-AU"/>
        </w:rPr>
      </w:pPr>
      <w:r w:rsidRPr="00EB146C">
        <w:rPr>
          <w:rFonts w:ascii="Arial" w:hAnsi="Arial" w:cs="Arial"/>
          <w:b/>
          <w:bCs/>
          <w:lang w:eastAsia="en-AU"/>
        </w:rPr>
        <w:lastRenderedPageBreak/>
        <w:t xml:space="preserve">Compulsory participation requirements for Disability Support Pension (DSP) recipients aged </w:t>
      </w:r>
      <w:proofErr w:type="gramStart"/>
      <w:r w:rsidRPr="00EB146C">
        <w:rPr>
          <w:rFonts w:ascii="Arial" w:hAnsi="Arial" w:cs="Arial"/>
          <w:b/>
          <w:bCs/>
          <w:lang w:eastAsia="en-AU"/>
        </w:rPr>
        <w:t>under</w:t>
      </w:r>
      <w:proofErr w:type="gramEnd"/>
      <w:r w:rsidRPr="00EB146C">
        <w:rPr>
          <w:rFonts w:ascii="Arial" w:hAnsi="Arial" w:cs="Arial"/>
          <w:b/>
          <w:bCs/>
          <w:lang w:eastAsia="en-AU"/>
        </w:rPr>
        <w:t xml:space="preserve"> 35 years</w:t>
      </w:r>
    </w:p>
    <w:p w:rsidR="00D836E4" w:rsidRPr="00A44F88" w:rsidRDefault="007418A0" w:rsidP="00D836E4">
      <w:pPr>
        <w:pStyle w:val="ReportBulletPoint"/>
        <w:shd w:val="clear" w:color="auto" w:fill="F2F9E7" w:themeFill="accent6" w:themeFillTint="33"/>
        <w:rPr>
          <w:rFonts w:ascii="Arial" w:hAnsi="Arial" w:cs="Arial"/>
          <w:b/>
        </w:rPr>
      </w:pPr>
      <w:r w:rsidRPr="00A44F88">
        <w:rPr>
          <w:rFonts w:ascii="Arial" w:hAnsi="Arial" w:cs="Arial"/>
        </w:rPr>
        <w:t xml:space="preserve">On 1 July 2014, the Government introduced compulsory work-focussed activities for DSP participants under 35 years of age with an assessed work capacity of eight hours or more a week </w:t>
      </w:r>
      <w:proofErr w:type="gramStart"/>
      <w:r w:rsidRPr="00A44F88">
        <w:rPr>
          <w:rFonts w:ascii="Arial" w:hAnsi="Arial" w:cs="Arial"/>
        </w:rPr>
        <w:t>who</w:t>
      </w:r>
      <w:proofErr w:type="gramEnd"/>
      <w:r w:rsidRPr="00A44F88">
        <w:rPr>
          <w:rFonts w:ascii="Arial" w:hAnsi="Arial" w:cs="Arial"/>
        </w:rPr>
        <w:t xml:space="preserve"> have participation requirements.</w:t>
      </w:r>
    </w:p>
    <w:p w:rsidR="00D836E4" w:rsidRPr="00A44F88" w:rsidRDefault="007418A0" w:rsidP="00D836E4">
      <w:pPr>
        <w:pStyle w:val="ReportBulletPoint"/>
        <w:shd w:val="clear" w:color="auto" w:fill="F2F9E7" w:themeFill="accent6" w:themeFillTint="33"/>
        <w:rPr>
          <w:rFonts w:ascii="Arial" w:hAnsi="Arial" w:cs="Arial"/>
          <w:b/>
          <w:lang w:eastAsia="en-AU"/>
        </w:rPr>
      </w:pPr>
      <w:r w:rsidRPr="00A44F88">
        <w:rPr>
          <w:rFonts w:ascii="Arial" w:hAnsi="Arial" w:cs="Arial"/>
          <w:lang w:eastAsia="en-AU"/>
        </w:rPr>
        <w:t>A number of these recipients will be required to provide evidence of their attendance at their compulsory activities.</w:t>
      </w:r>
      <w:r>
        <w:rPr>
          <w:rFonts w:ascii="Arial" w:hAnsi="Arial" w:cs="Arial"/>
          <w:lang w:eastAsia="en-AU"/>
        </w:rPr>
        <w:t xml:space="preserve"> </w:t>
      </w:r>
      <w:r w:rsidRPr="00A44F88">
        <w:rPr>
          <w:rFonts w:ascii="Arial" w:hAnsi="Arial" w:cs="Arial"/>
          <w:lang w:eastAsia="en-AU"/>
        </w:rPr>
        <w:t>Compliance costs arise in relation to the time taken for the individual and service provider to obtain this proof of attendance.</w:t>
      </w:r>
      <w:r>
        <w:rPr>
          <w:rFonts w:ascii="Arial" w:hAnsi="Arial" w:cs="Arial"/>
          <w:lang w:eastAsia="en-AU"/>
        </w:rPr>
        <w:t xml:space="preserve"> </w:t>
      </w:r>
      <w:r w:rsidRPr="00A44F88">
        <w:rPr>
          <w:rFonts w:ascii="Arial" w:hAnsi="Arial" w:cs="Arial"/>
          <w:lang w:eastAsia="en-AU"/>
        </w:rPr>
        <w:t xml:space="preserve">As mutual obligation activity is excluded under the Regulatory Burden Measurement framework, the requirement for these recipients to undertake the compulsory activities has not been quantified. </w:t>
      </w:r>
    </w:p>
    <w:p w:rsidR="00D836E4" w:rsidRPr="00A44F88" w:rsidRDefault="007418A0" w:rsidP="00D836E4">
      <w:pPr>
        <w:pStyle w:val="ReportBulletPoint"/>
        <w:shd w:val="clear" w:color="auto" w:fill="F2F9E7" w:themeFill="accent6" w:themeFillTint="33"/>
        <w:rPr>
          <w:rFonts w:ascii="Arial" w:hAnsi="Arial" w:cs="Arial"/>
        </w:rPr>
      </w:pPr>
      <w:r>
        <w:rPr>
          <w:rFonts w:ascii="Arial" w:hAnsi="Arial" w:cs="Arial"/>
        </w:rPr>
        <w:t>The Department</w:t>
      </w:r>
      <w:r w:rsidRPr="00A44F88">
        <w:rPr>
          <w:rFonts w:ascii="Arial" w:hAnsi="Arial" w:cs="Arial"/>
        </w:rPr>
        <w:t xml:space="preserve"> has estimated that this will lead to an annual cost of $0.7</w:t>
      </w:r>
      <w:r>
        <w:rPr>
          <w:rFonts w:ascii="Arial" w:hAnsi="Arial" w:cs="Arial"/>
        </w:rPr>
        <w:t>4</w:t>
      </w:r>
      <w:r w:rsidRPr="00A44F88">
        <w:rPr>
          <w:rFonts w:ascii="Arial" w:hAnsi="Arial" w:cs="Arial"/>
        </w:rPr>
        <w:t>4 million in compliance costs.</w:t>
      </w:r>
    </w:p>
    <w:p w:rsidR="00D836E4" w:rsidRPr="00EB146C" w:rsidRDefault="007418A0" w:rsidP="00EB146C">
      <w:pPr>
        <w:pStyle w:val="ReportMeasureTitle"/>
        <w:shd w:val="clear" w:color="auto" w:fill="DAEDB8" w:themeFill="accent6" w:themeFillTint="99"/>
        <w:rPr>
          <w:rFonts w:ascii="Arial" w:hAnsi="Arial" w:cs="Arial"/>
          <w:b/>
          <w:bCs/>
          <w:lang w:eastAsia="en-AU"/>
        </w:rPr>
      </w:pPr>
      <w:r w:rsidRPr="00EB146C">
        <w:rPr>
          <w:rFonts w:ascii="Arial" w:hAnsi="Arial" w:cs="Arial"/>
          <w:b/>
          <w:bCs/>
          <w:lang w:eastAsia="en-AU"/>
        </w:rPr>
        <w:t>Regulation imposed on service providers and clients by the new Stronger Relationships Trial</w:t>
      </w:r>
    </w:p>
    <w:p w:rsidR="00D836E4" w:rsidRPr="00740E03" w:rsidRDefault="007418A0" w:rsidP="00D836E4">
      <w:pPr>
        <w:pStyle w:val="ReportBulletPoint"/>
        <w:shd w:val="clear" w:color="auto" w:fill="F2F9E7" w:themeFill="accent6" w:themeFillTint="33"/>
        <w:rPr>
          <w:rFonts w:ascii="Arial" w:hAnsi="Arial" w:cs="Arial"/>
          <w:noProof/>
        </w:rPr>
      </w:pPr>
      <w:r w:rsidRPr="00740E03">
        <w:rPr>
          <w:rFonts w:ascii="Arial" w:hAnsi="Arial" w:cs="Arial"/>
          <w:noProof/>
        </w:rPr>
        <w:t xml:space="preserve">On 1 July 2014, the Minister for Social Services announced the Stronger Relationships Trial, a one-year trial of providing $200 vouchers to up to 100,000 couples to assist them to access marriage and relationship education and counselling. </w:t>
      </w:r>
    </w:p>
    <w:p w:rsidR="00D836E4" w:rsidRPr="00740E03" w:rsidRDefault="007418A0" w:rsidP="00D836E4">
      <w:pPr>
        <w:pStyle w:val="ReportBulletPoint"/>
        <w:shd w:val="clear" w:color="auto" w:fill="F2F9E7" w:themeFill="accent6" w:themeFillTint="33"/>
        <w:rPr>
          <w:rFonts w:ascii="Arial" w:hAnsi="Arial" w:cs="Arial"/>
        </w:rPr>
      </w:pPr>
      <w:r w:rsidRPr="00740E03">
        <w:rPr>
          <w:rFonts w:ascii="Arial" w:hAnsi="Arial" w:cs="Arial"/>
          <w:noProof/>
        </w:rPr>
        <w:t xml:space="preserve">Couples will be required to register for the programme online, indicate whether they are willing to be contacted for a follow-up evalutation, provide contact details and answer up to eight demographic questions. Service providers can claim a $200 reimbursement for each couple after the completion of service provision through the Department’s online financial management system. </w:t>
      </w:r>
    </w:p>
    <w:p w:rsidR="00D836E4" w:rsidRPr="00740E03" w:rsidRDefault="007418A0" w:rsidP="00D836E4">
      <w:pPr>
        <w:pStyle w:val="ReportBulletPoint"/>
        <w:shd w:val="clear" w:color="auto" w:fill="F2F9E7" w:themeFill="accent6" w:themeFillTint="33"/>
        <w:rPr>
          <w:rFonts w:ascii="Arial" w:hAnsi="Arial" w:cs="Arial"/>
        </w:rPr>
      </w:pPr>
      <w:r w:rsidRPr="00740E03">
        <w:rPr>
          <w:rFonts w:ascii="Arial" w:hAnsi="Arial" w:cs="Arial"/>
        </w:rPr>
        <w:t xml:space="preserve">The </w:t>
      </w:r>
      <w:r w:rsidRPr="00740E03">
        <w:rPr>
          <w:rFonts w:ascii="Arial" w:hAnsi="Arial" w:cs="Arial"/>
          <w:noProof/>
        </w:rPr>
        <w:t>Department has estimated that this will lead to an annual cost of $0.72</w:t>
      </w:r>
      <w:r>
        <w:rPr>
          <w:rFonts w:ascii="Arial" w:hAnsi="Arial" w:cs="Arial"/>
          <w:noProof/>
        </w:rPr>
        <w:t>0</w:t>
      </w:r>
      <w:r w:rsidRPr="00740E03">
        <w:rPr>
          <w:rFonts w:ascii="Arial" w:hAnsi="Arial" w:cs="Arial"/>
          <w:noProof/>
        </w:rPr>
        <w:t xml:space="preserve"> million in compliance costs.</w:t>
      </w:r>
    </w:p>
    <w:p w:rsidR="00D836E4" w:rsidRPr="00552A51" w:rsidRDefault="007418A0" w:rsidP="00EB146C">
      <w:pPr>
        <w:pStyle w:val="ReportMeasureTitle"/>
        <w:shd w:val="clear" w:color="auto" w:fill="DAEDB8" w:themeFill="accent6" w:themeFillTint="99"/>
        <w:rPr>
          <w:rFonts w:ascii="Arial" w:hAnsi="Arial" w:cs="Arial"/>
          <w:b/>
          <w:bCs/>
          <w:lang w:eastAsia="en-AU"/>
        </w:rPr>
      </w:pPr>
      <w:r w:rsidRPr="00EB146C">
        <w:rPr>
          <w:rFonts w:ascii="Arial" w:hAnsi="Arial" w:cs="Arial"/>
          <w:b/>
          <w:bCs/>
          <w:lang w:eastAsia="en-AU"/>
        </w:rPr>
        <w:t xml:space="preserve">Limit the six-week portability period for student payments to certain absences </w:t>
      </w:r>
    </w:p>
    <w:p w:rsidR="00D836E4" w:rsidRPr="00740E03" w:rsidRDefault="007418A0" w:rsidP="00D836E4">
      <w:pPr>
        <w:pStyle w:val="ReportBulletPoint"/>
        <w:shd w:val="clear" w:color="auto" w:fill="F2F9E7" w:themeFill="accent6" w:themeFillTint="33"/>
        <w:rPr>
          <w:rFonts w:ascii="Arial" w:eastAsia="Arial" w:hAnsi="Arial" w:cs="Arial"/>
        </w:rPr>
      </w:pPr>
      <w:r w:rsidRPr="00740E03">
        <w:rPr>
          <w:rFonts w:ascii="Arial" w:hAnsi="Arial" w:cs="Arial"/>
        </w:rPr>
        <w:t xml:space="preserve">From 1 January 2015, students who travel overseas will only be eligible to continue to receive student payments (Youth Allowance, </w:t>
      </w:r>
      <w:proofErr w:type="spellStart"/>
      <w:r w:rsidRPr="00740E03">
        <w:rPr>
          <w:rFonts w:ascii="Arial" w:hAnsi="Arial" w:cs="Arial"/>
        </w:rPr>
        <w:t>Austudy</w:t>
      </w:r>
      <w:proofErr w:type="spellEnd"/>
      <w:r w:rsidRPr="00740E03">
        <w:rPr>
          <w:rFonts w:ascii="Arial" w:hAnsi="Arial" w:cs="Arial"/>
        </w:rPr>
        <w:t xml:space="preserve"> and ABSTUDY) where they are undertaking approved overseas study that is part of their full-time Australian course; attending an acute family crisis; receiving eligible medical treatment not available in Australia; or attending a training camp with the Australian Armed Forces Reserves.</w:t>
      </w:r>
    </w:p>
    <w:p w:rsidR="00D836E4" w:rsidRPr="00740E03" w:rsidRDefault="007418A0" w:rsidP="00D836E4">
      <w:pPr>
        <w:pStyle w:val="ReportBulletPoint"/>
        <w:shd w:val="clear" w:color="auto" w:fill="F2F9E7" w:themeFill="accent6" w:themeFillTint="33"/>
        <w:rPr>
          <w:rFonts w:ascii="Arial" w:hAnsi="Arial" w:cs="Arial"/>
          <w:lang w:eastAsia="en-AU"/>
        </w:rPr>
      </w:pPr>
      <w:r w:rsidRPr="00740E03">
        <w:rPr>
          <w:rFonts w:ascii="Arial" w:hAnsi="Arial" w:cs="Arial"/>
        </w:rPr>
        <w:t xml:space="preserve">Students are still required to demonstrate that overseas travel is for an approved reason. No new regulations or requirements are imposed, except where the reason for travel is for the purposes of attending an acute family crisis. These students will be required to obtain approval to retain access to their payments while overseas, which was not previously required. </w:t>
      </w:r>
    </w:p>
    <w:p w:rsidR="00D836E4" w:rsidRPr="00740E03" w:rsidRDefault="007418A0" w:rsidP="00D836E4">
      <w:pPr>
        <w:pStyle w:val="ReportBulletPoint"/>
        <w:shd w:val="clear" w:color="auto" w:fill="F2F9E7" w:themeFill="accent6" w:themeFillTint="33"/>
        <w:rPr>
          <w:rFonts w:ascii="Arial" w:hAnsi="Arial" w:cs="Arial"/>
        </w:rPr>
      </w:pPr>
      <w:r w:rsidRPr="00740E03">
        <w:rPr>
          <w:rFonts w:ascii="Arial" w:hAnsi="Arial" w:cs="Arial"/>
        </w:rPr>
        <w:t>The Department has estimated that this will lead to an annual cost of $0.069 million in compliance costs.</w:t>
      </w:r>
    </w:p>
    <w:p w:rsidR="007D4B9F" w:rsidRDefault="007D4B9F">
      <w:pPr>
        <w:spacing w:before="0" w:after="200" w:line="276" w:lineRule="auto"/>
        <w:rPr>
          <w:rFonts w:cs="Arial"/>
          <w:b/>
          <w:bCs/>
          <w:spacing w:val="0"/>
          <w:sz w:val="20"/>
          <w:szCs w:val="20"/>
        </w:rPr>
      </w:pPr>
      <w:r>
        <w:rPr>
          <w:rFonts w:cs="Arial"/>
          <w:b/>
          <w:bCs/>
        </w:rPr>
        <w:br w:type="page"/>
      </w:r>
    </w:p>
    <w:p w:rsidR="00D836E4" w:rsidRPr="00EB146C" w:rsidRDefault="007418A0" w:rsidP="00EB146C">
      <w:pPr>
        <w:pStyle w:val="ReportMeasureTitle"/>
        <w:shd w:val="clear" w:color="auto" w:fill="DAEDB8" w:themeFill="accent6" w:themeFillTint="99"/>
        <w:rPr>
          <w:rFonts w:ascii="Arial" w:hAnsi="Arial" w:cs="Arial"/>
          <w:b/>
          <w:bCs/>
          <w:lang w:eastAsia="en-AU"/>
        </w:rPr>
      </w:pPr>
      <w:r w:rsidRPr="00EB146C">
        <w:rPr>
          <w:rFonts w:ascii="Arial" w:hAnsi="Arial" w:cs="Arial"/>
          <w:b/>
          <w:bCs/>
          <w:lang w:eastAsia="en-AU"/>
        </w:rPr>
        <w:lastRenderedPageBreak/>
        <w:t>Commonwealth Seniors Health Card – include non-taxable superannuation income into the CSHC income test</w:t>
      </w:r>
    </w:p>
    <w:p w:rsidR="00D836E4" w:rsidRPr="00740E03" w:rsidRDefault="007418A0" w:rsidP="00D836E4">
      <w:pPr>
        <w:pStyle w:val="ReportBulletPoint"/>
        <w:shd w:val="clear" w:color="auto" w:fill="F2F9E7" w:themeFill="accent6" w:themeFillTint="33"/>
        <w:rPr>
          <w:rFonts w:ascii="Arial" w:hAnsi="Arial" w:cs="Arial"/>
        </w:rPr>
      </w:pPr>
      <w:r w:rsidRPr="00740E03">
        <w:rPr>
          <w:rFonts w:ascii="Arial" w:hAnsi="Arial" w:cs="Arial"/>
        </w:rPr>
        <w:t>From 1 January 2015, non-taxable superannuation income will be included in the Commonwealth Seniors Health Card (CSHC) income test. This means that superannuation account-based income streams will be deemed under the existing deeming rules for the Age Pension.</w:t>
      </w:r>
    </w:p>
    <w:p w:rsidR="00D836E4" w:rsidRPr="00740E03" w:rsidRDefault="007418A0" w:rsidP="00D836E4">
      <w:pPr>
        <w:pStyle w:val="ReportBulletPoint"/>
        <w:shd w:val="clear" w:color="auto" w:fill="F2F9E7" w:themeFill="accent6" w:themeFillTint="33"/>
        <w:rPr>
          <w:rFonts w:ascii="Arial" w:hAnsi="Arial" w:cs="Arial"/>
        </w:rPr>
      </w:pPr>
      <w:r w:rsidRPr="00740E03">
        <w:rPr>
          <w:rFonts w:ascii="Arial" w:hAnsi="Arial" w:cs="Arial"/>
        </w:rPr>
        <w:t>CSHC applicants are currently required to report their taxable income by showing Centrelink their Tax Notice of Assessment. This measure requires applicants to additionally show the amount of untaxed superannuation balances to Centrelink.</w:t>
      </w:r>
    </w:p>
    <w:p w:rsidR="00D836E4" w:rsidRPr="00740E03" w:rsidRDefault="007418A0" w:rsidP="00D836E4">
      <w:pPr>
        <w:pStyle w:val="ReportBulletPoint"/>
        <w:shd w:val="clear" w:color="auto" w:fill="F2F9E7" w:themeFill="accent6" w:themeFillTint="33"/>
        <w:rPr>
          <w:rFonts w:ascii="Arial" w:hAnsi="Arial" w:cs="Arial"/>
        </w:rPr>
      </w:pPr>
      <w:r w:rsidRPr="00740E03">
        <w:rPr>
          <w:rFonts w:ascii="Arial" w:hAnsi="Arial" w:cs="Arial"/>
        </w:rPr>
        <w:t>The Department has estimated that this will lead to an annual cost of $0.0</w:t>
      </w:r>
      <w:r>
        <w:rPr>
          <w:rFonts w:ascii="Arial" w:hAnsi="Arial" w:cs="Arial"/>
        </w:rPr>
        <w:t>5</w:t>
      </w:r>
      <w:r w:rsidRPr="00740E03">
        <w:rPr>
          <w:rFonts w:ascii="Arial" w:hAnsi="Arial" w:cs="Arial"/>
        </w:rPr>
        <w:t>5 million in compliance costs.</w:t>
      </w:r>
    </w:p>
    <w:p w:rsidR="00D836E4" w:rsidRPr="00EB146C" w:rsidRDefault="007418A0" w:rsidP="00EB146C">
      <w:pPr>
        <w:pStyle w:val="ReportMeasureTitle"/>
        <w:shd w:val="clear" w:color="auto" w:fill="DAEDB8" w:themeFill="accent6" w:themeFillTint="99"/>
        <w:rPr>
          <w:rFonts w:ascii="Arial" w:hAnsi="Arial" w:cs="Arial"/>
          <w:b/>
          <w:bCs/>
          <w:lang w:eastAsia="en-AU"/>
        </w:rPr>
      </w:pPr>
      <w:r w:rsidRPr="00EB146C">
        <w:rPr>
          <w:rFonts w:ascii="Arial" w:hAnsi="Arial" w:cs="Arial"/>
          <w:b/>
          <w:bCs/>
          <w:lang w:eastAsia="en-AU"/>
        </w:rPr>
        <w:t>Introduction of the Young Carer Bursary Programme</w:t>
      </w:r>
    </w:p>
    <w:p w:rsidR="00D836E4" w:rsidRPr="00740E03" w:rsidRDefault="007418A0" w:rsidP="00D836E4">
      <w:pPr>
        <w:pStyle w:val="ReportBulletPoint"/>
        <w:shd w:val="clear" w:color="auto" w:fill="F2F9E7" w:themeFill="accent6" w:themeFillTint="33"/>
        <w:rPr>
          <w:rFonts w:ascii="Arial" w:hAnsi="Arial" w:cs="Arial"/>
        </w:rPr>
      </w:pPr>
      <w:r w:rsidRPr="00740E03">
        <w:rPr>
          <w:rFonts w:ascii="Arial" w:hAnsi="Arial" w:cs="Arial"/>
        </w:rPr>
        <w:t>During the 2013 election campaign, the Government announced the establishment of a Young Carer Bursary Programme, to begin on 1 January 2015. The bursary seeks to reduce the financial burden through approximately 150 bursaries annually over three years to allow young carers to continue their studies.</w:t>
      </w:r>
    </w:p>
    <w:p w:rsidR="00D836E4" w:rsidRPr="00740E03" w:rsidRDefault="007418A0" w:rsidP="00D836E4">
      <w:pPr>
        <w:pStyle w:val="ReportBulletPoint"/>
        <w:shd w:val="clear" w:color="auto" w:fill="F2F9E7" w:themeFill="accent6" w:themeFillTint="33"/>
        <w:rPr>
          <w:rFonts w:ascii="Arial" w:hAnsi="Arial" w:cs="Arial"/>
        </w:rPr>
      </w:pPr>
      <w:r w:rsidRPr="00740E03">
        <w:rPr>
          <w:rFonts w:ascii="Arial" w:hAnsi="Arial" w:cs="Arial"/>
        </w:rPr>
        <w:t xml:space="preserve">Applicants are required to fill in a two page form to apply for the programme, including providing evidence of enrolment in an education institution and evidence of ongoing care. Participants in the programme are also required to complete several surveys during the programme to ascertain ongoing eligibility. </w:t>
      </w:r>
    </w:p>
    <w:p w:rsidR="00D836E4" w:rsidRPr="00740E03" w:rsidRDefault="007418A0" w:rsidP="00D836E4">
      <w:pPr>
        <w:pStyle w:val="ReportBulletPoint"/>
        <w:shd w:val="clear" w:color="auto" w:fill="F2F9E7" w:themeFill="accent6" w:themeFillTint="33"/>
        <w:rPr>
          <w:rFonts w:ascii="Arial" w:hAnsi="Arial" w:cs="Arial"/>
        </w:rPr>
      </w:pPr>
      <w:r w:rsidRPr="00740E03">
        <w:rPr>
          <w:rFonts w:ascii="Arial" w:hAnsi="Arial" w:cs="Arial"/>
        </w:rPr>
        <w:t>The Department has estimated that this will lead to an annual cost of $0.001 in compliance costs.</w:t>
      </w:r>
    </w:p>
    <w:p w:rsidR="007D4B9F" w:rsidRDefault="007D4B9F">
      <w:pPr>
        <w:spacing w:before="0" w:after="200" w:line="276" w:lineRule="auto"/>
        <w:rPr>
          <w:rFonts w:ascii="Georgia" w:hAnsi="Georgia"/>
          <w:bCs/>
          <w:sz w:val="28"/>
        </w:rPr>
      </w:pPr>
      <w:bookmarkStart w:id="120" w:name="_Toc256000084"/>
      <w:bookmarkStart w:id="121" w:name="_Toc256000058"/>
      <w:bookmarkStart w:id="122" w:name="_Toc256000032"/>
      <w:bookmarkStart w:id="123" w:name="_Toc413079666"/>
      <w:r>
        <w:br w:type="page"/>
      </w:r>
    </w:p>
    <w:p w:rsidR="00D836E4" w:rsidRPr="005F2103" w:rsidRDefault="007418A0" w:rsidP="00D836E4">
      <w:pPr>
        <w:pStyle w:val="Heading2"/>
      </w:pPr>
      <w:bookmarkStart w:id="124" w:name="_Toc256000085"/>
      <w:bookmarkStart w:id="125" w:name="_Toc256000059"/>
      <w:bookmarkStart w:id="126" w:name="_Toc256000033"/>
      <w:bookmarkStart w:id="127" w:name="_Toc413079667"/>
      <w:bookmarkStart w:id="128" w:name="_Toc414443761"/>
      <w:bookmarkEnd w:id="120"/>
      <w:bookmarkEnd w:id="121"/>
      <w:bookmarkEnd w:id="122"/>
      <w:bookmarkEnd w:id="123"/>
      <w:r w:rsidRPr="005F2103">
        <w:lastRenderedPageBreak/>
        <w:t>Measures announced but not implemented in 2014</w:t>
      </w:r>
      <w:bookmarkEnd w:id="124"/>
      <w:bookmarkEnd w:id="125"/>
      <w:bookmarkEnd w:id="126"/>
      <w:bookmarkEnd w:id="127"/>
      <w:bookmarkEnd w:id="128"/>
    </w:p>
    <w:tbl>
      <w:tblPr>
        <w:tblStyle w:val="LightList-Accent2"/>
        <w:tblpPr w:leftFromText="180" w:rightFromText="180" w:vertAnchor="text" w:horzAnchor="margin" w:tblpY="1"/>
        <w:tblW w:w="9319" w:type="dxa"/>
        <w:tblLook w:val="04A0" w:firstRow="1" w:lastRow="0" w:firstColumn="1" w:lastColumn="0" w:noHBand="0" w:noVBand="1"/>
        <w:tblCaption w:val="Measures announced but not implemented in 2014"/>
        <w:tblDescription w:val="Progress election commitment to remove mandatory employer role as paymaster of the Paid Parental Leave Scheme &#10;This reform was introduced into Parliament on &#10;20 November 2013 and is currently before the Senate.&#10;Remove requirement for aged care service providers to notify the Department of changes to key personnel*&#10;This reform was introduced into Parliament on &#10;22 October 2014 as part of the 2014 Spring Repeal Day and is currently before the House of Representatives.&#10;Australian Disability Enterprises: Regulatory savings associated with the introduction of the new Business Services Wage Assessment Tool Scheme in late 2014&#10;On 24 November 2014, the legislation to implement this reform was not passed by the Senate.&#10;Amendments to the Social Security (Administration) Act 1999 to allow for the provision of social security information to third parties for research and statistical analysis*&#10;This reform was introduced into Parliament on &#10;22 October as part of the 2014 Spring repeal day and is currently before the House of Representatives.&#10;Student Start-Up Loan measure – replacing the Student Start-up Scholarship &#10;This reform was introduced into Parliament on 17 July 2014 and is currently before the Senate. &#10;Apply a one week ordinary waiting period for all working age payments&#10;This reform was introduced into Parliament on &#10;2 October 2014 and is currently before the Senate.&#10;"/>
      </w:tblPr>
      <w:tblGrid>
        <w:gridCol w:w="5568"/>
        <w:gridCol w:w="1740"/>
        <w:gridCol w:w="2011"/>
      </w:tblGrid>
      <w:tr w:rsidR="00493496" w:rsidTr="00EB146C">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5568" w:type="dxa"/>
            <w:shd w:val="clear" w:color="auto" w:fill="DAEDB8" w:themeFill="accent6" w:themeFillTint="99"/>
          </w:tcPr>
          <w:p w:rsidR="00D836E4" w:rsidRPr="00EB146C" w:rsidRDefault="007418A0" w:rsidP="00D836E4">
            <w:pPr>
              <w:pStyle w:val="ReportMeasureTitle"/>
              <w:spacing w:before="0" w:after="0" w:line="240" w:lineRule="auto"/>
              <w:rPr>
                <w:rFonts w:asciiTheme="minorHAnsi" w:hAnsiTheme="minorHAnsi"/>
                <w:noProof/>
                <w:color w:val="auto"/>
              </w:rPr>
            </w:pPr>
            <w:r w:rsidRPr="00EB146C">
              <w:rPr>
                <w:rFonts w:asciiTheme="minorHAnsi" w:hAnsiTheme="minorHAnsi"/>
                <w:noProof/>
                <w:color w:val="auto"/>
              </w:rPr>
              <w:t>Measure</w:t>
            </w:r>
          </w:p>
        </w:tc>
        <w:tc>
          <w:tcPr>
            <w:tcW w:w="1740" w:type="dxa"/>
            <w:shd w:val="clear" w:color="auto" w:fill="DAEDB8" w:themeFill="accent6" w:themeFillTint="99"/>
          </w:tcPr>
          <w:p w:rsidR="00D836E4" w:rsidRPr="00EB146C" w:rsidRDefault="007418A0" w:rsidP="00D836E4">
            <w:pPr>
              <w:pStyle w:val="ReportMeasureTitle"/>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noProof/>
                <w:color w:val="auto"/>
              </w:rPr>
            </w:pPr>
            <w:r w:rsidRPr="00EB146C">
              <w:rPr>
                <w:rFonts w:asciiTheme="minorHAnsi" w:hAnsiTheme="minorHAnsi"/>
                <w:noProof/>
                <w:color w:val="auto"/>
              </w:rPr>
              <w:t>Cost / saving</w:t>
            </w:r>
            <w:r w:rsidRPr="00EB146C">
              <w:rPr>
                <w:rFonts w:asciiTheme="minorHAnsi" w:hAnsiTheme="minorHAnsi"/>
                <w:noProof/>
                <w:color w:val="auto"/>
                <w:vertAlign w:val="superscript"/>
              </w:rPr>
              <w:sym w:font="Wingdings 2" w:char="F085"/>
            </w:r>
            <w:r w:rsidRPr="00EB146C">
              <w:rPr>
                <w:rFonts w:asciiTheme="minorHAnsi" w:hAnsiTheme="minorHAnsi"/>
                <w:noProof/>
                <w:color w:val="auto"/>
              </w:rPr>
              <w:t xml:space="preserve"> announced</w:t>
            </w:r>
          </w:p>
          <w:p w:rsidR="00D836E4" w:rsidRPr="00EB146C" w:rsidRDefault="007418A0" w:rsidP="00D836E4">
            <w:pPr>
              <w:pStyle w:val="ReportBodyText"/>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EB146C">
              <w:rPr>
                <w:rFonts w:asciiTheme="minorHAnsi" w:hAnsiTheme="minorHAnsi"/>
                <w:color w:val="auto"/>
              </w:rPr>
              <w:t>$m</w:t>
            </w:r>
          </w:p>
        </w:tc>
        <w:tc>
          <w:tcPr>
            <w:tcW w:w="2011" w:type="dxa"/>
            <w:shd w:val="clear" w:color="auto" w:fill="DAEDB8" w:themeFill="accent6" w:themeFillTint="99"/>
          </w:tcPr>
          <w:p w:rsidR="00D836E4" w:rsidRPr="00EB146C" w:rsidRDefault="007418A0" w:rsidP="00D836E4">
            <w:pPr>
              <w:pStyle w:val="ReportMeasureTitle"/>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noProof/>
                <w:color w:val="auto"/>
              </w:rPr>
            </w:pPr>
            <w:r w:rsidRPr="00EB146C">
              <w:rPr>
                <w:rFonts w:asciiTheme="minorHAnsi" w:hAnsiTheme="minorHAnsi"/>
                <w:noProof/>
                <w:color w:val="auto"/>
              </w:rPr>
              <w:t>Status</w:t>
            </w:r>
          </w:p>
        </w:tc>
      </w:tr>
      <w:tr w:rsidR="00493496" w:rsidTr="0049349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568" w:type="dxa"/>
          </w:tcPr>
          <w:p w:rsidR="00D836E4" w:rsidRPr="00A44F88" w:rsidRDefault="007418A0" w:rsidP="00D836E4">
            <w:pPr>
              <w:pStyle w:val="ReportBulletPoint"/>
              <w:numPr>
                <w:ilvl w:val="0"/>
                <w:numId w:val="0"/>
              </w:numPr>
              <w:spacing w:line="240" w:lineRule="auto"/>
              <w:rPr>
                <w:rFonts w:asciiTheme="minorHAnsi" w:hAnsiTheme="minorHAnsi"/>
                <w:noProof/>
              </w:rPr>
            </w:pPr>
            <w:r w:rsidRPr="00A44F88">
              <w:rPr>
                <w:rFonts w:asciiTheme="minorHAnsi" w:hAnsiTheme="minorHAnsi"/>
                <w:noProof/>
              </w:rPr>
              <w:t xml:space="preserve">Progress election commitment to remove mandatory employer role as paymaster of the Paid Parental Leave Scheme </w:t>
            </w:r>
          </w:p>
          <w:p w:rsidR="00D836E4" w:rsidRPr="00A44F88" w:rsidRDefault="007418A0" w:rsidP="00D836E4">
            <w:pPr>
              <w:pStyle w:val="ReportBulletPoint"/>
              <w:numPr>
                <w:ilvl w:val="0"/>
                <w:numId w:val="0"/>
              </w:numPr>
              <w:spacing w:line="240" w:lineRule="auto"/>
              <w:rPr>
                <w:rFonts w:asciiTheme="minorHAnsi" w:hAnsiTheme="minorHAnsi"/>
              </w:rPr>
            </w:pPr>
            <w:r w:rsidRPr="00A44F88">
              <w:rPr>
                <w:rFonts w:asciiTheme="minorHAnsi" w:hAnsiTheme="minorHAnsi"/>
                <w:b w:val="0"/>
                <w:noProof/>
              </w:rPr>
              <w:t xml:space="preserve">This reform was introduced into Parliament on </w:t>
            </w:r>
            <w:r w:rsidRPr="00A44F88">
              <w:rPr>
                <w:rFonts w:asciiTheme="minorHAnsi" w:hAnsiTheme="minorHAnsi"/>
                <w:b w:val="0"/>
                <w:noProof/>
              </w:rPr>
              <w:br/>
              <w:t>20 November 2013 and is currently before the Senate.</w:t>
            </w:r>
          </w:p>
        </w:tc>
        <w:tc>
          <w:tcPr>
            <w:tcW w:w="1740" w:type="dxa"/>
          </w:tcPr>
          <w:p w:rsidR="00D836E4" w:rsidRPr="00A44F88" w:rsidRDefault="007418A0" w:rsidP="001305B2">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A44F88">
              <w:rPr>
                <w:rFonts w:asciiTheme="minorHAnsi" w:hAnsiTheme="minorHAnsi"/>
                <w:color w:val="000000"/>
                <w:sz w:val="20"/>
                <w:szCs w:val="20"/>
              </w:rPr>
              <w:t xml:space="preserve"> $</w:t>
            </w:r>
            <w:r w:rsidR="001305B2">
              <w:rPr>
                <w:rFonts w:asciiTheme="minorHAnsi" w:hAnsiTheme="minorHAnsi"/>
                <w:color w:val="000000"/>
                <w:sz w:val="20"/>
                <w:szCs w:val="20"/>
              </w:rPr>
              <w:tab/>
              <w:t xml:space="preserve">- </w:t>
            </w:r>
            <w:r w:rsidRPr="00A44F88">
              <w:rPr>
                <w:rFonts w:asciiTheme="minorHAnsi" w:hAnsiTheme="minorHAnsi"/>
                <w:color w:val="000000"/>
                <w:sz w:val="20"/>
                <w:szCs w:val="20"/>
              </w:rPr>
              <w:t>48.539</w:t>
            </w:r>
          </w:p>
        </w:tc>
        <w:tc>
          <w:tcPr>
            <w:tcW w:w="2011" w:type="dxa"/>
          </w:tcPr>
          <w:p w:rsidR="00D836E4" w:rsidRPr="00A44F88" w:rsidRDefault="007418A0" w:rsidP="00D836E4">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A44F88">
              <w:rPr>
                <w:rFonts w:asciiTheme="minorHAnsi" w:hAnsiTheme="minorHAnsi"/>
                <w:color w:val="000000"/>
                <w:sz w:val="20"/>
                <w:szCs w:val="20"/>
              </w:rPr>
              <w:t>Before the Senate</w:t>
            </w:r>
          </w:p>
        </w:tc>
      </w:tr>
      <w:tr w:rsidR="00493496" w:rsidTr="00493496">
        <w:trPr>
          <w:trHeight w:val="314"/>
        </w:trPr>
        <w:tc>
          <w:tcPr>
            <w:cnfStyle w:val="001000000000" w:firstRow="0" w:lastRow="0" w:firstColumn="1" w:lastColumn="0" w:oddVBand="0" w:evenVBand="0" w:oddHBand="0" w:evenHBand="0" w:firstRowFirstColumn="0" w:firstRowLastColumn="0" w:lastRowFirstColumn="0" w:lastRowLastColumn="0"/>
            <w:tcW w:w="5568" w:type="dxa"/>
          </w:tcPr>
          <w:p w:rsidR="00D836E4" w:rsidRPr="00A44F88" w:rsidRDefault="007418A0" w:rsidP="00D836E4">
            <w:pPr>
              <w:pStyle w:val="ReportBulletPoint"/>
              <w:numPr>
                <w:ilvl w:val="0"/>
                <w:numId w:val="0"/>
              </w:numPr>
              <w:spacing w:line="240" w:lineRule="auto"/>
              <w:rPr>
                <w:rFonts w:asciiTheme="minorHAnsi" w:hAnsiTheme="minorHAnsi"/>
                <w:noProof/>
              </w:rPr>
            </w:pPr>
            <w:r w:rsidRPr="003D7550">
              <w:rPr>
                <w:rFonts w:asciiTheme="minorHAnsi" w:hAnsiTheme="minorHAnsi"/>
                <w:noProof/>
              </w:rPr>
              <w:t xml:space="preserve">Remove requirement for aged care service providers to notify </w:t>
            </w:r>
            <w:r>
              <w:rPr>
                <w:rFonts w:asciiTheme="minorHAnsi" w:hAnsiTheme="minorHAnsi"/>
                <w:noProof/>
              </w:rPr>
              <w:t>the Department</w:t>
            </w:r>
            <w:r w:rsidRPr="003D7550">
              <w:rPr>
                <w:rFonts w:asciiTheme="minorHAnsi" w:hAnsiTheme="minorHAnsi"/>
                <w:noProof/>
              </w:rPr>
              <w:t xml:space="preserve"> of changes to key personnel*</w:t>
            </w:r>
          </w:p>
          <w:p w:rsidR="00D836E4" w:rsidRPr="00A44F88" w:rsidRDefault="007418A0" w:rsidP="00D836E4">
            <w:pPr>
              <w:pStyle w:val="ReportBodyText"/>
              <w:spacing w:line="240" w:lineRule="auto"/>
              <w:rPr>
                <w:rFonts w:asciiTheme="minorHAnsi" w:hAnsiTheme="minorHAnsi"/>
              </w:rPr>
            </w:pPr>
            <w:r w:rsidRPr="00A44F88">
              <w:rPr>
                <w:rFonts w:asciiTheme="minorHAnsi" w:hAnsiTheme="minorHAnsi"/>
                <w:b w:val="0"/>
              </w:rPr>
              <w:t xml:space="preserve">This reform was introduced into Parliament on </w:t>
            </w:r>
            <w:r w:rsidRPr="00A44F88">
              <w:rPr>
                <w:rFonts w:asciiTheme="minorHAnsi" w:hAnsiTheme="minorHAnsi"/>
                <w:b w:val="0"/>
              </w:rPr>
              <w:br/>
              <w:t xml:space="preserve">22 October 2014 as part of the </w:t>
            </w:r>
            <w:r>
              <w:rPr>
                <w:rFonts w:asciiTheme="minorHAnsi" w:hAnsiTheme="minorHAnsi"/>
                <w:b w:val="0"/>
              </w:rPr>
              <w:t xml:space="preserve">2014 </w:t>
            </w:r>
            <w:r w:rsidRPr="00A44F88">
              <w:rPr>
                <w:rFonts w:asciiTheme="minorHAnsi" w:hAnsiTheme="minorHAnsi"/>
                <w:b w:val="0"/>
              </w:rPr>
              <w:t xml:space="preserve">Spring </w:t>
            </w:r>
            <w:r>
              <w:rPr>
                <w:rFonts w:asciiTheme="minorHAnsi" w:hAnsiTheme="minorHAnsi"/>
                <w:b w:val="0"/>
              </w:rPr>
              <w:t>R</w:t>
            </w:r>
            <w:r w:rsidRPr="00A44F88">
              <w:rPr>
                <w:rFonts w:asciiTheme="minorHAnsi" w:hAnsiTheme="minorHAnsi"/>
                <w:b w:val="0"/>
              </w:rPr>
              <w:t xml:space="preserve">epeal </w:t>
            </w:r>
            <w:r>
              <w:rPr>
                <w:rFonts w:asciiTheme="minorHAnsi" w:hAnsiTheme="minorHAnsi"/>
                <w:b w:val="0"/>
              </w:rPr>
              <w:t>D</w:t>
            </w:r>
            <w:r w:rsidRPr="00A44F88">
              <w:rPr>
                <w:rFonts w:asciiTheme="minorHAnsi" w:hAnsiTheme="minorHAnsi"/>
                <w:b w:val="0"/>
              </w:rPr>
              <w:t>ay and is currently before the House of Representatives.</w:t>
            </w:r>
          </w:p>
        </w:tc>
        <w:tc>
          <w:tcPr>
            <w:tcW w:w="1740" w:type="dxa"/>
          </w:tcPr>
          <w:p w:rsidR="00D836E4" w:rsidRPr="00A44F88" w:rsidRDefault="007418A0" w:rsidP="001305B2">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A44F88">
              <w:rPr>
                <w:rFonts w:asciiTheme="minorHAnsi" w:hAnsiTheme="minorHAnsi"/>
                <w:color w:val="000000"/>
                <w:sz w:val="20"/>
                <w:szCs w:val="20"/>
              </w:rPr>
              <w:t xml:space="preserve"> $</w:t>
            </w:r>
            <w:r w:rsidR="001305B2">
              <w:rPr>
                <w:rFonts w:asciiTheme="minorHAnsi" w:hAnsiTheme="minorHAnsi"/>
                <w:color w:val="000000"/>
                <w:sz w:val="20"/>
                <w:szCs w:val="20"/>
              </w:rPr>
              <w:tab/>
              <w:t xml:space="preserve">- </w:t>
            </w:r>
            <w:r w:rsidRPr="00A44F88">
              <w:rPr>
                <w:rFonts w:asciiTheme="minorHAnsi" w:hAnsiTheme="minorHAnsi"/>
                <w:color w:val="000000"/>
                <w:sz w:val="20"/>
                <w:szCs w:val="20"/>
              </w:rPr>
              <w:t>1.742</w:t>
            </w:r>
          </w:p>
        </w:tc>
        <w:tc>
          <w:tcPr>
            <w:tcW w:w="2011" w:type="dxa"/>
          </w:tcPr>
          <w:p w:rsidR="00D836E4" w:rsidRPr="00A44F88" w:rsidRDefault="007418A0" w:rsidP="00D836E4">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A44F88">
              <w:rPr>
                <w:rFonts w:asciiTheme="minorHAnsi" w:hAnsiTheme="minorHAnsi"/>
                <w:color w:val="000000"/>
                <w:sz w:val="20"/>
                <w:szCs w:val="20"/>
              </w:rPr>
              <w:t xml:space="preserve">Before the </w:t>
            </w:r>
            <w:r w:rsidRPr="00A44F88">
              <w:rPr>
                <w:rFonts w:asciiTheme="minorHAnsi" w:hAnsiTheme="minorHAnsi"/>
                <w:color w:val="000000"/>
                <w:sz w:val="20"/>
                <w:szCs w:val="20"/>
              </w:rPr>
              <w:br/>
              <w:t>House of Representatives</w:t>
            </w:r>
          </w:p>
        </w:tc>
      </w:tr>
      <w:tr w:rsidR="00493496" w:rsidTr="0049349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568" w:type="dxa"/>
          </w:tcPr>
          <w:p w:rsidR="00D836E4" w:rsidRPr="00A44F88" w:rsidRDefault="007418A0" w:rsidP="00D836E4">
            <w:pPr>
              <w:pStyle w:val="ReportBulletPoint"/>
              <w:numPr>
                <w:ilvl w:val="0"/>
                <w:numId w:val="0"/>
              </w:numPr>
              <w:spacing w:line="240" w:lineRule="auto"/>
              <w:rPr>
                <w:rFonts w:asciiTheme="minorHAnsi" w:hAnsiTheme="minorHAnsi"/>
                <w:noProof/>
              </w:rPr>
            </w:pPr>
            <w:r w:rsidRPr="00A44F88">
              <w:rPr>
                <w:rFonts w:asciiTheme="minorHAnsi" w:hAnsiTheme="minorHAnsi"/>
                <w:noProof/>
              </w:rPr>
              <w:t>Australian Disability Enterprises: Regulatory savings associated with the introduction of the new Business Services Wage Assessment Tool Scheme in late 2014</w:t>
            </w:r>
          </w:p>
          <w:p w:rsidR="00D836E4" w:rsidRPr="00A44F88" w:rsidRDefault="007418A0" w:rsidP="00D836E4">
            <w:pPr>
              <w:pStyle w:val="ReportBodyText"/>
              <w:spacing w:line="240" w:lineRule="auto"/>
              <w:rPr>
                <w:rFonts w:asciiTheme="minorHAnsi" w:hAnsiTheme="minorHAnsi"/>
              </w:rPr>
            </w:pPr>
            <w:r w:rsidRPr="00A44F88">
              <w:rPr>
                <w:rFonts w:asciiTheme="minorHAnsi" w:hAnsiTheme="minorHAnsi"/>
                <w:b w:val="0"/>
              </w:rPr>
              <w:t>On 24 November 2014, the legislation to implement this reform was not passed by the Senate.</w:t>
            </w:r>
          </w:p>
        </w:tc>
        <w:tc>
          <w:tcPr>
            <w:tcW w:w="1740" w:type="dxa"/>
          </w:tcPr>
          <w:p w:rsidR="00D836E4" w:rsidRPr="00A44F88" w:rsidRDefault="007418A0" w:rsidP="001305B2">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A44F88">
              <w:rPr>
                <w:rFonts w:asciiTheme="minorHAnsi" w:hAnsiTheme="minorHAnsi"/>
                <w:color w:val="000000"/>
                <w:sz w:val="20"/>
                <w:szCs w:val="20"/>
              </w:rPr>
              <w:t xml:space="preserve"> $</w:t>
            </w:r>
            <w:r w:rsidR="001305B2">
              <w:rPr>
                <w:rFonts w:asciiTheme="minorHAnsi" w:hAnsiTheme="minorHAnsi"/>
                <w:color w:val="000000"/>
                <w:sz w:val="20"/>
                <w:szCs w:val="20"/>
              </w:rPr>
              <w:tab/>
              <w:t xml:space="preserve">- </w:t>
            </w:r>
            <w:r w:rsidRPr="00A44F88">
              <w:rPr>
                <w:rFonts w:asciiTheme="minorHAnsi" w:hAnsiTheme="minorHAnsi"/>
                <w:color w:val="000000"/>
                <w:sz w:val="20"/>
                <w:szCs w:val="20"/>
              </w:rPr>
              <w:t>0.201</w:t>
            </w:r>
          </w:p>
        </w:tc>
        <w:tc>
          <w:tcPr>
            <w:tcW w:w="2011" w:type="dxa"/>
          </w:tcPr>
          <w:p w:rsidR="00D836E4" w:rsidRPr="00A44F88" w:rsidRDefault="007418A0" w:rsidP="00D836E4">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A44F88">
              <w:rPr>
                <w:rFonts w:asciiTheme="minorHAnsi" w:hAnsiTheme="minorHAnsi"/>
                <w:color w:val="000000"/>
                <w:sz w:val="20"/>
                <w:szCs w:val="20"/>
              </w:rPr>
              <w:t>Primary legislation not passed by the Senate</w:t>
            </w:r>
          </w:p>
        </w:tc>
      </w:tr>
      <w:tr w:rsidR="00493496" w:rsidTr="00493496">
        <w:trPr>
          <w:trHeight w:val="314"/>
        </w:trPr>
        <w:tc>
          <w:tcPr>
            <w:cnfStyle w:val="001000000000" w:firstRow="0" w:lastRow="0" w:firstColumn="1" w:lastColumn="0" w:oddVBand="0" w:evenVBand="0" w:oddHBand="0" w:evenHBand="0" w:firstRowFirstColumn="0" w:firstRowLastColumn="0" w:lastRowFirstColumn="0" w:lastRowLastColumn="0"/>
            <w:tcW w:w="5568" w:type="dxa"/>
          </w:tcPr>
          <w:p w:rsidR="00D836E4" w:rsidRPr="00A44F88" w:rsidRDefault="007418A0" w:rsidP="00D836E4">
            <w:pPr>
              <w:pStyle w:val="ReportBulletPoint"/>
              <w:numPr>
                <w:ilvl w:val="0"/>
                <w:numId w:val="0"/>
              </w:numPr>
              <w:spacing w:line="240" w:lineRule="auto"/>
              <w:rPr>
                <w:rFonts w:asciiTheme="minorHAnsi" w:hAnsiTheme="minorHAnsi"/>
                <w:noProof/>
              </w:rPr>
            </w:pPr>
            <w:r w:rsidRPr="003D7550">
              <w:rPr>
                <w:rFonts w:asciiTheme="minorHAnsi" w:hAnsiTheme="minorHAnsi"/>
                <w:noProof/>
              </w:rPr>
              <w:t xml:space="preserve">Amendments to the </w:t>
            </w:r>
            <w:r w:rsidRPr="003D7550">
              <w:rPr>
                <w:rFonts w:asciiTheme="minorHAnsi" w:hAnsiTheme="minorHAnsi"/>
                <w:i/>
                <w:noProof/>
              </w:rPr>
              <w:t>Social Security (Administration) Act 1999</w:t>
            </w:r>
            <w:r w:rsidRPr="003D7550">
              <w:rPr>
                <w:rFonts w:asciiTheme="minorHAnsi" w:hAnsiTheme="minorHAnsi"/>
                <w:noProof/>
              </w:rPr>
              <w:t xml:space="preserve"> to allow for the provision of social security information to third parties for research and statistical analysis*</w:t>
            </w:r>
          </w:p>
          <w:p w:rsidR="00D836E4" w:rsidRPr="00A44F88" w:rsidRDefault="007418A0" w:rsidP="00674AC4">
            <w:pPr>
              <w:pStyle w:val="ReportBulletPoint"/>
              <w:numPr>
                <w:ilvl w:val="0"/>
                <w:numId w:val="0"/>
              </w:numPr>
              <w:spacing w:line="240" w:lineRule="auto"/>
              <w:rPr>
                <w:rFonts w:asciiTheme="minorHAnsi" w:hAnsiTheme="minorHAnsi"/>
                <w:noProof/>
              </w:rPr>
            </w:pPr>
            <w:r w:rsidRPr="00A44F88">
              <w:rPr>
                <w:rFonts w:asciiTheme="minorHAnsi" w:hAnsiTheme="minorHAnsi"/>
                <w:b w:val="0"/>
              </w:rPr>
              <w:t xml:space="preserve">This reform was introduced into Parliament on </w:t>
            </w:r>
            <w:r w:rsidRPr="00A44F88">
              <w:rPr>
                <w:rFonts w:asciiTheme="minorHAnsi" w:hAnsiTheme="minorHAnsi"/>
                <w:b w:val="0"/>
              </w:rPr>
              <w:br/>
              <w:t xml:space="preserve">22 October </w:t>
            </w:r>
            <w:r w:rsidR="00674AC4">
              <w:rPr>
                <w:rFonts w:asciiTheme="minorHAnsi" w:hAnsiTheme="minorHAnsi"/>
                <w:b w:val="0"/>
              </w:rPr>
              <w:t>2014 as part of the 2014 Spring R</w:t>
            </w:r>
            <w:r w:rsidRPr="00A44F88">
              <w:rPr>
                <w:rFonts w:asciiTheme="minorHAnsi" w:hAnsiTheme="minorHAnsi"/>
                <w:b w:val="0"/>
              </w:rPr>
              <w:t xml:space="preserve">epeal </w:t>
            </w:r>
            <w:r w:rsidR="00674AC4">
              <w:rPr>
                <w:rFonts w:asciiTheme="minorHAnsi" w:hAnsiTheme="minorHAnsi"/>
                <w:b w:val="0"/>
              </w:rPr>
              <w:t>D</w:t>
            </w:r>
            <w:r w:rsidRPr="00A44F88">
              <w:rPr>
                <w:rFonts w:asciiTheme="minorHAnsi" w:hAnsiTheme="minorHAnsi"/>
                <w:b w:val="0"/>
              </w:rPr>
              <w:t>ay and is currently before the House of Representatives.</w:t>
            </w:r>
          </w:p>
        </w:tc>
        <w:tc>
          <w:tcPr>
            <w:tcW w:w="1740" w:type="dxa"/>
          </w:tcPr>
          <w:p w:rsidR="00D836E4" w:rsidRPr="00A44F88" w:rsidRDefault="007418A0" w:rsidP="001305B2">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 xml:space="preserve"> $</w:t>
            </w:r>
            <w:r w:rsidR="001305B2">
              <w:rPr>
                <w:rFonts w:asciiTheme="minorHAnsi" w:hAnsiTheme="minorHAnsi"/>
                <w:color w:val="000000"/>
                <w:sz w:val="20"/>
                <w:szCs w:val="20"/>
              </w:rPr>
              <w:tab/>
              <w:t xml:space="preserve">- </w:t>
            </w:r>
            <w:r w:rsidRPr="00A44F88">
              <w:rPr>
                <w:rFonts w:asciiTheme="minorHAnsi" w:hAnsiTheme="minorHAnsi"/>
                <w:color w:val="000000"/>
                <w:sz w:val="20"/>
                <w:szCs w:val="20"/>
              </w:rPr>
              <w:t>0.008</w:t>
            </w:r>
          </w:p>
        </w:tc>
        <w:tc>
          <w:tcPr>
            <w:tcW w:w="2011" w:type="dxa"/>
          </w:tcPr>
          <w:p w:rsidR="00D836E4" w:rsidRPr="00A44F88" w:rsidRDefault="007418A0" w:rsidP="00D836E4">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A44F88">
              <w:rPr>
                <w:rFonts w:asciiTheme="minorHAnsi" w:hAnsiTheme="minorHAnsi"/>
                <w:color w:val="000000"/>
                <w:sz w:val="20"/>
                <w:szCs w:val="20"/>
              </w:rPr>
              <w:t xml:space="preserve">Before the </w:t>
            </w:r>
            <w:r w:rsidRPr="00A44F88">
              <w:rPr>
                <w:rFonts w:asciiTheme="minorHAnsi" w:hAnsiTheme="minorHAnsi"/>
                <w:color w:val="000000"/>
                <w:sz w:val="20"/>
                <w:szCs w:val="20"/>
              </w:rPr>
              <w:br/>
              <w:t>House of Representatives</w:t>
            </w:r>
          </w:p>
        </w:tc>
      </w:tr>
      <w:tr w:rsidR="00493496" w:rsidTr="0049349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568" w:type="dxa"/>
          </w:tcPr>
          <w:p w:rsidR="00D836E4" w:rsidRDefault="007418A0" w:rsidP="00D836E4">
            <w:pPr>
              <w:pStyle w:val="ReportBodyText"/>
              <w:spacing w:line="240" w:lineRule="auto"/>
              <w:rPr>
                <w:rFonts w:asciiTheme="minorHAnsi" w:hAnsiTheme="minorHAnsi" w:cstheme="minorHAnsi"/>
              </w:rPr>
            </w:pPr>
            <w:r w:rsidRPr="000D3F0E">
              <w:rPr>
                <w:rFonts w:asciiTheme="minorHAnsi" w:hAnsiTheme="minorHAnsi" w:cstheme="minorHAnsi"/>
                <w:color w:val="000000"/>
              </w:rPr>
              <w:t>Student Start-Up Loan measure – replacing the Student Start-up Scholarship</w:t>
            </w:r>
            <w:r w:rsidRPr="000D3F0E">
              <w:rPr>
                <w:rFonts w:asciiTheme="minorHAnsi" w:hAnsiTheme="minorHAnsi" w:cstheme="minorHAnsi"/>
                <w:b w:val="0"/>
              </w:rPr>
              <w:t xml:space="preserve"> </w:t>
            </w:r>
          </w:p>
          <w:p w:rsidR="00D836E4" w:rsidRPr="000D3F0E" w:rsidRDefault="007418A0" w:rsidP="00D836E4">
            <w:pPr>
              <w:pStyle w:val="ReportBodyText"/>
              <w:spacing w:line="240" w:lineRule="auto"/>
              <w:rPr>
                <w:rFonts w:asciiTheme="minorHAnsi" w:hAnsiTheme="minorHAnsi"/>
              </w:rPr>
            </w:pPr>
            <w:r w:rsidRPr="000D3F0E">
              <w:rPr>
                <w:rFonts w:asciiTheme="minorHAnsi" w:hAnsiTheme="minorHAnsi"/>
                <w:b w:val="0"/>
              </w:rPr>
              <w:t xml:space="preserve">This reform was introduced into Parliament on 17 July 2014 and is currently before the Senate. </w:t>
            </w:r>
          </w:p>
        </w:tc>
        <w:tc>
          <w:tcPr>
            <w:tcW w:w="1740" w:type="dxa"/>
          </w:tcPr>
          <w:p w:rsidR="00D836E4" w:rsidRPr="000D3F0E" w:rsidRDefault="007418A0" w:rsidP="00D836E4">
            <w:pPr>
              <w:pStyle w:val="Report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D3F0E">
              <w:rPr>
                <w:rFonts w:asciiTheme="minorHAnsi" w:hAnsiTheme="minorHAnsi"/>
              </w:rPr>
              <w:t xml:space="preserve"> $</w:t>
            </w:r>
            <w:r w:rsidR="001305B2">
              <w:rPr>
                <w:rFonts w:asciiTheme="minorHAnsi" w:hAnsiTheme="minorHAnsi"/>
              </w:rPr>
              <w:tab/>
            </w:r>
            <w:r w:rsidRPr="000D3F0E">
              <w:rPr>
                <w:rFonts w:asciiTheme="minorHAnsi" w:hAnsiTheme="minorHAnsi"/>
              </w:rPr>
              <w:t xml:space="preserve">1.436 </w:t>
            </w:r>
          </w:p>
        </w:tc>
        <w:tc>
          <w:tcPr>
            <w:tcW w:w="2011" w:type="dxa"/>
          </w:tcPr>
          <w:p w:rsidR="00D836E4" w:rsidRPr="000D3F0E" w:rsidRDefault="007418A0" w:rsidP="00D836E4">
            <w:pPr>
              <w:pStyle w:val="Report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D3F0E">
              <w:rPr>
                <w:rFonts w:asciiTheme="minorHAnsi" w:hAnsiTheme="minorHAnsi"/>
              </w:rPr>
              <w:t>Before the Senate</w:t>
            </w:r>
          </w:p>
        </w:tc>
      </w:tr>
      <w:tr w:rsidR="00493496" w:rsidTr="00493496">
        <w:trPr>
          <w:trHeight w:val="314"/>
        </w:trPr>
        <w:tc>
          <w:tcPr>
            <w:cnfStyle w:val="001000000000" w:firstRow="0" w:lastRow="0" w:firstColumn="1" w:lastColumn="0" w:oddVBand="0" w:evenVBand="0" w:oddHBand="0" w:evenHBand="0" w:firstRowFirstColumn="0" w:firstRowLastColumn="0" w:lastRowFirstColumn="0" w:lastRowLastColumn="0"/>
            <w:tcW w:w="5568" w:type="dxa"/>
          </w:tcPr>
          <w:p w:rsidR="00D836E4" w:rsidRPr="00A44F88" w:rsidRDefault="007418A0" w:rsidP="00D836E4">
            <w:pPr>
              <w:pStyle w:val="ReportBulletPoint"/>
              <w:numPr>
                <w:ilvl w:val="0"/>
                <w:numId w:val="0"/>
              </w:numPr>
              <w:spacing w:line="240" w:lineRule="auto"/>
              <w:rPr>
                <w:rFonts w:asciiTheme="minorHAnsi" w:hAnsiTheme="minorHAnsi"/>
                <w:noProof/>
              </w:rPr>
            </w:pPr>
            <w:r w:rsidRPr="00A44F88">
              <w:rPr>
                <w:rFonts w:asciiTheme="minorHAnsi" w:hAnsiTheme="minorHAnsi"/>
                <w:noProof/>
              </w:rPr>
              <w:t>Apply a one week ordinary waiting period for all working age payments</w:t>
            </w:r>
          </w:p>
          <w:p w:rsidR="00D836E4" w:rsidRPr="000D3F0E" w:rsidRDefault="007418A0" w:rsidP="00D836E4">
            <w:pPr>
              <w:pStyle w:val="ReportBodyText"/>
              <w:spacing w:line="240" w:lineRule="auto"/>
              <w:rPr>
                <w:rFonts w:asciiTheme="minorHAnsi" w:hAnsiTheme="minorHAnsi" w:cstheme="minorHAnsi"/>
                <w:color w:val="000000"/>
              </w:rPr>
            </w:pPr>
            <w:r w:rsidRPr="00A44F88">
              <w:rPr>
                <w:rFonts w:asciiTheme="minorHAnsi" w:hAnsiTheme="minorHAnsi"/>
                <w:b w:val="0"/>
              </w:rPr>
              <w:t xml:space="preserve">This reform was introduced into Parliament on </w:t>
            </w:r>
            <w:r w:rsidRPr="00A44F88">
              <w:rPr>
                <w:rFonts w:asciiTheme="minorHAnsi" w:hAnsiTheme="minorHAnsi"/>
                <w:b w:val="0"/>
              </w:rPr>
              <w:br/>
              <w:t>2 October 2014 and is currently before the Senate.</w:t>
            </w:r>
          </w:p>
        </w:tc>
        <w:tc>
          <w:tcPr>
            <w:tcW w:w="1740" w:type="dxa"/>
          </w:tcPr>
          <w:p w:rsidR="00D836E4" w:rsidRPr="000D3F0E" w:rsidRDefault="007418A0" w:rsidP="001305B2">
            <w:pPr>
              <w:pStyle w:val="Report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44F88">
              <w:rPr>
                <w:rFonts w:asciiTheme="minorHAnsi" w:hAnsiTheme="minorHAnsi"/>
                <w:color w:val="000000"/>
              </w:rPr>
              <w:t xml:space="preserve"> $</w:t>
            </w:r>
            <w:r w:rsidR="001305B2">
              <w:rPr>
                <w:rFonts w:asciiTheme="minorHAnsi" w:hAnsiTheme="minorHAnsi"/>
                <w:color w:val="000000"/>
              </w:rPr>
              <w:tab/>
            </w:r>
            <w:r w:rsidRPr="00A44F88">
              <w:rPr>
                <w:rFonts w:asciiTheme="minorHAnsi" w:hAnsiTheme="minorHAnsi"/>
                <w:color w:val="000000"/>
              </w:rPr>
              <w:t>1.012</w:t>
            </w:r>
          </w:p>
        </w:tc>
        <w:tc>
          <w:tcPr>
            <w:tcW w:w="2011" w:type="dxa"/>
          </w:tcPr>
          <w:p w:rsidR="00D836E4" w:rsidRPr="000D3F0E" w:rsidRDefault="007418A0" w:rsidP="00D836E4">
            <w:pPr>
              <w:pStyle w:val="Report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44F88">
              <w:rPr>
                <w:rFonts w:asciiTheme="minorHAnsi" w:hAnsiTheme="minorHAnsi"/>
                <w:color w:val="000000"/>
              </w:rPr>
              <w:t>Before the Senate</w:t>
            </w:r>
          </w:p>
        </w:tc>
      </w:tr>
    </w:tbl>
    <w:p w:rsidR="00D836E4" w:rsidRPr="004309AF" w:rsidRDefault="007418A0" w:rsidP="00D836E4">
      <w:pPr>
        <w:pStyle w:val="Tableheading"/>
        <w:spacing w:before="0"/>
        <w:rPr>
          <w:b w:val="0"/>
          <w:sz w:val="18"/>
        </w:rPr>
      </w:pPr>
      <w:r w:rsidRPr="004309AF">
        <w:rPr>
          <w:rFonts w:ascii="Wingdings 2" w:hAnsi="Wingdings 2"/>
          <w:b w:val="0"/>
          <w:sz w:val="18"/>
          <w:vertAlign w:val="superscript"/>
        </w:rPr>
        <w:sym w:font="Wingdings 2" w:char="F085"/>
      </w:r>
      <w:r>
        <w:rPr>
          <w:b w:val="0"/>
          <w:sz w:val="18"/>
        </w:rPr>
        <w:t xml:space="preserve"> </w:t>
      </w:r>
      <w:r w:rsidRPr="004309AF">
        <w:rPr>
          <w:b w:val="0"/>
          <w:sz w:val="18"/>
        </w:rPr>
        <w:t xml:space="preserve">Measures with a regulatory saving are denoted by a </w:t>
      </w:r>
      <w:r>
        <w:rPr>
          <w:b w:val="0"/>
          <w:sz w:val="18"/>
        </w:rPr>
        <w:t>minus sign</w:t>
      </w:r>
      <w:r w:rsidRPr="004309AF">
        <w:rPr>
          <w:b w:val="0"/>
          <w:sz w:val="18"/>
        </w:rPr>
        <w:t xml:space="preserve"> (</w:t>
      </w:r>
      <w:r>
        <w:rPr>
          <w:b w:val="0"/>
          <w:sz w:val="18"/>
        </w:rPr>
        <w:t>-</w:t>
      </w:r>
      <w:r w:rsidRPr="004309AF">
        <w:rPr>
          <w:b w:val="0"/>
          <w:sz w:val="18"/>
        </w:rPr>
        <w:t>).</w:t>
      </w:r>
    </w:p>
    <w:p w:rsidR="00D836E4" w:rsidRDefault="007418A0" w:rsidP="00D836E4">
      <w:r>
        <w:br w:type="page"/>
      </w:r>
    </w:p>
    <w:p w:rsidR="00D836E4" w:rsidRPr="00FE6662" w:rsidRDefault="00D836E4" w:rsidP="00D836E4">
      <w:pPr>
        <w:sectPr w:rsidR="00D836E4" w:rsidRPr="00FE6662" w:rsidSect="00D836E4">
          <w:headerReference w:type="default" r:id="rId31"/>
          <w:pgSz w:w="11906" w:h="16838"/>
          <w:pgMar w:top="1440" w:right="1440" w:bottom="851" w:left="1440" w:header="709" w:footer="291" w:gutter="0"/>
          <w:cols w:space="708"/>
          <w:docGrid w:linePitch="360"/>
        </w:sectPr>
      </w:pPr>
    </w:p>
    <w:p w:rsidR="00D836E4" w:rsidRPr="005F2103" w:rsidRDefault="007418A0" w:rsidP="00D836E4">
      <w:pPr>
        <w:pStyle w:val="Heading1"/>
      </w:pPr>
      <w:bookmarkStart w:id="129" w:name="_Toc256000086"/>
      <w:bookmarkStart w:id="130" w:name="_Toc256000060"/>
      <w:bookmarkStart w:id="131" w:name="_Toc256000034"/>
      <w:bookmarkStart w:id="132" w:name="_Toc413079668"/>
      <w:bookmarkStart w:id="133" w:name="_Toc414443762"/>
      <w:r w:rsidRPr="005F2103">
        <w:lastRenderedPageBreak/>
        <w:t>Appendix B: Legislation administered by the Department</w:t>
      </w:r>
      <w:bookmarkEnd w:id="129"/>
      <w:bookmarkEnd w:id="130"/>
      <w:bookmarkEnd w:id="131"/>
      <w:bookmarkEnd w:id="132"/>
      <w:bookmarkEnd w:id="133"/>
    </w:p>
    <w:p w:rsidR="00D836E4" w:rsidRPr="00044B03" w:rsidRDefault="007418A0" w:rsidP="00D836E4">
      <w:pPr>
        <w:spacing w:before="0"/>
        <w:rPr>
          <w:rFonts w:ascii="Georgia" w:hAnsi="Georgia"/>
          <w:color w:val="275D38" w:themeColor="accent4"/>
          <w:sz w:val="28"/>
        </w:rPr>
      </w:pPr>
      <w:r w:rsidRPr="00044B03">
        <w:rPr>
          <w:rFonts w:ascii="Georgia" w:hAnsi="Georgia"/>
          <w:color w:val="275D38" w:themeColor="accent4"/>
          <w:sz w:val="28"/>
        </w:rPr>
        <w:t>Taken from the 23 December 2014 Administrative Arrangements Order</w:t>
      </w:r>
    </w:p>
    <w:p w:rsidR="00D836E4" w:rsidRPr="00A44F88" w:rsidRDefault="007418A0" w:rsidP="00D836E4">
      <w:pPr>
        <w:pStyle w:val="Emphasis01"/>
        <w:spacing w:before="240"/>
        <w:rPr>
          <w:rFonts w:cs="Arial"/>
          <w:sz w:val="20"/>
          <w:szCs w:val="20"/>
        </w:rPr>
      </w:pPr>
      <w:r w:rsidRPr="00A44F88">
        <w:rPr>
          <w:rFonts w:cs="Arial"/>
          <w:sz w:val="20"/>
          <w:szCs w:val="20"/>
        </w:rPr>
        <w:t>A New Tax System (Family Assistance) Act 1999</w:t>
      </w:r>
    </w:p>
    <w:p w:rsidR="00D836E4" w:rsidRPr="00A44F88" w:rsidRDefault="007418A0" w:rsidP="00D836E4">
      <w:pPr>
        <w:pStyle w:val="Emphasis01"/>
        <w:rPr>
          <w:rFonts w:cs="Arial"/>
          <w:sz w:val="20"/>
          <w:szCs w:val="20"/>
        </w:rPr>
      </w:pPr>
      <w:r w:rsidRPr="00A44F88">
        <w:rPr>
          <w:rFonts w:cs="Arial"/>
          <w:sz w:val="20"/>
          <w:szCs w:val="20"/>
        </w:rPr>
        <w:t>A New Tax System (Family Assistance) (Administration) Act 1999</w:t>
      </w:r>
    </w:p>
    <w:p w:rsidR="00D836E4" w:rsidRPr="00A44F88" w:rsidRDefault="007418A0" w:rsidP="00D836E4">
      <w:pPr>
        <w:pStyle w:val="Emphasis01"/>
        <w:rPr>
          <w:rFonts w:cs="Arial"/>
          <w:sz w:val="20"/>
          <w:szCs w:val="20"/>
        </w:rPr>
      </w:pPr>
      <w:r w:rsidRPr="00A44F88">
        <w:rPr>
          <w:rFonts w:cs="Arial"/>
          <w:sz w:val="20"/>
          <w:szCs w:val="20"/>
        </w:rPr>
        <w:t>A New Tax System (Family Assistance and Related Measures) Act 2000</w:t>
      </w:r>
    </w:p>
    <w:p w:rsidR="00D836E4" w:rsidRPr="00A44F88" w:rsidRDefault="007418A0" w:rsidP="00D836E4">
      <w:pPr>
        <w:pStyle w:val="Emphasis01"/>
        <w:rPr>
          <w:rFonts w:cs="Arial"/>
          <w:sz w:val="20"/>
          <w:szCs w:val="20"/>
        </w:rPr>
      </w:pPr>
      <w:r w:rsidRPr="00A44F88">
        <w:rPr>
          <w:rFonts w:cs="Arial"/>
          <w:sz w:val="20"/>
          <w:szCs w:val="20"/>
        </w:rPr>
        <w:t>Aged Care Act 1997</w:t>
      </w:r>
    </w:p>
    <w:p w:rsidR="00D836E4" w:rsidRPr="00A44F88" w:rsidRDefault="007418A0" w:rsidP="00D836E4">
      <w:pPr>
        <w:pStyle w:val="Emphasis01"/>
        <w:rPr>
          <w:rFonts w:cs="Arial"/>
          <w:sz w:val="20"/>
          <w:szCs w:val="20"/>
        </w:rPr>
      </w:pPr>
      <w:r w:rsidRPr="00A44F88">
        <w:rPr>
          <w:rFonts w:cs="Arial"/>
          <w:sz w:val="20"/>
          <w:szCs w:val="20"/>
        </w:rPr>
        <w:t>Aged Care (Bond Security) Act 2006</w:t>
      </w:r>
    </w:p>
    <w:p w:rsidR="00D836E4" w:rsidRPr="00A44F88" w:rsidRDefault="007418A0" w:rsidP="00D836E4">
      <w:pPr>
        <w:pStyle w:val="Emphasis01"/>
        <w:rPr>
          <w:rFonts w:cs="Arial"/>
          <w:sz w:val="20"/>
          <w:szCs w:val="20"/>
        </w:rPr>
      </w:pPr>
      <w:r w:rsidRPr="00A44F88">
        <w:rPr>
          <w:rFonts w:cs="Arial"/>
          <w:sz w:val="20"/>
          <w:szCs w:val="20"/>
        </w:rPr>
        <w:t>Aged Care (Bond Security) Levy Act 2006</w:t>
      </w:r>
    </w:p>
    <w:p w:rsidR="00D836E4" w:rsidRPr="00A44F88" w:rsidRDefault="007418A0" w:rsidP="00D836E4">
      <w:pPr>
        <w:pStyle w:val="Emphasis01"/>
        <w:rPr>
          <w:rFonts w:cs="Arial"/>
          <w:sz w:val="20"/>
          <w:szCs w:val="20"/>
        </w:rPr>
      </w:pPr>
      <w:r w:rsidRPr="00A44F88">
        <w:rPr>
          <w:rFonts w:cs="Arial"/>
          <w:sz w:val="20"/>
          <w:szCs w:val="20"/>
        </w:rPr>
        <w:t>Aged Care (Consequential Provisions) Act 1997</w:t>
      </w:r>
    </w:p>
    <w:p w:rsidR="00D836E4" w:rsidRPr="00A44F88" w:rsidRDefault="007418A0" w:rsidP="00D836E4">
      <w:pPr>
        <w:pStyle w:val="Emphasis01"/>
        <w:rPr>
          <w:rFonts w:cs="Arial"/>
          <w:sz w:val="20"/>
          <w:szCs w:val="20"/>
        </w:rPr>
      </w:pPr>
      <w:r w:rsidRPr="00A44F88">
        <w:rPr>
          <w:rFonts w:cs="Arial"/>
          <w:sz w:val="20"/>
          <w:szCs w:val="20"/>
        </w:rPr>
        <w:t>Aged Care (Transitional Provisions) Act 2013</w:t>
      </w:r>
    </w:p>
    <w:p w:rsidR="00D836E4" w:rsidRPr="00A44F88" w:rsidRDefault="007418A0" w:rsidP="00D836E4">
      <w:pPr>
        <w:pStyle w:val="Emphasis01"/>
        <w:rPr>
          <w:rFonts w:cs="Arial"/>
          <w:sz w:val="20"/>
          <w:szCs w:val="20"/>
        </w:rPr>
      </w:pPr>
      <w:r w:rsidRPr="00A44F88">
        <w:rPr>
          <w:rFonts w:cs="Arial"/>
          <w:sz w:val="20"/>
          <w:szCs w:val="20"/>
        </w:rPr>
        <w:t>Australian Aged Care Quality Agency Act 2013</w:t>
      </w:r>
    </w:p>
    <w:p w:rsidR="00D836E4" w:rsidRPr="00A44F88" w:rsidRDefault="007418A0" w:rsidP="00D836E4">
      <w:pPr>
        <w:pStyle w:val="Emphasis01"/>
        <w:rPr>
          <w:rFonts w:cs="Arial"/>
          <w:sz w:val="20"/>
          <w:szCs w:val="20"/>
        </w:rPr>
      </w:pPr>
      <w:r w:rsidRPr="00A44F88">
        <w:rPr>
          <w:rFonts w:cs="Arial"/>
          <w:sz w:val="20"/>
          <w:szCs w:val="20"/>
        </w:rPr>
        <w:t>Australian Aged Care Quality Agency (Transitional Provisions) Act 2013</w:t>
      </w:r>
    </w:p>
    <w:p w:rsidR="00D836E4" w:rsidRPr="00A44F88" w:rsidRDefault="007418A0" w:rsidP="00D836E4">
      <w:pPr>
        <w:pStyle w:val="Emphasis01"/>
        <w:rPr>
          <w:rFonts w:cs="Arial"/>
          <w:sz w:val="20"/>
          <w:szCs w:val="20"/>
        </w:rPr>
      </w:pPr>
      <w:r w:rsidRPr="00A44F88">
        <w:rPr>
          <w:rFonts w:cs="Arial"/>
          <w:sz w:val="20"/>
          <w:szCs w:val="20"/>
        </w:rPr>
        <w:t>Carer Recognition Act 2010</w:t>
      </w:r>
    </w:p>
    <w:p w:rsidR="00D836E4" w:rsidRPr="00A44F88" w:rsidRDefault="007418A0" w:rsidP="00D836E4">
      <w:pPr>
        <w:pStyle w:val="Emphasis01"/>
        <w:rPr>
          <w:rFonts w:cs="Arial"/>
          <w:i w:val="0"/>
          <w:sz w:val="20"/>
          <w:szCs w:val="20"/>
        </w:rPr>
      </w:pPr>
      <w:r w:rsidRPr="00A44F88">
        <w:rPr>
          <w:rFonts w:cs="Arial"/>
          <w:sz w:val="20"/>
          <w:szCs w:val="20"/>
        </w:rPr>
        <w:t xml:space="preserve">Charities Act 2013, </w:t>
      </w:r>
      <w:r w:rsidRPr="00A44F88">
        <w:rPr>
          <w:rFonts w:cs="Arial"/>
          <w:i w:val="0"/>
          <w:sz w:val="20"/>
          <w:szCs w:val="20"/>
        </w:rPr>
        <w:t xml:space="preserve">except to the extent administered by the Treasurer </w:t>
      </w:r>
    </w:p>
    <w:p w:rsidR="00D836E4" w:rsidRPr="00A44F88" w:rsidRDefault="007418A0" w:rsidP="00D836E4">
      <w:pPr>
        <w:pStyle w:val="Emphasis01"/>
        <w:rPr>
          <w:rFonts w:cs="Arial"/>
          <w:sz w:val="20"/>
          <w:szCs w:val="20"/>
        </w:rPr>
      </w:pPr>
      <w:r w:rsidRPr="00A44F88">
        <w:rPr>
          <w:rFonts w:cs="Arial"/>
          <w:sz w:val="20"/>
          <w:szCs w:val="20"/>
        </w:rPr>
        <w:t>Child Care Act 1972</w:t>
      </w:r>
    </w:p>
    <w:p w:rsidR="00D836E4" w:rsidRPr="00A44F88" w:rsidRDefault="007418A0" w:rsidP="00D836E4">
      <w:pPr>
        <w:pStyle w:val="Emphasis01"/>
        <w:rPr>
          <w:rFonts w:cs="Arial"/>
          <w:sz w:val="20"/>
          <w:szCs w:val="20"/>
        </w:rPr>
      </w:pPr>
      <w:r w:rsidRPr="00A44F88">
        <w:rPr>
          <w:rFonts w:cs="Arial"/>
          <w:sz w:val="20"/>
          <w:szCs w:val="20"/>
        </w:rPr>
        <w:t>Child Support and Family Assistance Legislation Amendment (Budget and Other Measures) Act 2010</w:t>
      </w:r>
    </w:p>
    <w:p w:rsidR="00D836E4" w:rsidRPr="00A44F88" w:rsidRDefault="007418A0" w:rsidP="00D836E4">
      <w:pPr>
        <w:pStyle w:val="Emphasis01"/>
        <w:rPr>
          <w:rFonts w:cs="Arial"/>
          <w:sz w:val="20"/>
          <w:szCs w:val="20"/>
        </w:rPr>
      </w:pPr>
      <w:r w:rsidRPr="00A44F88">
        <w:rPr>
          <w:rFonts w:cs="Arial"/>
          <w:sz w:val="20"/>
          <w:szCs w:val="20"/>
        </w:rPr>
        <w:t>Child Support (Assessment) Act 1989</w:t>
      </w:r>
    </w:p>
    <w:p w:rsidR="00D836E4" w:rsidRPr="00A44F88" w:rsidRDefault="007418A0" w:rsidP="00D836E4">
      <w:pPr>
        <w:pStyle w:val="Emphasis01"/>
        <w:rPr>
          <w:rFonts w:cs="Arial"/>
          <w:sz w:val="20"/>
          <w:szCs w:val="20"/>
        </w:rPr>
      </w:pPr>
      <w:r w:rsidRPr="00A44F88">
        <w:rPr>
          <w:rFonts w:cs="Arial"/>
          <w:sz w:val="20"/>
          <w:szCs w:val="20"/>
        </w:rPr>
        <w:t xml:space="preserve">Child Support Legislation Amendment (Reform of the Child Support Scheme – Initial Measures) Act 2006 </w:t>
      </w:r>
    </w:p>
    <w:p w:rsidR="00D836E4" w:rsidRPr="00A44F88" w:rsidRDefault="007418A0" w:rsidP="00D836E4">
      <w:pPr>
        <w:pStyle w:val="Emphasis01"/>
        <w:rPr>
          <w:rFonts w:cs="Arial"/>
          <w:sz w:val="20"/>
          <w:szCs w:val="20"/>
        </w:rPr>
      </w:pPr>
      <w:r w:rsidRPr="00A44F88">
        <w:rPr>
          <w:rFonts w:cs="Arial"/>
          <w:sz w:val="20"/>
          <w:szCs w:val="20"/>
        </w:rPr>
        <w:t xml:space="preserve">Child Support Legislation Amendment (Reform of the Child Support Scheme – New Formula and Other Measures) Act 2006 </w:t>
      </w:r>
    </w:p>
    <w:p w:rsidR="00D836E4" w:rsidRPr="00A44F88" w:rsidRDefault="007418A0" w:rsidP="00D836E4">
      <w:pPr>
        <w:pStyle w:val="Emphasis01"/>
        <w:rPr>
          <w:rFonts w:cs="Arial"/>
          <w:sz w:val="20"/>
          <w:szCs w:val="20"/>
        </w:rPr>
      </w:pPr>
      <w:r w:rsidRPr="00A44F88">
        <w:rPr>
          <w:rFonts w:cs="Arial"/>
          <w:sz w:val="20"/>
          <w:szCs w:val="20"/>
        </w:rPr>
        <w:t>Child Support (Registration and Collection) Act 1988</w:t>
      </w:r>
    </w:p>
    <w:p w:rsidR="00D836E4" w:rsidRPr="00A44F88" w:rsidRDefault="007418A0" w:rsidP="00D836E4">
      <w:pPr>
        <w:pStyle w:val="Emphasis01"/>
        <w:rPr>
          <w:rFonts w:cs="Arial"/>
          <w:sz w:val="20"/>
          <w:szCs w:val="20"/>
        </w:rPr>
      </w:pPr>
      <w:r w:rsidRPr="00A44F88">
        <w:rPr>
          <w:rFonts w:cs="Arial"/>
          <w:sz w:val="20"/>
          <w:szCs w:val="20"/>
        </w:rPr>
        <w:t>Clean Energy (Household Assistance Amendments) Act 2011, Part 3 of Schedule 2</w:t>
      </w:r>
    </w:p>
    <w:p w:rsidR="00D836E4" w:rsidRPr="00A44F88" w:rsidRDefault="007418A0" w:rsidP="00D836E4">
      <w:pPr>
        <w:pStyle w:val="Emphasis01"/>
        <w:rPr>
          <w:rFonts w:cs="Arial"/>
          <w:sz w:val="20"/>
          <w:szCs w:val="20"/>
        </w:rPr>
      </w:pPr>
      <w:r w:rsidRPr="00A44F88">
        <w:rPr>
          <w:rFonts w:cs="Arial"/>
          <w:sz w:val="20"/>
          <w:szCs w:val="20"/>
        </w:rPr>
        <w:t>Commonwealth and State Housing Agreement Act 1945</w:t>
      </w:r>
    </w:p>
    <w:p w:rsidR="00D836E4" w:rsidRPr="00A44F88" w:rsidRDefault="007418A0" w:rsidP="00D836E4">
      <w:pPr>
        <w:pStyle w:val="Emphasis01"/>
        <w:rPr>
          <w:rFonts w:cs="Arial"/>
          <w:sz w:val="20"/>
          <w:szCs w:val="20"/>
        </w:rPr>
      </w:pPr>
      <w:r w:rsidRPr="00A44F88">
        <w:rPr>
          <w:rFonts w:cs="Arial"/>
          <w:sz w:val="20"/>
          <w:szCs w:val="20"/>
        </w:rPr>
        <w:t>Data-matching Program (Assistance and Tax) Act 1990</w:t>
      </w:r>
    </w:p>
    <w:p w:rsidR="00D836E4" w:rsidRPr="00A44F88" w:rsidRDefault="007418A0" w:rsidP="00D836E4">
      <w:pPr>
        <w:pStyle w:val="Emphasis01"/>
        <w:rPr>
          <w:rFonts w:cs="Arial"/>
          <w:sz w:val="20"/>
          <w:szCs w:val="20"/>
        </w:rPr>
      </w:pPr>
      <w:r w:rsidRPr="00A44F88">
        <w:rPr>
          <w:rFonts w:cs="Arial"/>
          <w:sz w:val="20"/>
          <w:szCs w:val="20"/>
        </w:rPr>
        <w:t xml:space="preserve">Disability Services Act 1986 </w:t>
      </w:r>
    </w:p>
    <w:p w:rsidR="00D836E4" w:rsidRPr="00A44F88" w:rsidRDefault="007418A0" w:rsidP="00D836E4">
      <w:pPr>
        <w:pStyle w:val="Emphasis01"/>
        <w:rPr>
          <w:rFonts w:cs="Arial"/>
          <w:sz w:val="20"/>
          <w:szCs w:val="20"/>
        </w:rPr>
      </w:pPr>
      <w:r w:rsidRPr="00A44F88">
        <w:rPr>
          <w:rFonts w:cs="Arial"/>
          <w:sz w:val="20"/>
          <w:szCs w:val="20"/>
        </w:rPr>
        <w:t>Early Years Quality Fund Special Account Act 2013</w:t>
      </w:r>
    </w:p>
    <w:p w:rsidR="00D836E4" w:rsidRPr="00A44F88" w:rsidRDefault="007418A0" w:rsidP="00D836E4">
      <w:pPr>
        <w:pStyle w:val="Emphasis01"/>
        <w:rPr>
          <w:rFonts w:cs="Arial"/>
          <w:sz w:val="20"/>
          <w:szCs w:val="20"/>
        </w:rPr>
      </w:pPr>
      <w:r w:rsidRPr="00A44F88">
        <w:rPr>
          <w:rFonts w:cs="Arial"/>
          <w:sz w:val="20"/>
          <w:szCs w:val="20"/>
        </w:rPr>
        <w:t>Family Assistance Legislation Amendment (Child Care Management System and Other Measures) Act 2007</w:t>
      </w:r>
    </w:p>
    <w:p w:rsidR="00D836E4" w:rsidRPr="00A44F88" w:rsidRDefault="007418A0" w:rsidP="00D836E4">
      <w:pPr>
        <w:pStyle w:val="Emphasis01"/>
        <w:rPr>
          <w:rFonts w:cs="Arial"/>
          <w:sz w:val="20"/>
          <w:szCs w:val="20"/>
        </w:rPr>
      </w:pPr>
      <w:r w:rsidRPr="00A44F88">
        <w:rPr>
          <w:rFonts w:cs="Arial"/>
          <w:sz w:val="20"/>
          <w:szCs w:val="20"/>
        </w:rPr>
        <w:t>Families, Community Services and Indigenous Affairs and Other Legislation (2006 Budget and Other Measures) Act 2006,</w:t>
      </w:r>
      <w:r w:rsidRPr="00A44F88">
        <w:rPr>
          <w:rFonts w:cs="Arial"/>
          <w:i w:val="0"/>
          <w:sz w:val="20"/>
          <w:szCs w:val="20"/>
        </w:rPr>
        <w:t xml:space="preserve"> except to the extent administered by the Minister for Veterans’ Affairs</w:t>
      </w:r>
      <w:r w:rsidRPr="00A44F88">
        <w:rPr>
          <w:rFonts w:cs="Arial"/>
          <w:sz w:val="20"/>
          <w:szCs w:val="20"/>
        </w:rPr>
        <w:t xml:space="preserve"> </w:t>
      </w:r>
    </w:p>
    <w:p w:rsidR="00D836E4" w:rsidRPr="00A44F88" w:rsidRDefault="007418A0" w:rsidP="00D836E4">
      <w:pPr>
        <w:pStyle w:val="Emphasis01"/>
        <w:rPr>
          <w:rFonts w:cs="Arial"/>
          <w:sz w:val="20"/>
          <w:szCs w:val="20"/>
        </w:rPr>
      </w:pPr>
      <w:r w:rsidRPr="00A44F88">
        <w:rPr>
          <w:rFonts w:cs="Arial"/>
          <w:sz w:val="20"/>
          <w:szCs w:val="20"/>
        </w:rPr>
        <w:lastRenderedPageBreak/>
        <w:t>Families, Community Services and Indigenous Affairs and Veterans’ Affairs Legislation Amendment (2006 Budget Measures) Act 2006,</w:t>
      </w:r>
      <w:r w:rsidRPr="00A44F88">
        <w:rPr>
          <w:rFonts w:cs="Arial"/>
          <w:i w:val="0"/>
          <w:sz w:val="20"/>
          <w:szCs w:val="20"/>
        </w:rPr>
        <w:t xml:space="preserve"> except to the extent administered by the Minister for Veterans’ Affairs</w:t>
      </w:r>
      <w:r w:rsidRPr="00A44F88">
        <w:rPr>
          <w:rFonts w:cs="Arial"/>
          <w:sz w:val="20"/>
          <w:szCs w:val="20"/>
        </w:rPr>
        <w:t xml:space="preserve"> </w:t>
      </w:r>
    </w:p>
    <w:p w:rsidR="00D836E4" w:rsidRPr="00A44F88" w:rsidRDefault="007418A0" w:rsidP="00D836E4">
      <w:pPr>
        <w:pStyle w:val="Emphasis01"/>
        <w:rPr>
          <w:rFonts w:cs="Arial"/>
          <w:sz w:val="20"/>
          <w:szCs w:val="20"/>
        </w:rPr>
      </w:pPr>
      <w:r w:rsidRPr="00A44F88">
        <w:rPr>
          <w:rFonts w:cs="Arial"/>
          <w:sz w:val="20"/>
          <w:szCs w:val="20"/>
        </w:rPr>
        <w:t xml:space="preserve">Families, Housing, Community Services and Indigenous Affairs Legislation Amendment (Further 2008 Budget and Other Measures) Act 2008 </w:t>
      </w:r>
    </w:p>
    <w:p w:rsidR="00D836E4" w:rsidRPr="00A44F88" w:rsidRDefault="007418A0" w:rsidP="00D836E4">
      <w:pPr>
        <w:pStyle w:val="Emphasis01"/>
        <w:rPr>
          <w:rFonts w:cs="Arial"/>
          <w:sz w:val="20"/>
          <w:szCs w:val="20"/>
        </w:rPr>
      </w:pPr>
      <w:r w:rsidRPr="00A44F88">
        <w:rPr>
          <w:rFonts w:cs="Arial"/>
          <w:sz w:val="20"/>
          <w:szCs w:val="20"/>
        </w:rPr>
        <w:t>Family Assistance Legislation Amendment (More Help for Families – One-off Payments) Act 2004</w:t>
      </w:r>
    </w:p>
    <w:p w:rsidR="00D836E4" w:rsidRPr="00A44F88" w:rsidRDefault="007418A0" w:rsidP="00D836E4">
      <w:pPr>
        <w:pStyle w:val="Emphasis01"/>
        <w:rPr>
          <w:rFonts w:cs="Arial"/>
          <w:sz w:val="20"/>
          <w:szCs w:val="20"/>
        </w:rPr>
      </w:pPr>
      <w:r w:rsidRPr="00A44F88">
        <w:rPr>
          <w:rFonts w:cs="Arial"/>
          <w:sz w:val="20"/>
          <w:szCs w:val="20"/>
        </w:rPr>
        <w:t xml:space="preserve">Family Assistance and Other Legislation Amendment (Schoolkids Bonus Budget Measures) Act 2012, </w:t>
      </w:r>
      <w:r w:rsidRPr="00A44F88">
        <w:rPr>
          <w:rFonts w:cs="Arial"/>
          <w:i w:val="0"/>
          <w:sz w:val="20"/>
          <w:szCs w:val="20"/>
        </w:rPr>
        <w:t>Part 2 of Schedule 1</w:t>
      </w:r>
    </w:p>
    <w:p w:rsidR="00D836E4" w:rsidRPr="00A44F88" w:rsidRDefault="007418A0" w:rsidP="00D836E4">
      <w:pPr>
        <w:pStyle w:val="Emphasis01"/>
        <w:rPr>
          <w:rFonts w:cs="Arial"/>
          <w:sz w:val="20"/>
          <w:szCs w:val="20"/>
        </w:rPr>
      </w:pPr>
      <w:r w:rsidRPr="00A44F88">
        <w:rPr>
          <w:rFonts w:cs="Arial"/>
          <w:sz w:val="20"/>
          <w:szCs w:val="20"/>
        </w:rPr>
        <w:t xml:space="preserve">Family Law Act 1975, </w:t>
      </w:r>
      <w:r w:rsidRPr="00A44F88">
        <w:rPr>
          <w:rFonts w:cs="Arial"/>
          <w:i w:val="0"/>
          <w:sz w:val="20"/>
          <w:szCs w:val="20"/>
        </w:rPr>
        <w:t>Part XIVA</w:t>
      </w:r>
    </w:p>
    <w:p w:rsidR="00D836E4" w:rsidRPr="00A44F88" w:rsidRDefault="007418A0" w:rsidP="00D836E4">
      <w:pPr>
        <w:pStyle w:val="Emphasis01"/>
        <w:rPr>
          <w:rFonts w:cs="Arial"/>
          <w:sz w:val="20"/>
          <w:szCs w:val="20"/>
        </w:rPr>
      </w:pPr>
      <w:r w:rsidRPr="00A44F88">
        <w:rPr>
          <w:rFonts w:cs="Arial"/>
          <w:sz w:val="20"/>
          <w:szCs w:val="20"/>
        </w:rPr>
        <w:t>Home and Community Care Act 1985</w:t>
      </w:r>
    </w:p>
    <w:p w:rsidR="00D836E4" w:rsidRPr="00A44F88" w:rsidRDefault="007418A0" w:rsidP="00D836E4">
      <w:pPr>
        <w:pStyle w:val="Emphasis01"/>
        <w:rPr>
          <w:rFonts w:cs="Arial"/>
          <w:sz w:val="20"/>
          <w:szCs w:val="20"/>
        </w:rPr>
      </w:pPr>
      <w:r w:rsidRPr="00A44F88">
        <w:rPr>
          <w:rFonts w:cs="Arial"/>
          <w:sz w:val="20"/>
          <w:szCs w:val="20"/>
        </w:rPr>
        <w:t>Housing Agreements Acts</w:t>
      </w:r>
    </w:p>
    <w:p w:rsidR="00D836E4" w:rsidRPr="00A44F88" w:rsidRDefault="007418A0" w:rsidP="00D836E4">
      <w:pPr>
        <w:pStyle w:val="Emphasis01"/>
        <w:rPr>
          <w:rFonts w:cs="Arial"/>
          <w:sz w:val="20"/>
          <w:szCs w:val="20"/>
        </w:rPr>
      </w:pPr>
      <w:r w:rsidRPr="00A44F88">
        <w:rPr>
          <w:rFonts w:cs="Arial"/>
          <w:sz w:val="20"/>
          <w:szCs w:val="20"/>
        </w:rPr>
        <w:t>Housing Assistance Acts</w:t>
      </w:r>
    </w:p>
    <w:p w:rsidR="00D836E4" w:rsidRPr="00A44F88" w:rsidRDefault="007418A0" w:rsidP="00D836E4">
      <w:pPr>
        <w:pStyle w:val="Emphasis01"/>
        <w:rPr>
          <w:rFonts w:cs="Arial"/>
          <w:sz w:val="20"/>
          <w:szCs w:val="20"/>
        </w:rPr>
      </w:pPr>
      <w:r w:rsidRPr="00A44F88">
        <w:rPr>
          <w:rFonts w:cs="Arial"/>
          <w:sz w:val="20"/>
          <w:szCs w:val="20"/>
        </w:rPr>
        <w:t xml:space="preserve">Household Stimulus Package Act (No. 2) 2009, </w:t>
      </w:r>
      <w:r w:rsidRPr="00A44F88">
        <w:rPr>
          <w:rFonts w:cs="Arial"/>
          <w:i w:val="0"/>
          <w:sz w:val="20"/>
          <w:szCs w:val="20"/>
        </w:rPr>
        <w:t>except to the extent administered by the Minister for Veterans’ Affairs or the Minister for Agriculture</w:t>
      </w:r>
    </w:p>
    <w:p w:rsidR="00D836E4" w:rsidRPr="00A44F88" w:rsidRDefault="007418A0" w:rsidP="00D836E4">
      <w:pPr>
        <w:pStyle w:val="Emphasis01"/>
        <w:rPr>
          <w:rFonts w:cs="Arial"/>
          <w:sz w:val="20"/>
          <w:szCs w:val="20"/>
        </w:rPr>
      </w:pPr>
      <w:r w:rsidRPr="00A44F88">
        <w:rPr>
          <w:rFonts w:cs="Arial"/>
          <w:sz w:val="20"/>
          <w:szCs w:val="20"/>
        </w:rPr>
        <w:t>Marriage Act 1961, Part IA</w:t>
      </w:r>
    </w:p>
    <w:p w:rsidR="00D836E4" w:rsidRPr="00A44F88" w:rsidRDefault="007418A0" w:rsidP="00D836E4">
      <w:pPr>
        <w:pStyle w:val="Emphasis01"/>
        <w:rPr>
          <w:rFonts w:cs="Arial"/>
          <w:sz w:val="20"/>
          <w:szCs w:val="20"/>
        </w:rPr>
      </w:pPr>
      <w:r w:rsidRPr="00A44F88">
        <w:rPr>
          <w:rFonts w:cs="Arial"/>
          <w:sz w:val="20"/>
          <w:szCs w:val="20"/>
        </w:rPr>
        <w:t xml:space="preserve">National Disability Insurance Scheme Act 2013, </w:t>
      </w:r>
      <w:r w:rsidRPr="00A44F88">
        <w:rPr>
          <w:rFonts w:cs="Arial"/>
          <w:i w:val="0"/>
          <w:sz w:val="20"/>
          <w:szCs w:val="20"/>
        </w:rPr>
        <w:t>except to the extent administered by the Treasurer</w:t>
      </w:r>
    </w:p>
    <w:p w:rsidR="00D836E4" w:rsidRPr="00A44F88" w:rsidRDefault="007418A0" w:rsidP="00D836E4">
      <w:pPr>
        <w:pStyle w:val="Emphasis01"/>
        <w:rPr>
          <w:rFonts w:cs="Arial"/>
          <w:sz w:val="20"/>
          <w:szCs w:val="20"/>
        </w:rPr>
      </w:pPr>
      <w:r w:rsidRPr="00A44F88">
        <w:rPr>
          <w:rFonts w:cs="Arial"/>
          <w:sz w:val="20"/>
          <w:szCs w:val="20"/>
        </w:rPr>
        <w:t>National Gambling Reform Act 2012</w:t>
      </w:r>
    </w:p>
    <w:p w:rsidR="00D836E4" w:rsidRPr="00A44F88" w:rsidRDefault="007418A0" w:rsidP="00D836E4">
      <w:pPr>
        <w:pStyle w:val="Emphasis01"/>
        <w:rPr>
          <w:rFonts w:cs="Arial"/>
          <w:sz w:val="20"/>
          <w:szCs w:val="20"/>
        </w:rPr>
      </w:pPr>
      <w:r w:rsidRPr="00A44F88">
        <w:rPr>
          <w:rFonts w:cs="Arial"/>
          <w:sz w:val="20"/>
          <w:szCs w:val="20"/>
        </w:rPr>
        <w:t>National Gambling Reform (Related Matters) Act (No.1) 2012</w:t>
      </w:r>
    </w:p>
    <w:p w:rsidR="00D836E4" w:rsidRPr="00A44F88" w:rsidRDefault="007418A0" w:rsidP="00D836E4">
      <w:pPr>
        <w:pStyle w:val="Emphasis01"/>
        <w:rPr>
          <w:rFonts w:cs="Arial"/>
          <w:sz w:val="20"/>
          <w:szCs w:val="20"/>
        </w:rPr>
      </w:pPr>
      <w:r w:rsidRPr="00A44F88">
        <w:rPr>
          <w:rFonts w:cs="Arial"/>
          <w:sz w:val="20"/>
          <w:szCs w:val="20"/>
        </w:rPr>
        <w:t>National Gambling Reform (Related Matters) Act (No.2) 2012</w:t>
      </w:r>
    </w:p>
    <w:p w:rsidR="00D836E4" w:rsidRPr="00A44F88" w:rsidRDefault="007418A0" w:rsidP="00D836E4">
      <w:pPr>
        <w:pStyle w:val="Emphasis01"/>
        <w:rPr>
          <w:rFonts w:cs="Arial"/>
          <w:sz w:val="20"/>
          <w:szCs w:val="20"/>
        </w:rPr>
      </w:pPr>
      <w:r w:rsidRPr="00A44F88">
        <w:rPr>
          <w:rFonts w:cs="Arial"/>
          <w:sz w:val="20"/>
          <w:szCs w:val="20"/>
        </w:rPr>
        <w:t>National Health Act 1953, Part III</w:t>
      </w:r>
    </w:p>
    <w:p w:rsidR="00D836E4" w:rsidRPr="00A44F88" w:rsidRDefault="007418A0" w:rsidP="00D836E4">
      <w:pPr>
        <w:pStyle w:val="Emphasis01"/>
        <w:rPr>
          <w:rFonts w:cs="Arial"/>
          <w:sz w:val="20"/>
          <w:szCs w:val="20"/>
        </w:rPr>
      </w:pPr>
      <w:r w:rsidRPr="00A44F88">
        <w:rPr>
          <w:rFonts w:cs="Arial"/>
          <w:sz w:val="20"/>
          <w:szCs w:val="20"/>
        </w:rPr>
        <w:t>National Rental Affordability Scheme Act 2008</w:t>
      </w:r>
    </w:p>
    <w:p w:rsidR="00D836E4" w:rsidRPr="00A44F88" w:rsidRDefault="007418A0" w:rsidP="00D836E4">
      <w:pPr>
        <w:pStyle w:val="Emphasis01"/>
        <w:rPr>
          <w:rFonts w:cs="Arial"/>
          <w:sz w:val="20"/>
          <w:szCs w:val="20"/>
        </w:rPr>
      </w:pPr>
      <w:r w:rsidRPr="00A44F88">
        <w:rPr>
          <w:rFonts w:cs="Arial"/>
          <w:sz w:val="20"/>
          <w:szCs w:val="20"/>
        </w:rPr>
        <w:t>Not-for-profit Sector Freedom to Advocate Act 2013</w:t>
      </w:r>
    </w:p>
    <w:p w:rsidR="00D836E4" w:rsidRPr="00A44F88" w:rsidRDefault="007418A0" w:rsidP="00D836E4">
      <w:pPr>
        <w:pStyle w:val="Emphasis01"/>
        <w:rPr>
          <w:rFonts w:cs="Arial"/>
          <w:sz w:val="20"/>
          <w:szCs w:val="20"/>
        </w:rPr>
      </w:pPr>
      <w:r w:rsidRPr="00A44F88">
        <w:rPr>
          <w:rFonts w:cs="Arial"/>
          <w:sz w:val="20"/>
          <w:szCs w:val="20"/>
        </w:rPr>
        <w:t>Paid Parental Leave Act 2010</w:t>
      </w:r>
    </w:p>
    <w:p w:rsidR="00D836E4" w:rsidRPr="00A44F88" w:rsidRDefault="007418A0" w:rsidP="00D836E4">
      <w:pPr>
        <w:pStyle w:val="Emphasis01"/>
        <w:rPr>
          <w:rFonts w:cs="Arial"/>
          <w:sz w:val="20"/>
          <w:szCs w:val="20"/>
        </w:rPr>
      </w:pPr>
      <w:r w:rsidRPr="00A44F88">
        <w:rPr>
          <w:rFonts w:cs="Arial"/>
          <w:sz w:val="20"/>
          <w:szCs w:val="20"/>
        </w:rPr>
        <w:t>Social and Community Services Pay Equity Special Account Act 2012</w:t>
      </w:r>
    </w:p>
    <w:p w:rsidR="00D836E4" w:rsidRPr="00A44F88" w:rsidRDefault="007418A0" w:rsidP="00D836E4">
      <w:pPr>
        <w:pStyle w:val="Emphasis01"/>
        <w:rPr>
          <w:rFonts w:cs="Arial"/>
          <w:sz w:val="20"/>
          <w:szCs w:val="20"/>
        </w:rPr>
      </w:pPr>
      <w:r w:rsidRPr="00A44F88">
        <w:rPr>
          <w:rFonts w:cs="Arial"/>
          <w:sz w:val="20"/>
          <w:szCs w:val="20"/>
        </w:rPr>
        <w:t xml:space="preserve">Social Security Act 1991, </w:t>
      </w:r>
      <w:r w:rsidRPr="00A44F88">
        <w:rPr>
          <w:rFonts w:cs="Arial"/>
          <w:i w:val="0"/>
          <w:sz w:val="20"/>
          <w:szCs w:val="20"/>
        </w:rPr>
        <w:t>except to the extent administered by the Attorney General or the Minister for Employment</w:t>
      </w:r>
    </w:p>
    <w:p w:rsidR="00D836E4" w:rsidRPr="00A44F88" w:rsidRDefault="007418A0" w:rsidP="00D836E4">
      <w:pPr>
        <w:pStyle w:val="Emphasis01"/>
        <w:rPr>
          <w:rFonts w:cs="Arial"/>
          <w:sz w:val="20"/>
          <w:szCs w:val="20"/>
        </w:rPr>
      </w:pPr>
      <w:r w:rsidRPr="00A44F88">
        <w:rPr>
          <w:rFonts w:cs="Arial"/>
          <w:sz w:val="20"/>
          <w:szCs w:val="20"/>
        </w:rPr>
        <w:t xml:space="preserve">Social Security (Administration) Act 1999, </w:t>
      </w:r>
      <w:r w:rsidRPr="00A44F88">
        <w:rPr>
          <w:rFonts w:cs="Arial"/>
          <w:i w:val="0"/>
          <w:sz w:val="20"/>
          <w:szCs w:val="20"/>
        </w:rPr>
        <w:t>except to the extent administered by the Attorney-General or the Minister for Employment</w:t>
      </w:r>
    </w:p>
    <w:p w:rsidR="00D836E4" w:rsidRPr="00A44F88" w:rsidRDefault="007418A0" w:rsidP="00D836E4">
      <w:pPr>
        <w:pStyle w:val="Emphasis01"/>
        <w:rPr>
          <w:rFonts w:cs="Arial"/>
          <w:sz w:val="20"/>
          <w:szCs w:val="20"/>
        </w:rPr>
      </w:pPr>
      <w:r w:rsidRPr="00A44F88">
        <w:rPr>
          <w:rFonts w:cs="Arial"/>
          <w:sz w:val="20"/>
          <w:szCs w:val="20"/>
        </w:rPr>
        <w:t>Social Security Legislation Amendment (One-off Payments for Carers) Act 2005</w:t>
      </w:r>
    </w:p>
    <w:p w:rsidR="00D836E4" w:rsidRPr="00A44F88" w:rsidRDefault="007418A0" w:rsidP="00D836E4">
      <w:pPr>
        <w:pStyle w:val="Emphasis01"/>
        <w:rPr>
          <w:rFonts w:cs="Arial"/>
          <w:sz w:val="20"/>
          <w:szCs w:val="20"/>
        </w:rPr>
      </w:pPr>
      <w:r w:rsidRPr="00A44F88">
        <w:rPr>
          <w:rFonts w:cs="Arial"/>
          <w:sz w:val="20"/>
          <w:szCs w:val="20"/>
        </w:rPr>
        <w:t>Social Security (International Agreements) Act 1999</w:t>
      </w:r>
    </w:p>
    <w:p w:rsidR="00D836E4" w:rsidRPr="00A44F88" w:rsidRDefault="007418A0" w:rsidP="00D836E4">
      <w:pPr>
        <w:pStyle w:val="Emphasis01"/>
        <w:rPr>
          <w:rFonts w:cs="Arial"/>
          <w:sz w:val="20"/>
          <w:szCs w:val="20"/>
        </w:rPr>
      </w:pPr>
      <w:r w:rsidRPr="00A44F88">
        <w:rPr>
          <w:rFonts w:cs="Arial"/>
          <w:sz w:val="20"/>
          <w:szCs w:val="20"/>
        </w:rPr>
        <w:t xml:space="preserve">Social Security and Other Legislation Amendment (Economic Security Strategy) Act 2008, </w:t>
      </w:r>
      <w:r w:rsidRPr="00A44F88">
        <w:rPr>
          <w:rFonts w:cs="Arial"/>
          <w:i w:val="0"/>
          <w:sz w:val="20"/>
          <w:szCs w:val="20"/>
        </w:rPr>
        <w:t>except to the extent administered by the Minister for Veterans’ Affairs</w:t>
      </w:r>
      <w:r w:rsidRPr="00A44F88">
        <w:rPr>
          <w:rFonts w:cs="Arial"/>
          <w:sz w:val="20"/>
          <w:szCs w:val="20"/>
        </w:rPr>
        <w:t xml:space="preserve"> </w:t>
      </w:r>
    </w:p>
    <w:p w:rsidR="00D836E4" w:rsidRPr="00A44F88" w:rsidRDefault="007418A0" w:rsidP="00D836E4">
      <w:pPr>
        <w:pStyle w:val="Emphasis01"/>
        <w:rPr>
          <w:rFonts w:cs="Arial"/>
          <w:sz w:val="20"/>
          <w:szCs w:val="20"/>
        </w:rPr>
      </w:pPr>
      <w:r w:rsidRPr="00A44F88">
        <w:rPr>
          <w:rFonts w:cs="Arial"/>
          <w:sz w:val="20"/>
          <w:szCs w:val="20"/>
        </w:rPr>
        <w:lastRenderedPageBreak/>
        <w:t xml:space="preserve">Social Security and Veterans’ Entitlements Legislation Amendment (One-off Payments and Other Budget Measures) Act 2008, </w:t>
      </w:r>
      <w:r w:rsidRPr="00A44F88">
        <w:rPr>
          <w:rFonts w:cs="Arial"/>
          <w:i w:val="0"/>
          <w:sz w:val="20"/>
          <w:szCs w:val="20"/>
        </w:rPr>
        <w:t>except to the extent administered by the Minister for Veterans’ Affairs</w:t>
      </w:r>
    </w:p>
    <w:p w:rsidR="00D836E4" w:rsidRPr="00A44F88" w:rsidRDefault="007418A0" w:rsidP="00D836E4">
      <w:pPr>
        <w:pStyle w:val="Emphasis01"/>
        <w:rPr>
          <w:rFonts w:cs="Arial"/>
          <w:sz w:val="20"/>
          <w:szCs w:val="20"/>
        </w:rPr>
      </w:pPr>
      <w:r w:rsidRPr="00A44F88">
        <w:rPr>
          <w:rFonts w:cs="Arial"/>
          <w:sz w:val="20"/>
          <w:szCs w:val="20"/>
        </w:rPr>
        <w:t xml:space="preserve">Social Security and Veterans’ Entitlements Legislation Amendment (One-off Payments to Increase Assistance for Older Australians and Carers and Other Measures) Act 2006, </w:t>
      </w:r>
      <w:r w:rsidRPr="00A44F88">
        <w:rPr>
          <w:rFonts w:cs="Arial"/>
          <w:i w:val="0"/>
          <w:sz w:val="20"/>
          <w:szCs w:val="20"/>
        </w:rPr>
        <w:t>except to the extent administered by the Minister for Veterans’ Affairs</w:t>
      </w:r>
    </w:p>
    <w:p w:rsidR="00D836E4" w:rsidRPr="00A44F88" w:rsidRDefault="007418A0" w:rsidP="00D836E4">
      <w:pPr>
        <w:pStyle w:val="Emphasis01"/>
        <w:rPr>
          <w:rFonts w:cs="Arial"/>
          <w:sz w:val="20"/>
          <w:szCs w:val="20"/>
        </w:rPr>
      </w:pPr>
      <w:r w:rsidRPr="00A44F88">
        <w:rPr>
          <w:rFonts w:cs="Arial"/>
          <w:sz w:val="20"/>
          <w:szCs w:val="20"/>
        </w:rPr>
        <w:t xml:space="preserve">Social Security and Veterans’ Affairs Legislation Amendment (One-off Payments and Other 2007 Budget Measures) Act 2007, </w:t>
      </w:r>
      <w:r w:rsidRPr="00A44F88">
        <w:rPr>
          <w:rFonts w:cs="Arial"/>
          <w:i w:val="0"/>
          <w:sz w:val="20"/>
          <w:szCs w:val="20"/>
        </w:rPr>
        <w:t>except to the extent administered by the Minister for Veterans’ Affairs</w:t>
      </w:r>
    </w:p>
    <w:p w:rsidR="00D836E4" w:rsidRPr="00A44F88" w:rsidRDefault="007418A0" w:rsidP="00D836E4">
      <w:pPr>
        <w:pStyle w:val="Emphasis01"/>
        <w:rPr>
          <w:rFonts w:cs="Arial"/>
          <w:sz w:val="20"/>
          <w:szCs w:val="20"/>
        </w:rPr>
      </w:pPr>
      <w:r w:rsidRPr="00A44F88">
        <w:rPr>
          <w:rFonts w:cs="Arial"/>
          <w:sz w:val="20"/>
          <w:szCs w:val="20"/>
        </w:rPr>
        <w:t>Social Welfare Commission (Repeal) Act 1976</w:t>
      </w:r>
    </w:p>
    <w:p w:rsidR="00D836E4" w:rsidRPr="00A44F88" w:rsidRDefault="007418A0" w:rsidP="00D836E4">
      <w:pPr>
        <w:pStyle w:val="Emphasis01"/>
        <w:rPr>
          <w:rFonts w:cs="Arial"/>
          <w:sz w:val="20"/>
          <w:szCs w:val="20"/>
        </w:rPr>
      </w:pPr>
      <w:r w:rsidRPr="00A44F88">
        <w:rPr>
          <w:rFonts w:cs="Arial"/>
          <w:sz w:val="20"/>
          <w:szCs w:val="20"/>
        </w:rPr>
        <w:t>Student Assistance Act 1973</w:t>
      </w:r>
    </w:p>
    <w:p w:rsidR="00D836E4" w:rsidRPr="00A44F88" w:rsidRDefault="007418A0" w:rsidP="00D836E4">
      <w:pPr>
        <w:pStyle w:val="Emphasis01"/>
        <w:rPr>
          <w:rFonts w:cs="Arial"/>
          <w:sz w:val="20"/>
          <w:szCs w:val="20"/>
        </w:rPr>
      </w:pPr>
      <w:r w:rsidRPr="00A44F88">
        <w:rPr>
          <w:rFonts w:cs="Arial"/>
          <w:sz w:val="20"/>
          <w:szCs w:val="20"/>
        </w:rPr>
        <w:t>Supported Accommodation Assistance Act 1994</w:t>
      </w:r>
    </w:p>
    <w:p w:rsidR="00D836E4" w:rsidRPr="00A44F88" w:rsidRDefault="007418A0" w:rsidP="00D836E4">
      <w:pPr>
        <w:pStyle w:val="Emphasis01"/>
        <w:rPr>
          <w:rFonts w:cs="Arial"/>
          <w:sz w:val="20"/>
          <w:szCs w:val="20"/>
        </w:rPr>
      </w:pPr>
      <w:r w:rsidRPr="00A44F88">
        <w:rPr>
          <w:rFonts w:cs="Arial"/>
          <w:sz w:val="20"/>
          <w:szCs w:val="20"/>
        </w:rPr>
        <w:t xml:space="preserve">Tax Laws Amendment (Simplified Superannuation) Act 2007, </w:t>
      </w:r>
      <w:r w:rsidRPr="00A44F88">
        <w:rPr>
          <w:rFonts w:cs="Arial"/>
          <w:i w:val="0"/>
          <w:sz w:val="20"/>
          <w:szCs w:val="20"/>
        </w:rPr>
        <w:t>Item 20 of Schedule 8 insofar as it relates to legislation administered by the Minister for Social Services</w:t>
      </w:r>
      <w:r w:rsidRPr="00A44F88">
        <w:rPr>
          <w:rFonts w:cs="Arial"/>
          <w:sz w:val="20"/>
          <w:szCs w:val="20"/>
        </w:rPr>
        <w:t xml:space="preserve"> </w:t>
      </w:r>
    </w:p>
    <w:p w:rsidR="00D836E4" w:rsidRPr="000140B8" w:rsidRDefault="00D836E4" w:rsidP="00D836E4"/>
    <w:sectPr w:rsidR="00D836E4" w:rsidRPr="000140B8" w:rsidSect="00D836E4">
      <w:headerReference w:type="default" r:id="rId32"/>
      <w:footerReference w:type="first" r:id="rId33"/>
      <w:pgSz w:w="11906" w:h="16838"/>
      <w:pgMar w:top="1134" w:right="1418" w:bottom="1418" w:left="1134" w:header="284"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9F" w:rsidRDefault="007D4B9F">
      <w:pPr>
        <w:spacing w:before="0" w:after="0" w:line="240" w:lineRule="auto"/>
      </w:pPr>
      <w:r>
        <w:separator/>
      </w:r>
    </w:p>
  </w:endnote>
  <w:endnote w:type="continuationSeparator" w:id="0">
    <w:p w:rsidR="007D4B9F" w:rsidRDefault="007D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7D4B9F" w:rsidRDefault="007D4B9F" w:rsidP="00D836E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7D4B9F" w:rsidRDefault="007D4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Default="007D4B9F" w:rsidP="00D836E4">
    <w:pPr>
      <w:pStyle w:val="Footer"/>
      <w:ind w:left="-1417"/>
    </w:pPr>
    <w:r>
      <w:rPr>
        <w:noProof/>
      </w:rPr>
      <w:drawing>
        <wp:inline distT="0" distB="0" distL="0" distR="0" wp14:anchorId="0FFAD4AF" wp14:editId="0FFAD4B0">
          <wp:extent cx="7519594" cy="6264813"/>
          <wp:effectExtent l="0" t="0" r="5715" b="3175"/>
          <wp:docPr id="9" name="Picture 9" descr="illustrations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Default="007D4B9F" w:rsidP="00D836E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Default="007D4B9F" w:rsidP="00D836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Pr="001A34DE" w:rsidRDefault="007D4B9F" w:rsidP="00D836E4">
    <w:pPr>
      <w:pStyle w:val="Footer"/>
      <w:jc w:val="right"/>
    </w:pPr>
    <w:r w:rsidRPr="001014D7">
      <w:rPr>
        <w:szCs w:val="20"/>
      </w:rPr>
      <w:t xml:space="preserve">The </w:t>
    </w:r>
    <w:r>
      <w:rPr>
        <w:szCs w:val="20"/>
      </w:rPr>
      <w:t>Department of Social Services</w:t>
    </w:r>
    <w:r w:rsidRPr="001014D7">
      <w:rPr>
        <w:szCs w:val="20"/>
      </w:rPr>
      <w:t xml:space="preserve"> Annual Deregulation Report 2014</w:t>
    </w:r>
    <w:r>
      <w:rPr>
        <w:szCs w:val="20"/>
      </w:rPr>
      <w:tab/>
    </w:r>
    <w:sdt>
      <w:sdtPr>
        <w:id w:val="-21370231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6260">
          <w:rPr>
            <w:noProof/>
          </w:rPr>
          <w:t>19</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3039"/>
      <w:docPartObj>
        <w:docPartGallery w:val="Page Numbers (Bottom of Page)"/>
        <w:docPartUnique/>
      </w:docPartObj>
    </w:sdtPr>
    <w:sdtEndPr>
      <w:rPr>
        <w:noProof/>
      </w:rPr>
    </w:sdtEndPr>
    <w:sdtContent>
      <w:p w:rsidR="007D4B9F" w:rsidRDefault="007D4B9F" w:rsidP="00D836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D4B9F" w:rsidRDefault="007D4B9F" w:rsidP="00D836E4">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9F" w:rsidRDefault="007D4B9F">
      <w:pPr>
        <w:spacing w:before="0" w:after="0" w:line="240" w:lineRule="auto"/>
      </w:pPr>
      <w:r>
        <w:separator/>
      </w:r>
    </w:p>
  </w:footnote>
  <w:footnote w:type="continuationSeparator" w:id="0">
    <w:p w:rsidR="007D4B9F" w:rsidRDefault="007D4B9F">
      <w:pPr>
        <w:spacing w:before="0" w:after="0" w:line="240" w:lineRule="auto"/>
      </w:pPr>
      <w:r>
        <w:continuationSeparator/>
      </w:r>
    </w:p>
  </w:footnote>
  <w:footnote w:id="1">
    <w:p w:rsidR="007D4B9F" w:rsidRDefault="007D4B9F">
      <w:pPr>
        <w:pStyle w:val="FootnoteText"/>
      </w:pPr>
      <w:r>
        <w:rPr>
          <w:rStyle w:val="FootnoteReference"/>
        </w:rPr>
        <w:footnoteRef/>
      </w:r>
      <w:r>
        <w:t xml:space="preserve"> </w:t>
      </w:r>
      <w:r w:rsidRPr="00EB146C">
        <w:rPr>
          <w:rStyle w:val="Hyperlink"/>
          <w:sz w:val="20"/>
          <w:lang w:val="en-GB"/>
        </w:rPr>
        <w:t>http://ris.dpmc.gov.au/</w:t>
      </w:r>
    </w:p>
  </w:footnote>
  <w:footnote w:id="2">
    <w:p w:rsidR="007D4B9F" w:rsidRDefault="007D4B9F" w:rsidP="00314E2C">
      <w:pPr>
        <w:pStyle w:val="FootnoteText"/>
      </w:pPr>
      <w:r>
        <w:rPr>
          <w:rStyle w:val="FootnoteReference"/>
        </w:rPr>
        <w:footnoteRef/>
      </w:r>
      <w:r>
        <w:t xml:space="preserve"> </w:t>
      </w:r>
      <w:r w:rsidRPr="00ED6462">
        <w:rPr>
          <w:rStyle w:val="Hyperlink"/>
          <w:sz w:val="20"/>
          <w:lang w:val="en-GB"/>
        </w:rPr>
        <w:t>http://www.dss.gov.au/about-the-department/portfolio-bodies-and-statutory-office-holders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Default="007D4B9F" w:rsidP="00D836E4">
    <w:pPr>
      <w:ind w:left="-964"/>
    </w:pPr>
    <w:r>
      <w:rPr>
        <w:noProof/>
      </w:rPr>
      <w:drawing>
        <wp:inline distT="0" distB="0" distL="0" distR="0" wp14:anchorId="0FFAD4AD" wp14:editId="0FFAD4AE">
          <wp:extent cx="3236400" cy="936000"/>
          <wp:effectExtent l="0" t="0" r="2540" b="0"/>
          <wp:docPr id="8" name="Picture 8"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Pr="0084227C" w:rsidRDefault="007D4B9F" w:rsidP="00D836E4">
    <w:pPr>
      <w:pStyle w:val="Header"/>
    </w:pPr>
    <w:r>
      <w:t>Appendix B: Legislation administered by the Department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Default="007D4B9F" w:rsidP="00D836E4">
    <w:pPr>
      <w:ind w:left="-9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Pr="00634251" w:rsidRDefault="007D4B9F" w:rsidP="00D836E4">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Pr="00B35E3D" w:rsidRDefault="007D4B9F" w:rsidP="00D836E4">
    <w:pPr>
      <w:pStyle w:val="Header"/>
    </w:pPr>
    <w:r w:rsidRPr="00B35E3D">
      <w:t>Portfolio highlights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Pr="00B35E3D" w:rsidRDefault="007D4B9F" w:rsidP="00D836E4">
    <w:pPr>
      <w:pStyle w:val="Header"/>
    </w:pPr>
    <w:r w:rsidRPr="00B35E3D">
      <w:t>Summary of key savings and costs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Pr="00B35E3D" w:rsidRDefault="007D4B9F" w:rsidP="00D836E4">
    <w:pPr>
      <w:pStyle w:val="Header"/>
    </w:pPr>
    <w:r>
      <w:t>Regulation Impact Statements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Pr="00B35E3D" w:rsidRDefault="007D4B9F" w:rsidP="00D836E4">
    <w:pPr>
      <w:pStyle w:val="Header"/>
    </w:pPr>
    <w:r>
      <w:t>Portfolio activity supporting the Government’s red tape objective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Pr="005F02AA" w:rsidRDefault="007D4B9F" w:rsidP="00D836E4">
    <w:pPr>
      <w:pStyle w:val="Header"/>
    </w:pPr>
    <w:r>
      <w:t>The Audit of Regulations – major findings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9F" w:rsidRPr="005F02AA" w:rsidRDefault="007D4B9F" w:rsidP="00D836E4">
    <w:pPr>
      <w:pStyle w:val="Header"/>
    </w:pPr>
    <w:r>
      <w:t>Appendix A: Measures announced in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0D19"/>
    <w:multiLevelType w:val="hybridMultilevel"/>
    <w:tmpl w:val="3048B3E4"/>
    <w:lvl w:ilvl="0" w:tplc="E842F104">
      <w:start w:val="1"/>
      <w:numFmt w:val="decimal"/>
      <w:lvlText w:val="%1."/>
      <w:lvlJc w:val="left"/>
      <w:pPr>
        <w:tabs>
          <w:tab w:val="num" w:pos="360"/>
        </w:tabs>
        <w:ind w:left="360" w:hanging="360"/>
      </w:pPr>
      <w:rPr>
        <w:rFonts w:hint="default"/>
      </w:rPr>
    </w:lvl>
    <w:lvl w:ilvl="1" w:tplc="D87A6AA6" w:tentative="1">
      <w:start w:val="1"/>
      <w:numFmt w:val="bullet"/>
      <w:lvlText w:val="o"/>
      <w:lvlJc w:val="left"/>
      <w:pPr>
        <w:ind w:left="1440" w:hanging="360"/>
      </w:pPr>
      <w:rPr>
        <w:rFonts w:ascii="Courier New" w:hAnsi="Courier New" w:cs="Courier New" w:hint="default"/>
      </w:rPr>
    </w:lvl>
    <w:lvl w:ilvl="2" w:tplc="F920DAD6" w:tentative="1">
      <w:start w:val="1"/>
      <w:numFmt w:val="bullet"/>
      <w:lvlText w:val=""/>
      <w:lvlJc w:val="left"/>
      <w:pPr>
        <w:ind w:left="2160" w:hanging="360"/>
      </w:pPr>
      <w:rPr>
        <w:rFonts w:ascii="Wingdings" w:hAnsi="Wingdings" w:hint="default"/>
      </w:rPr>
    </w:lvl>
    <w:lvl w:ilvl="3" w:tplc="EFE267F6" w:tentative="1">
      <w:start w:val="1"/>
      <w:numFmt w:val="bullet"/>
      <w:lvlText w:val=""/>
      <w:lvlJc w:val="left"/>
      <w:pPr>
        <w:ind w:left="2880" w:hanging="360"/>
      </w:pPr>
      <w:rPr>
        <w:rFonts w:ascii="Symbol" w:hAnsi="Symbol" w:hint="default"/>
      </w:rPr>
    </w:lvl>
    <w:lvl w:ilvl="4" w:tplc="EA20686A" w:tentative="1">
      <w:start w:val="1"/>
      <w:numFmt w:val="bullet"/>
      <w:lvlText w:val="o"/>
      <w:lvlJc w:val="left"/>
      <w:pPr>
        <w:ind w:left="3600" w:hanging="360"/>
      </w:pPr>
      <w:rPr>
        <w:rFonts w:ascii="Courier New" w:hAnsi="Courier New" w:cs="Courier New" w:hint="default"/>
      </w:rPr>
    </w:lvl>
    <w:lvl w:ilvl="5" w:tplc="244CEDF4" w:tentative="1">
      <w:start w:val="1"/>
      <w:numFmt w:val="bullet"/>
      <w:lvlText w:val=""/>
      <w:lvlJc w:val="left"/>
      <w:pPr>
        <w:ind w:left="4320" w:hanging="360"/>
      </w:pPr>
      <w:rPr>
        <w:rFonts w:ascii="Wingdings" w:hAnsi="Wingdings" w:hint="default"/>
      </w:rPr>
    </w:lvl>
    <w:lvl w:ilvl="6" w:tplc="5DE0E052" w:tentative="1">
      <w:start w:val="1"/>
      <w:numFmt w:val="bullet"/>
      <w:lvlText w:val=""/>
      <w:lvlJc w:val="left"/>
      <w:pPr>
        <w:ind w:left="5040" w:hanging="360"/>
      </w:pPr>
      <w:rPr>
        <w:rFonts w:ascii="Symbol" w:hAnsi="Symbol" w:hint="default"/>
      </w:rPr>
    </w:lvl>
    <w:lvl w:ilvl="7" w:tplc="6F8CA72C" w:tentative="1">
      <w:start w:val="1"/>
      <w:numFmt w:val="bullet"/>
      <w:lvlText w:val="o"/>
      <w:lvlJc w:val="left"/>
      <w:pPr>
        <w:ind w:left="5760" w:hanging="360"/>
      </w:pPr>
      <w:rPr>
        <w:rFonts w:ascii="Courier New" w:hAnsi="Courier New" w:cs="Courier New" w:hint="default"/>
      </w:rPr>
    </w:lvl>
    <w:lvl w:ilvl="8" w:tplc="F35A5DA4" w:tentative="1">
      <w:start w:val="1"/>
      <w:numFmt w:val="bullet"/>
      <w:lvlText w:val=""/>
      <w:lvlJc w:val="left"/>
      <w:pPr>
        <w:ind w:left="6480" w:hanging="360"/>
      </w:pPr>
      <w:rPr>
        <w:rFonts w:ascii="Wingdings" w:hAnsi="Wingdings" w:hint="default"/>
      </w:rPr>
    </w:lvl>
  </w:abstractNum>
  <w:abstractNum w:abstractNumId="1">
    <w:nsid w:val="1156537F"/>
    <w:multiLevelType w:val="hybridMultilevel"/>
    <w:tmpl w:val="5A48F09E"/>
    <w:lvl w:ilvl="0" w:tplc="5BAADEC4">
      <w:start w:val="1"/>
      <w:numFmt w:val="bullet"/>
      <w:pStyle w:val="ListBullet"/>
      <w:lvlText w:val="•"/>
      <w:lvlJc w:val="left"/>
      <w:pPr>
        <w:tabs>
          <w:tab w:val="num" w:pos="360"/>
        </w:tabs>
        <w:ind w:left="360" w:hanging="360"/>
      </w:pPr>
      <w:rPr>
        <w:rFonts w:ascii="Arial" w:hAnsi="Arial" w:hint="default"/>
      </w:rPr>
    </w:lvl>
    <w:lvl w:ilvl="1" w:tplc="B7F4827C" w:tentative="1">
      <w:start w:val="1"/>
      <w:numFmt w:val="bullet"/>
      <w:lvlText w:val="o"/>
      <w:lvlJc w:val="left"/>
      <w:pPr>
        <w:ind w:left="1440" w:hanging="360"/>
      </w:pPr>
      <w:rPr>
        <w:rFonts w:ascii="Courier New" w:hAnsi="Courier New" w:cs="Courier New" w:hint="default"/>
      </w:rPr>
    </w:lvl>
    <w:lvl w:ilvl="2" w:tplc="2D826126" w:tentative="1">
      <w:start w:val="1"/>
      <w:numFmt w:val="bullet"/>
      <w:lvlText w:val=""/>
      <w:lvlJc w:val="left"/>
      <w:pPr>
        <w:ind w:left="2160" w:hanging="360"/>
      </w:pPr>
      <w:rPr>
        <w:rFonts w:ascii="Wingdings" w:hAnsi="Wingdings" w:hint="default"/>
      </w:rPr>
    </w:lvl>
    <w:lvl w:ilvl="3" w:tplc="4E8E2EFA" w:tentative="1">
      <w:start w:val="1"/>
      <w:numFmt w:val="bullet"/>
      <w:lvlText w:val=""/>
      <w:lvlJc w:val="left"/>
      <w:pPr>
        <w:ind w:left="2880" w:hanging="360"/>
      </w:pPr>
      <w:rPr>
        <w:rFonts w:ascii="Symbol" w:hAnsi="Symbol" w:hint="default"/>
      </w:rPr>
    </w:lvl>
    <w:lvl w:ilvl="4" w:tplc="81DA043E" w:tentative="1">
      <w:start w:val="1"/>
      <w:numFmt w:val="bullet"/>
      <w:lvlText w:val="o"/>
      <w:lvlJc w:val="left"/>
      <w:pPr>
        <w:ind w:left="3600" w:hanging="360"/>
      </w:pPr>
      <w:rPr>
        <w:rFonts w:ascii="Courier New" w:hAnsi="Courier New" w:cs="Courier New" w:hint="default"/>
      </w:rPr>
    </w:lvl>
    <w:lvl w:ilvl="5" w:tplc="2A3EEE64" w:tentative="1">
      <w:start w:val="1"/>
      <w:numFmt w:val="bullet"/>
      <w:lvlText w:val=""/>
      <w:lvlJc w:val="left"/>
      <w:pPr>
        <w:ind w:left="4320" w:hanging="360"/>
      </w:pPr>
      <w:rPr>
        <w:rFonts w:ascii="Wingdings" w:hAnsi="Wingdings" w:hint="default"/>
      </w:rPr>
    </w:lvl>
    <w:lvl w:ilvl="6" w:tplc="2E7CA0B2" w:tentative="1">
      <w:start w:val="1"/>
      <w:numFmt w:val="bullet"/>
      <w:lvlText w:val=""/>
      <w:lvlJc w:val="left"/>
      <w:pPr>
        <w:ind w:left="5040" w:hanging="360"/>
      </w:pPr>
      <w:rPr>
        <w:rFonts w:ascii="Symbol" w:hAnsi="Symbol" w:hint="default"/>
      </w:rPr>
    </w:lvl>
    <w:lvl w:ilvl="7" w:tplc="79A89AD0" w:tentative="1">
      <w:start w:val="1"/>
      <w:numFmt w:val="bullet"/>
      <w:lvlText w:val="o"/>
      <w:lvlJc w:val="left"/>
      <w:pPr>
        <w:ind w:left="5760" w:hanging="360"/>
      </w:pPr>
      <w:rPr>
        <w:rFonts w:ascii="Courier New" w:hAnsi="Courier New" w:cs="Courier New" w:hint="default"/>
      </w:rPr>
    </w:lvl>
    <w:lvl w:ilvl="8" w:tplc="A38803EA" w:tentative="1">
      <w:start w:val="1"/>
      <w:numFmt w:val="bullet"/>
      <w:lvlText w:val=""/>
      <w:lvlJc w:val="left"/>
      <w:pPr>
        <w:ind w:left="6480" w:hanging="360"/>
      </w:pPr>
      <w:rPr>
        <w:rFonts w:ascii="Wingdings" w:hAnsi="Wingdings" w:hint="default"/>
      </w:rPr>
    </w:lvl>
  </w:abstractNum>
  <w:abstractNum w:abstractNumId="2">
    <w:nsid w:val="26A713DC"/>
    <w:multiLevelType w:val="hybridMultilevel"/>
    <w:tmpl w:val="3D5C4954"/>
    <w:lvl w:ilvl="0" w:tplc="B1882216">
      <w:start w:val="1"/>
      <w:numFmt w:val="bullet"/>
      <w:lvlText w:val=""/>
      <w:lvlJc w:val="left"/>
      <w:pPr>
        <w:ind w:left="720" w:hanging="360"/>
      </w:pPr>
      <w:rPr>
        <w:rFonts w:ascii="Symbol" w:hAnsi="Symbol" w:hint="default"/>
      </w:rPr>
    </w:lvl>
    <w:lvl w:ilvl="1" w:tplc="FF283028" w:tentative="1">
      <w:start w:val="1"/>
      <w:numFmt w:val="bullet"/>
      <w:lvlText w:val="o"/>
      <w:lvlJc w:val="left"/>
      <w:pPr>
        <w:ind w:left="1440" w:hanging="360"/>
      </w:pPr>
      <w:rPr>
        <w:rFonts w:ascii="Courier New" w:hAnsi="Courier New" w:cs="Courier New" w:hint="default"/>
      </w:rPr>
    </w:lvl>
    <w:lvl w:ilvl="2" w:tplc="F95AB41C" w:tentative="1">
      <w:start w:val="1"/>
      <w:numFmt w:val="bullet"/>
      <w:lvlText w:val=""/>
      <w:lvlJc w:val="left"/>
      <w:pPr>
        <w:ind w:left="2160" w:hanging="360"/>
      </w:pPr>
      <w:rPr>
        <w:rFonts w:ascii="Wingdings" w:hAnsi="Wingdings" w:hint="default"/>
      </w:rPr>
    </w:lvl>
    <w:lvl w:ilvl="3" w:tplc="2D2EA820" w:tentative="1">
      <w:start w:val="1"/>
      <w:numFmt w:val="bullet"/>
      <w:lvlText w:val=""/>
      <w:lvlJc w:val="left"/>
      <w:pPr>
        <w:ind w:left="2880" w:hanging="360"/>
      </w:pPr>
      <w:rPr>
        <w:rFonts w:ascii="Symbol" w:hAnsi="Symbol" w:hint="default"/>
      </w:rPr>
    </w:lvl>
    <w:lvl w:ilvl="4" w:tplc="7834D19A" w:tentative="1">
      <w:start w:val="1"/>
      <w:numFmt w:val="bullet"/>
      <w:lvlText w:val="o"/>
      <w:lvlJc w:val="left"/>
      <w:pPr>
        <w:ind w:left="3600" w:hanging="360"/>
      </w:pPr>
      <w:rPr>
        <w:rFonts w:ascii="Courier New" w:hAnsi="Courier New" w:cs="Courier New" w:hint="default"/>
      </w:rPr>
    </w:lvl>
    <w:lvl w:ilvl="5" w:tplc="86CCB9DA" w:tentative="1">
      <w:start w:val="1"/>
      <w:numFmt w:val="bullet"/>
      <w:lvlText w:val=""/>
      <w:lvlJc w:val="left"/>
      <w:pPr>
        <w:ind w:left="4320" w:hanging="360"/>
      </w:pPr>
      <w:rPr>
        <w:rFonts w:ascii="Wingdings" w:hAnsi="Wingdings" w:hint="default"/>
      </w:rPr>
    </w:lvl>
    <w:lvl w:ilvl="6" w:tplc="59E2A692" w:tentative="1">
      <w:start w:val="1"/>
      <w:numFmt w:val="bullet"/>
      <w:lvlText w:val=""/>
      <w:lvlJc w:val="left"/>
      <w:pPr>
        <w:ind w:left="5040" w:hanging="360"/>
      </w:pPr>
      <w:rPr>
        <w:rFonts w:ascii="Symbol" w:hAnsi="Symbol" w:hint="default"/>
      </w:rPr>
    </w:lvl>
    <w:lvl w:ilvl="7" w:tplc="BD1EAFBC" w:tentative="1">
      <w:start w:val="1"/>
      <w:numFmt w:val="bullet"/>
      <w:lvlText w:val="o"/>
      <w:lvlJc w:val="left"/>
      <w:pPr>
        <w:ind w:left="5760" w:hanging="360"/>
      </w:pPr>
      <w:rPr>
        <w:rFonts w:ascii="Courier New" w:hAnsi="Courier New" w:cs="Courier New" w:hint="default"/>
      </w:rPr>
    </w:lvl>
    <w:lvl w:ilvl="8" w:tplc="6F70BB9C" w:tentative="1">
      <w:start w:val="1"/>
      <w:numFmt w:val="bullet"/>
      <w:lvlText w:val=""/>
      <w:lvlJc w:val="left"/>
      <w:pPr>
        <w:ind w:left="6480" w:hanging="360"/>
      </w:pPr>
      <w:rPr>
        <w:rFonts w:ascii="Wingdings" w:hAnsi="Wingdings" w:hint="default"/>
      </w:rPr>
    </w:lvl>
  </w:abstractNum>
  <w:abstractNum w:abstractNumId="3">
    <w:nsid w:val="2A4D7649"/>
    <w:multiLevelType w:val="hybridMultilevel"/>
    <w:tmpl w:val="D6E6AFDC"/>
    <w:lvl w:ilvl="0" w:tplc="3036DD44">
      <w:start w:val="1"/>
      <w:numFmt w:val="bullet"/>
      <w:pStyle w:val="Bullet1linked"/>
      <w:lvlText w:val=""/>
      <w:lvlJc w:val="left"/>
      <w:pPr>
        <w:ind w:left="360" w:hanging="360"/>
      </w:pPr>
      <w:rPr>
        <w:rFonts w:ascii="Symbol" w:hAnsi="Symbol" w:hint="default"/>
        <w:sz w:val="18"/>
      </w:rPr>
    </w:lvl>
    <w:lvl w:ilvl="1" w:tplc="31304858">
      <w:start w:val="1"/>
      <w:numFmt w:val="bullet"/>
      <w:pStyle w:val="Bullet2"/>
      <w:lvlText w:val=""/>
      <w:lvlJc w:val="left"/>
      <w:pPr>
        <w:ind w:left="1080" w:hanging="360"/>
      </w:pPr>
      <w:rPr>
        <w:rFonts w:ascii="Symbol" w:hAnsi="Symbol" w:hint="default"/>
      </w:rPr>
    </w:lvl>
    <w:lvl w:ilvl="2" w:tplc="EAD2407A">
      <w:start w:val="1"/>
      <w:numFmt w:val="bullet"/>
      <w:lvlText w:val=""/>
      <w:lvlJc w:val="left"/>
      <w:pPr>
        <w:ind w:left="1800" w:hanging="360"/>
      </w:pPr>
      <w:rPr>
        <w:rFonts w:ascii="Wingdings" w:hAnsi="Wingdings" w:hint="default"/>
      </w:rPr>
    </w:lvl>
    <w:lvl w:ilvl="3" w:tplc="F66E7572">
      <w:start w:val="1"/>
      <w:numFmt w:val="bullet"/>
      <w:lvlText w:val=""/>
      <w:lvlJc w:val="left"/>
      <w:pPr>
        <w:ind w:left="2520" w:hanging="360"/>
      </w:pPr>
      <w:rPr>
        <w:rFonts w:ascii="Symbol" w:hAnsi="Symbol" w:hint="default"/>
      </w:rPr>
    </w:lvl>
    <w:lvl w:ilvl="4" w:tplc="000C42B2">
      <w:start w:val="1"/>
      <w:numFmt w:val="bullet"/>
      <w:lvlText w:val="o"/>
      <w:lvlJc w:val="left"/>
      <w:pPr>
        <w:ind w:left="3240" w:hanging="360"/>
      </w:pPr>
      <w:rPr>
        <w:rFonts w:ascii="Courier New" w:hAnsi="Courier New" w:cs="Courier New" w:hint="default"/>
      </w:rPr>
    </w:lvl>
    <w:lvl w:ilvl="5" w:tplc="3CDE7BE0">
      <w:start w:val="1"/>
      <w:numFmt w:val="bullet"/>
      <w:lvlText w:val=""/>
      <w:lvlJc w:val="left"/>
      <w:pPr>
        <w:ind w:left="3960" w:hanging="360"/>
      </w:pPr>
      <w:rPr>
        <w:rFonts w:ascii="Wingdings" w:hAnsi="Wingdings" w:hint="default"/>
      </w:rPr>
    </w:lvl>
    <w:lvl w:ilvl="6" w:tplc="9D08D9C0">
      <w:start w:val="1"/>
      <w:numFmt w:val="bullet"/>
      <w:lvlText w:val=""/>
      <w:lvlJc w:val="left"/>
      <w:pPr>
        <w:ind w:left="4680" w:hanging="360"/>
      </w:pPr>
      <w:rPr>
        <w:rFonts w:ascii="Symbol" w:hAnsi="Symbol" w:hint="default"/>
      </w:rPr>
    </w:lvl>
    <w:lvl w:ilvl="7" w:tplc="1CF8B522">
      <w:start w:val="1"/>
      <w:numFmt w:val="bullet"/>
      <w:lvlText w:val="o"/>
      <w:lvlJc w:val="left"/>
      <w:pPr>
        <w:ind w:left="5400" w:hanging="360"/>
      </w:pPr>
      <w:rPr>
        <w:rFonts w:ascii="Courier New" w:hAnsi="Courier New" w:cs="Courier New" w:hint="default"/>
      </w:rPr>
    </w:lvl>
    <w:lvl w:ilvl="8" w:tplc="87E040D2">
      <w:start w:val="1"/>
      <w:numFmt w:val="bullet"/>
      <w:lvlText w:val=""/>
      <w:lvlJc w:val="left"/>
      <w:pPr>
        <w:ind w:left="6120" w:hanging="360"/>
      </w:pPr>
      <w:rPr>
        <w:rFonts w:ascii="Wingdings" w:hAnsi="Wingdings" w:hint="default"/>
      </w:rPr>
    </w:lvl>
  </w:abstractNum>
  <w:abstractNum w:abstractNumId="4">
    <w:nsid w:val="2CEB6DF6"/>
    <w:multiLevelType w:val="hybridMultilevel"/>
    <w:tmpl w:val="80A49B7E"/>
    <w:lvl w:ilvl="0" w:tplc="5AE09614">
      <w:start w:val="1"/>
      <w:numFmt w:val="decimal"/>
      <w:lvlText w:val="%1."/>
      <w:lvlJc w:val="left"/>
      <w:pPr>
        <w:tabs>
          <w:tab w:val="num" w:pos="360"/>
        </w:tabs>
        <w:ind w:left="360" w:hanging="360"/>
      </w:pPr>
      <w:rPr>
        <w:rFonts w:hint="default"/>
      </w:rPr>
    </w:lvl>
    <w:lvl w:ilvl="1" w:tplc="EE3630AC" w:tentative="1">
      <w:start w:val="1"/>
      <w:numFmt w:val="bullet"/>
      <w:lvlText w:val="o"/>
      <w:lvlJc w:val="left"/>
      <w:pPr>
        <w:ind w:left="1440" w:hanging="360"/>
      </w:pPr>
      <w:rPr>
        <w:rFonts w:ascii="Courier New" w:hAnsi="Courier New" w:cs="Courier New" w:hint="default"/>
      </w:rPr>
    </w:lvl>
    <w:lvl w:ilvl="2" w:tplc="99DCF21E" w:tentative="1">
      <w:start w:val="1"/>
      <w:numFmt w:val="bullet"/>
      <w:lvlText w:val=""/>
      <w:lvlJc w:val="left"/>
      <w:pPr>
        <w:ind w:left="2160" w:hanging="360"/>
      </w:pPr>
      <w:rPr>
        <w:rFonts w:ascii="Wingdings" w:hAnsi="Wingdings" w:hint="default"/>
      </w:rPr>
    </w:lvl>
    <w:lvl w:ilvl="3" w:tplc="1E643128" w:tentative="1">
      <w:start w:val="1"/>
      <w:numFmt w:val="bullet"/>
      <w:lvlText w:val=""/>
      <w:lvlJc w:val="left"/>
      <w:pPr>
        <w:ind w:left="2880" w:hanging="360"/>
      </w:pPr>
      <w:rPr>
        <w:rFonts w:ascii="Symbol" w:hAnsi="Symbol" w:hint="default"/>
      </w:rPr>
    </w:lvl>
    <w:lvl w:ilvl="4" w:tplc="4C9A1800" w:tentative="1">
      <w:start w:val="1"/>
      <w:numFmt w:val="bullet"/>
      <w:lvlText w:val="o"/>
      <w:lvlJc w:val="left"/>
      <w:pPr>
        <w:ind w:left="3600" w:hanging="360"/>
      </w:pPr>
      <w:rPr>
        <w:rFonts w:ascii="Courier New" w:hAnsi="Courier New" w:cs="Courier New" w:hint="default"/>
      </w:rPr>
    </w:lvl>
    <w:lvl w:ilvl="5" w:tplc="37FA02FA" w:tentative="1">
      <w:start w:val="1"/>
      <w:numFmt w:val="bullet"/>
      <w:lvlText w:val=""/>
      <w:lvlJc w:val="left"/>
      <w:pPr>
        <w:ind w:left="4320" w:hanging="360"/>
      </w:pPr>
      <w:rPr>
        <w:rFonts w:ascii="Wingdings" w:hAnsi="Wingdings" w:hint="default"/>
      </w:rPr>
    </w:lvl>
    <w:lvl w:ilvl="6" w:tplc="87BCD8BC" w:tentative="1">
      <w:start w:val="1"/>
      <w:numFmt w:val="bullet"/>
      <w:lvlText w:val=""/>
      <w:lvlJc w:val="left"/>
      <w:pPr>
        <w:ind w:left="5040" w:hanging="360"/>
      </w:pPr>
      <w:rPr>
        <w:rFonts w:ascii="Symbol" w:hAnsi="Symbol" w:hint="default"/>
      </w:rPr>
    </w:lvl>
    <w:lvl w:ilvl="7" w:tplc="586E0034" w:tentative="1">
      <w:start w:val="1"/>
      <w:numFmt w:val="bullet"/>
      <w:lvlText w:val="o"/>
      <w:lvlJc w:val="left"/>
      <w:pPr>
        <w:ind w:left="5760" w:hanging="360"/>
      </w:pPr>
      <w:rPr>
        <w:rFonts w:ascii="Courier New" w:hAnsi="Courier New" w:cs="Courier New" w:hint="default"/>
      </w:rPr>
    </w:lvl>
    <w:lvl w:ilvl="8" w:tplc="0DF492AE" w:tentative="1">
      <w:start w:val="1"/>
      <w:numFmt w:val="bullet"/>
      <w:lvlText w:val=""/>
      <w:lvlJc w:val="left"/>
      <w:pPr>
        <w:ind w:left="6480" w:hanging="360"/>
      </w:pPr>
      <w:rPr>
        <w:rFonts w:ascii="Wingdings" w:hAnsi="Wingdings" w:hint="default"/>
      </w:rPr>
    </w:lvl>
  </w:abstractNum>
  <w:abstractNum w:abstractNumId="5">
    <w:nsid w:val="40E66CAD"/>
    <w:multiLevelType w:val="hybridMultilevel"/>
    <w:tmpl w:val="00ECD4AE"/>
    <w:lvl w:ilvl="0" w:tplc="11E00E7E">
      <w:start w:val="1"/>
      <w:numFmt w:val="bullet"/>
      <w:lvlText w:val=""/>
      <w:lvlJc w:val="left"/>
      <w:pPr>
        <w:ind w:left="720" w:hanging="360"/>
      </w:pPr>
      <w:rPr>
        <w:rFonts w:ascii="Symbol" w:hAnsi="Symbol" w:hint="default"/>
      </w:rPr>
    </w:lvl>
    <w:lvl w:ilvl="1" w:tplc="54B620CE" w:tentative="1">
      <w:start w:val="1"/>
      <w:numFmt w:val="bullet"/>
      <w:lvlText w:val="o"/>
      <w:lvlJc w:val="left"/>
      <w:pPr>
        <w:ind w:left="1440" w:hanging="360"/>
      </w:pPr>
      <w:rPr>
        <w:rFonts w:ascii="Courier New" w:hAnsi="Courier New" w:cs="Courier New" w:hint="default"/>
      </w:rPr>
    </w:lvl>
    <w:lvl w:ilvl="2" w:tplc="F4C489E4" w:tentative="1">
      <w:start w:val="1"/>
      <w:numFmt w:val="bullet"/>
      <w:lvlText w:val=""/>
      <w:lvlJc w:val="left"/>
      <w:pPr>
        <w:ind w:left="2160" w:hanging="360"/>
      </w:pPr>
      <w:rPr>
        <w:rFonts w:ascii="Wingdings" w:hAnsi="Wingdings" w:hint="default"/>
      </w:rPr>
    </w:lvl>
    <w:lvl w:ilvl="3" w:tplc="75F6DB20" w:tentative="1">
      <w:start w:val="1"/>
      <w:numFmt w:val="bullet"/>
      <w:lvlText w:val=""/>
      <w:lvlJc w:val="left"/>
      <w:pPr>
        <w:ind w:left="2880" w:hanging="360"/>
      </w:pPr>
      <w:rPr>
        <w:rFonts w:ascii="Symbol" w:hAnsi="Symbol" w:hint="default"/>
      </w:rPr>
    </w:lvl>
    <w:lvl w:ilvl="4" w:tplc="EB0A8BFC" w:tentative="1">
      <w:start w:val="1"/>
      <w:numFmt w:val="bullet"/>
      <w:lvlText w:val="o"/>
      <w:lvlJc w:val="left"/>
      <w:pPr>
        <w:ind w:left="3600" w:hanging="360"/>
      </w:pPr>
      <w:rPr>
        <w:rFonts w:ascii="Courier New" w:hAnsi="Courier New" w:cs="Courier New" w:hint="default"/>
      </w:rPr>
    </w:lvl>
    <w:lvl w:ilvl="5" w:tplc="E5F0AFC4" w:tentative="1">
      <w:start w:val="1"/>
      <w:numFmt w:val="bullet"/>
      <w:lvlText w:val=""/>
      <w:lvlJc w:val="left"/>
      <w:pPr>
        <w:ind w:left="4320" w:hanging="360"/>
      </w:pPr>
      <w:rPr>
        <w:rFonts w:ascii="Wingdings" w:hAnsi="Wingdings" w:hint="default"/>
      </w:rPr>
    </w:lvl>
    <w:lvl w:ilvl="6" w:tplc="6816B554" w:tentative="1">
      <w:start w:val="1"/>
      <w:numFmt w:val="bullet"/>
      <w:lvlText w:val=""/>
      <w:lvlJc w:val="left"/>
      <w:pPr>
        <w:ind w:left="5040" w:hanging="360"/>
      </w:pPr>
      <w:rPr>
        <w:rFonts w:ascii="Symbol" w:hAnsi="Symbol" w:hint="default"/>
      </w:rPr>
    </w:lvl>
    <w:lvl w:ilvl="7" w:tplc="D48EEB92" w:tentative="1">
      <w:start w:val="1"/>
      <w:numFmt w:val="bullet"/>
      <w:lvlText w:val="o"/>
      <w:lvlJc w:val="left"/>
      <w:pPr>
        <w:ind w:left="5760" w:hanging="360"/>
      </w:pPr>
      <w:rPr>
        <w:rFonts w:ascii="Courier New" w:hAnsi="Courier New" w:cs="Courier New" w:hint="default"/>
      </w:rPr>
    </w:lvl>
    <w:lvl w:ilvl="8" w:tplc="F80C85F0" w:tentative="1">
      <w:start w:val="1"/>
      <w:numFmt w:val="bullet"/>
      <w:lvlText w:val=""/>
      <w:lvlJc w:val="left"/>
      <w:pPr>
        <w:ind w:left="6480" w:hanging="360"/>
      </w:pPr>
      <w:rPr>
        <w:rFonts w:ascii="Wingdings" w:hAnsi="Wingdings" w:hint="default"/>
      </w:rPr>
    </w:lvl>
  </w:abstractNum>
  <w:abstractNum w:abstractNumId="6">
    <w:nsid w:val="41D97273"/>
    <w:multiLevelType w:val="hybridMultilevel"/>
    <w:tmpl w:val="D2ACB716"/>
    <w:lvl w:ilvl="0" w:tplc="5F64D240">
      <w:start w:val="1"/>
      <w:numFmt w:val="bullet"/>
      <w:lvlText w:val=""/>
      <w:lvlJc w:val="left"/>
      <w:pPr>
        <w:ind w:left="777" w:hanging="360"/>
      </w:pPr>
      <w:rPr>
        <w:rFonts w:ascii="Symbol" w:hAnsi="Symbol" w:hint="default"/>
      </w:rPr>
    </w:lvl>
    <w:lvl w:ilvl="1" w:tplc="7DE89BB2" w:tentative="1">
      <w:start w:val="1"/>
      <w:numFmt w:val="bullet"/>
      <w:lvlText w:val="o"/>
      <w:lvlJc w:val="left"/>
      <w:pPr>
        <w:ind w:left="1497" w:hanging="360"/>
      </w:pPr>
      <w:rPr>
        <w:rFonts w:ascii="Courier New" w:hAnsi="Courier New" w:cs="Courier New" w:hint="default"/>
      </w:rPr>
    </w:lvl>
    <w:lvl w:ilvl="2" w:tplc="7B10B39A" w:tentative="1">
      <w:start w:val="1"/>
      <w:numFmt w:val="bullet"/>
      <w:lvlText w:val=""/>
      <w:lvlJc w:val="left"/>
      <w:pPr>
        <w:ind w:left="2217" w:hanging="360"/>
      </w:pPr>
      <w:rPr>
        <w:rFonts w:ascii="Wingdings" w:hAnsi="Wingdings" w:hint="default"/>
      </w:rPr>
    </w:lvl>
    <w:lvl w:ilvl="3" w:tplc="C1CC2782" w:tentative="1">
      <w:start w:val="1"/>
      <w:numFmt w:val="bullet"/>
      <w:lvlText w:val=""/>
      <w:lvlJc w:val="left"/>
      <w:pPr>
        <w:ind w:left="2937" w:hanging="360"/>
      </w:pPr>
      <w:rPr>
        <w:rFonts w:ascii="Symbol" w:hAnsi="Symbol" w:hint="default"/>
      </w:rPr>
    </w:lvl>
    <w:lvl w:ilvl="4" w:tplc="1A3E098C" w:tentative="1">
      <w:start w:val="1"/>
      <w:numFmt w:val="bullet"/>
      <w:lvlText w:val="o"/>
      <w:lvlJc w:val="left"/>
      <w:pPr>
        <w:ind w:left="3657" w:hanging="360"/>
      </w:pPr>
      <w:rPr>
        <w:rFonts w:ascii="Courier New" w:hAnsi="Courier New" w:cs="Courier New" w:hint="default"/>
      </w:rPr>
    </w:lvl>
    <w:lvl w:ilvl="5" w:tplc="A2C861B0" w:tentative="1">
      <w:start w:val="1"/>
      <w:numFmt w:val="bullet"/>
      <w:lvlText w:val=""/>
      <w:lvlJc w:val="left"/>
      <w:pPr>
        <w:ind w:left="4377" w:hanging="360"/>
      </w:pPr>
      <w:rPr>
        <w:rFonts w:ascii="Wingdings" w:hAnsi="Wingdings" w:hint="default"/>
      </w:rPr>
    </w:lvl>
    <w:lvl w:ilvl="6" w:tplc="38DA6E72" w:tentative="1">
      <w:start w:val="1"/>
      <w:numFmt w:val="bullet"/>
      <w:lvlText w:val=""/>
      <w:lvlJc w:val="left"/>
      <w:pPr>
        <w:ind w:left="5097" w:hanging="360"/>
      </w:pPr>
      <w:rPr>
        <w:rFonts w:ascii="Symbol" w:hAnsi="Symbol" w:hint="default"/>
      </w:rPr>
    </w:lvl>
    <w:lvl w:ilvl="7" w:tplc="7AC40DF4" w:tentative="1">
      <w:start w:val="1"/>
      <w:numFmt w:val="bullet"/>
      <w:lvlText w:val="o"/>
      <w:lvlJc w:val="left"/>
      <w:pPr>
        <w:ind w:left="5817" w:hanging="360"/>
      </w:pPr>
      <w:rPr>
        <w:rFonts w:ascii="Courier New" w:hAnsi="Courier New" w:cs="Courier New" w:hint="default"/>
      </w:rPr>
    </w:lvl>
    <w:lvl w:ilvl="8" w:tplc="C4C2EAC4" w:tentative="1">
      <w:start w:val="1"/>
      <w:numFmt w:val="bullet"/>
      <w:lvlText w:val=""/>
      <w:lvlJc w:val="left"/>
      <w:pPr>
        <w:ind w:left="6537" w:hanging="360"/>
      </w:pPr>
      <w:rPr>
        <w:rFonts w:ascii="Wingdings" w:hAnsi="Wingdings" w:hint="default"/>
      </w:rPr>
    </w:lvl>
  </w:abstractNum>
  <w:abstractNum w:abstractNumId="7">
    <w:nsid w:val="470D792D"/>
    <w:multiLevelType w:val="hybridMultilevel"/>
    <w:tmpl w:val="25B4CA30"/>
    <w:lvl w:ilvl="0" w:tplc="F83830B4">
      <w:start w:val="1"/>
      <w:numFmt w:val="bullet"/>
      <w:lvlText w:val=""/>
      <w:lvlJc w:val="left"/>
      <w:pPr>
        <w:ind w:left="720" w:hanging="360"/>
      </w:pPr>
      <w:rPr>
        <w:rFonts w:ascii="Symbol" w:hAnsi="Symbol" w:hint="default"/>
      </w:rPr>
    </w:lvl>
    <w:lvl w:ilvl="1" w:tplc="F0CAF632">
      <w:start w:val="1"/>
      <w:numFmt w:val="bullet"/>
      <w:lvlText w:val=""/>
      <w:lvlJc w:val="left"/>
      <w:pPr>
        <w:ind w:left="1440" w:hanging="360"/>
      </w:pPr>
      <w:rPr>
        <w:rFonts w:ascii="Symbol" w:hAnsi="Symbol" w:hint="default"/>
      </w:rPr>
    </w:lvl>
    <w:lvl w:ilvl="2" w:tplc="96968086">
      <w:start w:val="1"/>
      <w:numFmt w:val="bullet"/>
      <w:lvlText w:val=""/>
      <w:lvlJc w:val="left"/>
      <w:pPr>
        <w:ind w:left="2160" w:hanging="360"/>
      </w:pPr>
      <w:rPr>
        <w:rFonts w:ascii="Wingdings" w:hAnsi="Wingdings" w:hint="default"/>
      </w:rPr>
    </w:lvl>
    <w:lvl w:ilvl="3" w:tplc="0B063A56">
      <w:start w:val="1"/>
      <w:numFmt w:val="bullet"/>
      <w:lvlText w:val=""/>
      <w:lvlJc w:val="left"/>
      <w:pPr>
        <w:ind w:left="2880" w:hanging="360"/>
      </w:pPr>
      <w:rPr>
        <w:rFonts w:ascii="Symbol" w:hAnsi="Symbol" w:hint="default"/>
      </w:rPr>
    </w:lvl>
    <w:lvl w:ilvl="4" w:tplc="4C50F892">
      <w:start w:val="1"/>
      <w:numFmt w:val="bullet"/>
      <w:lvlText w:val="o"/>
      <w:lvlJc w:val="left"/>
      <w:pPr>
        <w:ind w:left="3600" w:hanging="360"/>
      </w:pPr>
      <w:rPr>
        <w:rFonts w:ascii="Courier New" w:hAnsi="Courier New" w:cs="Courier New" w:hint="default"/>
      </w:rPr>
    </w:lvl>
    <w:lvl w:ilvl="5" w:tplc="83FE37D0">
      <w:start w:val="1"/>
      <w:numFmt w:val="bullet"/>
      <w:lvlText w:val=""/>
      <w:lvlJc w:val="left"/>
      <w:pPr>
        <w:ind w:left="4320" w:hanging="360"/>
      </w:pPr>
      <w:rPr>
        <w:rFonts w:ascii="Wingdings" w:hAnsi="Wingdings" w:hint="default"/>
      </w:rPr>
    </w:lvl>
    <w:lvl w:ilvl="6" w:tplc="7CC042DC">
      <w:start w:val="1"/>
      <w:numFmt w:val="bullet"/>
      <w:lvlText w:val=""/>
      <w:lvlJc w:val="left"/>
      <w:pPr>
        <w:ind w:left="5040" w:hanging="360"/>
      </w:pPr>
      <w:rPr>
        <w:rFonts w:ascii="Symbol" w:hAnsi="Symbol" w:hint="default"/>
      </w:rPr>
    </w:lvl>
    <w:lvl w:ilvl="7" w:tplc="87BCA83E">
      <w:start w:val="1"/>
      <w:numFmt w:val="bullet"/>
      <w:lvlText w:val="o"/>
      <w:lvlJc w:val="left"/>
      <w:pPr>
        <w:ind w:left="5760" w:hanging="360"/>
      </w:pPr>
      <w:rPr>
        <w:rFonts w:ascii="Courier New" w:hAnsi="Courier New" w:cs="Courier New" w:hint="default"/>
      </w:rPr>
    </w:lvl>
    <w:lvl w:ilvl="8" w:tplc="FB58FB82">
      <w:start w:val="1"/>
      <w:numFmt w:val="bullet"/>
      <w:lvlText w:val=""/>
      <w:lvlJc w:val="left"/>
      <w:pPr>
        <w:ind w:left="6480" w:hanging="360"/>
      </w:pPr>
      <w:rPr>
        <w:rFonts w:ascii="Wingdings" w:hAnsi="Wingdings" w:hint="default"/>
      </w:rPr>
    </w:lvl>
  </w:abstractNum>
  <w:abstractNum w:abstractNumId="8">
    <w:nsid w:val="4FA52448"/>
    <w:multiLevelType w:val="hybridMultilevel"/>
    <w:tmpl w:val="855226DC"/>
    <w:lvl w:ilvl="0" w:tplc="34C0220C">
      <w:start w:val="1"/>
      <w:numFmt w:val="bullet"/>
      <w:pStyle w:val="ReportBulletPoint"/>
      <w:lvlText w:val=""/>
      <w:lvlJc w:val="left"/>
      <w:pPr>
        <w:ind w:left="360" w:hanging="360"/>
      </w:pPr>
      <w:rPr>
        <w:rFonts w:ascii="Symbol" w:hAnsi="Symbol" w:hint="default"/>
        <w:color w:val="auto"/>
      </w:rPr>
    </w:lvl>
    <w:lvl w:ilvl="1" w:tplc="A3C67146">
      <w:start w:val="1"/>
      <w:numFmt w:val="bullet"/>
      <w:lvlText w:val="o"/>
      <w:lvlJc w:val="left"/>
      <w:pPr>
        <w:ind w:left="1080" w:hanging="360"/>
      </w:pPr>
      <w:rPr>
        <w:rFonts w:ascii="Courier New" w:hAnsi="Courier New" w:cs="Courier New" w:hint="default"/>
      </w:rPr>
    </w:lvl>
    <w:lvl w:ilvl="2" w:tplc="0316AC28">
      <w:numFmt w:val="bullet"/>
      <w:lvlText w:val="•"/>
      <w:lvlJc w:val="left"/>
      <w:pPr>
        <w:ind w:left="2160" w:hanging="720"/>
      </w:pPr>
      <w:rPr>
        <w:rFonts w:ascii="Calibri" w:eastAsia="Times New Roman" w:hAnsi="Calibri" w:cs="Calibri" w:hint="default"/>
      </w:rPr>
    </w:lvl>
    <w:lvl w:ilvl="3" w:tplc="14BCEDEC" w:tentative="1">
      <w:start w:val="1"/>
      <w:numFmt w:val="bullet"/>
      <w:lvlText w:val=""/>
      <w:lvlJc w:val="left"/>
      <w:pPr>
        <w:ind w:left="2520" w:hanging="360"/>
      </w:pPr>
      <w:rPr>
        <w:rFonts w:ascii="Symbol" w:hAnsi="Symbol" w:hint="default"/>
      </w:rPr>
    </w:lvl>
    <w:lvl w:ilvl="4" w:tplc="1F94B3DE" w:tentative="1">
      <w:start w:val="1"/>
      <w:numFmt w:val="bullet"/>
      <w:lvlText w:val="o"/>
      <w:lvlJc w:val="left"/>
      <w:pPr>
        <w:ind w:left="3240" w:hanging="360"/>
      </w:pPr>
      <w:rPr>
        <w:rFonts w:ascii="Courier New" w:hAnsi="Courier New" w:cs="Courier New" w:hint="default"/>
      </w:rPr>
    </w:lvl>
    <w:lvl w:ilvl="5" w:tplc="EB6AE548" w:tentative="1">
      <w:start w:val="1"/>
      <w:numFmt w:val="bullet"/>
      <w:lvlText w:val=""/>
      <w:lvlJc w:val="left"/>
      <w:pPr>
        <w:ind w:left="3960" w:hanging="360"/>
      </w:pPr>
      <w:rPr>
        <w:rFonts w:ascii="Wingdings" w:hAnsi="Wingdings" w:hint="default"/>
      </w:rPr>
    </w:lvl>
    <w:lvl w:ilvl="6" w:tplc="78EA03DA" w:tentative="1">
      <w:start w:val="1"/>
      <w:numFmt w:val="bullet"/>
      <w:lvlText w:val=""/>
      <w:lvlJc w:val="left"/>
      <w:pPr>
        <w:ind w:left="4680" w:hanging="360"/>
      </w:pPr>
      <w:rPr>
        <w:rFonts w:ascii="Symbol" w:hAnsi="Symbol" w:hint="default"/>
      </w:rPr>
    </w:lvl>
    <w:lvl w:ilvl="7" w:tplc="1B667200" w:tentative="1">
      <w:start w:val="1"/>
      <w:numFmt w:val="bullet"/>
      <w:lvlText w:val="o"/>
      <w:lvlJc w:val="left"/>
      <w:pPr>
        <w:ind w:left="5400" w:hanging="360"/>
      </w:pPr>
      <w:rPr>
        <w:rFonts w:ascii="Courier New" w:hAnsi="Courier New" w:cs="Courier New" w:hint="default"/>
      </w:rPr>
    </w:lvl>
    <w:lvl w:ilvl="8" w:tplc="C91AA030" w:tentative="1">
      <w:start w:val="1"/>
      <w:numFmt w:val="bullet"/>
      <w:lvlText w:val=""/>
      <w:lvlJc w:val="left"/>
      <w:pPr>
        <w:ind w:left="6120" w:hanging="360"/>
      </w:pPr>
      <w:rPr>
        <w:rFonts w:ascii="Wingdings" w:hAnsi="Wingdings" w:hint="default"/>
      </w:rPr>
    </w:lvl>
  </w:abstractNum>
  <w:abstractNum w:abstractNumId="9">
    <w:nsid w:val="512653B4"/>
    <w:multiLevelType w:val="hybridMultilevel"/>
    <w:tmpl w:val="2C566B6C"/>
    <w:lvl w:ilvl="0" w:tplc="0A20D5E6">
      <w:start w:val="1"/>
      <w:numFmt w:val="decimal"/>
      <w:pStyle w:val="OverviewSectionHeadings"/>
      <w:lvlText w:val="%1."/>
      <w:lvlJc w:val="left"/>
      <w:pPr>
        <w:ind w:left="360" w:hanging="360"/>
      </w:pPr>
    </w:lvl>
    <w:lvl w:ilvl="1" w:tplc="4ED6E6E2" w:tentative="1">
      <w:start w:val="1"/>
      <w:numFmt w:val="lowerLetter"/>
      <w:lvlText w:val="%2."/>
      <w:lvlJc w:val="left"/>
      <w:pPr>
        <w:ind w:left="1080" w:hanging="360"/>
      </w:pPr>
    </w:lvl>
    <w:lvl w:ilvl="2" w:tplc="FBD81186" w:tentative="1">
      <w:start w:val="1"/>
      <w:numFmt w:val="lowerRoman"/>
      <w:lvlText w:val="%3."/>
      <w:lvlJc w:val="right"/>
      <w:pPr>
        <w:ind w:left="1800" w:hanging="180"/>
      </w:pPr>
    </w:lvl>
    <w:lvl w:ilvl="3" w:tplc="845C34A6" w:tentative="1">
      <w:start w:val="1"/>
      <w:numFmt w:val="decimal"/>
      <w:lvlText w:val="%4."/>
      <w:lvlJc w:val="left"/>
      <w:pPr>
        <w:ind w:left="2520" w:hanging="360"/>
      </w:pPr>
    </w:lvl>
    <w:lvl w:ilvl="4" w:tplc="111008AE" w:tentative="1">
      <w:start w:val="1"/>
      <w:numFmt w:val="lowerLetter"/>
      <w:lvlText w:val="%5."/>
      <w:lvlJc w:val="left"/>
      <w:pPr>
        <w:ind w:left="3240" w:hanging="360"/>
      </w:pPr>
    </w:lvl>
    <w:lvl w:ilvl="5" w:tplc="5AE437A8" w:tentative="1">
      <w:start w:val="1"/>
      <w:numFmt w:val="lowerRoman"/>
      <w:lvlText w:val="%6."/>
      <w:lvlJc w:val="right"/>
      <w:pPr>
        <w:ind w:left="3960" w:hanging="180"/>
      </w:pPr>
    </w:lvl>
    <w:lvl w:ilvl="6" w:tplc="87869B08" w:tentative="1">
      <w:start w:val="1"/>
      <w:numFmt w:val="decimal"/>
      <w:lvlText w:val="%7."/>
      <w:lvlJc w:val="left"/>
      <w:pPr>
        <w:ind w:left="4680" w:hanging="360"/>
      </w:pPr>
    </w:lvl>
    <w:lvl w:ilvl="7" w:tplc="03540F6C" w:tentative="1">
      <w:start w:val="1"/>
      <w:numFmt w:val="lowerLetter"/>
      <w:lvlText w:val="%8."/>
      <w:lvlJc w:val="left"/>
      <w:pPr>
        <w:ind w:left="5400" w:hanging="360"/>
      </w:pPr>
    </w:lvl>
    <w:lvl w:ilvl="8" w:tplc="EFDA0516" w:tentative="1">
      <w:start w:val="1"/>
      <w:numFmt w:val="lowerRoman"/>
      <w:lvlText w:val="%9."/>
      <w:lvlJc w:val="right"/>
      <w:pPr>
        <w:ind w:left="6120" w:hanging="180"/>
      </w:pPr>
    </w:lvl>
  </w:abstractNum>
  <w:abstractNum w:abstractNumId="10">
    <w:nsid w:val="58771782"/>
    <w:multiLevelType w:val="hybridMultilevel"/>
    <w:tmpl w:val="8A402BE4"/>
    <w:lvl w:ilvl="0" w:tplc="CDBC1D40">
      <w:start w:val="1"/>
      <w:numFmt w:val="bullet"/>
      <w:pStyle w:val="ListParagraphleveltwo"/>
      <w:lvlText w:val="o"/>
      <w:lvlJc w:val="left"/>
      <w:pPr>
        <w:ind w:left="1080" w:hanging="360"/>
      </w:pPr>
      <w:rPr>
        <w:rFonts w:ascii="Courier New" w:hAnsi="Courier New" w:cs="Courier New" w:hint="default"/>
      </w:rPr>
    </w:lvl>
    <w:lvl w:ilvl="1" w:tplc="8402B3E8">
      <w:start w:val="1"/>
      <w:numFmt w:val="bullet"/>
      <w:lvlText w:val="o"/>
      <w:lvlJc w:val="left"/>
      <w:pPr>
        <w:ind w:left="1800" w:hanging="360"/>
      </w:pPr>
      <w:rPr>
        <w:rFonts w:ascii="Courier New" w:hAnsi="Courier New" w:cs="Courier New" w:hint="default"/>
      </w:rPr>
    </w:lvl>
    <w:lvl w:ilvl="2" w:tplc="62FA90A4" w:tentative="1">
      <w:start w:val="1"/>
      <w:numFmt w:val="bullet"/>
      <w:lvlText w:val=""/>
      <w:lvlJc w:val="left"/>
      <w:pPr>
        <w:ind w:left="2520" w:hanging="360"/>
      </w:pPr>
      <w:rPr>
        <w:rFonts w:ascii="Wingdings" w:hAnsi="Wingdings" w:hint="default"/>
      </w:rPr>
    </w:lvl>
    <w:lvl w:ilvl="3" w:tplc="7F043CB2" w:tentative="1">
      <w:start w:val="1"/>
      <w:numFmt w:val="bullet"/>
      <w:lvlText w:val=""/>
      <w:lvlJc w:val="left"/>
      <w:pPr>
        <w:ind w:left="3240" w:hanging="360"/>
      </w:pPr>
      <w:rPr>
        <w:rFonts w:ascii="Symbol" w:hAnsi="Symbol" w:hint="default"/>
      </w:rPr>
    </w:lvl>
    <w:lvl w:ilvl="4" w:tplc="C6869946" w:tentative="1">
      <w:start w:val="1"/>
      <w:numFmt w:val="bullet"/>
      <w:lvlText w:val="o"/>
      <w:lvlJc w:val="left"/>
      <w:pPr>
        <w:ind w:left="3960" w:hanging="360"/>
      </w:pPr>
      <w:rPr>
        <w:rFonts w:ascii="Courier New" w:hAnsi="Courier New" w:cs="Courier New" w:hint="default"/>
      </w:rPr>
    </w:lvl>
    <w:lvl w:ilvl="5" w:tplc="7D7EE2EE" w:tentative="1">
      <w:start w:val="1"/>
      <w:numFmt w:val="bullet"/>
      <w:lvlText w:val=""/>
      <w:lvlJc w:val="left"/>
      <w:pPr>
        <w:ind w:left="4680" w:hanging="360"/>
      </w:pPr>
      <w:rPr>
        <w:rFonts w:ascii="Wingdings" w:hAnsi="Wingdings" w:hint="default"/>
      </w:rPr>
    </w:lvl>
    <w:lvl w:ilvl="6" w:tplc="77F8F736" w:tentative="1">
      <w:start w:val="1"/>
      <w:numFmt w:val="bullet"/>
      <w:lvlText w:val=""/>
      <w:lvlJc w:val="left"/>
      <w:pPr>
        <w:ind w:left="5400" w:hanging="360"/>
      </w:pPr>
      <w:rPr>
        <w:rFonts w:ascii="Symbol" w:hAnsi="Symbol" w:hint="default"/>
      </w:rPr>
    </w:lvl>
    <w:lvl w:ilvl="7" w:tplc="718A1636" w:tentative="1">
      <w:start w:val="1"/>
      <w:numFmt w:val="bullet"/>
      <w:lvlText w:val="o"/>
      <w:lvlJc w:val="left"/>
      <w:pPr>
        <w:ind w:left="6120" w:hanging="360"/>
      </w:pPr>
      <w:rPr>
        <w:rFonts w:ascii="Courier New" w:hAnsi="Courier New" w:cs="Courier New" w:hint="default"/>
      </w:rPr>
    </w:lvl>
    <w:lvl w:ilvl="8" w:tplc="837A600A" w:tentative="1">
      <w:start w:val="1"/>
      <w:numFmt w:val="bullet"/>
      <w:lvlText w:val=""/>
      <w:lvlJc w:val="left"/>
      <w:pPr>
        <w:ind w:left="6840" w:hanging="360"/>
      </w:pPr>
      <w:rPr>
        <w:rFonts w:ascii="Wingdings" w:hAnsi="Wingdings" w:hint="default"/>
      </w:rPr>
    </w:lvl>
  </w:abstractNum>
  <w:abstractNum w:abstractNumId="11">
    <w:nsid w:val="6D814402"/>
    <w:multiLevelType w:val="hybridMultilevel"/>
    <w:tmpl w:val="84E6E6B0"/>
    <w:lvl w:ilvl="0" w:tplc="073E4196">
      <w:start w:val="1"/>
      <w:numFmt w:val="bullet"/>
      <w:lvlText w:val="o"/>
      <w:lvlJc w:val="left"/>
      <w:pPr>
        <w:ind w:left="7560" w:hanging="360"/>
      </w:pPr>
      <w:rPr>
        <w:rFonts w:ascii="Courier New" w:hAnsi="Courier New" w:cs="Courier New" w:hint="default"/>
      </w:rPr>
    </w:lvl>
    <w:lvl w:ilvl="1" w:tplc="84AC5440">
      <w:start w:val="1"/>
      <w:numFmt w:val="bullet"/>
      <w:lvlText w:val="o"/>
      <w:lvlJc w:val="left"/>
      <w:pPr>
        <w:ind w:left="8280" w:hanging="360"/>
      </w:pPr>
      <w:rPr>
        <w:rFonts w:ascii="Courier New" w:hAnsi="Courier New" w:cs="Courier New" w:hint="default"/>
      </w:rPr>
    </w:lvl>
    <w:lvl w:ilvl="2" w:tplc="7FAC799C">
      <w:start w:val="1"/>
      <w:numFmt w:val="bullet"/>
      <w:lvlText w:val=""/>
      <w:lvlJc w:val="left"/>
      <w:pPr>
        <w:ind w:left="9000" w:hanging="360"/>
      </w:pPr>
      <w:rPr>
        <w:rFonts w:ascii="Wingdings" w:hAnsi="Wingdings" w:hint="default"/>
      </w:rPr>
    </w:lvl>
    <w:lvl w:ilvl="3" w:tplc="F80C867C">
      <w:start w:val="1"/>
      <w:numFmt w:val="bullet"/>
      <w:lvlText w:val=""/>
      <w:lvlJc w:val="left"/>
      <w:pPr>
        <w:ind w:left="9720" w:hanging="360"/>
      </w:pPr>
      <w:rPr>
        <w:rFonts w:ascii="Symbol" w:hAnsi="Symbol" w:hint="default"/>
      </w:rPr>
    </w:lvl>
    <w:lvl w:ilvl="4" w:tplc="A83A2FBA">
      <w:start w:val="1"/>
      <w:numFmt w:val="bullet"/>
      <w:lvlText w:val="o"/>
      <w:lvlJc w:val="left"/>
      <w:pPr>
        <w:ind w:left="10440" w:hanging="360"/>
      </w:pPr>
      <w:rPr>
        <w:rFonts w:ascii="Courier New" w:hAnsi="Courier New" w:cs="Courier New" w:hint="default"/>
      </w:rPr>
    </w:lvl>
    <w:lvl w:ilvl="5" w:tplc="7A34B338">
      <w:start w:val="1"/>
      <w:numFmt w:val="bullet"/>
      <w:lvlText w:val=""/>
      <w:lvlJc w:val="left"/>
      <w:pPr>
        <w:ind w:left="11160" w:hanging="360"/>
      </w:pPr>
      <w:rPr>
        <w:rFonts w:ascii="Wingdings" w:hAnsi="Wingdings" w:hint="default"/>
      </w:rPr>
    </w:lvl>
    <w:lvl w:ilvl="6" w:tplc="1188CEA2">
      <w:start w:val="1"/>
      <w:numFmt w:val="bullet"/>
      <w:lvlText w:val=""/>
      <w:lvlJc w:val="left"/>
      <w:pPr>
        <w:ind w:left="11880" w:hanging="360"/>
      </w:pPr>
      <w:rPr>
        <w:rFonts w:ascii="Symbol" w:hAnsi="Symbol" w:hint="default"/>
      </w:rPr>
    </w:lvl>
    <w:lvl w:ilvl="7" w:tplc="DB84021C">
      <w:start w:val="1"/>
      <w:numFmt w:val="bullet"/>
      <w:lvlText w:val="o"/>
      <w:lvlJc w:val="left"/>
      <w:pPr>
        <w:ind w:left="12600" w:hanging="360"/>
      </w:pPr>
      <w:rPr>
        <w:rFonts w:ascii="Courier New" w:hAnsi="Courier New" w:cs="Courier New" w:hint="default"/>
      </w:rPr>
    </w:lvl>
    <w:lvl w:ilvl="8" w:tplc="4EE29BCC">
      <w:start w:val="1"/>
      <w:numFmt w:val="bullet"/>
      <w:lvlText w:val=""/>
      <w:lvlJc w:val="left"/>
      <w:pPr>
        <w:ind w:left="1332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8"/>
  </w:num>
  <w:num w:numId="6">
    <w:abstractNumId w:val="3"/>
  </w:num>
  <w:num w:numId="7">
    <w:abstractNumId w:val="7"/>
  </w:num>
  <w:num w:numId="8">
    <w:abstractNumId w:val="10"/>
  </w:num>
  <w:num w:numId="9">
    <w:abstractNumId w:val="2"/>
  </w:num>
  <w:num w:numId="10">
    <w:abstractNumId w:val="6"/>
  </w:num>
  <w:num w:numId="11">
    <w:abstractNumId w:val="11"/>
  </w:num>
  <w:num w:numId="12">
    <w:abstractNumId w:val="5"/>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493496"/>
    <w:rsid w:val="000237D5"/>
    <w:rsid w:val="00023EC2"/>
    <w:rsid w:val="00045770"/>
    <w:rsid w:val="000C13A9"/>
    <w:rsid w:val="000F7706"/>
    <w:rsid w:val="0012009C"/>
    <w:rsid w:val="001305B2"/>
    <w:rsid w:val="001836EE"/>
    <w:rsid w:val="001F1186"/>
    <w:rsid w:val="00314E2C"/>
    <w:rsid w:val="00380DF4"/>
    <w:rsid w:val="0038770B"/>
    <w:rsid w:val="003B5A6E"/>
    <w:rsid w:val="003B7507"/>
    <w:rsid w:val="003C050D"/>
    <w:rsid w:val="004447FD"/>
    <w:rsid w:val="00452691"/>
    <w:rsid w:val="00493496"/>
    <w:rsid w:val="004E632D"/>
    <w:rsid w:val="00552A51"/>
    <w:rsid w:val="00553602"/>
    <w:rsid w:val="00576260"/>
    <w:rsid w:val="005E2CFC"/>
    <w:rsid w:val="00674AC4"/>
    <w:rsid w:val="0071628B"/>
    <w:rsid w:val="0073578B"/>
    <w:rsid w:val="007418A0"/>
    <w:rsid w:val="007A664D"/>
    <w:rsid w:val="007D4B9F"/>
    <w:rsid w:val="00892EC6"/>
    <w:rsid w:val="008B2DE6"/>
    <w:rsid w:val="009B3A91"/>
    <w:rsid w:val="00B76213"/>
    <w:rsid w:val="00B8188E"/>
    <w:rsid w:val="00BE4304"/>
    <w:rsid w:val="00C678B3"/>
    <w:rsid w:val="00CC2D44"/>
    <w:rsid w:val="00CD58EB"/>
    <w:rsid w:val="00D700D6"/>
    <w:rsid w:val="00D836E4"/>
    <w:rsid w:val="00DC1E7E"/>
    <w:rsid w:val="00DE0DB5"/>
    <w:rsid w:val="00DF41E9"/>
    <w:rsid w:val="00E65DE7"/>
    <w:rsid w:val="00EB146C"/>
    <w:rsid w:val="00F20B86"/>
    <w:rsid w:val="00FA1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2D"/>
    <w:pPr>
      <w:spacing w:before="120" w:after="180" w:line="280" w:lineRule="atLeast"/>
    </w:pPr>
    <w:rPr>
      <w:rFonts w:eastAsia="Times New Roman"/>
      <w:spacing w:val="4"/>
      <w:sz w:val="24"/>
      <w:szCs w:val="24"/>
      <w:lang w:eastAsia="en-AU"/>
    </w:rPr>
  </w:style>
  <w:style w:type="paragraph" w:styleId="Heading1">
    <w:name w:val="heading 1"/>
    <w:basedOn w:val="Normal"/>
    <w:next w:val="Normal"/>
    <w:link w:val="Heading1Char"/>
    <w:uiPriority w:val="9"/>
    <w:qFormat/>
    <w:rsid w:val="00C12B98"/>
    <w:pPr>
      <w:spacing w:before="360" w:after="120" w:line="240" w:lineRule="auto"/>
      <w:contextualSpacing/>
      <w:outlineLvl w:val="0"/>
    </w:pPr>
    <w:rPr>
      <w:rFonts w:ascii="Georgia" w:hAnsi="Georgia"/>
      <w:bCs/>
      <w:color w:val="275D38"/>
      <w:sz w:val="36"/>
      <w:szCs w:val="28"/>
    </w:rPr>
  </w:style>
  <w:style w:type="paragraph" w:styleId="Heading2">
    <w:name w:val="heading 2"/>
    <w:basedOn w:val="Normal"/>
    <w:next w:val="Normal"/>
    <w:link w:val="Heading2Char"/>
    <w:uiPriority w:val="9"/>
    <w:unhideWhenUsed/>
    <w:qFormat/>
    <w:rsid w:val="00C12B98"/>
    <w:pPr>
      <w:spacing w:before="240" w:after="120" w:line="240" w:lineRule="auto"/>
      <w:outlineLvl w:val="1"/>
    </w:pPr>
    <w:rPr>
      <w:rFonts w:ascii="Georgia" w:hAnsi="Georgia"/>
      <w:bCs/>
      <w:color w:val="275D38"/>
      <w:sz w:val="32"/>
      <w:szCs w:val="26"/>
    </w:rPr>
  </w:style>
  <w:style w:type="paragraph" w:styleId="Heading3">
    <w:name w:val="heading 3"/>
    <w:basedOn w:val="Normal"/>
    <w:next w:val="Normal"/>
    <w:link w:val="Heading3Char"/>
    <w:uiPriority w:val="9"/>
    <w:unhideWhenUsed/>
    <w:qFormat/>
    <w:rsid w:val="00990993"/>
    <w:pPr>
      <w:spacing w:before="200" w:after="0" w:line="271" w:lineRule="auto"/>
      <w:outlineLvl w:val="2"/>
    </w:pPr>
    <w:rPr>
      <w:rFonts w:ascii="Georgia" w:hAnsi="Georgia"/>
      <w:bCs/>
      <w:sz w:val="28"/>
    </w:rPr>
  </w:style>
  <w:style w:type="paragraph" w:styleId="Heading4">
    <w:name w:val="heading 4"/>
    <w:basedOn w:val="Normal"/>
    <w:next w:val="Normal"/>
    <w:link w:val="Heading4Char"/>
    <w:uiPriority w:val="9"/>
    <w:unhideWhenUsed/>
    <w:qFormat/>
    <w:rsid w:val="00990993"/>
    <w:pPr>
      <w:spacing w:before="200" w:after="0"/>
      <w:outlineLvl w:val="3"/>
    </w:pPr>
    <w:rPr>
      <w:b/>
      <w:bCs/>
      <w:iCs/>
    </w:rPr>
  </w:style>
  <w:style w:type="paragraph" w:styleId="Heading5">
    <w:name w:val="heading 5"/>
    <w:basedOn w:val="Normal"/>
    <w:next w:val="Normal"/>
    <w:link w:val="Heading5Char"/>
    <w:uiPriority w:val="9"/>
    <w:unhideWhenUsed/>
    <w:qFormat/>
    <w:rsid w:val="0054713E"/>
    <w:pPr>
      <w:spacing w:before="200" w:after="0"/>
      <w:outlineLvl w:val="4"/>
    </w:pPr>
    <w:rPr>
      <w:bCs/>
    </w:rPr>
  </w:style>
  <w:style w:type="paragraph" w:styleId="Heading6">
    <w:name w:val="heading 6"/>
    <w:basedOn w:val="Normal"/>
    <w:next w:val="Normal"/>
    <w:link w:val="Heading6Char"/>
    <w:uiPriority w:val="9"/>
    <w:unhideWhenUsed/>
    <w:qFormat/>
    <w:rsid w:val="0054713E"/>
    <w:pPr>
      <w:spacing w:after="0" w:line="271" w:lineRule="auto"/>
      <w:outlineLvl w:val="5"/>
    </w:pPr>
    <w:rPr>
      <w:bCs/>
      <w:iCs/>
    </w:rPr>
  </w:style>
  <w:style w:type="paragraph" w:styleId="Heading7">
    <w:name w:val="heading 7"/>
    <w:basedOn w:val="Normal"/>
    <w:next w:val="Normal"/>
    <w:link w:val="Heading7Char"/>
    <w:uiPriority w:val="9"/>
    <w:unhideWhenUsed/>
    <w:qFormat/>
    <w:rsid w:val="0054713E"/>
    <w:pPr>
      <w:spacing w:after="0"/>
      <w:outlineLvl w:val="6"/>
    </w:pPr>
    <w:rPr>
      <w:iCs/>
    </w:rPr>
  </w:style>
  <w:style w:type="paragraph" w:styleId="Heading8">
    <w:name w:val="heading 8"/>
    <w:basedOn w:val="Normal"/>
    <w:next w:val="Normal"/>
    <w:link w:val="Heading8Char"/>
    <w:uiPriority w:val="9"/>
    <w:unhideWhenUsed/>
    <w:qFormat/>
    <w:rsid w:val="004B54CA"/>
    <w:pPr>
      <w:spacing w:after="0"/>
      <w:outlineLvl w:val="7"/>
    </w:pPr>
    <w:rPr>
      <w:szCs w:val="20"/>
    </w:rPr>
  </w:style>
  <w:style w:type="paragraph" w:styleId="Heading9">
    <w:name w:val="heading 9"/>
    <w:basedOn w:val="Normal"/>
    <w:next w:val="Normal"/>
    <w:link w:val="Heading9Char"/>
    <w:uiPriority w:val="9"/>
    <w:unhideWhenUsed/>
    <w:qFormat/>
    <w:rsid w:val="0054713E"/>
    <w:pPr>
      <w:spacing w:after="0"/>
      <w:outlineLvl w:val="8"/>
    </w:pPr>
    <w:rPr>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B98"/>
    <w:rPr>
      <w:rFonts w:ascii="Georgia" w:hAnsi="Georgia"/>
      <w:bCs/>
      <w:color w:val="275D38"/>
      <w:spacing w:val="4"/>
      <w:sz w:val="36"/>
      <w:szCs w:val="28"/>
      <w:lang w:eastAsia="en-AU"/>
    </w:rPr>
  </w:style>
  <w:style w:type="character" w:customStyle="1" w:styleId="Heading2Char">
    <w:name w:val="Heading 2 Char"/>
    <w:basedOn w:val="DefaultParagraphFont"/>
    <w:link w:val="Heading2"/>
    <w:uiPriority w:val="9"/>
    <w:rsid w:val="00C12B98"/>
    <w:rPr>
      <w:rFonts w:ascii="Georgia" w:hAnsi="Georgia"/>
      <w:bCs/>
      <w:color w:val="275D3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90993"/>
    <w:rPr>
      <w:rFonts w:ascii="Georgia" w:hAnsi="Georgia"/>
      <w:bCs/>
      <w:spacing w:val="4"/>
      <w:sz w:val="28"/>
      <w:szCs w:val="24"/>
      <w:lang w:eastAsia="en-AU"/>
    </w:rPr>
  </w:style>
  <w:style w:type="character" w:customStyle="1" w:styleId="Heading4Char">
    <w:name w:val="Heading 4 Char"/>
    <w:basedOn w:val="DefaultParagraphFont"/>
    <w:link w:val="Heading4"/>
    <w:uiPriority w:val="9"/>
    <w:rsid w:val="00990993"/>
    <w:rPr>
      <w:rFonts w:ascii="Arial" w:hAnsi="Arial"/>
      <w:b/>
      <w:bCs/>
      <w:iCs/>
      <w:spacing w:val="4"/>
      <w:sz w:val="24"/>
      <w:szCs w:val="24"/>
      <w:lang w:eastAsia="en-AU"/>
    </w:rPr>
  </w:style>
  <w:style w:type="character" w:customStyle="1" w:styleId="Heading5Char">
    <w:name w:val="Heading 5 Char"/>
    <w:basedOn w:val="DefaultParagraphFont"/>
    <w:link w:val="Heading5"/>
    <w:uiPriority w:val="9"/>
    <w:rsid w:val="0054713E"/>
    <w:rPr>
      <w:rFonts w:ascii="Arial" w:hAnsi="Arial"/>
      <w:bCs/>
      <w:szCs w:val="24"/>
      <w:lang w:eastAsia="en-AU"/>
    </w:rPr>
  </w:style>
  <w:style w:type="character" w:customStyle="1" w:styleId="Heading6Char">
    <w:name w:val="Heading 6 Char"/>
    <w:basedOn w:val="DefaultParagraphFont"/>
    <w:link w:val="Heading6"/>
    <w:uiPriority w:val="9"/>
    <w:rsid w:val="0054713E"/>
    <w:rPr>
      <w:rFonts w:ascii="Arial" w:hAnsi="Arial"/>
      <w:bCs/>
      <w:iCs/>
      <w:szCs w:val="24"/>
      <w:lang w:eastAsia="en-AU"/>
    </w:rPr>
  </w:style>
  <w:style w:type="character" w:customStyle="1" w:styleId="Heading7Char">
    <w:name w:val="Heading 7 Char"/>
    <w:basedOn w:val="DefaultParagraphFont"/>
    <w:link w:val="Heading7"/>
    <w:uiPriority w:val="9"/>
    <w:rsid w:val="0054713E"/>
    <w:rPr>
      <w:rFonts w:ascii="Arial" w:hAnsi="Arial"/>
      <w:iCs/>
      <w:szCs w:val="24"/>
      <w:lang w:eastAsia="en-AU"/>
    </w:rPr>
  </w:style>
  <w:style w:type="character" w:customStyle="1" w:styleId="Heading8Char">
    <w:name w:val="Heading 8 Char"/>
    <w:basedOn w:val="DefaultParagraphFont"/>
    <w:link w:val="Heading8"/>
    <w:uiPriority w:val="9"/>
    <w:rsid w:val="004B54CA"/>
    <w:rPr>
      <w:rFonts w:ascii="Arial" w:hAnsi="Arial"/>
      <w:sz w:val="20"/>
      <w:szCs w:val="20"/>
    </w:rPr>
  </w:style>
  <w:style w:type="character" w:customStyle="1" w:styleId="Heading9Char">
    <w:name w:val="Heading 9 Char"/>
    <w:basedOn w:val="DefaultParagraphFont"/>
    <w:link w:val="Heading9"/>
    <w:uiPriority w:val="9"/>
    <w:rsid w:val="0054713E"/>
    <w:rPr>
      <w:rFonts w:ascii="Arial" w:hAnsi="Arial"/>
      <w:iCs/>
      <w:spacing w:val="5"/>
      <w:szCs w:val="20"/>
      <w:lang w:eastAsia="en-AU"/>
    </w:rPr>
  </w:style>
  <w:style w:type="paragraph" w:styleId="Title">
    <w:name w:val="Title"/>
    <w:basedOn w:val="Normal"/>
    <w:next w:val="Normal"/>
    <w:link w:val="TitleChar"/>
    <w:uiPriority w:val="10"/>
    <w:qFormat/>
    <w:rsid w:val="00C12B98"/>
    <w:pPr>
      <w:spacing w:before="1440" w:line="240" w:lineRule="auto"/>
      <w:contextualSpacing/>
    </w:pPr>
    <w:rPr>
      <w:rFonts w:ascii="Georgia" w:hAnsi="Georgia"/>
      <w:color w:val="275D38"/>
      <w:spacing w:val="5"/>
      <w:sz w:val="72"/>
      <w:szCs w:val="52"/>
    </w:rPr>
  </w:style>
  <w:style w:type="character" w:customStyle="1" w:styleId="TitleChar">
    <w:name w:val="Title Char"/>
    <w:basedOn w:val="DefaultParagraphFont"/>
    <w:link w:val="Title"/>
    <w:uiPriority w:val="10"/>
    <w:rsid w:val="00C12B98"/>
    <w:rPr>
      <w:rFonts w:ascii="Georgia" w:hAnsi="Georgia"/>
      <w:color w:val="275D38"/>
      <w:spacing w:val="5"/>
      <w:sz w:val="72"/>
      <w:szCs w:val="52"/>
      <w:lang w:eastAsia="en-AU"/>
    </w:rPr>
  </w:style>
  <w:style w:type="paragraph" w:styleId="Subtitle">
    <w:name w:val="Subtitle"/>
    <w:basedOn w:val="Normal"/>
    <w:next w:val="Normal"/>
    <w:link w:val="SubtitleChar"/>
    <w:uiPriority w:val="11"/>
    <w:qFormat/>
    <w:rsid w:val="001F512D"/>
    <w:pPr>
      <w:spacing w:before="240" w:after="600" w:line="240" w:lineRule="auto"/>
    </w:pPr>
    <w:rPr>
      <w:rFonts w:ascii="Georgia" w:hAnsi="Georgia"/>
      <w:iCs/>
      <w:spacing w:val="6"/>
      <w:sz w:val="36"/>
    </w:rPr>
  </w:style>
  <w:style w:type="character" w:customStyle="1" w:styleId="SubtitleChar">
    <w:name w:val="Subtitle Char"/>
    <w:basedOn w:val="DefaultParagraphFont"/>
    <w:link w:val="Subtitle"/>
    <w:uiPriority w:val="11"/>
    <w:rsid w:val="001F512D"/>
    <w:rPr>
      <w:rFonts w:ascii="Georgia" w:hAnsi="Georgia"/>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il"/>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link w:val="CaptionChar"/>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5F02AA"/>
    <w:pPr>
      <w:pBdr>
        <w:bottom w:val="single" w:sz="18" w:space="1" w:color="275D38"/>
      </w:pBdr>
      <w:tabs>
        <w:tab w:val="center" w:pos="4513"/>
        <w:tab w:val="right" w:pos="9026"/>
      </w:tabs>
      <w:spacing w:before="600" w:after="720" w:line="240" w:lineRule="auto"/>
      <w:jc w:val="right"/>
    </w:pPr>
    <w:rPr>
      <w:rFonts w:ascii="Georgia" w:hAnsi="Georgia"/>
      <w:color w:val="275D38" w:themeColor="accent4"/>
    </w:rPr>
  </w:style>
  <w:style w:type="character" w:customStyle="1" w:styleId="HeaderChar">
    <w:name w:val="Header Char"/>
    <w:basedOn w:val="DefaultParagraphFont"/>
    <w:link w:val="Header"/>
    <w:uiPriority w:val="99"/>
    <w:rsid w:val="005F02AA"/>
    <w:rPr>
      <w:rFonts w:ascii="Georgia" w:eastAsia="Times New Roman" w:hAnsi="Georgia" w:cs="Times New Roman"/>
      <w:color w:val="275D38" w:themeColor="accent4"/>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C12B98"/>
    <w:pPr>
      <w:spacing w:before="120" w:after="120" w:line="280" w:lineRule="atLeast"/>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C12B98"/>
    <w:rPr>
      <w:rFonts w:ascii="Georgia" w:eastAsia="Times New Roman" w:hAnsi="Georgia" w:cs="Arial"/>
      <w:bCs/>
      <w:iCs/>
      <w:color w:val="275D3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291F19"/>
    <w:pPr>
      <w:tabs>
        <w:tab w:val="right" w:leader="dot" w:pos="9016"/>
      </w:tabs>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C12B98"/>
    <w:pPr>
      <w:spacing w:after="0" w:line="240" w:lineRule="auto"/>
    </w:pPr>
    <w:rPr>
      <w:sz w:val="24"/>
    </w:rPr>
    <w:tblPr>
      <w:tblStyleRowBandSize w:val="1"/>
      <w:tblInd w:w="113" w:type="dxa"/>
    </w:tblPr>
    <w:tblStylePr w:type="firstRow">
      <w:rPr>
        <w:rFonts w:ascii="Arial" w:hAnsi="Arial"/>
        <w:b/>
        <w:color w:val="FFFFFF" w:themeColor="background1"/>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2530E1"/>
    <w:pPr>
      <w:spacing w:after="0" w:line="240" w:lineRule="auto"/>
    </w:pPr>
    <w:rPr>
      <w:sz w:val="24"/>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auto"/>
          <w:left w:val="nil"/>
          <w:bottom w:val="single" w:sz="4" w:space="0" w:color="auto"/>
          <w:right w:val="nil"/>
          <w:insideH w:val="nil"/>
          <w:insideV w:val="nil"/>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basedOn w:val="DefaultParagraphFont"/>
    <w:link w:val="ListParagraph"/>
    <w:uiPriority w:val="34"/>
    <w:rsid w:val="00120BD8"/>
    <w:rPr>
      <w:rFonts w:ascii="Arial" w:eastAsia="Times New Roman" w:hAnsi="Arial" w:cs="Times New Roman"/>
      <w:spacing w:val="4"/>
      <w:sz w:val="24"/>
      <w:szCs w:val="24"/>
      <w:lang w:eastAsia="en-AU"/>
    </w:rPr>
  </w:style>
  <w:style w:type="paragraph" w:customStyle="1" w:styleId="ReportBulletPoint">
    <w:name w:val="Report Bullet Point"/>
    <w:basedOn w:val="ReportBodyText"/>
    <w:next w:val="ReportBodyText"/>
    <w:link w:val="ReportBulletPointChar"/>
    <w:qFormat/>
    <w:rsid w:val="00120BD8"/>
    <w:pPr>
      <w:numPr>
        <w:numId w:val="5"/>
      </w:numPr>
    </w:pPr>
  </w:style>
  <w:style w:type="paragraph" w:customStyle="1" w:styleId="ReportBodyText">
    <w:name w:val="Report Body Text"/>
    <w:link w:val="ReportBodyTextChar"/>
    <w:autoRedefine/>
    <w:rsid w:val="00120BD8"/>
    <w:pPr>
      <w:spacing w:before="80" w:after="80" w:line="288" w:lineRule="auto"/>
    </w:pPr>
    <w:rPr>
      <w:rFonts w:ascii="Verdana" w:eastAsia="Times New Roman" w:hAnsi="Verdana"/>
      <w:sz w:val="20"/>
      <w:szCs w:val="20"/>
    </w:rPr>
  </w:style>
  <w:style w:type="character" w:customStyle="1" w:styleId="ReportBulletPointChar">
    <w:name w:val="Report Bullet Point Char"/>
    <w:basedOn w:val="DefaultParagraphFont"/>
    <w:link w:val="ReportBulletPoint"/>
    <w:rsid w:val="00120BD8"/>
    <w:rPr>
      <w:rFonts w:ascii="Verdana" w:eastAsia="Times New Roman" w:hAnsi="Verdana"/>
      <w:sz w:val="20"/>
      <w:szCs w:val="20"/>
    </w:rPr>
  </w:style>
  <w:style w:type="paragraph" w:customStyle="1" w:styleId="ReportMetadata">
    <w:name w:val="Report Metadata"/>
    <w:basedOn w:val="ReportBodyText"/>
    <w:link w:val="ReportMetadataChar"/>
    <w:qFormat/>
    <w:rsid w:val="00120BD8"/>
    <w:pPr>
      <w:spacing w:before="60" w:after="60"/>
    </w:pPr>
    <w:rPr>
      <w:rFonts w:cs="Arial"/>
      <w:sz w:val="12"/>
      <w:szCs w:val="12"/>
      <w:lang w:eastAsia="en-AU"/>
    </w:rPr>
  </w:style>
  <w:style w:type="character" w:customStyle="1" w:styleId="ReportBodyTextChar">
    <w:name w:val="Report Body Text Char"/>
    <w:basedOn w:val="DefaultParagraphFont"/>
    <w:link w:val="ReportBodyText"/>
    <w:rsid w:val="00120BD8"/>
    <w:rPr>
      <w:rFonts w:ascii="Verdana" w:eastAsia="Times New Roman" w:hAnsi="Verdana" w:cs="Times New Roman"/>
      <w:sz w:val="20"/>
      <w:szCs w:val="20"/>
    </w:rPr>
  </w:style>
  <w:style w:type="paragraph" w:customStyle="1" w:styleId="ReportMeasureTitle">
    <w:name w:val="Report Measure Title"/>
    <w:basedOn w:val="ReportBodyText"/>
    <w:next w:val="ReportBodyText"/>
    <w:link w:val="ReportMeasureTitleChar"/>
    <w:qFormat/>
    <w:rsid w:val="00120BD8"/>
    <w:pPr>
      <w:keepNext/>
      <w:keepLines/>
    </w:pPr>
  </w:style>
  <w:style w:type="character" w:customStyle="1" w:styleId="ReportMetadataChar">
    <w:name w:val="Report Metadata Char"/>
    <w:basedOn w:val="ReportBodyTextChar"/>
    <w:link w:val="ReportMetadata"/>
    <w:rsid w:val="00120BD8"/>
    <w:rPr>
      <w:rFonts w:ascii="Verdana" w:eastAsia="Times New Roman" w:hAnsi="Verdana" w:cs="Arial"/>
      <w:sz w:val="12"/>
      <w:szCs w:val="12"/>
      <w:lang w:eastAsia="en-AU"/>
    </w:rPr>
  </w:style>
  <w:style w:type="character" w:customStyle="1" w:styleId="ReportMeasureTitleChar">
    <w:name w:val="Report Measure Title Char"/>
    <w:basedOn w:val="ReportBodyTextChar"/>
    <w:link w:val="ReportMeasureTitle"/>
    <w:rsid w:val="00120BD8"/>
    <w:rPr>
      <w:rFonts w:ascii="Verdana" w:eastAsia="Times New Roman" w:hAnsi="Verdana" w:cs="Times New Roman"/>
      <w:sz w:val="20"/>
      <w:szCs w:val="20"/>
    </w:rPr>
  </w:style>
  <w:style w:type="paragraph" w:customStyle="1" w:styleId="OverviewSectionHeadings">
    <w:name w:val="Overview Section Headings"/>
    <w:next w:val="ReportBodyText"/>
    <w:link w:val="OverviewSectionHeadingsChar"/>
    <w:qFormat/>
    <w:rsid w:val="00120BD8"/>
    <w:pPr>
      <w:keepNext/>
      <w:keepLines/>
      <w:numPr>
        <w:numId w:val="4"/>
      </w:numPr>
      <w:spacing w:before="200" w:after="320" w:line="240" w:lineRule="auto"/>
      <w:outlineLvl w:val="1"/>
    </w:pPr>
    <w:rPr>
      <w:rFonts w:cs="Arial"/>
      <w:b/>
      <w:bCs/>
      <w:caps/>
      <w:sz w:val="24"/>
    </w:rPr>
  </w:style>
  <w:style w:type="paragraph" w:customStyle="1" w:styleId="Bullet2">
    <w:name w:val="Bullet 2"/>
    <w:basedOn w:val="ListParagraph"/>
    <w:qFormat/>
    <w:rsid w:val="00120BD8"/>
    <w:pPr>
      <w:numPr>
        <w:ilvl w:val="1"/>
        <w:numId w:val="6"/>
      </w:numPr>
      <w:tabs>
        <w:tab w:val="num" w:pos="360"/>
      </w:tabs>
      <w:spacing w:before="0" w:after="200" w:line="276" w:lineRule="auto"/>
      <w:ind w:left="720" w:firstLine="0"/>
    </w:pPr>
    <w:rPr>
      <w:spacing w:val="0"/>
      <w:sz w:val="22"/>
      <w:szCs w:val="22"/>
    </w:rPr>
  </w:style>
  <w:style w:type="character" w:customStyle="1" w:styleId="OverviewSectionHeadingsChar">
    <w:name w:val="Overview Section Headings Char"/>
    <w:basedOn w:val="DefaultParagraphFont"/>
    <w:link w:val="OverviewSectionHeadings"/>
    <w:rsid w:val="00120BD8"/>
    <w:rPr>
      <w:rFonts w:cs="Arial"/>
      <w:b/>
      <w:bCs/>
      <w:caps/>
      <w:sz w:val="24"/>
    </w:rPr>
  </w:style>
  <w:style w:type="character" w:customStyle="1" w:styleId="Bullet1linkedChar">
    <w:name w:val="Bullet 1 (linked) Char"/>
    <w:basedOn w:val="DefaultParagraphFont"/>
    <w:link w:val="Bullet1linked"/>
    <w:locked/>
    <w:rsid w:val="00120BD8"/>
    <w:rPr>
      <w:rFonts w:ascii="Times New Roman" w:eastAsia="Times New Roman" w:hAnsi="Times New Roman"/>
      <w:sz w:val="24"/>
      <w:szCs w:val="20"/>
      <w:lang w:eastAsia="en-AU"/>
    </w:rPr>
  </w:style>
  <w:style w:type="paragraph" w:customStyle="1" w:styleId="Bullet1linked">
    <w:name w:val="Bullet 1 (linked)"/>
    <w:basedOn w:val="Normal"/>
    <w:link w:val="Bullet1linkedChar"/>
    <w:qFormat/>
    <w:rsid w:val="00120BD8"/>
    <w:pPr>
      <w:numPr>
        <w:numId w:val="6"/>
      </w:numPr>
      <w:spacing w:after="200" w:line="240" w:lineRule="auto"/>
    </w:pPr>
    <w:rPr>
      <w:rFonts w:ascii="Times New Roman" w:hAnsi="Times New Roman"/>
      <w:spacing w:val="0"/>
      <w:szCs w:val="20"/>
    </w:rPr>
  </w:style>
  <w:style w:type="paragraph" w:styleId="BlockText">
    <w:name w:val="Block Text"/>
    <w:basedOn w:val="Normal"/>
    <w:uiPriority w:val="99"/>
    <w:semiHidden/>
    <w:unhideWhenUsed/>
    <w:rsid w:val="00120BD8"/>
    <w:pPr>
      <w:pBdr>
        <w:top w:val="single" w:sz="2" w:space="10" w:color="275D38" w:themeColor="accent1" w:shadow="1" w:frame="1"/>
        <w:left w:val="single" w:sz="2" w:space="10" w:color="275D38" w:themeColor="accent1" w:shadow="1" w:frame="1"/>
        <w:bottom w:val="single" w:sz="2" w:space="10" w:color="275D38" w:themeColor="accent1" w:shadow="1" w:frame="1"/>
        <w:right w:val="single" w:sz="2" w:space="10" w:color="275D38" w:themeColor="accent1" w:shadow="1" w:frame="1"/>
      </w:pBdr>
      <w:spacing w:after="0" w:line="240" w:lineRule="auto"/>
      <w:ind w:left="1152" w:right="1152"/>
    </w:pPr>
    <w:rPr>
      <w:i/>
      <w:iCs/>
      <w:color w:val="275D38" w:themeColor="accent1"/>
      <w:spacing w:val="0"/>
      <w:szCs w:val="22"/>
      <w:lang w:eastAsia="en-US"/>
    </w:rPr>
  </w:style>
  <w:style w:type="character" w:styleId="CommentReference">
    <w:name w:val="annotation reference"/>
    <w:basedOn w:val="DefaultParagraphFont"/>
    <w:uiPriority w:val="99"/>
    <w:unhideWhenUsed/>
    <w:rsid w:val="00120BD8"/>
    <w:rPr>
      <w:sz w:val="16"/>
      <w:szCs w:val="16"/>
    </w:rPr>
  </w:style>
  <w:style w:type="paragraph" w:styleId="CommentText">
    <w:name w:val="annotation text"/>
    <w:basedOn w:val="Normal"/>
    <w:link w:val="CommentTextChar"/>
    <w:uiPriority w:val="99"/>
    <w:unhideWhenUsed/>
    <w:rsid w:val="00120BD8"/>
    <w:pPr>
      <w:spacing w:before="0" w:after="200" w:line="240" w:lineRule="auto"/>
    </w:pPr>
    <w:rPr>
      <w:rFonts w:eastAsia="Arial"/>
      <w:spacing w:val="0"/>
      <w:sz w:val="22"/>
      <w:szCs w:val="20"/>
      <w:lang w:eastAsia="en-US"/>
    </w:rPr>
  </w:style>
  <w:style w:type="character" w:customStyle="1" w:styleId="CommentTextChar">
    <w:name w:val="Comment Text Char"/>
    <w:basedOn w:val="DefaultParagraphFont"/>
    <w:link w:val="CommentText"/>
    <w:uiPriority w:val="99"/>
    <w:rsid w:val="00120BD8"/>
    <w:rPr>
      <w:szCs w:val="20"/>
    </w:rPr>
  </w:style>
  <w:style w:type="paragraph" w:styleId="CommentSubject">
    <w:name w:val="annotation subject"/>
    <w:basedOn w:val="CommentText"/>
    <w:next w:val="CommentText"/>
    <w:link w:val="CommentSubjectChar"/>
    <w:uiPriority w:val="99"/>
    <w:semiHidden/>
    <w:unhideWhenUsed/>
    <w:rsid w:val="00120BD8"/>
    <w:rPr>
      <w:b/>
      <w:bCs/>
    </w:rPr>
  </w:style>
  <w:style w:type="character" w:customStyle="1" w:styleId="CommentSubjectChar">
    <w:name w:val="Comment Subject Char"/>
    <w:basedOn w:val="CommentTextChar"/>
    <w:link w:val="CommentSubject"/>
    <w:uiPriority w:val="99"/>
    <w:semiHidden/>
    <w:rsid w:val="00120BD8"/>
    <w:rPr>
      <w:b/>
      <w:bCs/>
      <w:szCs w:val="20"/>
    </w:rPr>
  </w:style>
  <w:style w:type="paragraph" w:styleId="Revision">
    <w:name w:val="Revision"/>
    <w:hidden/>
    <w:uiPriority w:val="99"/>
    <w:semiHidden/>
    <w:rsid w:val="00120BD8"/>
    <w:pPr>
      <w:spacing w:after="0" w:line="240" w:lineRule="auto"/>
    </w:pPr>
  </w:style>
  <w:style w:type="paragraph" w:styleId="FootnoteText">
    <w:name w:val="footnote text"/>
    <w:basedOn w:val="Normal"/>
    <w:link w:val="FootnoteTextChar"/>
    <w:uiPriority w:val="99"/>
    <w:semiHidden/>
    <w:unhideWhenUsed/>
    <w:rsid w:val="00120BD8"/>
    <w:pPr>
      <w:spacing w:before="0" w:after="0" w:line="240" w:lineRule="auto"/>
    </w:pPr>
    <w:rPr>
      <w:rFonts w:eastAsia="Arial"/>
      <w:spacing w:val="0"/>
      <w:sz w:val="22"/>
      <w:szCs w:val="20"/>
      <w:lang w:eastAsia="en-US"/>
    </w:rPr>
  </w:style>
  <w:style w:type="character" w:customStyle="1" w:styleId="FootnoteTextChar">
    <w:name w:val="Footnote Text Char"/>
    <w:basedOn w:val="DefaultParagraphFont"/>
    <w:link w:val="FootnoteText"/>
    <w:uiPriority w:val="99"/>
    <w:semiHidden/>
    <w:rsid w:val="00120BD8"/>
    <w:rPr>
      <w:szCs w:val="20"/>
    </w:rPr>
  </w:style>
  <w:style w:type="character" w:styleId="FootnoteReference">
    <w:name w:val="footnote reference"/>
    <w:basedOn w:val="DefaultParagraphFont"/>
    <w:uiPriority w:val="99"/>
    <w:semiHidden/>
    <w:unhideWhenUsed/>
    <w:rsid w:val="00120BD8"/>
    <w:rPr>
      <w:vertAlign w:val="superscript"/>
    </w:rPr>
  </w:style>
  <w:style w:type="paragraph" w:customStyle="1" w:styleId="Default">
    <w:name w:val="Default"/>
    <w:rsid w:val="00120BD8"/>
    <w:pPr>
      <w:autoSpaceDE w:val="0"/>
      <w:autoSpaceDN w:val="0"/>
      <w:adjustRightInd w:val="0"/>
      <w:spacing w:after="0" w:line="240" w:lineRule="auto"/>
    </w:pPr>
    <w:rPr>
      <w:rFonts w:ascii="Calibri" w:hAnsi="Calibri" w:cs="Calibri"/>
      <w:color w:val="000000"/>
      <w:sz w:val="24"/>
      <w:szCs w:val="24"/>
    </w:rPr>
  </w:style>
  <w:style w:type="paragraph" w:customStyle="1" w:styleId="Documenttitle3">
    <w:name w:val="Document title 3"/>
    <w:basedOn w:val="Caption"/>
    <w:link w:val="Documenttitle3Char"/>
    <w:qFormat/>
    <w:rsid w:val="00120BD8"/>
    <w:pPr>
      <w:keepNext/>
      <w:spacing w:before="360" w:after="240" w:line="276" w:lineRule="auto"/>
      <w:outlineLvl w:val="2"/>
    </w:pPr>
    <w:rPr>
      <w:color w:val="BB9D67"/>
      <w:sz w:val="28"/>
      <w:szCs w:val="28"/>
    </w:rPr>
  </w:style>
  <w:style w:type="paragraph" w:customStyle="1" w:styleId="Tableheading">
    <w:name w:val="Table heading"/>
    <w:basedOn w:val="Caption"/>
    <w:link w:val="TableheadingChar"/>
    <w:qFormat/>
    <w:rsid w:val="00120BD8"/>
    <w:pPr>
      <w:keepNext/>
      <w:spacing w:before="240" w:after="200" w:line="276" w:lineRule="auto"/>
    </w:pPr>
    <w:rPr>
      <w:sz w:val="20"/>
      <w:szCs w:val="20"/>
    </w:rPr>
  </w:style>
  <w:style w:type="character" w:customStyle="1" w:styleId="CaptionChar">
    <w:name w:val="Caption Char"/>
    <w:aliases w:val="table title Char"/>
    <w:basedOn w:val="DefaultParagraphFont"/>
    <w:link w:val="Caption"/>
    <w:uiPriority w:val="35"/>
    <w:rsid w:val="00120BD8"/>
    <w:rPr>
      <w:rFonts w:ascii="Arial" w:eastAsia="Times New Roman" w:hAnsi="Arial" w:cs="Times New Roman"/>
      <w:b/>
      <w:bCs/>
      <w:spacing w:val="4"/>
      <w:sz w:val="24"/>
      <w:szCs w:val="18"/>
      <w:lang w:eastAsia="en-AU"/>
    </w:rPr>
  </w:style>
  <w:style w:type="character" w:customStyle="1" w:styleId="Documenttitle3Char">
    <w:name w:val="Document title 3 Char"/>
    <w:basedOn w:val="CaptionChar"/>
    <w:link w:val="Documenttitle3"/>
    <w:rsid w:val="00120BD8"/>
    <w:rPr>
      <w:rFonts w:ascii="Arial" w:eastAsia="Times New Roman" w:hAnsi="Arial" w:cs="Times New Roman"/>
      <w:b/>
      <w:bCs/>
      <w:color w:val="BB9D67"/>
      <w:spacing w:val="4"/>
      <w:sz w:val="28"/>
      <w:szCs w:val="28"/>
      <w:lang w:eastAsia="en-AU"/>
    </w:rPr>
  </w:style>
  <w:style w:type="paragraph" w:customStyle="1" w:styleId="Documenttitle4">
    <w:name w:val="Document title 4"/>
    <w:next w:val="Normal"/>
    <w:link w:val="Documenttitle4Char"/>
    <w:autoRedefine/>
    <w:qFormat/>
    <w:rsid w:val="00120BD8"/>
    <w:pPr>
      <w:spacing w:before="240" w:after="120" w:line="240" w:lineRule="auto"/>
      <w:contextualSpacing/>
      <w:outlineLvl w:val="3"/>
    </w:pPr>
    <w:rPr>
      <w:rFonts w:ascii="Verdana" w:eastAsia="Times New Roman" w:hAnsi="Verdana" w:cs="Arial"/>
      <w:b/>
      <w:color w:val="FF0000"/>
      <w:kern w:val="20"/>
      <w:sz w:val="24"/>
      <w:szCs w:val="24"/>
      <w:lang w:val="en-US" w:eastAsia="ja-JP"/>
    </w:rPr>
  </w:style>
  <w:style w:type="character" w:customStyle="1" w:styleId="TableheadingChar">
    <w:name w:val="Table heading Char"/>
    <w:basedOn w:val="CaptionChar"/>
    <w:link w:val="Tableheading"/>
    <w:rsid w:val="00120BD8"/>
    <w:rPr>
      <w:rFonts w:ascii="Arial" w:eastAsia="Times New Roman" w:hAnsi="Arial" w:cs="Times New Roman"/>
      <w:b/>
      <w:bCs/>
      <w:spacing w:val="4"/>
      <w:sz w:val="20"/>
      <w:szCs w:val="20"/>
      <w:lang w:eastAsia="en-AU"/>
    </w:rPr>
  </w:style>
  <w:style w:type="character" w:customStyle="1" w:styleId="Documenttitle4Char">
    <w:name w:val="Document title 4 Char"/>
    <w:basedOn w:val="DefaultParagraphFont"/>
    <w:link w:val="Documenttitle4"/>
    <w:rsid w:val="00120BD8"/>
    <w:rPr>
      <w:rFonts w:ascii="Verdana" w:eastAsia="Times New Roman" w:hAnsi="Verdana" w:cs="Arial"/>
      <w:b/>
      <w:color w:val="FF0000"/>
      <w:kern w:val="20"/>
      <w:sz w:val="24"/>
      <w:szCs w:val="24"/>
      <w:lang w:val="en-US" w:eastAsia="ja-JP"/>
    </w:rPr>
  </w:style>
  <w:style w:type="paragraph" w:customStyle="1" w:styleId="ListParagraphleveltwo">
    <w:name w:val="List Paragraph level two"/>
    <w:basedOn w:val="ListParagraph"/>
    <w:link w:val="ListParagraphleveltwoChar"/>
    <w:qFormat/>
    <w:rsid w:val="00120BD8"/>
    <w:pPr>
      <w:numPr>
        <w:numId w:val="8"/>
      </w:numPr>
      <w:spacing w:before="0" w:after="200" w:line="276" w:lineRule="auto"/>
    </w:pPr>
  </w:style>
  <w:style w:type="table" w:styleId="ColorfulList-Accent2">
    <w:name w:val="Colorful List Accent 2"/>
    <w:basedOn w:val="TableNormal"/>
    <w:uiPriority w:val="72"/>
    <w:rsid w:val="00120BD8"/>
    <w:pPr>
      <w:spacing w:after="0" w:line="240" w:lineRule="auto"/>
    </w:pPr>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character" w:customStyle="1" w:styleId="ListParagraphleveltwoChar">
    <w:name w:val="List Paragraph level two Char"/>
    <w:basedOn w:val="ListParagraphChar"/>
    <w:link w:val="ListParagraphleveltwo"/>
    <w:rsid w:val="00120BD8"/>
    <w:rPr>
      <w:rFonts w:ascii="Arial" w:eastAsia="Times New Roman" w:hAnsi="Arial" w:cs="Times New Roman"/>
      <w:spacing w:val="4"/>
      <w:sz w:val="24"/>
      <w:szCs w:val="24"/>
      <w:lang w:eastAsia="en-AU"/>
    </w:rPr>
  </w:style>
  <w:style w:type="table" w:styleId="LightList-Accent2">
    <w:name w:val="Light List Accent 2"/>
    <w:basedOn w:val="TableNormal"/>
    <w:uiPriority w:val="61"/>
    <w:rsid w:val="00120BD8"/>
    <w:pPr>
      <w:spacing w:after="0" w:line="240" w:lineRule="auto"/>
    </w:pPr>
    <w:rPr>
      <w:rFonts w:ascii="Verdana" w:hAnsi="Verdana"/>
      <w:sz w:val="18"/>
    </w:rPr>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tblBorders>
    </w:tblPr>
    <w:tcPr>
      <w:shd w:val="clear" w:color="auto" w:fill="F2F9E7" w:themeFill="accent6" w:themeFillTint="33"/>
      <w:vAlign w:val="center"/>
    </w:tcPr>
    <w:tblStylePr w:type="firstRow">
      <w:pPr>
        <w:spacing w:before="0" w:after="0" w:line="240" w:lineRule="auto"/>
      </w:pPr>
      <w:rPr>
        <w:b/>
        <w:bCs/>
        <w:color w:val="FFFFFF" w:themeColor="background1"/>
      </w:rPr>
      <w:tblPr/>
      <w:tcPr>
        <w:shd w:val="clear" w:color="auto" w:fill="78BE20" w:themeFill="accent2"/>
      </w:tcPr>
    </w:tblStylePr>
    <w:tblStylePr w:type="lastRow">
      <w:pPr>
        <w:spacing w:before="0" w:after="0" w:line="240" w:lineRule="auto"/>
      </w:pPr>
      <w:rPr>
        <w:b/>
        <w:bCs/>
      </w:rPr>
      <w:tblPr/>
      <w:tcPr>
        <w:tcBorders>
          <w:top w:val="double" w:sz="6" w:space="0" w:color="78BE20" w:themeColor="accent2"/>
          <w:left w:val="single" w:sz="8" w:space="0" w:color="78BE20" w:themeColor="accent2"/>
          <w:bottom w:val="single" w:sz="8" w:space="0" w:color="78BE20" w:themeColor="accent2"/>
          <w:right w:val="single" w:sz="8" w:space="0" w:color="78BE20" w:themeColor="accent2"/>
        </w:tcBorders>
      </w:tcPr>
    </w:tblStylePr>
    <w:tblStylePr w:type="firstCol">
      <w:rPr>
        <w:b/>
        <w:bCs/>
      </w:rPr>
    </w:tblStylePr>
    <w:tblStylePr w:type="lastCol">
      <w:rPr>
        <w:b/>
        <w:bCs/>
      </w:rPr>
    </w:tblStylePr>
    <w:tblStylePr w:type="band1Vert">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tblStylePr w:type="band1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style>
  <w:style w:type="table" w:styleId="LightList-Accent3">
    <w:name w:val="Light List Accent 3"/>
    <w:basedOn w:val="TableNormal"/>
    <w:uiPriority w:val="61"/>
    <w:rsid w:val="00120BD8"/>
    <w:pPr>
      <w:spacing w:after="0" w:line="240" w:lineRule="auto"/>
    </w:pPr>
    <w:tblPr>
      <w:tblStyleRowBandSize w:val="1"/>
      <w:tblStyleColBandSize w:val="1"/>
      <w:tblBorders>
        <w:top w:val="single" w:sz="8" w:space="0" w:color="C2E189" w:themeColor="accent3"/>
        <w:left w:val="single" w:sz="8" w:space="0" w:color="C2E189" w:themeColor="accent3"/>
        <w:bottom w:val="single" w:sz="8" w:space="0" w:color="C2E189" w:themeColor="accent3"/>
        <w:right w:val="single" w:sz="8" w:space="0" w:color="C2E189" w:themeColor="accent3"/>
      </w:tblBorders>
    </w:tblPr>
    <w:tblStylePr w:type="firstRow">
      <w:pPr>
        <w:spacing w:before="0" w:after="0" w:line="240" w:lineRule="auto"/>
      </w:pPr>
      <w:rPr>
        <w:b/>
        <w:bCs/>
        <w:color w:val="FFFFFF" w:themeColor="background1"/>
      </w:rPr>
      <w:tblPr/>
      <w:tcPr>
        <w:shd w:val="clear" w:color="auto" w:fill="C2E189" w:themeFill="accent3"/>
      </w:tcPr>
    </w:tblStylePr>
    <w:tblStylePr w:type="lastRow">
      <w:pPr>
        <w:spacing w:before="0" w:after="0" w:line="240" w:lineRule="auto"/>
      </w:pPr>
      <w:rPr>
        <w:b/>
        <w:bCs/>
      </w:rPr>
      <w:tblPr/>
      <w:tcPr>
        <w:tcBorders>
          <w:top w:val="double" w:sz="6" w:space="0" w:color="C2E189" w:themeColor="accent3"/>
          <w:left w:val="single" w:sz="8" w:space="0" w:color="C2E189" w:themeColor="accent3"/>
          <w:bottom w:val="single" w:sz="8" w:space="0" w:color="C2E189" w:themeColor="accent3"/>
          <w:right w:val="single" w:sz="8" w:space="0" w:color="C2E189" w:themeColor="accent3"/>
        </w:tcBorders>
      </w:tcPr>
    </w:tblStylePr>
    <w:tblStylePr w:type="firstCol">
      <w:rPr>
        <w:b/>
        <w:bCs/>
      </w:rPr>
    </w:tblStylePr>
    <w:tblStylePr w:type="lastCol">
      <w:rPr>
        <w:b/>
        <w:bCs/>
      </w:rPr>
    </w:tblStylePr>
    <w:tblStylePr w:type="band1Vert">
      <w:tblPr/>
      <w:tcPr>
        <w:tcBorders>
          <w:top w:val="single" w:sz="8" w:space="0" w:color="C2E189" w:themeColor="accent3"/>
          <w:left w:val="single" w:sz="8" w:space="0" w:color="C2E189" w:themeColor="accent3"/>
          <w:bottom w:val="single" w:sz="8" w:space="0" w:color="C2E189" w:themeColor="accent3"/>
          <w:right w:val="single" w:sz="8" w:space="0" w:color="C2E189" w:themeColor="accent3"/>
        </w:tcBorders>
      </w:tcPr>
    </w:tblStylePr>
    <w:tblStylePr w:type="band1Horz">
      <w:tblPr/>
      <w:tcPr>
        <w:tcBorders>
          <w:top w:val="single" w:sz="8" w:space="0" w:color="C2E189" w:themeColor="accent3"/>
          <w:left w:val="single" w:sz="8" w:space="0" w:color="C2E189" w:themeColor="accent3"/>
          <w:bottom w:val="single" w:sz="8" w:space="0" w:color="C2E189" w:themeColor="accent3"/>
          <w:right w:val="single" w:sz="8" w:space="0" w:color="C2E189" w:themeColor="accent3"/>
        </w:tcBorders>
      </w:tcPr>
    </w:tblStylePr>
  </w:style>
  <w:style w:type="paragraph" w:customStyle="1" w:styleId="Emphasis01">
    <w:name w:val="Emphasis 01"/>
    <w:basedOn w:val="Normal"/>
    <w:link w:val="Emphasis01Char"/>
    <w:qFormat/>
    <w:rsid w:val="00120BD8"/>
    <w:pPr>
      <w:spacing w:before="0" w:after="200" w:line="276" w:lineRule="auto"/>
    </w:pPr>
    <w:rPr>
      <w:rFonts w:eastAsia="Arial"/>
      <w:i/>
      <w:spacing w:val="0"/>
      <w:sz w:val="22"/>
      <w:szCs w:val="22"/>
    </w:rPr>
  </w:style>
  <w:style w:type="paragraph" w:customStyle="1" w:styleId="IntenseEmphasis01">
    <w:name w:val="Intense Emphasis 01"/>
    <w:basedOn w:val="Emphasis01"/>
    <w:link w:val="IntenseEmphasis01Char"/>
    <w:qFormat/>
    <w:rsid w:val="00120BD8"/>
    <w:rPr>
      <w:b/>
    </w:rPr>
  </w:style>
  <w:style w:type="character" w:customStyle="1" w:styleId="Emphasis01Char">
    <w:name w:val="Emphasis 01 Char"/>
    <w:basedOn w:val="DefaultParagraphFont"/>
    <w:link w:val="Emphasis01"/>
    <w:rsid w:val="00120BD8"/>
    <w:rPr>
      <w:i/>
      <w:lang w:eastAsia="en-AU"/>
    </w:rPr>
  </w:style>
  <w:style w:type="character" w:customStyle="1" w:styleId="IntenseEmphasis01Char">
    <w:name w:val="Intense Emphasis 01 Char"/>
    <w:basedOn w:val="Emphasis01Char"/>
    <w:link w:val="IntenseEmphasis01"/>
    <w:rsid w:val="00120BD8"/>
    <w:rPr>
      <w:b/>
      <w:i/>
      <w:lang w:eastAsia="en-AU"/>
    </w:rPr>
  </w:style>
  <w:style w:type="paragraph" w:customStyle="1" w:styleId="Reference">
    <w:name w:val="Reference"/>
    <w:basedOn w:val="Normal"/>
    <w:link w:val="ReferenceChar"/>
    <w:qFormat/>
    <w:rsid w:val="00120BD8"/>
    <w:pPr>
      <w:spacing w:after="200" w:line="276" w:lineRule="auto"/>
    </w:pPr>
    <w:rPr>
      <w:rFonts w:eastAsia="Arial"/>
      <w:i/>
      <w:spacing w:val="0"/>
      <w:sz w:val="18"/>
      <w:szCs w:val="18"/>
      <w:lang w:eastAsia="en-US"/>
    </w:rPr>
  </w:style>
  <w:style w:type="character" w:customStyle="1" w:styleId="ReferenceChar">
    <w:name w:val="Reference Char"/>
    <w:basedOn w:val="DefaultParagraphFont"/>
    <w:link w:val="Reference"/>
    <w:rsid w:val="00120BD8"/>
    <w:rPr>
      <w:i/>
      <w:sz w:val="18"/>
      <w:szCs w:val="18"/>
    </w:rPr>
  </w:style>
  <w:style w:type="paragraph" w:styleId="Quote">
    <w:name w:val="Quote"/>
    <w:basedOn w:val="Normal"/>
    <w:next w:val="Normal"/>
    <w:link w:val="QuoteChar"/>
    <w:uiPriority w:val="29"/>
    <w:qFormat/>
    <w:rsid w:val="00120BD8"/>
    <w:pPr>
      <w:spacing w:before="200" w:after="0" w:line="276" w:lineRule="auto"/>
      <w:ind w:left="360" w:right="360"/>
    </w:pPr>
    <w:rPr>
      <w:rFonts w:eastAsia="Arial"/>
      <w:i/>
      <w:iCs/>
      <w:spacing w:val="0"/>
      <w:sz w:val="22"/>
      <w:szCs w:val="22"/>
      <w:lang w:eastAsia="en-US"/>
    </w:rPr>
  </w:style>
  <w:style w:type="character" w:customStyle="1" w:styleId="QuoteChar">
    <w:name w:val="Quote Char"/>
    <w:basedOn w:val="DefaultParagraphFont"/>
    <w:link w:val="Quote"/>
    <w:uiPriority w:val="29"/>
    <w:rsid w:val="00120BD8"/>
    <w:rPr>
      <w:i/>
      <w:iCs/>
    </w:rPr>
  </w:style>
  <w:style w:type="paragraph" w:styleId="IntenseQuote">
    <w:name w:val="Intense Quote"/>
    <w:basedOn w:val="Normal"/>
    <w:next w:val="Normal"/>
    <w:link w:val="IntenseQuoteChar"/>
    <w:uiPriority w:val="30"/>
    <w:qFormat/>
    <w:rsid w:val="00120BD8"/>
    <w:pPr>
      <w:pBdr>
        <w:bottom w:val="single" w:sz="4" w:space="1" w:color="auto"/>
      </w:pBdr>
      <w:spacing w:before="200" w:after="280" w:line="276" w:lineRule="auto"/>
      <w:ind w:left="1008" w:right="1152"/>
      <w:jc w:val="both"/>
    </w:pPr>
    <w:rPr>
      <w:rFonts w:eastAsia="Arial"/>
      <w:b/>
      <w:bCs/>
      <w:i/>
      <w:iCs/>
      <w:spacing w:val="0"/>
      <w:sz w:val="22"/>
      <w:szCs w:val="22"/>
      <w:lang w:eastAsia="en-US"/>
    </w:rPr>
  </w:style>
  <w:style w:type="character" w:customStyle="1" w:styleId="IntenseQuoteChar">
    <w:name w:val="Intense Quote Char"/>
    <w:basedOn w:val="DefaultParagraphFont"/>
    <w:link w:val="IntenseQuote"/>
    <w:uiPriority w:val="30"/>
    <w:rsid w:val="00120BD8"/>
    <w:rPr>
      <w:b/>
      <w:bCs/>
      <w:i/>
      <w:iCs/>
    </w:rPr>
  </w:style>
  <w:style w:type="character" w:styleId="SubtleReference">
    <w:name w:val="Subtle Reference"/>
    <w:uiPriority w:val="31"/>
    <w:qFormat/>
    <w:rsid w:val="00120BD8"/>
    <w:rPr>
      <w:smallCaps/>
    </w:rPr>
  </w:style>
  <w:style w:type="character" w:styleId="IntenseReference">
    <w:name w:val="Intense Reference"/>
    <w:uiPriority w:val="32"/>
    <w:qFormat/>
    <w:rsid w:val="00120BD8"/>
    <w:rPr>
      <w:smallCaps/>
      <w:spacing w:val="5"/>
      <w:u w:val="single"/>
    </w:rPr>
  </w:style>
  <w:style w:type="character" w:styleId="BookTitle">
    <w:name w:val="Book Title"/>
    <w:uiPriority w:val="33"/>
    <w:qFormat/>
    <w:rsid w:val="00120BD8"/>
    <w:rPr>
      <w:i/>
      <w:iCs/>
      <w:smallCaps/>
      <w:spacing w:val="5"/>
    </w:rPr>
  </w:style>
  <w:style w:type="paragraph" w:customStyle="1" w:styleId="1">
    <w:name w:val="1"/>
    <w:basedOn w:val="Normal"/>
    <w:rsid w:val="00120BD8"/>
    <w:pPr>
      <w:spacing w:before="0" w:after="0" w:line="240" w:lineRule="auto"/>
    </w:pPr>
    <w:rPr>
      <w:spacing w:val="0"/>
      <w:sz w:val="22"/>
      <w:szCs w:val="20"/>
      <w:lang w:eastAsia="en-US"/>
    </w:rPr>
  </w:style>
  <w:style w:type="paragraph" w:styleId="ListNumber">
    <w:name w:val="List Number"/>
    <w:basedOn w:val="Normal"/>
    <w:rsid w:val="00120BD8"/>
    <w:pPr>
      <w:spacing w:before="0" w:after="0" w:line="360" w:lineRule="auto"/>
    </w:pPr>
    <w:rPr>
      <w:spacing w:val="0"/>
      <w:sz w:val="28"/>
      <w:szCs w:val="20"/>
      <w:lang w:eastAsia="en-US"/>
    </w:rPr>
  </w:style>
  <w:style w:type="paragraph" w:customStyle="1" w:styleId="Backgroundtext">
    <w:name w:val="Background text"/>
    <w:basedOn w:val="Normal"/>
    <w:rsid w:val="00120BD8"/>
    <w:pPr>
      <w:spacing w:before="0" w:after="120" w:line="360" w:lineRule="auto"/>
    </w:pPr>
    <w:rPr>
      <w:rFonts w:ascii="Arial (W1)" w:eastAsia="Arial" w:hAnsi="Arial (W1)"/>
      <w:spacing w:val="0"/>
      <w:lang w:eastAsia="en-US"/>
    </w:rPr>
  </w:style>
  <w:style w:type="table" w:customStyle="1" w:styleId="LightList-Accent21">
    <w:name w:val="Light List - Accent 21"/>
    <w:basedOn w:val="TableNormal"/>
    <w:next w:val="LightList-Accent2"/>
    <w:uiPriority w:val="61"/>
    <w:rsid w:val="00120BD8"/>
    <w:pPr>
      <w:spacing w:after="0" w:line="240" w:lineRule="auto"/>
    </w:pPr>
    <w:rPr>
      <w:rFonts w:ascii="Verdana" w:hAnsi="Verdana"/>
      <w:sz w:val="18"/>
    </w:rPr>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tblBorders>
    </w:tblPr>
    <w:tcPr>
      <w:shd w:val="clear" w:color="auto" w:fill="F2F9E7" w:themeFill="accent6" w:themeFillTint="33"/>
      <w:vAlign w:val="center"/>
    </w:tcPr>
    <w:tblStylePr w:type="firstRow">
      <w:pPr>
        <w:spacing w:before="0" w:after="0" w:line="240" w:lineRule="auto"/>
      </w:pPr>
      <w:rPr>
        <w:b/>
        <w:bCs/>
        <w:color w:val="FFFFFF" w:themeColor="background1"/>
      </w:rPr>
      <w:tblPr/>
      <w:tcPr>
        <w:shd w:val="clear" w:color="auto" w:fill="78BE20" w:themeFill="accent2"/>
      </w:tcPr>
    </w:tblStylePr>
    <w:tblStylePr w:type="lastRow">
      <w:pPr>
        <w:spacing w:before="0" w:after="0" w:line="240" w:lineRule="auto"/>
      </w:pPr>
      <w:rPr>
        <w:b/>
        <w:bCs/>
      </w:rPr>
      <w:tblPr/>
      <w:tcPr>
        <w:tcBorders>
          <w:top w:val="double" w:sz="6" w:space="0" w:color="78BE20" w:themeColor="accent2"/>
          <w:left w:val="single" w:sz="8" w:space="0" w:color="78BE20" w:themeColor="accent2"/>
          <w:bottom w:val="single" w:sz="8" w:space="0" w:color="78BE20" w:themeColor="accent2"/>
          <w:right w:val="single" w:sz="8" w:space="0" w:color="78BE20" w:themeColor="accent2"/>
        </w:tcBorders>
      </w:tcPr>
    </w:tblStylePr>
    <w:tblStylePr w:type="firstCol">
      <w:rPr>
        <w:b/>
        <w:bCs/>
      </w:rPr>
    </w:tblStylePr>
    <w:tblStylePr w:type="lastCol">
      <w:rPr>
        <w:b/>
        <w:bCs/>
      </w:rPr>
    </w:tblStylePr>
    <w:tblStylePr w:type="band1Vert">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tblStylePr w:type="band1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style>
  <w:style w:type="table" w:customStyle="1" w:styleId="TableGrid1">
    <w:name w:val="Table Grid1"/>
    <w:basedOn w:val="TableNormal"/>
    <w:next w:val="TableGrid"/>
    <w:uiPriority w:val="59"/>
    <w:rsid w:val="00120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D11AF0"/>
    <w:pPr>
      <w:spacing w:after="0" w:line="240" w:lineRule="auto"/>
    </w:pPr>
    <w:rPr>
      <w:rFonts w:ascii="Verdana" w:hAnsi="Verdana"/>
      <w:sz w:val="18"/>
    </w:rPr>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tblBorders>
    </w:tblPr>
    <w:tcPr>
      <w:shd w:val="clear" w:color="auto" w:fill="F2F9E7" w:themeFill="accent6" w:themeFillTint="33"/>
      <w:vAlign w:val="center"/>
    </w:tcPr>
    <w:tblStylePr w:type="firstRow">
      <w:pPr>
        <w:spacing w:before="0" w:after="0" w:line="240" w:lineRule="auto"/>
      </w:pPr>
      <w:rPr>
        <w:b/>
        <w:bCs/>
        <w:color w:val="FFFFFF" w:themeColor="background1"/>
      </w:rPr>
      <w:tblPr/>
      <w:tcPr>
        <w:shd w:val="clear" w:color="auto" w:fill="78BE20" w:themeFill="accent2"/>
      </w:tcPr>
    </w:tblStylePr>
    <w:tblStylePr w:type="lastRow">
      <w:pPr>
        <w:spacing w:before="0" w:after="0" w:line="240" w:lineRule="auto"/>
      </w:pPr>
      <w:rPr>
        <w:b/>
        <w:bCs/>
      </w:rPr>
      <w:tblPr/>
      <w:tcPr>
        <w:tcBorders>
          <w:top w:val="double" w:sz="6" w:space="0" w:color="78BE20" w:themeColor="accent2"/>
          <w:left w:val="single" w:sz="8" w:space="0" w:color="78BE20" w:themeColor="accent2"/>
          <w:bottom w:val="single" w:sz="8" w:space="0" w:color="78BE20" w:themeColor="accent2"/>
          <w:right w:val="single" w:sz="8" w:space="0" w:color="78BE20" w:themeColor="accent2"/>
        </w:tcBorders>
      </w:tcPr>
    </w:tblStylePr>
    <w:tblStylePr w:type="firstCol">
      <w:rPr>
        <w:b/>
        <w:bCs/>
      </w:rPr>
    </w:tblStylePr>
    <w:tblStylePr w:type="lastCol">
      <w:rPr>
        <w:b/>
        <w:bCs/>
      </w:rPr>
    </w:tblStylePr>
    <w:tblStylePr w:type="band1Vert">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tblStylePr w:type="band1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style>
  <w:style w:type="paragraph" w:styleId="EndnoteText">
    <w:name w:val="endnote text"/>
    <w:basedOn w:val="Normal"/>
    <w:link w:val="EndnoteTextChar"/>
    <w:uiPriority w:val="99"/>
    <w:semiHidden/>
    <w:unhideWhenUsed/>
    <w:rsid w:val="00314E2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14E2C"/>
    <w:rPr>
      <w:rFonts w:eastAsia="Times New Roman"/>
      <w:spacing w:val="4"/>
      <w:sz w:val="20"/>
      <w:szCs w:val="20"/>
      <w:lang w:eastAsia="en-AU"/>
    </w:rPr>
  </w:style>
  <w:style w:type="character" w:styleId="EndnoteReference">
    <w:name w:val="endnote reference"/>
    <w:basedOn w:val="DefaultParagraphFont"/>
    <w:uiPriority w:val="99"/>
    <w:semiHidden/>
    <w:unhideWhenUsed/>
    <w:rsid w:val="00314E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2D"/>
    <w:pPr>
      <w:spacing w:before="120" w:after="180" w:line="280" w:lineRule="atLeast"/>
    </w:pPr>
    <w:rPr>
      <w:rFonts w:eastAsia="Times New Roman"/>
      <w:spacing w:val="4"/>
      <w:sz w:val="24"/>
      <w:szCs w:val="24"/>
      <w:lang w:eastAsia="en-AU"/>
    </w:rPr>
  </w:style>
  <w:style w:type="paragraph" w:styleId="Heading1">
    <w:name w:val="heading 1"/>
    <w:basedOn w:val="Normal"/>
    <w:next w:val="Normal"/>
    <w:link w:val="Heading1Char"/>
    <w:uiPriority w:val="9"/>
    <w:qFormat/>
    <w:rsid w:val="00C12B98"/>
    <w:pPr>
      <w:spacing w:before="360" w:after="120" w:line="240" w:lineRule="auto"/>
      <w:contextualSpacing/>
      <w:outlineLvl w:val="0"/>
    </w:pPr>
    <w:rPr>
      <w:rFonts w:ascii="Georgia" w:hAnsi="Georgia"/>
      <w:bCs/>
      <w:color w:val="275D38"/>
      <w:sz w:val="36"/>
      <w:szCs w:val="28"/>
    </w:rPr>
  </w:style>
  <w:style w:type="paragraph" w:styleId="Heading2">
    <w:name w:val="heading 2"/>
    <w:basedOn w:val="Normal"/>
    <w:next w:val="Normal"/>
    <w:link w:val="Heading2Char"/>
    <w:uiPriority w:val="9"/>
    <w:unhideWhenUsed/>
    <w:qFormat/>
    <w:rsid w:val="00C12B98"/>
    <w:pPr>
      <w:spacing w:before="240" w:after="120" w:line="240" w:lineRule="auto"/>
      <w:outlineLvl w:val="1"/>
    </w:pPr>
    <w:rPr>
      <w:rFonts w:ascii="Georgia" w:hAnsi="Georgia"/>
      <w:bCs/>
      <w:color w:val="275D38"/>
      <w:sz w:val="32"/>
      <w:szCs w:val="26"/>
    </w:rPr>
  </w:style>
  <w:style w:type="paragraph" w:styleId="Heading3">
    <w:name w:val="heading 3"/>
    <w:basedOn w:val="Normal"/>
    <w:next w:val="Normal"/>
    <w:link w:val="Heading3Char"/>
    <w:uiPriority w:val="9"/>
    <w:unhideWhenUsed/>
    <w:qFormat/>
    <w:rsid w:val="00990993"/>
    <w:pPr>
      <w:spacing w:before="200" w:after="0" w:line="271" w:lineRule="auto"/>
      <w:outlineLvl w:val="2"/>
    </w:pPr>
    <w:rPr>
      <w:rFonts w:ascii="Georgia" w:hAnsi="Georgia"/>
      <w:bCs/>
      <w:sz w:val="28"/>
    </w:rPr>
  </w:style>
  <w:style w:type="paragraph" w:styleId="Heading4">
    <w:name w:val="heading 4"/>
    <w:basedOn w:val="Normal"/>
    <w:next w:val="Normal"/>
    <w:link w:val="Heading4Char"/>
    <w:uiPriority w:val="9"/>
    <w:unhideWhenUsed/>
    <w:qFormat/>
    <w:rsid w:val="00990993"/>
    <w:pPr>
      <w:spacing w:before="200" w:after="0"/>
      <w:outlineLvl w:val="3"/>
    </w:pPr>
    <w:rPr>
      <w:b/>
      <w:bCs/>
      <w:iCs/>
    </w:rPr>
  </w:style>
  <w:style w:type="paragraph" w:styleId="Heading5">
    <w:name w:val="heading 5"/>
    <w:basedOn w:val="Normal"/>
    <w:next w:val="Normal"/>
    <w:link w:val="Heading5Char"/>
    <w:uiPriority w:val="9"/>
    <w:unhideWhenUsed/>
    <w:qFormat/>
    <w:rsid w:val="0054713E"/>
    <w:pPr>
      <w:spacing w:before="200" w:after="0"/>
      <w:outlineLvl w:val="4"/>
    </w:pPr>
    <w:rPr>
      <w:bCs/>
    </w:rPr>
  </w:style>
  <w:style w:type="paragraph" w:styleId="Heading6">
    <w:name w:val="heading 6"/>
    <w:basedOn w:val="Normal"/>
    <w:next w:val="Normal"/>
    <w:link w:val="Heading6Char"/>
    <w:uiPriority w:val="9"/>
    <w:unhideWhenUsed/>
    <w:qFormat/>
    <w:rsid w:val="0054713E"/>
    <w:pPr>
      <w:spacing w:after="0" w:line="271" w:lineRule="auto"/>
      <w:outlineLvl w:val="5"/>
    </w:pPr>
    <w:rPr>
      <w:bCs/>
      <w:iCs/>
    </w:rPr>
  </w:style>
  <w:style w:type="paragraph" w:styleId="Heading7">
    <w:name w:val="heading 7"/>
    <w:basedOn w:val="Normal"/>
    <w:next w:val="Normal"/>
    <w:link w:val="Heading7Char"/>
    <w:uiPriority w:val="9"/>
    <w:unhideWhenUsed/>
    <w:qFormat/>
    <w:rsid w:val="0054713E"/>
    <w:pPr>
      <w:spacing w:after="0"/>
      <w:outlineLvl w:val="6"/>
    </w:pPr>
    <w:rPr>
      <w:iCs/>
    </w:rPr>
  </w:style>
  <w:style w:type="paragraph" w:styleId="Heading8">
    <w:name w:val="heading 8"/>
    <w:basedOn w:val="Normal"/>
    <w:next w:val="Normal"/>
    <w:link w:val="Heading8Char"/>
    <w:uiPriority w:val="9"/>
    <w:unhideWhenUsed/>
    <w:qFormat/>
    <w:rsid w:val="004B54CA"/>
    <w:pPr>
      <w:spacing w:after="0"/>
      <w:outlineLvl w:val="7"/>
    </w:pPr>
    <w:rPr>
      <w:szCs w:val="20"/>
    </w:rPr>
  </w:style>
  <w:style w:type="paragraph" w:styleId="Heading9">
    <w:name w:val="heading 9"/>
    <w:basedOn w:val="Normal"/>
    <w:next w:val="Normal"/>
    <w:link w:val="Heading9Char"/>
    <w:uiPriority w:val="9"/>
    <w:unhideWhenUsed/>
    <w:qFormat/>
    <w:rsid w:val="0054713E"/>
    <w:pPr>
      <w:spacing w:after="0"/>
      <w:outlineLvl w:val="8"/>
    </w:pPr>
    <w:rPr>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B98"/>
    <w:rPr>
      <w:rFonts w:ascii="Georgia" w:hAnsi="Georgia"/>
      <w:bCs/>
      <w:color w:val="275D38"/>
      <w:spacing w:val="4"/>
      <w:sz w:val="36"/>
      <w:szCs w:val="28"/>
      <w:lang w:eastAsia="en-AU"/>
    </w:rPr>
  </w:style>
  <w:style w:type="character" w:customStyle="1" w:styleId="Heading2Char">
    <w:name w:val="Heading 2 Char"/>
    <w:basedOn w:val="DefaultParagraphFont"/>
    <w:link w:val="Heading2"/>
    <w:uiPriority w:val="9"/>
    <w:rsid w:val="00C12B98"/>
    <w:rPr>
      <w:rFonts w:ascii="Georgia" w:hAnsi="Georgia"/>
      <w:bCs/>
      <w:color w:val="275D3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90993"/>
    <w:rPr>
      <w:rFonts w:ascii="Georgia" w:hAnsi="Georgia"/>
      <w:bCs/>
      <w:spacing w:val="4"/>
      <w:sz w:val="28"/>
      <w:szCs w:val="24"/>
      <w:lang w:eastAsia="en-AU"/>
    </w:rPr>
  </w:style>
  <w:style w:type="character" w:customStyle="1" w:styleId="Heading4Char">
    <w:name w:val="Heading 4 Char"/>
    <w:basedOn w:val="DefaultParagraphFont"/>
    <w:link w:val="Heading4"/>
    <w:uiPriority w:val="9"/>
    <w:rsid w:val="00990993"/>
    <w:rPr>
      <w:rFonts w:ascii="Arial" w:hAnsi="Arial"/>
      <w:b/>
      <w:bCs/>
      <w:iCs/>
      <w:spacing w:val="4"/>
      <w:sz w:val="24"/>
      <w:szCs w:val="24"/>
      <w:lang w:eastAsia="en-AU"/>
    </w:rPr>
  </w:style>
  <w:style w:type="character" w:customStyle="1" w:styleId="Heading5Char">
    <w:name w:val="Heading 5 Char"/>
    <w:basedOn w:val="DefaultParagraphFont"/>
    <w:link w:val="Heading5"/>
    <w:uiPriority w:val="9"/>
    <w:rsid w:val="0054713E"/>
    <w:rPr>
      <w:rFonts w:ascii="Arial" w:hAnsi="Arial"/>
      <w:bCs/>
      <w:szCs w:val="24"/>
      <w:lang w:eastAsia="en-AU"/>
    </w:rPr>
  </w:style>
  <w:style w:type="character" w:customStyle="1" w:styleId="Heading6Char">
    <w:name w:val="Heading 6 Char"/>
    <w:basedOn w:val="DefaultParagraphFont"/>
    <w:link w:val="Heading6"/>
    <w:uiPriority w:val="9"/>
    <w:rsid w:val="0054713E"/>
    <w:rPr>
      <w:rFonts w:ascii="Arial" w:hAnsi="Arial"/>
      <w:bCs/>
      <w:iCs/>
      <w:szCs w:val="24"/>
      <w:lang w:eastAsia="en-AU"/>
    </w:rPr>
  </w:style>
  <w:style w:type="character" w:customStyle="1" w:styleId="Heading7Char">
    <w:name w:val="Heading 7 Char"/>
    <w:basedOn w:val="DefaultParagraphFont"/>
    <w:link w:val="Heading7"/>
    <w:uiPriority w:val="9"/>
    <w:rsid w:val="0054713E"/>
    <w:rPr>
      <w:rFonts w:ascii="Arial" w:hAnsi="Arial"/>
      <w:iCs/>
      <w:szCs w:val="24"/>
      <w:lang w:eastAsia="en-AU"/>
    </w:rPr>
  </w:style>
  <w:style w:type="character" w:customStyle="1" w:styleId="Heading8Char">
    <w:name w:val="Heading 8 Char"/>
    <w:basedOn w:val="DefaultParagraphFont"/>
    <w:link w:val="Heading8"/>
    <w:uiPriority w:val="9"/>
    <w:rsid w:val="004B54CA"/>
    <w:rPr>
      <w:rFonts w:ascii="Arial" w:hAnsi="Arial"/>
      <w:sz w:val="20"/>
      <w:szCs w:val="20"/>
    </w:rPr>
  </w:style>
  <w:style w:type="character" w:customStyle="1" w:styleId="Heading9Char">
    <w:name w:val="Heading 9 Char"/>
    <w:basedOn w:val="DefaultParagraphFont"/>
    <w:link w:val="Heading9"/>
    <w:uiPriority w:val="9"/>
    <w:rsid w:val="0054713E"/>
    <w:rPr>
      <w:rFonts w:ascii="Arial" w:hAnsi="Arial"/>
      <w:iCs/>
      <w:spacing w:val="5"/>
      <w:szCs w:val="20"/>
      <w:lang w:eastAsia="en-AU"/>
    </w:rPr>
  </w:style>
  <w:style w:type="paragraph" w:styleId="Title">
    <w:name w:val="Title"/>
    <w:basedOn w:val="Normal"/>
    <w:next w:val="Normal"/>
    <w:link w:val="TitleChar"/>
    <w:uiPriority w:val="10"/>
    <w:qFormat/>
    <w:rsid w:val="00C12B98"/>
    <w:pPr>
      <w:spacing w:before="1440" w:line="240" w:lineRule="auto"/>
      <w:contextualSpacing/>
    </w:pPr>
    <w:rPr>
      <w:rFonts w:ascii="Georgia" w:hAnsi="Georgia"/>
      <w:color w:val="275D38"/>
      <w:spacing w:val="5"/>
      <w:sz w:val="72"/>
      <w:szCs w:val="52"/>
    </w:rPr>
  </w:style>
  <w:style w:type="character" w:customStyle="1" w:styleId="TitleChar">
    <w:name w:val="Title Char"/>
    <w:basedOn w:val="DefaultParagraphFont"/>
    <w:link w:val="Title"/>
    <w:uiPriority w:val="10"/>
    <w:rsid w:val="00C12B98"/>
    <w:rPr>
      <w:rFonts w:ascii="Georgia" w:hAnsi="Georgia"/>
      <w:color w:val="275D38"/>
      <w:spacing w:val="5"/>
      <w:sz w:val="72"/>
      <w:szCs w:val="52"/>
      <w:lang w:eastAsia="en-AU"/>
    </w:rPr>
  </w:style>
  <w:style w:type="paragraph" w:styleId="Subtitle">
    <w:name w:val="Subtitle"/>
    <w:basedOn w:val="Normal"/>
    <w:next w:val="Normal"/>
    <w:link w:val="SubtitleChar"/>
    <w:uiPriority w:val="11"/>
    <w:qFormat/>
    <w:rsid w:val="001F512D"/>
    <w:pPr>
      <w:spacing w:before="240" w:after="600" w:line="240" w:lineRule="auto"/>
    </w:pPr>
    <w:rPr>
      <w:rFonts w:ascii="Georgia" w:hAnsi="Georgia"/>
      <w:iCs/>
      <w:spacing w:val="6"/>
      <w:sz w:val="36"/>
    </w:rPr>
  </w:style>
  <w:style w:type="character" w:customStyle="1" w:styleId="SubtitleChar">
    <w:name w:val="Subtitle Char"/>
    <w:basedOn w:val="DefaultParagraphFont"/>
    <w:link w:val="Subtitle"/>
    <w:uiPriority w:val="11"/>
    <w:rsid w:val="001F512D"/>
    <w:rPr>
      <w:rFonts w:ascii="Georgia" w:hAnsi="Georgia"/>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il"/>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link w:val="CaptionChar"/>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5F02AA"/>
    <w:pPr>
      <w:pBdr>
        <w:bottom w:val="single" w:sz="18" w:space="1" w:color="275D38"/>
      </w:pBdr>
      <w:tabs>
        <w:tab w:val="center" w:pos="4513"/>
        <w:tab w:val="right" w:pos="9026"/>
      </w:tabs>
      <w:spacing w:before="600" w:after="720" w:line="240" w:lineRule="auto"/>
      <w:jc w:val="right"/>
    </w:pPr>
    <w:rPr>
      <w:rFonts w:ascii="Georgia" w:hAnsi="Georgia"/>
      <w:color w:val="275D38" w:themeColor="accent4"/>
    </w:rPr>
  </w:style>
  <w:style w:type="character" w:customStyle="1" w:styleId="HeaderChar">
    <w:name w:val="Header Char"/>
    <w:basedOn w:val="DefaultParagraphFont"/>
    <w:link w:val="Header"/>
    <w:uiPriority w:val="99"/>
    <w:rsid w:val="005F02AA"/>
    <w:rPr>
      <w:rFonts w:ascii="Georgia" w:eastAsia="Times New Roman" w:hAnsi="Georgia" w:cs="Times New Roman"/>
      <w:color w:val="275D38" w:themeColor="accent4"/>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C12B98"/>
    <w:pPr>
      <w:spacing w:before="120" w:after="120" w:line="280" w:lineRule="atLeast"/>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C12B98"/>
    <w:rPr>
      <w:rFonts w:ascii="Georgia" w:eastAsia="Times New Roman" w:hAnsi="Georgia" w:cs="Arial"/>
      <w:bCs/>
      <w:iCs/>
      <w:color w:val="275D3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291F19"/>
    <w:pPr>
      <w:tabs>
        <w:tab w:val="right" w:leader="dot" w:pos="9016"/>
      </w:tabs>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C12B98"/>
    <w:pPr>
      <w:spacing w:after="0" w:line="240" w:lineRule="auto"/>
    </w:pPr>
    <w:rPr>
      <w:sz w:val="24"/>
    </w:rPr>
    <w:tblPr>
      <w:tblStyleRowBandSize w:val="1"/>
      <w:tblInd w:w="113" w:type="dxa"/>
    </w:tblPr>
    <w:tblStylePr w:type="firstRow">
      <w:rPr>
        <w:rFonts w:ascii="Arial" w:hAnsi="Arial"/>
        <w:b/>
        <w:color w:val="FFFFFF" w:themeColor="background1"/>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2530E1"/>
    <w:pPr>
      <w:spacing w:after="0" w:line="240" w:lineRule="auto"/>
    </w:pPr>
    <w:rPr>
      <w:sz w:val="24"/>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auto"/>
          <w:left w:val="nil"/>
          <w:bottom w:val="single" w:sz="4" w:space="0" w:color="auto"/>
          <w:right w:val="nil"/>
          <w:insideH w:val="nil"/>
          <w:insideV w:val="nil"/>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basedOn w:val="DefaultParagraphFont"/>
    <w:link w:val="ListParagraph"/>
    <w:uiPriority w:val="34"/>
    <w:rsid w:val="00120BD8"/>
    <w:rPr>
      <w:rFonts w:ascii="Arial" w:eastAsia="Times New Roman" w:hAnsi="Arial" w:cs="Times New Roman"/>
      <w:spacing w:val="4"/>
      <w:sz w:val="24"/>
      <w:szCs w:val="24"/>
      <w:lang w:eastAsia="en-AU"/>
    </w:rPr>
  </w:style>
  <w:style w:type="paragraph" w:customStyle="1" w:styleId="ReportBulletPoint">
    <w:name w:val="Report Bullet Point"/>
    <w:basedOn w:val="ReportBodyText"/>
    <w:next w:val="ReportBodyText"/>
    <w:link w:val="ReportBulletPointChar"/>
    <w:qFormat/>
    <w:rsid w:val="00120BD8"/>
    <w:pPr>
      <w:numPr>
        <w:numId w:val="5"/>
      </w:numPr>
    </w:pPr>
  </w:style>
  <w:style w:type="paragraph" w:customStyle="1" w:styleId="ReportBodyText">
    <w:name w:val="Report Body Text"/>
    <w:link w:val="ReportBodyTextChar"/>
    <w:autoRedefine/>
    <w:rsid w:val="00120BD8"/>
    <w:pPr>
      <w:spacing w:before="80" w:after="80" w:line="288" w:lineRule="auto"/>
    </w:pPr>
    <w:rPr>
      <w:rFonts w:ascii="Verdana" w:eastAsia="Times New Roman" w:hAnsi="Verdana"/>
      <w:sz w:val="20"/>
      <w:szCs w:val="20"/>
    </w:rPr>
  </w:style>
  <w:style w:type="character" w:customStyle="1" w:styleId="ReportBulletPointChar">
    <w:name w:val="Report Bullet Point Char"/>
    <w:basedOn w:val="DefaultParagraphFont"/>
    <w:link w:val="ReportBulletPoint"/>
    <w:rsid w:val="00120BD8"/>
    <w:rPr>
      <w:rFonts w:ascii="Verdana" w:eastAsia="Times New Roman" w:hAnsi="Verdana"/>
      <w:sz w:val="20"/>
      <w:szCs w:val="20"/>
    </w:rPr>
  </w:style>
  <w:style w:type="paragraph" w:customStyle="1" w:styleId="ReportMetadata">
    <w:name w:val="Report Metadata"/>
    <w:basedOn w:val="ReportBodyText"/>
    <w:link w:val="ReportMetadataChar"/>
    <w:qFormat/>
    <w:rsid w:val="00120BD8"/>
    <w:pPr>
      <w:spacing w:before="60" w:after="60"/>
    </w:pPr>
    <w:rPr>
      <w:rFonts w:cs="Arial"/>
      <w:sz w:val="12"/>
      <w:szCs w:val="12"/>
      <w:lang w:eastAsia="en-AU"/>
    </w:rPr>
  </w:style>
  <w:style w:type="character" w:customStyle="1" w:styleId="ReportBodyTextChar">
    <w:name w:val="Report Body Text Char"/>
    <w:basedOn w:val="DefaultParagraphFont"/>
    <w:link w:val="ReportBodyText"/>
    <w:rsid w:val="00120BD8"/>
    <w:rPr>
      <w:rFonts w:ascii="Verdana" w:eastAsia="Times New Roman" w:hAnsi="Verdana" w:cs="Times New Roman"/>
      <w:sz w:val="20"/>
      <w:szCs w:val="20"/>
    </w:rPr>
  </w:style>
  <w:style w:type="paragraph" w:customStyle="1" w:styleId="ReportMeasureTitle">
    <w:name w:val="Report Measure Title"/>
    <w:basedOn w:val="ReportBodyText"/>
    <w:next w:val="ReportBodyText"/>
    <w:link w:val="ReportMeasureTitleChar"/>
    <w:qFormat/>
    <w:rsid w:val="00120BD8"/>
    <w:pPr>
      <w:keepNext/>
      <w:keepLines/>
    </w:pPr>
  </w:style>
  <w:style w:type="character" w:customStyle="1" w:styleId="ReportMetadataChar">
    <w:name w:val="Report Metadata Char"/>
    <w:basedOn w:val="ReportBodyTextChar"/>
    <w:link w:val="ReportMetadata"/>
    <w:rsid w:val="00120BD8"/>
    <w:rPr>
      <w:rFonts w:ascii="Verdana" w:eastAsia="Times New Roman" w:hAnsi="Verdana" w:cs="Arial"/>
      <w:sz w:val="12"/>
      <w:szCs w:val="12"/>
      <w:lang w:eastAsia="en-AU"/>
    </w:rPr>
  </w:style>
  <w:style w:type="character" w:customStyle="1" w:styleId="ReportMeasureTitleChar">
    <w:name w:val="Report Measure Title Char"/>
    <w:basedOn w:val="ReportBodyTextChar"/>
    <w:link w:val="ReportMeasureTitle"/>
    <w:rsid w:val="00120BD8"/>
    <w:rPr>
      <w:rFonts w:ascii="Verdana" w:eastAsia="Times New Roman" w:hAnsi="Verdana" w:cs="Times New Roman"/>
      <w:sz w:val="20"/>
      <w:szCs w:val="20"/>
    </w:rPr>
  </w:style>
  <w:style w:type="paragraph" w:customStyle="1" w:styleId="OverviewSectionHeadings">
    <w:name w:val="Overview Section Headings"/>
    <w:next w:val="ReportBodyText"/>
    <w:link w:val="OverviewSectionHeadingsChar"/>
    <w:qFormat/>
    <w:rsid w:val="00120BD8"/>
    <w:pPr>
      <w:keepNext/>
      <w:keepLines/>
      <w:numPr>
        <w:numId w:val="4"/>
      </w:numPr>
      <w:spacing w:before="200" w:after="320" w:line="240" w:lineRule="auto"/>
      <w:outlineLvl w:val="1"/>
    </w:pPr>
    <w:rPr>
      <w:rFonts w:cs="Arial"/>
      <w:b/>
      <w:bCs/>
      <w:caps/>
      <w:sz w:val="24"/>
    </w:rPr>
  </w:style>
  <w:style w:type="paragraph" w:customStyle="1" w:styleId="Bullet2">
    <w:name w:val="Bullet 2"/>
    <w:basedOn w:val="ListParagraph"/>
    <w:qFormat/>
    <w:rsid w:val="00120BD8"/>
    <w:pPr>
      <w:numPr>
        <w:ilvl w:val="1"/>
        <w:numId w:val="6"/>
      </w:numPr>
      <w:tabs>
        <w:tab w:val="num" w:pos="360"/>
      </w:tabs>
      <w:spacing w:before="0" w:after="200" w:line="276" w:lineRule="auto"/>
      <w:ind w:left="720" w:firstLine="0"/>
    </w:pPr>
    <w:rPr>
      <w:spacing w:val="0"/>
      <w:sz w:val="22"/>
      <w:szCs w:val="22"/>
    </w:rPr>
  </w:style>
  <w:style w:type="character" w:customStyle="1" w:styleId="OverviewSectionHeadingsChar">
    <w:name w:val="Overview Section Headings Char"/>
    <w:basedOn w:val="DefaultParagraphFont"/>
    <w:link w:val="OverviewSectionHeadings"/>
    <w:rsid w:val="00120BD8"/>
    <w:rPr>
      <w:rFonts w:cs="Arial"/>
      <w:b/>
      <w:bCs/>
      <w:caps/>
      <w:sz w:val="24"/>
    </w:rPr>
  </w:style>
  <w:style w:type="character" w:customStyle="1" w:styleId="Bullet1linkedChar">
    <w:name w:val="Bullet 1 (linked) Char"/>
    <w:basedOn w:val="DefaultParagraphFont"/>
    <w:link w:val="Bullet1linked"/>
    <w:locked/>
    <w:rsid w:val="00120BD8"/>
    <w:rPr>
      <w:rFonts w:ascii="Times New Roman" w:eastAsia="Times New Roman" w:hAnsi="Times New Roman"/>
      <w:sz w:val="24"/>
      <w:szCs w:val="20"/>
      <w:lang w:eastAsia="en-AU"/>
    </w:rPr>
  </w:style>
  <w:style w:type="paragraph" w:customStyle="1" w:styleId="Bullet1linked">
    <w:name w:val="Bullet 1 (linked)"/>
    <w:basedOn w:val="Normal"/>
    <w:link w:val="Bullet1linkedChar"/>
    <w:qFormat/>
    <w:rsid w:val="00120BD8"/>
    <w:pPr>
      <w:numPr>
        <w:numId w:val="6"/>
      </w:numPr>
      <w:spacing w:after="200" w:line="240" w:lineRule="auto"/>
    </w:pPr>
    <w:rPr>
      <w:rFonts w:ascii="Times New Roman" w:hAnsi="Times New Roman"/>
      <w:spacing w:val="0"/>
      <w:szCs w:val="20"/>
    </w:rPr>
  </w:style>
  <w:style w:type="paragraph" w:styleId="BlockText">
    <w:name w:val="Block Text"/>
    <w:basedOn w:val="Normal"/>
    <w:uiPriority w:val="99"/>
    <w:semiHidden/>
    <w:unhideWhenUsed/>
    <w:rsid w:val="00120BD8"/>
    <w:pPr>
      <w:pBdr>
        <w:top w:val="single" w:sz="2" w:space="10" w:color="275D38" w:themeColor="accent1" w:shadow="1" w:frame="1"/>
        <w:left w:val="single" w:sz="2" w:space="10" w:color="275D38" w:themeColor="accent1" w:shadow="1" w:frame="1"/>
        <w:bottom w:val="single" w:sz="2" w:space="10" w:color="275D38" w:themeColor="accent1" w:shadow="1" w:frame="1"/>
        <w:right w:val="single" w:sz="2" w:space="10" w:color="275D38" w:themeColor="accent1" w:shadow="1" w:frame="1"/>
      </w:pBdr>
      <w:spacing w:after="0" w:line="240" w:lineRule="auto"/>
      <w:ind w:left="1152" w:right="1152"/>
    </w:pPr>
    <w:rPr>
      <w:i/>
      <w:iCs/>
      <w:color w:val="275D38" w:themeColor="accent1"/>
      <w:spacing w:val="0"/>
      <w:szCs w:val="22"/>
      <w:lang w:eastAsia="en-US"/>
    </w:rPr>
  </w:style>
  <w:style w:type="character" w:styleId="CommentReference">
    <w:name w:val="annotation reference"/>
    <w:basedOn w:val="DefaultParagraphFont"/>
    <w:uiPriority w:val="99"/>
    <w:unhideWhenUsed/>
    <w:rsid w:val="00120BD8"/>
    <w:rPr>
      <w:sz w:val="16"/>
      <w:szCs w:val="16"/>
    </w:rPr>
  </w:style>
  <w:style w:type="paragraph" w:styleId="CommentText">
    <w:name w:val="annotation text"/>
    <w:basedOn w:val="Normal"/>
    <w:link w:val="CommentTextChar"/>
    <w:uiPriority w:val="99"/>
    <w:unhideWhenUsed/>
    <w:rsid w:val="00120BD8"/>
    <w:pPr>
      <w:spacing w:before="0" w:after="200" w:line="240" w:lineRule="auto"/>
    </w:pPr>
    <w:rPr>
      <w:rFonts w:eastAsia="Arial"/>
      <w:spacing w:val="0"/>
      <w:sz w:val="22"/>
      <w:szCs w:val="20"/>
      <w:lang w:eastAsia="en-US"/>
    </w:rPr>
  </w:style>
  <w:style w:type="character" w:customStyle="1" w:styleId="CommentTextChar">
    <w:name w:val="Comment Text Char"/>
    <w:basedOn w:val="DefaultParagraphFont"/>
    <w:link w:val="CommentText"/>
    <w:uiPriority w:val="99"/>
    <w:rsid w:val="00120BD8"/>
    <w:rPr>
      <w:szCs w:val="20"/>
    </w:rPr>
  </w:style>
  <w:style w:type="paragraph" w:styleId="CommentSubject">
    <w:name w:val="annotation subject"/>
    <w:basedOn w:val="CommentText"/>
    <w:next w:val="CommentText"/>
    <w:link w:val="CommentSubjectChar"/>
    <w:uiPriority w:val="99"/>
    <w:semiHidden/>
    <w:unhideWhenUsed/>
    <w:rsid w:val="00120BD8"/>
    <w:rPr>
      <w:b/>
      <w:bCs/>
    </w:rPr>
  </w:style>
  <w:style w:type="character" w:customStyle="1" w:styleId="CommentSubjectChar">
    <w:name w:val="Comment Subject Char"/>
    <w:basedOn w:val="CommentTextChar"/>
    <w:link w:val="CommentSubject"/>
    <w:uiPriority w:val="99"/>
    <w:semiHidden/>
    <w:rsid w:val="00120BD8"/>
    <w:rPr>
      <w:b/>
      <w:bCs/>
      <w:szCs w:val="20"/>
    </w:rPr>
  </w:style>
  <w:style w:type="paragraph" w:styleId="Revision">
    <w:name w:val="Revision"/>
    <w:hidden/>
    <w:uiPriority w:val="99"/>
    <w:semiHidden/>
    <w:rsid w:val="00120BD8"/>
    <w:pPr>
      <w:spacing w:after="0" w:line="240" w:lineRule="auto"/>
    </w:pPr>
  </w:style>
  <w:style w:type="paragraph" w:styleId="FootnoteText">
    <w:name w:val="footnote text"/>
    <w:basedOn w:val="Normal"/>
    <w:link w:val="FootnoteTextChar"/>
    <w:uiPriority w:val="99"/>
    <w:semiHidden/>
    <w:unhideWhenUsed/>
    <w:rsid w:val="00120BD8"/>
    <w:pPr>
      <w:spacing w:before="0" w:after="0" w:line="240" w:lineRule="auto"/>
    </w:pPr>
    <w:rPr>
      <w:rFonts w:eastAsia="Arial"/>
      <w:spacing w:val="0"/>
      <w:sz w:val="22"/>
      <w:szCs w:val="20"/>
      <w:lang w:eastAsia="en-US"/>
    </w:rPr>
  </w:style>
  <w:style w:type="character" w:customStyle="1" w:styleId="FootnoteTextChar">
    <w:name w:val="Footnote Text Char"/>
    <w:basedOn w:val="DefaultParagraphFont"/>
    <w:link w:val="FootnoteText"/>
    <w:uiPriority w:val="99"/>
    <w:semiHidden/>
    <w:rsid w:val="00120BD8"/>
    <w:rPr>
      <w:szCs w:val="20"/>
    </w:rPr>
  </w:style>
  <w:style w:type="character" w:styleId="FootnoteReference">
    <w:name w:val="footnote reference"/>
    <w:basedOn w:val="DefaultParagraphFont"/>
    <w:uiPriority w:val="99"/>
    <w:semiHidden/>
    <w:unhideWhenUsed/>
    <w:rsid w:val="00120BD8"/>
    <w:rPr>
      <w:vertAlign w:val="superscript"/>
    </w:rPr>
  </w:style>
  <w:style w:type="paragraph" w:customStyle="1" w:styleId="Default">
    <w:name w:val="Default"/>
    <w:rsid w:val="00120BD8"/>
    <w:pPr>
      <w:autoSpaceDE w:val="0"/>
      <w:autoSpaceDN w:val="0"/>
      <w:adjustRightInd w:val="0"/>
      <w:spacing w:after="0" w:line="240" w:lineRule="auto"/>
    </w:pPr>
    <w:rPr>
      <w:rFonts w:ascii="Calibri" w:hAnsi="Calibri" w:cs="Calibri"/>
      <w:color w:val="000000"/>
      <w:sz w:val="24"/>
      <w:szCs w:val="24"/>
    </w:rPr>
  </w:style>
  <w:style w:type="paragraph" w:customStyle="1" w:styleId="Documenttitle3">
    <w:name w:val="Document title 3"/>
    <w:basedOn w:val="Caption"/>
    <w:link w:val="Documenttitle3Char"/>
    <w:qFormat/>
    <w:rsid w:val="00120BD8"/>
    <w:pPr>
      <w:keepNext/>
      <w:spacing w:before="360" w:after="240" w:line="276" w:lineRule="auto"/>
      <w:outlineLvl w:val="2"/>
    </w:pPr>
    <w:rPr>
      <w:color w:val="BB9D67"/>
      <w:sz w:val="28"/>
      <w:szCs w:val="28"/>
    </w:rPr>
  </w:style>
  <w:style w:type="paragraph" w:customStyle="1" w:styleId="Tableheading">
    <w:name w:val="Table heading"/>
    <w:basedOn w:val="Caption"/>
    <w:link w:val="TableheadingChar"/>
    <w:qFormat/>
    <w:rsid w:val="00120BD8"/>
    <w:pPr>
      <w:keepNext/>
      <w:spacing w:before="240" w:after="200" w:line="276" w:lineRule="auto"/>
    </w:pPr>
    <w:rPr>
      <w:sz w:val="20"/>
      <w:szCs w:val="20"/>
    </w:rPr>
  </w:style>
  <w:style w:type="character" w:customStyle="1" w:styleId="CaptionChar">
    <w:name w:val="Caption Char"/>
    <w:aliases w:val="table title Char"/>
    <w:basedOn w:val="DefaultParagraphFont"/>
    <w:link w:val="Caption"/>
    <w:uiPriority w:val="35"/>
    <w:rsid w:val="00120BD8"/>
    <w:rPr>
      <w:rFonts w:ascii="Arial" w:eastAsia="Times New Roman" w:hAnsi="Arial" w:cs="Times New Roman"/>
      <w:b/>
      <w:bCs/>
      <w:spacing w:val="4"/>
      <w:sz w:val="24"/>
      <w:szCs w:val="18"/>
      <w:lang w:eastAsia="en-AU"/>
    </w:rPr>
  </w:style>
  <w:style w:type="character" w:customStyle="1" w:styleId="Documenttitle3Char">
    <w:name w:val="Document title 3 Char"/>
    <w:basedOn w:val="CaptionChar"/>
    <w:link w:val="Documenttitle3"/>
    <w:rsid w:val="00120BD8"/>
    <w:rPr>
      <w:rFonts w:ascii="Arial" w:eastAsia="Times New Roman" w:hAnsi="Arial" w:cs="Times New Roman"/>
      <w:b/>
      <w:bCs/>
      <w:color w:val="BB9D67"/>
      <w:spacing w:val="4"/>
      <w:sz w:val="28"/>
      <w:szCs w:val="28"/>
      <w:lang w:eastAsia="en-AU"/>
    </w:rPr>
  </w:style>
  <w:style w:type="paragraph" w:customStyle="1" w:styleId="Documenttitle4">
    <w:name w:val="Document title 4"/>
    <w:next w:val="Normal"/>
    <w:link w:val="Documenttitle4Char"/>
    <w:autoRedefine/>
    <w:qFormat/>
    <w:rsid w:val="00120BD8"/>
    <w:pPr>
      <w:spacing w:before="240" w:after="120" w:line="240" w:lineRule="auto"/>
      <w:contextualSpacing/>
      <w:outlineLvl w:val="3"/>
    </w:pPr>
    <w:rPr>
      <w:rFonts w:ascii="Verdana" w:eastAsia="Times New Roman" w:hAnsi="Verdana" w:cs="Arial"/>
      <w:b/>
      <w:color w:val="FF0000"/>
      <w:kern w:val="20"/>
      <w:sz w:val="24"/>
      <w:szCs w:val="24"/>
      <w:lang w:val="en-US" w:eastAsia="ja-JP"/>
    </w:rPr>
  </w:style>
  <w:style w:type="character" w:customStyle="1" w:styleId="TableheadingChar">
    <w:name w:val="Table heading Char"/>
    <w:basedOn w:val="CaptionChar"/>
    <w:link w:val="Tableheading"/>
    <w:rsid w:val="00120BD8"/>
    <w:rPr>
      <w:rFonts w:ascii="Arial" w:eastAsia="Times New Roman" w:hAnsi="Arial" w:cs="Times New Roman"/>
      <w:b/>
      <w:bCs/>
      <w:spacing w:val="4"/>
      <w:sz w:val="20"/>
      <w:szCs w:val="20"/>
      <w:lang w:eastAsia="en-AU"/>
    </w:rPr>
  </w:style>
  <w:style w:type="character" w:customStyle="1" w:styleId="Documenttitle4Char">
    <w:name w:val="Document title 4 Char"/>
    <w:basedOn w:val="DefaultParagraphFont"/>
    <w:link w:val="Documenttitle4"/>
    <w:rsid w:val="00120BD8"/>
    <w:rPr>
      <w:rFonts w:ascii="Verdana" w:eastAsia="Times New Roman" w:hAnsi="Verdana" w:cs="Arial"/>
      <w:b/>
      <w:color w:val="FF0000"/>
      <w:kern w:val="20"/>
      <w:sz w:val="24"/>
      <w:szCs w:val="24"/>
      <w:lang w:val="en-US" w:eastAsia="ja-JP"/>
    </w:rPr>
  </w:style>
  <w:style w:type="paragraph" w:customStyle="1" w:styleId="ListParagraphleveltwo">
    <w:name w:val="List Paragraph level two"/>
    <w:basedOn w:val="ListParagraph"/>
    <w:link w:val="ListParagraphleveltwoChar"/>
    <w:qFormat/>
    <w:rsid w:val="00120BD8"/>
    <w:pPr>
      <w:numPr>
        <w:numId w:val="8"/>
      </w:numPr>
      <w:spacing w:before="0" w:after="200" w:line="276" w:lineRule="auto"/>
    </w:pPr>
  </w:style>
  <w:style w:type="table" w:styleId="ColorfulList-Accent2">
    <w:name w:val="Colorful List Accent 2"/>
    <w:basedOn w:val="TableNormal"/>
    <w:uiPriority w:val="72"/>
    <w:rsid w:val="00120BD8"/>
    <w:pPr>
      <w:spacing w:after="0" w:line="240" w:lineRule="auto"/>
    </w:pPr>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character" w:customStyle="1" w:styleId="ListParagraphleveltwoChar">
    <w:name w:val="List Paragraph level two Char"/>
    <w:basedOn w:val="ListParagraphChar"/>
    <w:link w:val="ListParagraphleveltwo"/>
    <w:rsid w:val="00120BD8"/>
    <w:rPr>
      <w:rFonts w:ascii="Arial" w:eastAsia="Times New Roman" w:hAnsi="Arial" w:cs="Times New Roman"/>
      <w:spacing w:val="4"/>
      <w:sz w:val="24"/>
      <w:szCs w:val="24"/>
      <w:lang w:eastAsia="en-AU"/>
    </w:rPr>
  </w:style>
  <w:style w:type="table" w:styleId="LightList-Accent2">
    <w:name w:val="Light List Accent 2"/>
    <w:basedOn w:val="TableNormal"/>
    <w:uiPriority w:val="61"/>
    <w:rsid w:val="00120BD8"/>
    <w:pPr>
      <w:spacing w:after="0" w:line="240" w:lineRule="auto"/>
    </w:pPr>
    <w:rPr>
      <w:rFonts w:ascii="Verdana" w:hAnsi="Verdana"/>
      <w:sz w:val="18"/>
    </w:rPr>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tblBorders>
    </w:tblPr>
    <w:tcPr>
      <w:shd w:val="clear" w:color="auto" w:fill="F2F9E7" w:themeFill="accent6" w:themeFillTint="33"/>
      <w:vAlign w:val="center"/>
    </w:tcPr>
    <w:tblStylePr w:type="firstRow">
      <w:pPr>
        <w:spacing w:before="0" w:after="0" w:line="240" w:lineRule="auto"/>
      </w:pPr>
      <w:rPr>
        <w:b/>
        <w:bCs/>
        <w:color w:val="FFFFFF" w:themeColor="background1"/>
      </w:rPr>
      <w:tblPr/>
      <w:tcPr>
        <w:shd w:val="clear" w:color="auto" w:fill="78BE20" w:themeFill="accent2"/>
      </w:tcPr>
    </w:tblStylePr>
    <w:tblStylePr w:type="lastRow">
      <w:pPr>
        <w:spacing w:before="0" w:after="0" w:line="240" w:lineRule="auto"/>
      </w:pPr>
      <w:rPr>
        <w:b/>
        <w:bCs/>
      </w:rPr>
      <w:tblPr/>
      <w:tcPr>
        <w:tcBorders>
          <w:top w:val="double" w:sz="6" w:space="0" w:color="78BE20" w:themeColor="accent2"/>
          <w:left w:val="single" w:sz="8" w:space="0" w:color="78BE20" w:themeColor="accent2"/>
          <w:bottom w:val="single" w:sz="8" w:space="0" w:color="78BE20" w:themeColor="accent2"/>
          <w:right w:val="single" w:sz="8" w:space="0" w:color="78BE20" w:themeColor="accent2"/>
        </w:tcBorders>
      </w:tcPr>
    </w:tblStylePr>
    <w:tblStylePr w:type="firstCol">
      <w:rPr>
        <w:b/>
        <w:bCs/>
      </w:rPr>
    </w:tblStylePr>
    <w:tblStylePr w:type="lastCol">
      <w:rPr>
        <w:b/>
        <w:bCs/>
      </w:rPr>
    </w:tblStylePr>
    <w:tblStylePr w:type="band1Vert">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tblStylePr w:type="band1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style>
  <w:style w:type="table" w:styleId="LightList-Accent3">
    <w:name w:val="Light List Accent 3"/>
    <w:basedOn w:val="TableNormal"/>
    <w:uiPriority w:val="61"/>
    <w:rsid w:val="00120BD8"/>
    <w:pPr>
      <w:spacing w:after="0" w:line="240" w:lineRule="auto"/>
    </w:pPr>
    <w:tblPr>
      <w:tblStyleRowBandSize w:val="1"/>
      <w:tblStyleColBandSize w:val="1"/>
      <w:tblBorders>
        <w:top w:val="single" w:sz="8" w:space="0" w:color="C2E189" w:themeColor="accent3"/>
        <w:left w:val="single" w:sz="8" w:space="0" w:color="C2E189" w:themeColor="accent3"/>
        <w:bottom w:val="single" w:sz="8" w:space="0" w:color="C2E189" w:themeColor="accent3"/>
        <w:right w:val="single" w:sz="8" w:space="0" w:color="C2E189" w:themeColor="accent3"/>
      </w:tblBorders>
    </w:tblPr>
    <w:tblStylePr w:type="firstRow">
      <w:pPr>
        <w:spacing w:before="0" w:after="0" w:line="240" w:lineRule="auto"/>
      </w:pPr>
      <w:rPr>
        <w:b/>
        <w:bCs/>
        <w:color w:val="FFFFFF" w:themeColor="background1"/>
      </w:rPr>
      <w:tblPr/>
      <w:tcPr>
        <w:shd w:val="clear" w:color="auto" w:fill="C2E189" w:themeFill="accent3"/>
      </w:tcPr>
    </w:tblStylePr>
    <w:tblStylePr w:type="lastRow">
      <w:pPr>
        <w:spacing w:before="0" w:after="0" w:line="240" w:lineRule="auto"/>
      </w:pPr>
      <w:rPr>
        <w:b/>
        <w:bCs/>
      </w:rPr>
      <w:tblPr/>
      <w:tcPr>
        <w:tcBorders>
          <w:top w:val="double" w:sz="6" w:space="0" w:color="C2E189" w:themeColor="accent3"/>
          <w:left w:val="single" w:sz="8" w:space="0" w:color="C2E189" w:themeColor="accent3"/>
          <w:bottom w:val="single" w:sz="8" w:space="0" w:color="C2E189" w:themeColor="accent3"/>
          <w:right w:val="single" w:sz="8" w:space="0" w:color="C2E189" w:themeColor="accent3"/>
        </w:tcBorders>
      </w:tcPr>
    </w:tblStylePr>
    <w:tblStylePr w:type="firstCol">
      <w:rPr>
        <w:b/>
        <w:bCs/>
      </w:rPr>
    </w:tblStylePr>
    <w:tblStylePr w:type="lastCol">
      <w:rPr>
        <w:b/>
        <w:bCs/>
      </w:rPr>
    </w:tblStylePr>
    <w:tblStylePr w:type="band1Vert">
      <w:tblPr/>
      <w:tcPr>
        <w:tcBorders>
          <w:top w:val="single" w:sz="8" w:space="0" w:color="C2E189" w:themeColor="accent3"/>
          <w:left w:val="single" w:sz="8" w:space="0" w:color="C2E189" w:themeColor="accent3"/>
          <w:bottom w:val="single" w:sz="8" w:space="0" w:color="C2E189" w:themeColor="accent3"/>
          <w:right w:val="single" w:sz="8" w:space="0" w:color="C2E189" w:themeColor="accent3"/>
        </w:tcBorders>
      </w:tcPr>
    </w:tblStylePr>
    <w:tblStylePr w:type="band1Horz">
      <w:tblPr/>
      <w:tcPr>
        <w:tcBorders>
          <w:top w:val="single" w:sz="8" w:space="0" w:color="C2E189" w:themeColor="accent3"/>
          <w:left w:val="single" w:sz="8" w:space="0" w:color="C2E189" w:themeColor="accent3"/>
          <w:bottom w:val="single" w:sz="8" w:space="0" w:color="C2E189" w:themeColor="accent3"/>
          <w:right w:val="single" w:sz="8" w:space="0" w:color="C2E189" w:themeColor="accent3"/>
        </w:tcBorders>
      </w:tcPr>
    </w:tblStylePr>
  </w:style>
  <w:style w:type="paragraph" w:customStyle="1" w:styleId="Emphasis01">
    <w:name w:val="Emphasis 01"/>
    <w:basedOn w:val="Normal"/>
    <w:link w:val="Emphasis01Char"/>
    <w:qFormat/>
    <w:rsid w:val="00120BD8"/>
    <w:pPr>
      <w:spacing w:before="0" w:after="200" w:line="276" w:lineRule="auto"/>
    </w:pPr>
    <w:rPr>
      <w:rFonts w:eastAsia="Arial"/>
      <w:i/>
      <w:spacing w:val="0"/>
      <w:sz w:val="22"/>
      <w:szCs w:val="22"/>
    </w:rPr>
  </w:style>
  <w:style w:type="paragraph" w:customStyle="1" w:styleId="IntenseEmphasis01">
    <w:name w:val="Intense Emphasis 01"/>
    <w:basedOn w:val="Emphasis01"/>
    <w:link w:val="IntenseEmphasis01Char"/>
    <w:qFormat/>
    <w:rsid w:val="00120BD8"/>
    <w:rPr>
      <w:b/>
    </w:rPr>
  </w:style>
  <w:style w:type="character" w:customStyle="1" w:styleId="Emphasis01Char">
    <w:name w:val="Emphasis 01 Char"/>
    <w:basedOn w:val="DefaultParagraphFont"/>
    <w:link w:val="Emphasis01"/>
    <w:rsid w:val="00120BD8"/>
    <w:rPr>
      <w:i/>
      <w:lang w:eastAsia="en-AU"/>
    </w:rPr>
  </w:style>
  <w:style w:type="character" w:customStyle="1" w:styleId="IntenseEmphasis01Char">
    <w:name w:val="Intense Emphasis 01 Char"/>
    <w:basedOn w:val="Emphasis01Char"/>
    <w:link w:val="IntenseEmphasis01"/>
    <w:rsid w:val="00120BD8"/>
    <w:rPr>
      <w:b/>
      <w:i/>
      <w:lang w:eastAsia="en-AU"/>
    </w:rPr>
  </w:style>
  <w:style w:type="paragraph" w:customStyle="1" w:styleId="Reference">
    <w:name w:val="Reference"/>
    <w:basedOn w:val="Normal"/>
    <w:link w:val="ReferenceChar"/>
    <w:qFormat/>
    <w:rsid w:val="00120BD8"/>
    <w:pPr>
      <w:spacing w:after="200" w:line="276" w:lineRule="auto"/>
    </w:pPr>
    <w:rPr>
      <w:rFonts w:eastAsia="Arial"/>
      <w:i/>
      <w:spacing w:val="0"/>
      <w:sz w:val="18"/>
      <w:szCs w:val="18"/>
      <w:lang w:eastAsia="en-US"/>
    </w:rPr>
  </w:style>
  <w:style w:type="character" w:customStyle="1" w:styleId="ReferenceChar">
    <w:name w:val="Reference Char"/>
    <w:basedOn w:val="DefaultParagraphFont"/>
    <w:link w:val="Reference"/>
    <w:rsid w:val="00120BD8"/>
    <w:rPr>
      <w:i/>
      <w:sz w:val="18"/>
      <w:szCs w:val="18"/>
    </w:rPr>
  </w:style>
  <w:style w:type="paragraph" w:styleId="Quote">
    <w:name w:val="Quote"/>
    <w:basedOn w:val="Normal"/>
    <w:next w:val="Normal"/>
    <w:link w:val="QuoteChar"/>
    <w:uiPriority w:val="29"/>
    <w:qFormat/>
    <w:rsid w:val="00120BD8"/>
    <w:pPr>
      <w:spacing w:before="200" w:after="0" w:line="276" w:lineRule="auto"/>
      <w:ind w:left="360" w:right="360"/>
    </w:pPr>
    <w:rPr>
      <w:rFonts w:eastAsia="Arial"/>
      <w:i/>
      <w:iCs/>
      <w:spacing w:val="0"/>
      <w:sz w:val="22"/>
      <w:szCs w:val="22"/>
      <w:lang w:eastAsia="en-US"/>
    </w:rPr>
  </w:style>
  <w:style w:type="character" w:customStyle="1" w:styleId="QuoteChar">
    <w:name w:val="Quote Char"/>
    <w:basedOn w:val="DefaultParagraphFont"/>
    <w:link w:val="Quote"/>
    <w:uiPriority w:val="29"/>
    <w:rsid w:val="00120BD8"/>
    <w:rPr>
      <w:i/>
      <w:iCs/>
    </w:rPr>
  </w:style>
  <w:style w:type="paragraph" w:styleId="IntenseQuote">
    <w:name w:val="Intense Quote"/>
    <w:basedOn w:val="Normal"/>
    <w:next w:val="Normal"/>
    <w:link w:val="IntenseQuoteChar"/>
    <w:uiPriority w:val="30"/>
    <w:qFormat/>
    <w:rsid w:val="00120BD8"/>
    <w:pPr>
      <w:pBdr>
        <w:bottom w:val="single" w:sz="4" w:space="1" w:color="auto"/>
      </w:pBdr>
      <w:spacing w:before="200" w:after="280" w:line="276" w:lineRule="auto"/>
      <w:ind w:left="1008" w:right="1152"/>
      <w:jc w:val="both"/>
    </w:pPr>
    <w:rPr>
      <w:rFonts w:eastAsia="Arial"/>
      <w:b/>
      <w:bCs/>
      <w:i/>
      <w:iCs/>
      <w:spacing w:val="0"/>
      <w:sz w:val="22"/>
      <w:szCs w:val="22"/>
      <w:lang w:eastAsia="en-US"/>
    </w:rPr>
  </w:style>
  <w:style w:type="character" w:customStyle="1" w:styleId="IntenseQuoteChar">
    <w:name w:val="Intense Quote Char"/>
    <w:basedOn w:val="DefaultParagraphFont"/>
    <w:link w:val="IntenseQuote"/>
    <w:uiPriority w:val="30"/>
    <w:rsid w:val="00120BD8"/>
    <w:rPr>
      <w:b/>
      <w:bCs/>
      <w:i/>
      <w:iCs/>
    </w:rPr>
  </w:style>
  <w:style w:type="character" w:styleId="SubtleReference">
    <w:name w:val="Subtle Reference"/>
    <w:uiPriority w:val="31"/>
    <w:qFormat/>
    <w:rsid w:val="00120BD8"/>
    <w:rPr>
      <w:smallCaps/>
    </w:rPr>
  </w:style>
  <w:style w:type="character" w:styleId="IntenseReference">
    <w:name w:val="Intense Reference"/>
    <w:uiPriority w:val="32"/>
    <w:qFormat/>
    <w:rsid w:val="00120BD8"/>
    <w:rPr>
      <w:smallCaps/>
      <w:spacing w:val="5"/>
      <w:u w:val="single"/>
    </w:rPr>
  </w:style>
  <w:style w:type="character" w:styleId="BookTitle">
    <w:name w:val="Book Title"/>
    <w:uiPriority w:val="33"/>
    <w:qFormat/>
    <w:rsid w:val="00120BD8"/>
    <w:rPr>
      <w:i/>
      <w:iCs/>
      <w:smallCaps/>
      <w:spacing w:val="5"/>
    </w:rPr>
  </w:style>
  <w:style w:type="paragraph" w:customStyle="1" w:styleId="1">
    <w:name w:val="1"/>
    <w:basedOn w:val="Normal"/>
    <w:rsid w:val="00120BD8"/>
    <w:pPr>
      <w:spacing w:before="0" w:after="0" w:line="240" w:lineRule="auto"/>
    </w:pPr>
    <w:rPr>
      <w:spacing w:val="0"/>
      <w:sz w:val="22"/>
      <w:szCs w:val="20"/>
      <w:lang w:eastAsia="en-US"/>
    </w:rPr>
  </w:style>
  <w:style w:type="paragraph" w:styleId="ListNumber">
    <w:name w:val="List Number"/>
    <w:basedOn w:val="Normal"/>
    <w:rsid w:val="00120BD8"/>
    <w:pPr>
      <w:spacing w:before="0" w:after="0" w:line="360" w:lineRule="auto"/>
    </w:pPr>
    <w:rPr>
      <w:spacing w:val="0"/>
      <w:sz w:val="28"/>
      <w:szCs w:val="20"/>
      <w:lang w:eastAsia="en-US"/>
    </w:rPr>
  </w:style>
  <w:style w:type="paragraph" w:customStyle="1" w:styleId="Backgroundtext">
    <w:name w:val="Background text"/>
    <w:basedOn w:val="Normal"/>
    <w:rsid w:val="00120BD8"/>
    <w:pPr>
      <w:spacing w:before="0" w:after="120" w:line="360" w:lineRule="auto"/>
    </w:pPr>
    <w:rPr>
      <w:rFonts w:ascii="Arial (W1)" w:eastAsia="Arial" w:hAnsi="Arial (W1)"/>
      <w:spacing w:val="0"/>
      <w:lang w:eastAsia="en-US"/>
    </w:rPr>
  </w:style>
  <w:style w:type="table" w:customStyle="1" w:styleId="LightList-Accent21">
    <w:name w:val="Light List - Accent 21"/>
    <w:basedOn w:val="TableNormal"/>
    <w:next w:val="LightList-Accent2"/>
    <w:uiPriority w:val="61"/>
    <w:rsid w:val="00120BD8"/>
    <w:pPr>
      <w:spacing w:after="0" w:line="240" w:lineRule="auto"/>
    </w:pPr>
    <w:rPr>
      <w:rFonts w:ascii="Verdana" w:hAnsi="Verdana"/>
      <w:sz w:val="18"/>
    </w:rPr>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tblBorders>
    </w:tblPr>
    <w:tcPr>
      <w:shd w:val="clear" w:color="auto" w:fill="F2F9E7" w:themeFill="accent6" w:themeFillTint="33"/>
      <w:vAlign w:val="center"/>
    </w:tcPr>
    <w:tblStylePr w:type="firstRow">
      <w:pPr>
        <w:spacing w:before="0" w:after="0" w:line="240" w:lineRule="auto"/>
      </w:pPr>
      <w:rPr>
        <w:b/>
        <w:bCs/>
        <w:color w:val="FFFFFF" w:themeColor="background1"/>
      </w:rPr>
      <w:tblPr/>
      <w:tcPr>
        <w:shd w:val="clear" w:color="auto" w:fill="78BE20" w:themeFill="accent2"/>
      </w:tcPr>
    </w:tblStylePr>
    <w:tblStylePr w:type="lastRow">
      <w:pPr>
        <w:spacing w:before="0" w:after="0" w:line="240" w:lineRule="auto"/>
      </w:pPr>
      <w:rPr>
        <w:b/>
        <w:bCs/>
      </w:rPr>
      <w:tblPr/>
      <w:tcPr>
        <w:tcBorders>
          <w:top w:val="double" w:sz="6" w:space="0" w:color="78BE20" w:themeColor="accent2"/>
          <w:left w:val="single" w:sz="8" w:space="0" w:color="78BE20" w:themeColor="accent2"/>
          <w:bottom w:val="single" w:sz="8" w:space="0" w:color="78BE20" w:themeColor="accent2"/>
          <w:right w:val="single" w:sz="8" w:space="0" w:color="78BE20" w:themeColor="accent2"/>
        </w:tcBorders>
      </w:tcPr>
    </w:tblStylePr>
    <w:tblStylePr w:type="firstCol">
      <w:rPr>
        <w:b/>
        <w:bCs/>
      </w:rPr>
    </w:tblStylePr>
    <w:tblStylePr w:type="lastCol">
      <w:rPr>
        <w:b/>
        <w:bCs/>
      </w:rPr>
    </w:tblStylePr>
    <w:tblStylePr w:type="band1Vert">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tblStylePr w:type="band1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style>
  <w:style w:type="table" w:customStyle="1" w:styleId="TableGrid1">
    <w:name w:val="Table Grid1"/>
    <w:basedOn w:val="TableNormal"/>
    <w:next w:val="TableGrid"/>
    <w:uiPriority w:val="59"/>
    <w:rsid w:val="00120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D11AF0"/>
    <w:pPr>
      <w:spacing w:after="0" w:line="240" w:lineRule="auto"/>
    </w:pPr>
    <w:rPr>
      <w:rFonts w:ascii="Verdana" w:hAnsi="Verdana"/>
      <w:sz w:val="18"/>
    </w:rPr>
    <w:tblPr>
      <w:tblStyleRowBandSize w:val="1"/>
      <w:tblStyleColBandSize w:val="1"/>
      <w:tblBorders>
        <w:top w:val="single" w:sz="8" w:space="0" w:color="78BE20" w:themeColor="accent2"/>
        <w:left w:val="single" w:sz="8" w:space="0" w:color="78BE20" w:themeColor="accent2"/>
        <w:bottom w:val="single" w:sz="8" w:space="0" w:color="78BE20" w:themeColor="accent2"/>
        <w:right w:val="single" w:sz="8" w:space="0" w:color="78BE20" w:themeColor="accent2"/>
      </w:tblBorders>
    </w:tblPr>
    <w:tcPr>
      <w:shd w:val="clear" w:color="auto" w:fill="F2F9E7" w:themeFill="accent6" w:themeFillTint="33"/>
      <w:vAlign w:val="center"/>
    </w:tcPr>
    <w:tblStylePr w:type="firstRow">
      <w:pPr>
        <w:spacing w:before="0" w:after="0" w:line="240" w:lineRule="auto"/>
      </w:pPr>
      <w:rPr>
        <w:b/>
        <w:bCs/>
        <w:color w:val="FFFFFF" w:themeColor="background1"/>
      </w:rPr>
      <w:tblPr/>
      <w:tcPr>
        <w:shd w:val="clear" w:color="auto" w:fill="78BE20" w:themeFill="accent2"/>
      </w:tcPr>
    </w:tblStylePr>
    <w:tblStylePr w:type="lastRow">
      <w:pPr>
        <w:spacing w:before="0" w:after="0" w:line="240" w:lineRule="auto"/>
      </w:pPr>
      <w:rPr>
        <w:b/>
        <w:bCs/>
      </w:rPr>
      <w:tblPr/>
      <w:tcPr>
        <w:tcBorders>
          <w:top w:val="double" w:sz="6" w:space="0" w:color="78BE20" w:themeColor="accent2"/>
          <w:left w:val="single" w:sz="8" w:space="0" w:color="78BE20" w:themeColor="accent2"/>
          <w:bottom w:val="single" w:sz="8" w:space="0" w:color="78BE20" w:themeColor="accent2"/>
          <w:right w:val="single" w:sz="8" w:space="0" w:color="78BE20" w:themeColor="accent2"/>
        </w:tcBorders>
      </w:tcPr>
    </w:tblStylePr>
    <w:tblStylePr w:type="firstCol">
      <w:rPr>
        <w:b/>
        <w:bCs/>
      </w:rPr>
    </w:tblStylePr>
    <w:tblStylePr w:type="lastCol">
      <w:rPr>
        <w:b/>
        <w:bCs/>
      </w:rPr>
    </w:tblStylePr>
    <w:tblStylePr w:type="band1Vert">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tblStylePr w:type="band1Horz">
      <w:tblPr/>
      <w:tcPr>
        <w:tcBorders>
          <w:top w:val="single" w:sz="8" w:space="0" w:color="78BE20" w:themeColor="accent2"/>
          <w:left w:val="single" w:sz="8" w:space="0" w:color="78BE20" w:themeColor="accent2"/>
          <w:bottom w:val="single" w:sz="8" w:space="0" w:color="78BE20" w:themeColor="accent2"/>
          <w:right w:val="single" w:sz="8" w:space="0" w:color="78BE20" w:themeColor="accent2"/>
        </w:tcBorders>
      </w:tcPr>
    </w:tblStylePr>
  </w:style>
  <w:style w:type="paragraph" w:styleId="EndnoteText">
    <w:name w:val="endnote text"/>
    <w:basedOn w:val="Normal"/>
    <w:link w:val="EndnoteTextChar"/>
    <w:uiPriority w:val="99"/>
    <w:semiHidden/>
    <w:unhideWhenUsed/>
    <w:rsid w:val="00314E2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14E2C"/>
    <w:rPr>
      <w:rFonts w:eastAsia="Times New Roman"/>
      <w:spacing w:val="4"/>
      <w:sz w:val="20"/>
      <w:szCs w:val="20"/>
      <w:lang w:eastAsia="en-AU"/>
    </w:rPr>
  </w:style>
  <w:style w:type="character" w:styleId="EndnoteReference">
    <w:name w:val="endnote reference"/>
    <w:basedOn w:val="DefaultParagraphFont"/>
    <w:uiPriority w:val="99"/>
    <w:semiHidden/>
    <w:unhideWhenUsed/>
    <w:rsid w:val="00314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2371">
      <w:bodyDiv w:val="1"/>
      <w:marLeft w:val="0"/>
      <w:marRight w:val="0"/>
      <w:marTop w:val="0"/>
      <w:marBottom w:val="0"/>
      <w:divBdr>
        <w:top w:val="none" w:sz="0" w:space="0" w:color="auto"/>
        <w:left w:val="none" w:sz="0" w:space="0" w:color="auto"/>
        <w:bottom w:val="none" w:sz="0" w:space="0" w:color="auto"/>
        <w:right w:val="none" w:sz="0" w:space="0" w:color="auto"/>
      </w:divBdr>
    </w:div>
    <w:div w:id="1113129789">
      <w:bodyDiv w:val="1"/>
      <w:marLeft w:val="0"/>
      <w:marRight w:val="0"/>
      <w:marTop w:val="0"/>
      <w:marBottom w:val="0"/>
      <w:divBdr>
        <w:top w:val="none" w:sz="0" w:space="0" w:color="auto"/>
        <w:left w:val="none" w:sz="0" w:space="0" w:color="auto"/>
        <w:bottom w:val="none" w:sz="0" w:space="0" w:color="auto"/>
        <w:right w:val="none" w:sz="0" w:space="0" w:color="auto"/>
      </w:divBdr>
    </w:div>
    <w:div w:id="20623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tsanhonour.gov.au/coat-arms/index.cfm" TargetMode="External"/><Relationship Id="rId25" Type="http://schemas.openxmlformats.org/officeDocument/2006/relationships/header" Target="head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communications@dss.gov.au" TargetMode="Externa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eader" Target="header10.xml"/><Relationship Id="rId5" Type="http://schemas.openxmlformats.org/officeDocument/2006/relationships/styles" Target="styles.xml"/><Relationship Id="rId15" Type="http://schemas.openxmlformats.org/officeDocument/2006/relationships/hyperlink" Target="http://www.dss.gov.au"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37DC63C6A50B4F997688EC5DAAC7D4" ma:contentTypeVersion="" ma:contentTypeDescription="PDMS Document Site Content Type" ma:contentTypeScope="" ma:versionID="184035545f3f127d895bab235b1e12fa">
  <xsd:schema xmlns:xsd="http://www.w3.org/2001/XMLSchema" xmlns:xs="http://www.w3.org/2001/XMLSchema" xmlns:p="http://schemas.microsoft.com/office/2006/metadata/properties" xmlns:ns2="4D5DFAB2-346F-4833-91A0-D17E1CA2F867" targetNamespace="http://schemas.microsoft.com/office/2006/metadata/properties" ma:root="true" ma:fieldsID="7ef9013106068846d4ac5ca3a125ec91" ns2:_="">
    <xsd:import namespace="4D5DFAB2-346F-4833-91A0-D17E1CA2F86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DFAB2-346F-4833-91A0-D17E1CA2F86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9CD7-3CA8-440F-B28D-73330DB99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DFAB2-346F-4833-91A0-D17E1CA2F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9E060-D97C-4182-8EC6-4DCA73731DC1}">
  <ds:schemaRefs>
    <ds:schemaRef ds:uri="http://schemas.microsoft.com/sharepoint/v3/contenttype/forms"/>
  </ds:schemaRefs>
</ds:datastoreItem>
</file>

<file path=customXml/itemProps3.xml><?xml version="1.0" encoding="utf-8"?>
<ds:datastoreItem xmlns:ds="http://schemas.openxmlformats.org/officeDocument/2006/customXml" ds:itemID="{3D7E07CE-0561-4F8A-92A9-BB820062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7721</Words>
  <Characters>44013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2015-03-18T01:09:00Z</dcterms:created>
  <dcterms:modified xsi:type="dcterms:W3CDTF">2015-03-18T01:09:00Z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03 March 2015</vt:lpwstr>
  </property>
  <property fmtid="{D5CDD505-2E9C-101B-9397-08002B2CF9AE}" pid="4" name="ClearanceDueDate">
    <vt:lpwstr>26 February 2015</vt:lpwstr>
  </property>
  <property fmtid="{D5CDD505-2E9C-101B-9397-08002B2CF9AE}" pid="5" name="Electorates">
    <vt:lpwstr> </vt:lpwstr>
  </property>
  <property fmtid="{D5CDD505-2E9C-101B-9397-08002B2CF9AE}" pid="6" name="GroupResponsible">
    <vt:lpwstr>Deregulation Assurance and Property</vt:lpwstr>
  </property>
  <property fmtid="{D5CDD505-2E9C-101B-9397-08002B2CF9AE}" pid="7" name="HandlingProtocol">
    <vt:lpwstr>Standard</vt:lpwstr>
  </property>
  <property fmtid="{D5CDD505-2E9C-101B-9397-08002B2CF9AE}" pid="8" name="InformationMinister">
    <vt:lpwstr>Mitch Fifield, Concetta Fierravanti-Wells</vt:lpwstr>
  </property>
  <property fmtid="{D5CDD505-2E9C-101B-9397-08002B2CF9AE}" pid="9" name="LastClearingOfficer">
    <vt:lpwstr>Sharon BAILEY</vt:lpwstr>
  </property>
  <property fmtid="{D5CDD505-2E9C-101B-9397-08002B2CF9AE}" pid="10" name="Ministers">
    <vt:lpwstr>Scott Morrison, Mitch Fifield, Concetta Fierravanti-Wells</vt:lpwstr>
  </property>
  <property fmtid="{D5CDD505-2E9C-101B-9397-08002B2CF9AE}" pid="11" name="PdrId">
    <vt:lpwstr>MS15-000388</vt:lpwstr>
  </property>
  <property fmtid="{D5CDD505-2E9C-101B-9397-08002B2CF9AE}" pid="12" name="Principal">
    <vt:lpwstr>Minister</vt:lpwstr>
  </property>
  <property fmtid="{D5CDD505-2E9C-101B-9397-08002B2CF9AE}" pid="13" name="ReasonForSensitivity">
    <vt:lpwstr/>
  </property>
  <property fmtid="{D5CDD505-2E9C-101B-9397-08002B2CF9AE}" pid="14" name="RegisteredDate">
    <vt:lpwstr>17 February 2015</vt:lpwstr>
  </property>
  <property fmtid="{D5CDD505-2E9C-101B-9397-08002B2CF9AE}" pid="15" name="RequestedAction">
    <vt:lpwstr>ACTION</vt:lpwstr>
  </property>
  <property fmtid="{D5CDD505-2E9C-101B-9397-08002B2CF9AE}" pid="16" name="ResponsibleMinister">
    <vt:lpwstr>Scott Morrison</vt:lpwstr>
  </property>
  <property fmtid="{D5CDD505-2E9C-101B-9397-08002B2CF9AE}" pid="17" name="SecurityClassification">
    <vt:lpwstr>For Official Use Only (FOUO)  </vt:lpwstr>
  </property>
  <property fmtid="{D5CDD505-2E9C-101B-9397-08002B2CF9AE}" pid="18" name="Subject">
    <vt:lpwstr>Annual Deregulation Report 2014</vt:lpwstr>
  </property>
  <property fmtid="{D5CDD505-2E9C-101B-9397-08002B2CF9AE}" pid="19" name="TaskSeqNo">
    <vt:lpwstr>0</vt:lpwstr>
  </property>
  <property fmtid="{D5CDD505-2E9C-101B-9397-08002B2CF9AE}" pid="20" name="TemplateSubType">
    <vt:lpwstr>General</vt:lpwstr>
  </property>
  <property fmtid="{D5CDD505-2E9C-101B-9397-08002B2CF9AE}" pid="21" name="TemplateType">
    <vt:lpwstr>Submission</vt:lpwstr>
  </property>
  <property fmtid="{D5CDD505-2E9C-101B-9397-08002B2CF9AE}" pid="22" name="TrustedGroups">
    <vt:lpwstr>Parliamentary Coordinator MS, DLO, Ministerial Staff - Coalition 2013, Business Administrator, Limited Distribution MS</vt:lpwstr>
  </property>
</Properties>
</file>