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16" w:rsidRDefault="00343967" w:rsidP="00A51216">
      <w:pPr>
        <w:rPr>
          <w:rStyle w:val="Strong"/>
          <w:b w:val="0"/>
        </w:rPr>
      </w:pPr>
      <w:r>
        <w:rPr>
          <w:rStyle w:val="Strong"/>
          <w:b w:val="0"/>
        </w:rPr>
        <w:t xml:space="preserve">Factsheet Number </w:t>
      </w:r>
      <w:r w:rsidR="00845554">
        <w:rPr>
          <w:rStyle w:val="Strong"/>
          <w:b w:val="0"/>
        </w:rPr>
        <w:t>3</w:t>
      </w:r>
    </w:p>
    <w:p w:rsidR="002F748E" w:rsidRPr="00D23074" w:rsidRDefault="00615D4A" w:rsidP="00A75B5D">
      <w:pPr>
        <w:pStyle w:val="Heading2"/>
        <w:jc w:val="center"/>
        <w:rPr>
          <w:rStyle w:val="Strong"/>
          <w:b/>
          <w:i w:val="0"/>
          <w:sz w:val="32"/>
          <w:szCs w:val="32"/>
        </w:rPr>
      </w:pPr>
      <w:r>
        <w:rPr>
          <w:rStyle w:val="Strong"/>
          <w:b/>
          <w:i w:val="0"/>
          <w:sz w:val="32"/>
          <w:szCs w:val="32"/>
        </w:rPr>
        <w:t xml:space="preserve">Parental Leave Pay </w:t>
      </w:r>
      <w:r w:rsidR="00A45B23" w:rsidRPr="00D23074">
        <w:rPr>
          <w:rStyle w:val="Strong"/>
          <w:b/>
          <w:i w:val="0"/>
          <w:sz w:val="32"/>
          <w:szCs w:val="32"/>
        </w:rPr>
        <w:t xml:space="preserve">– </w:t>
      </w:r>
      <w:r>
        <w:rPr>
          <w:rStyle w:val="Strong"/>
          <w:b/>
          <w:i w:val="0"/>
          <w:sz w:val="32"/>
          <w:szCs w:val="32"/>
        </w:rPr>
        <w:t>e</w:t>
      </w:r>
      <w:r w:rsidR="00A45B23" w:rsidRPr="00D23074">
        <w:rPr>
          <w:rStyle w:val="Strong"/>
          <w:b/>
          <w:i w:val="0"/>
          <w:sz w:val="32"/>
          <w:szCs w:val="32"/>
        </w:rPr>
        <w:t xml:space="preserve">mployer </w:t>
      </w:r>
      <w:r>
        <w:rPr>
          <w:rStyle w:val="Strong"/>
          <w:b/>
          <w:i w:val="0"/>
          <w:sz w:val="32"/>
          <w:szCs w:val="32"/>
        </w:rPr>
        <w:t>r</w:t>
      </w:r>
      <w:r w:rsidR="00A45B23" w:rsidRPr="00D23074">
        <w:rPr>
          <w:rStyle w:val="Strong"/>
          <w:b/>
          <w:i w:val="0"/>
          <w:sz w:val="32"/>
          <w:szCs w:val="32"/>
        </w:rPr>
        <w:t>ole</w:t>
      </w:r>
    </w:p>
    <w:p w:rsidR="00A8516B" w:rsidRPr="00A8516B" w:rsidRDefault="00A8516B" w:rsidP="00B56206"/>
    <w:p w:rsidR="00E45523" w:rsidRDefault="00B65E62" w:rsidP="007C4C56">
      <w:pPr>
        <w:autoSpaceDE w:val="0"/>
        <w:autoSpaceDN w:val="0"/>
        <w:adjustRightInd w:val="0"/>
      </w:pPr>
      <w:r>
        <w:t xml:space="preserve">The Paid Parental Leave scheme requires employers to </w:t>
      </w:r>
      <w:r w:rsidR="002E5354">
        <w:t>provide</w:t>
      </w:r>
      <w:r>
        <w:t xml:space="preserve"> Parental Leave Pay to their eligible long-term employees. </w:t>
      </w:r>
      <w:r w:rsidR="00A75B5D">
        <w:t xml:space="preserve"> </w:t>
      </w:r>
      <w:r w:rsidR="00E45523">
        <w:t xml:space="preserve">The </w:t>
      </w:r>
      <w:r w:rsidR="00EC6A78">
        <w:t xml:space="preserve">employer role in the </w:t>
      </w:r>
      <w:r w:rsidR="00E45523">
        <w:t xml:space="preserve">scheme is </w:t>
      </w:r>
      <w:r w:rsidR="00EC6A78">
        <w:t xml:space="preserve">designed </w:t>
      </w:r>
      <w:r w:rsidR="00E45523">
        <w:t>to help employers retain their skilled staff by enabling women to remain connected to work and their careers when they take time out of the workforce to have a baby or adopt a child.</w:t>
      </w:r>
    </w:p>
    <w:p w:rsidR="00B65E62" w:rsidRDefault="00B65E62" w:rsidP="007C4C56">
      <w:pPr>
        <w:autoSpaceDE w:val="0"/>
        <w:autoSpaceDN w:val="0"/>
        <w:adjustRightInd w:val="0"/>
      </w:pPr>
    </w:p>
    <w:p w:rsidR="00B65E62" w:rsidRDefault="00B65E62" w:rsidP="007C4C56">
      <w:pPr>
        <w:autoSpaceDE w:val="0"/>
        <w:autoSpaceDN w:val="0"/>
        <w:adjustRightInd w:val="0"/>
      </w:pPr>
      <w:r>
        <w:t xml:space="preserve">In December 2012, 77 per cent of </w:t>
      </w:r>
      <w:r w:rsidR="00A75B5D">
        <w:t xml:space="preserve">current </w:t>
      </w:r>
      <w:r>
        <w:t>Parental Leave Pay recipients were</w:t>
      </w:r>
      <w:r w:rsidR="002E5354">
        <w:t xml:space="preserve"> receiving the</w:t>
      </w:r>
      <w:r w:rsidR="00666A59">
        <w:t xml:space="preserve"> Government-funded</w:t>
      </w:r>
      <w:r w:rsidR="002E5354">
        <w:t xml:space="preserve"> pay from their employer</w:t>
      </w:r>
      <w:r>
        <w:t>.</w:t>
      </w:r>
    </w:p>
    <w:p w:rsidR="00E45523" w:rsidRDefault="00E45523" w:rsidP="007C4C56">
      <w:pPr>
        <w:autoSpaceDE w:val="0"/>
        <w:autoSpaceDN w:val="0"/>
        <w:adjustRightInd w:val="0"/>
      </w:pPr>
    </w:p>
    <w:p w:rsidR="00BA199E" w:rsidRPr="00D23074" w:rsidRDefault="00BA199E" w:rsidP="00B56206">
      <w:pPr>
        <w:pStyle w:val="Heading2"/>
      </w:pPr>
      <w:r w:rsidRPr="00D23074">
        <w:t xml:space="preserve">When an employer </w:t>
      </w:r>
      <w:r w:rsidR="0030500E">
        <w:t>is required to</w:t>
      </w:r>
      <w:r w:rsidRPr="00D23074">
        <w:t xml:space="preserve"> provide Parental Leave Pay</w:t>
      </w:r>
    </w:p>
    <w:p w:rsidR="00E45523" w:rsidRDefault="0030500E" w:rsidP="007C4C56">
      <w:pPr>
        <w:autoSpaceDE w:val="0"/>
        <w:autoSpaceDN w:val="0"/>
        <w:adjustRightInd w:val="0"/>
      </w:pPr>
      <w:r>
        <w:t>An employer is required to</w:t>
      </w:r>
      <w:r w:rsidR="00E45523">
        <w:t xml:space="preserve"> provide Parental Leave Pay to an eligible employee who:</w:t>
      </w:r>
    </w:p>
    <w:p w:rsidR="00E45523" w:rsidRDefault="000A7CB8" w:rsidP="00E45523">
      <w:pPr>
        <w:pStyle w:val="ListParagraph"/>
        <w:numPr>
          <w:ilvl w:val="0"/>
          <w:numId w:val="39"/>
        </w:numPr>
        <w:autoSpaceDE w:val="0"/>
        <w:autoSpaceDN w:val="0"/>
        <w:adjustRightInd w:val="0"/>
      </w:pPr>
      <w:r>
        <w:t>h</w:t>
      </w:r>
      <w:r w:rsidR="00E45523">
        <w:t>as worked with the employer for at least 12 months prior to the expected date of birth or adoption of a child</w:t>
      </w:r>
    </w:p>
    <w:p w:rsidR="00E45523" w:rsidRDefault="000A7CB8" w:rsidP="00E45523">
      <w:pPr>
        <w:pStyle w:val="ListParagraph"/>
        <w:numPr>
          <w:ilvl w:val="0"/>
          <w:numId w:val="39"/>
        </w:numPr>
        <w:autoSpaceDE w:val="0"/>
        <w:autoSpaceDN w:val="0"/>
        <w:adjustRightInd w:val="0"/>
      </w:pPr>
      <w:r>
        <w:t>w</w:t>
      </w:r>
      <w:r w:rsidR="00E45523">
        <w:t>ill be an employee of the employer for the Paid Parental Leave period</w:t>
      </w:r>
    </w:p>
    <w:p w:rsidR="00E45523" w:rsidRDefault="000A7CB8" w:rsidP="00E45523">
      <w:pPr>
        <w:pStyle w:val="ListParagraph"/>
        <w:numPr>
          <w:ilvl w:val="0"/>
          <w:numId w:val="39"/>
        </w:numPr>
        <w:autoSpaceDE w:val="0"/>
        <w:autoSpaceDN w:val="0"/>
        <w:adjustRightInd w:val="0"/>
      </w:pPr>
      <w:r>
        <w:t>i</w:t>
      </w:r>
      <w:r w:rsidR="00E45523">
        <w:t>s an Australian-based employee</w:t>
      </w:r>
      <w:r w:rsidR="00A73C13">
        <w:t xml:space="preserve">, and </w:t>
      </w:r>
    </w:p>
    <w:p w:rsidR="00E45523" w:rsidRDefault="000A7CB8" w:rsidP="00E45523">
      <w:pPr>
        <w:pStyle w:val="ListParagraph"/>
        <w:numPr>
          <w:ilvl w:val="0"/>
          <w:numId w:val="39"/>
        </w:numPr>
        <w:autoSpaceDE w:val="0"/>
        <w:autoSpaceDN w:val="0"/>
        <w:adjustRightInd w:val="0"/>
      </w:pPr>
      <w:proofErr w:type="gramStart"/>
      <w:r>
        <w:t>i</w:t>
      </w:r>
      <w:r w:rsidR="00E45523">
        <w:t>s</w:t>
      </w:r>
      <w:proofErr w:type="gramEnd"/>
      <w:r w:rsidR="00E45523">
        <w:t xml:space="preserve"> expected to receive at least eight weeks of Parental Leave Pay.</w:t>
      </w:r>
    </w:p>
    <w:p w:rsidR="0071452A" w:rsidRDefault="0071452A" w:rsidP="0071452A">
      <w:pPr>
        <w:autoSpaceDE w:val="0"/>
        <w:autoSpaceDN w:val="0"/>
        <w:adjustRightInd w:val="0"/>
        <w:ind w:left="360"/>
      </w:pPr>
    </w:p>
    <w:p w:rsidR="00E45523" w:rsidRPr="00D23074" w:rsidRDefault="0071452A" w:rsidP="00B56206">
      <w:pPr>
        <w:pStyle w:val="Heading2"/>
      </w:pPr>
      <w:r w:rsidRPr="00D23074">
        <w:t>When an employer can cho</w:t>
      </w:r>
      <w:r w:rsidR="00004ECA" w:rsidRPr="00D23074">
        <w:t>o</w:t>
      </w:r>
      <w:r w:rsidRPr="00D23074">
        <w:t>se to provide Parental Leave Pay</w:t>
      </w:r>
    </w:p>
    <w:p w:rsidR="0071452A" w:rsidRDefault="000A7CB8" w:rsidP="000A7CB8">
      <w:pPr>
        <w:autoSpaceDE w:val="0"/>
        <w:autoSpaceDN w:val="0"/>
        <w:adjustRightInd w:val="0"/>
      </w:pPr>
      <w:r>
        <w:t>If an employer is not required to provide Parental Leave Pay, they can still choose to provide it</w:t>
      </w:r>
      <w:r w:rsidR="00666A59">
        <w:t xml:space="preserve"> to their eligible employees</w:t>
      </w:r>
      <w:r w:rsidR="00615D4A">
        <w:t xml:space="preserve">. </w:t>
      </w:r>
      <w:r w:rsidR="00A75B5D">
        <w:t xml:space="preserve"> </w:t>
      </w:r>
      <w:r w:rsidR="00615D4A">
        <w:t>T</w:t>
      </w:r>
      <w:r>
        <w:t>he employer and employee must agree for this to happen.</w:t>
      </w:r>
      <w:r w:rsidR="001C320D">
        <w:t xml:space="preserve"> </w:t>
      </w:r>
    </w:p>
    <w:p w:rsidR="0030500E" w:rsidRDefault="0030500E" w:rsidP="000A7CB8">
      <w:pPr>
        <w:autoSpaceDE w:val="0"/>
        <w:autoSpaceDN w:val="0"/>
        <w:adjustRightInd w:val="0"/>
      </w:pPr>
    </w:p>
    <w:p w:rsidR="0030500E" w:rsidRDefault="0030500E" w:rsidP="000A7CB8">
      <w:pPr>
        <w:autoSpaceDE w:val="0"/>
        <w:autoSpaceDN w:val="0"/>
        <w:adjustRightInd w:val="0"/>
      </w:pPr>
      <w:r>
        <w:t>Currently, more than 1 in 10 employers</w:t>
      </w:r>
      <w:r w:rsidR="00A73C13">
        <w:t xml:space="preserve"> registered for the scheme have opted to</w:t>
      </w:r>
      <w:r>
        <w:t xml:space="preserve"> provide Parental Leave Pay to their employees in circumstances where it is not compulsory.</w:t>
      </w:r>
    </w:p>
    <w:p w:rsidR="0071452A" w:rsidRDefault="0071452A" w:rsidP="000A7CB8">
      <w:pPr>
        <w:autoSpaceDE w:val="0"/>
        <w:autoSpaceDN w:val="0"/>
        <w:adjustRightInd w:val="0"/>
      </w:pPr>
    </w:p>
    <w:p w:rsidR="00763B34" w:rsidRPr="00D23074" w:rsidRDefault="0071452A" w:rsidP="00B56206">
      <w:pPr>
        <w:pStyle w:val="Heading2"/>
      </w:pPr>
      <w:r w:rsidRPr="00D23074">
        <w:t>Establishing the employer role in providing Parental Leave Pay</w:t>
      </w:r>
    </w:p>
    <w:p w:rsidR="00EC6A78" w:rsidRDefault="00C44136" w:rsidP="000A7CB8">
      <w:pPr>
        <w:autoSpaceDE w:val="0"/>
        <w:autoSpaceDN w:val="0"/>
        <w:adjustRightInd w:val="0"/>
      </w:pPr>
      <w:r>
        <w:t>Employers</w:t>
      </w:r>
      <w:r w:rsidR="00A77847">
        <w:t xml:space="preserve"> do not have a role in deciding</w:t>
      </w:r>
      <w:r>
        <w:t xml:space="preserve"> if an employee is eligible for </w:t>
      </w:r>
      <w:r w:rsidR="00967209">
        <w:t>P</w:t>
      </w:r>
      <w:r>
        <w:t>arental Leave Pay.</w:t>
      </w:r>
      <w:r w:rsidR="001C320D">
        <w:t xml:space="preserve"> </w:t>
      </w:r>
      <w:proofErr w:type="spellStart"/>
      <w:r>
        <w:t>Centrelink</w:t>
      </w:r>
      <w:proofErr w:type="spellEnd"/>
      <w:r>
        <w:t xml:space="preserve"> will determine whether a claimant is eligible and </w:t>
      </w:r>
      <w:r w:rsidR="00A75B5D">
        <w:t xml:space="preserve">whether the employer will provide the pay.  </w:t>
      </w:r>
      <w:proofErr w:type="spellStart"/>
      <w:r w:rsidR="00A75B5D">
        <w:t>Centrelink</w:t>
      </w:r>
      <w:proofErr w:type="spellEnd"/>
      <w:r w:rsidR="00A75B5D">
        <w:t xml:space="preserve"> </w:t>
      </w:r>
      <w:r>
        <w:t>will send a notice (an Employer Determination) to the employer if they are required to provide Parental Leave Pay to their</w:t>
      </w:r>
      <w:r w:rsidR="00A77847">
        <w:t xml:space="preserve"> eligible</w:t>
      </w:r>
      <w:r>
        <w:t xml:space="preserve"> employee.</w:t>
      </w:r>
    </w:p>
    <w:p w:rsidR="00EC6A78" w:rsidRDefault="00EC6A78" w:rsidP="000A7CB8">
      <w:pPr>
        <w:autoSpaceDE w:val="0"/>
        <w:autoSpaceDN w:val="0"/>
        <w:adjustRightInd w:val="0"/>
      </w:pPr>
    </w:p>
    <w:p w:rsidR="00967209" w:rsidRDefault="00A82987" w:rsidP="000A7CB8">
      <w:pPr>
        <w:autoSpaceDE w:val="0"/>
        <w:autoSpaceDN w:val="0"/>
        <w:adjustRightInd w:val="0"/>
      </w:pPr>
      <w:r>
        <w:t>The Employer Determination sets out</w:t>
      </w:r>
      <w:r w:rsidR="00967209">
        <w:t>, among other things:</w:t>
      </w:r>
      <w:r w:rsidR="00E45523">
        <w:t xml:space="preserve"> </w:t>
      </w:r>
    </w:p>
    <w:p w:rsidR="00967209" w:rsidRDefault="00967209" w:rsidP="00967209">
      <w:pPr>
        <w:pStyle w:val="ListParagraph"/>
        <w:numPr>
          <w:ilvl w:val="0"/>
          <w:numId w:val="40"/>
        </w:numPr>
        <w:autoSpaceDE w:val="0"/>
        <w:autoSpaceDN w:val="0"/>
        <w:adjustRightInd w:val="0"/>
      </w:pPr>
      <w:r>
        <w:t>the employee’s name</w:t>
      </w:r>
    </w:p>
    <w:p w:rsidR="00967209" w:rsidRDefault="00967209" w:rsidP="00967209">
      <w:pPr>
        <w:pStyle w:val="ListParagraph"/>
        <w:numPr>
          <w:ilvl w:val="0"/>
          <w:numId w:val="40"/>
        </w:numPr>
        <w:autoSpaceDE w:val="0"/>
        <w:autoSpaceDN w:val="0"/>
        <w:adjustRightInd w:val="0"/>
      </w:pPr>
      <w:r>
        <w:t>that the employee is eligible for Parental Leave Pay</w:t>
      </w:r>
    </w:p>
    <w:p w:rsidR="00967209" w:rsidRDefault="00967209" w:rsidP="00967209">
      <w:pPr>
        <w:pStyle w:val="ListParagraph"/>
        <w:numPr>
          <w:ilvl w:val="0"/>
          <w:numId w:val="40"/>
        </w:numPr>
        <w:autoSpaceDE w:val="0"/>
        <w:autoSpaceDN w:val="0"/>
        <w:adjustRightInd w:val="0"/>
      </w:pPr>
      <w:r>
        <w:t xml:space="preserve">the period for which Parental Leave Pay </w:t>
      </w:r>
      <w:r w:rsidR="003608EA">
        <w:t xml:space="preserve">is payable </w:t>
      </w:r>
      <w:r>
        <w:t>to the employee</w:t>
      </w:r>
    </w:p>
    <w:p w:rsidR="00967209" w:rsidRDefault="00967209" w:rsidP="00967209">
      <w:pPr>
        <w:pStyle w:val="ListParagraph"/>
        <w:numPr>
          <w:ilvl w:val="0"/>
          <w:numId w:val="40"/>
        </w:numPr>
        <w:autoSpaceDE w:val="0"/>
        <w:autoSpaceDN w:val="0"/>
        <w:adjustRightInd w:val="0"/>
      </w:pPr>
      <w:r>
        <w:t xml:space="preserve">a request for information to enable funding amounts to </w:t>
      </w:r>
      <w:r w:rsidR="003608EA">
        <w:t xml:space="preserve">be transferred to </w:t>
      </w:r>
      <w:r>
        <w:t>the employer</w:t>
      </w:r>
      <w:r w:rsidR="003608EA">
        <w:t>’s bank account</w:t>
      </w:r>
      <w:r w:rsidR="00595A06">
        <w:t>, and</w:t>
      </w:r>
    </w:p>
    <w:p w:rsidR="00967209" w:rsidRDefault="00967209" w:rsidP="00967209">
      <w:pPr>
        <w:pStyle w:val="ListParagraph"/>
        <w:numPr>
          <w:ilvl w:val="0"/>
          <w:numId w:val="40"/>
        </w:numPr>
        <w:autoSpaceDE w:val="0"/>
        <w:autoSpaceDN w:val="0"/>
        <w:adjustRightInd w:val="0"/>
      </w:pPr>
      <w:proofErr w:type="gramStart"/>
      <w:r>
        <w:t>the</w:t>
      </w:r>
      <w:proofErr w:type="gramEnd"/>
      <w:r>
        <w:t xml:space="preserve"> employer’s obligations under the Paid Parental Leave scheme.</w:t>
      </w:r>
    </w:p>
    <w:p w:rsidR="00967209" w:rsidRDefault="00967209" w:rsidP="00967209">
      <w:pPr>
        <w:autoSpaceDE w:val="0"/>
        <w:autoSpaceDN w:val="0"/>
        <w:adjustRightInd w:val="0"/>
      </w:pPr>
    </w:p>
    <w:p w:rsidR="007B66F7" w:rsidRDefault="005F3925" w:rsidP="00967209">
      <w:pPr>
        <w:autoSpaceDE w:val="0"/>
        <w:autoSpaceDN w:val="0"/>
        <w:adjustRightInd w:val="0"/>
      </w:pPr>
      <w:r>
        <w:t xml:space="preserve">The employer is required within 14 days of receiving the Employer Determination to either accept their obligation to </w:t>
      </w:r>
      <w:r w:rsidR="003608EA">
        <w:t xml:space="preserve">provide </w:t>
      </w:r>
      <w:r>
        <w:t>Parental Leave Pay to their employee</w:t>
      </w:r>
      <w:r w:rsidR="003608EA">
        <w:t>,</w:t>
      </w:r>
      <w:r>
        <w:t xml:space="preserve"> or seek a review of the Employer Determination</w:t>
      </w:r>
      <w:r w:rsidR="003608EA">
        <w:t xml:space="preserve"> if the employer considers the conditions for the employer providing Parental Leave Pay have not been met</w:t>
      </w:r>
      <w:r>
        <w:t>.</w:t>
      </w:r>
    </w:p>
    <w:p w:rsidR="005F3925" w:rsidRDefault="005F3925" w:rsidP="00967209">
      <w:pPr>
        <w:autoSpaceDE w:val="0"/>
        <w:autoSpaceDN w:val="0"/>
        <w:adjustRightInd w:val="0"/>
      </w:pPr>
    </w:p>
    <w:p w:rsidR="00763B34" w:rsidRDefault="005F3925" w:rsidP="00763B34">
      <w:r>
        <w:lastRenderedPageBreak/>
        <w:t xml:space="preserve">Where the employer </w:t>
      </w:r>
      <w:r w:rsidR="00666A59">
        <w:t xml:space="preserve">is </w:t>
      </w:r>
      <w:r>
        <w:t xml:space="preserve">to </w:t>
      </w:r>
      <w:r w:rsidR="003608EA">
        <w:t xml:space="preserve">provide </w:t>
      </w:r>
      <w:r>
        <w:t>Parental Leave Pay</w:t>
      </w:r>
      <w:r w:rsidR="00595A06">
        <w:t>,</w:t>
      </w:r>
      <w:r>
        <w:t xml:space="preserve"> </w:t>
      </w:r>
      <w:proofErr w:type="spellStart"/>
      <w:r w:rsidR="00763B34" w:rsidRPr="00763B34">
        <w:t>Centrelink</w:t>
      </w:r>
      <w:proofErr w:type="spellEnd"/>
      <w:r w:rsidR="00763B34" w:rsidRPr="00763B34">
        <w:t xml:space="preserve"> </w:t>
      </w:r>
      <w:r w:rsidR="003608EA">
        <w:t>transfers funding amount</w:t>
      </w:r>
      <w:r w:rsidR="00595A06">
        <w:t>s</w:t>
      </w:r>
      <w:r w:rsidR="00763B34" w:rsidRPr="00763B34">
        <w:t xml:space="preserve"> to the employer</w:t>
      </w:r>
      <w:r w:rsidR="00595A06">
        <w:t xml:space="preserve"> before the employer is required to provide the pay</w:t>
      </w:r>
      <w:r w:rsidR="00A75B5D">
        <w:t xml:space="preserve">. </w:t>
      </w:r>
      <w:r w:rsidR="00595A06">
        <w:t xml:space="preserve"> T</w:t>
      </w:r>
      <w:r w:rsidR="00763B34" w:rsidRPr="00763B34">
        <w:t xml:space="preserve">he employer will receive a notice </w:t>
      </w:r>
      <w:r>
        <w:t xml:space="preserve">in respect of each </w:t>
      </w:r>
      <w:r w:rsidR="003608EA">
        <w:t xml:space="preserve">funding amount </w:t>
      </w:r>
      <w:r w:rsidR="00763B34" w:rsidRPr="00763B34">
        <w:t>that includes:</w:t>
      </w:r>
    </w:p>
    <w:p w:rsidR="00763B34" w:rsidRPr="00763B34" w:rsidRDefault="00763B34" w:rsidP="00763B34">
      <w:pPr>
        <w:pStyle w:val="ListParagraph"/>
        <w:numPr>
          <w:ilvl w:val="0"/>
          <w:numId w:val="40"/>
        </w:numPr>
        <w:autoSpaceDE w:val="0"/>
        <w:autoSpaceDN w:val="0"/>
        <w:adjustRightInd w:val="0"/>
      </w:pPr>
      <w:r w:rsidRPr="00763B34">
        <w:t>the name of the person to whom Parental Leave Pay is to be paid</w:t>
      </w:r>
    </w:p>
    <w:p w:rsidR="00763B34" w:rsidRPr="00763B34" w:rsidRDefault="00763B34" w:rsidP="00763B34">
      <w:pPr>
        <w:pStyle w:val="ListParagraph"/>
        <w:numPr>
          <w:ilvl w:val="0"/>
          <w:numId w:val="40"/>
        </w:numPr>
        <w:autoSpaceDE w:val="0"/>
        <w:autoSpaceDN w:val="0"/>
        <w:adjustRightInd w:val="0"/>
      </w:pPr>
      <w:r w:rsidRPr="00763B34">
        <w:t xml:space="preserve">the gross funding amount sent to the employer for the </w:t>
      </w:r>
      <w:r w:rsidR="003608EA">
        <w:t>employee</w:t>
      </w:r>
    </w:p>
    <w:p w:rsidR="00763B34" w:rsidRPr="00763B34" w:rsidRDefault="00763B34" w:rsidP="00763B34">
      <w:pPr>
        <w:pStyle w:val="ListParagraph"/>
        <w:numPr>
          <w:ilvl w:val="0"/>
          <w:numId w:val="40"/>
        </w:numPr>
        <w:autoSpaceDE w:val="0"/>
        <w:autoSpaceDN w:val="0"/>
        <w:adjustRightInd w:val="0"/>
      </w:pPr>
      <w:r w:rsidRPr="00763B34">
        <w:t xml:space="preserve">any change to the rate of Parental Leave Pay payable to the </w:t>
      </w:r>
      <w:r w:rsidR="003608EA">
        <w:t>employee</w:t>
      </w:r>
    </w:p>
    <w:p w:rsidR="00763B34" w:rsidRPr="00763B34" w:rsidRDefault="00763B34" w:rsidP="00763B34">
      <w:pPr>
        <w:pStyle w:val="ListParagraph"/>
        <w:numPr>
          <w:ilvl w:val="0"/>
          <w:numId w:val="40"/>
        </w:numPr>
        <w:autoSpaceDE w:val="0"/>
        <w:autoSpaceDN w:val="0"/>
        <w:adjustRightInd w:val="0"/>
      </w:pPr>
      <w:proofErr w:type="gramStart"/>
      <w:r w:rsidRPr="00763B34">
        <w:t>the</w:t>
      </w:r>
      <w:proofErr w:type="gramEnd"/>
      <w:r w:rsidRPr="00763B34">
        <w:t xml:space="preserve"> period to which the </w:t>
      </w:r>
      <w:r w:rsidR="003608EA">
        <w:t xml:space="preserve">funding </w:t>
      </w:r>
      <w:r w:rsidRPr="00763B34">
        <w:t>amount relates.</w:t>
      </w:r>
    </w:p>
    <w:p w:rsidR="00343967" w:rsidRDefault="00343967" w:rsidP="007C4C56">
      <w:pPr>
        <w:autoSpaceDE w:val="0"/>
        <w:autoSpaceDN w:val="0"/>
        <w:adjustRightInd w:val="0"/>
      </w:pPr>
    </w:p>
    <w:p w:rsidR="00763B34" w:rsidRPr="00D23074" w:rsidRDefault="00763B34" w:rsidP="00B56206">
      <w:pPr>
        <w:pStyle w:val="Heading2"/>
      </w:pPr>
      <w:r w:rsidRPr="00D23074">
        <w:t>Employer Obligations</w:t>
      </w:r>
    </w:p>
    <w:p w:rsidR="00763B34" w:rsidRPr="0044611B" w:rsidRDefault="00763B34" w:rsidP="0044611B">
      <w:pPr>
        <w:autoSpaceDE w:val="0"/>
        <w:autoSpaceDN w:val="0"/>
        <w:adjustRightInd w:val="0"/>
      </w:pPr>
      <w:r w:rsidRPr="0044611B">
        <w:t>A</w:t>
      </w:r>
      <w:r w:rsidR="007B66F7">
        <w:t>n employer must satisfy</w:t>
      </w:r>
      <w:r w:rsidR="003608EA">
        <w:t xml:space="preserve"> the following </w:t>
      </w:r>
      <w:r w:rsidR="0084250A">
        <w:t xml:space="preserve">set of eight </w:t>
      </w:r>
      <w:r w:rsidR="007B66F7">
        <w:t xml:space="preserve">obligations in relation to </w:t>
      </w:r>
      <w:r w:rsidRPr="0044611B">
        <w:t>providing Parental Leave Pay to their employee</w:t>
      </w:r>
      <w:r w:rsidR="00792655">
        <w:t>s</w:t>
      </w:r>
      <w:r w:rsidR="0044611B">
        <w:t>:</w:t>
      </w:r>
    </w:p>
    <w:p w:rsidR="0084250A" w:rsidRPr="0080460C" w:rsidRDefault="0084250A" w:rsidP="0084250A">
      <w:pPr>
        <w:numPr>
          <w:ilvl w:val="0"/>
          <w:numId w:val="42"/>
        </w:numPr>
        <w:spacing w:before="60" w:after="60"/>
        <w:ind w:hanging="357"/>
        <w:rPr>
          <w:lang w:val="en"/>
        </w:rPr>
      </w:pPr>
      <w:r w:rsidRPr="0080460C">
        <w:t xml:space="preserve">The employer </w:t>
      </w:r>
      <w:r w:rsidR="00ED06CB">
        <w:t>to</w:t>
      </w:r>
      <w:r w:rsidR="00ED06CB" w:rsidRPr="0080460C">
        <w:t xml:space="preserve"> </w:t>
      </w:r>
      <w:r w:rsidRPr="0080460C">
        <w:t xml:space="preserve">provide required details to </w:t>
      </w:r>
      <w:proofErr w:type="spellStart"/>
      <w:r w:rsidRPr="0080460C">
        <w:t>Centrelink</w:t>
      </w:r>
      <w:proofErr w:type="spellEnd"/>
      <w:r w:rsidRPr="0080460C">
        <w:t xml:space="preserve"> so </w:t>
      </w:r>
      <w:r>
        <w:t>that funds</w:t>
      </w:r>
      <w:r w:rsidRPr="0080460C">
        <w:t xml:space="preserve"> can be advanced to the employer.</w:t>
      </w:r>
      <w:r w:rsidR="001C320D">
        <w:t xml:space="preserve"> </w:t>
      </w:r>
      <w:r w:rsidRPr="0080460C">
        <w:rPr>
          <w:lang w:val="en"/>
        </w:rPr>
        <w:t>Employers will need to provide the following information:</w:t>
      </w:r>
    </w:p>
    <w:p w:rsidR="0084250A" w:rsidRPr="0080460C" w:rsidRDefault="0084250A" w:rsidP="0084250A">
      <w:pPr>
        <w:numPr>
          <w:ilvl w:val="1"/>
          <w:numId w:val="42"/>
        </w:numPr>
        <w:spacing w:before="60" w:after="60"/>
        <w:ind w:hanging="357"/>
        <w:rPr>
          <w:lang w:val="en"/>
        </w:rPr>
      </w:pPr>
      <w:r w:rsidRPr="0080460C">
        <w:rPr>
          <w:lang w:val="en"/>
        </w:rPr>
        <w:t>the employer’s acceptance of the obligation to provide Parental Leave Pay to their employee</w:t>
      </w:r>
    </w:p>
    <w:p w:rsidR="0084250A" w:rsidRPr="0080460C" w:rsidRDefault="0084250A" w:rsidP="0084250A">
      <w:pPr>
        <w:numPr>
          <w:ilvl w:val="1"/>
          <w:numId w:val="42"/>
        </w:numPr>
        <w:spacing w:before="60" w:after="60"/>
        <w:rPr>
          <w:lang w:val="en"/>
        </w:rPr>
      </w:pPr>
      <w:r w:rsidRPr="0080460C">
        <w:rPr>
          <w:lang w:val="en"/>
        </w:rPr>
        <w:t>confirmation of the employer’s business name, ABN and contact details (all provided by the employee on the claim form)</w:t>
      </w:r>
    </w:p>
    <w:p w:rsidR="0084250A" w:rsidRPr="0080460C" w:rsidRDefault="0084250A" w:rsidP="0084250A">
      <w:pPr>
        <w:numPr>
          <w:ilvl w:val="1"/>
          <w:numId w:val="42"/>
        </w:numPr>
        <w:spacing w:before="60" w:after="60"/>
        <w:rPr>
          <w:lang w:val="en"/>
        </w:rPr>
      </w:pPr>
      <w:r w:rsidRPr="0080460C">
        <w:rPr>
          <w:lang w:val="en"/>
        </w:rPr>
        <w:t>the employer’s bank account details</w:t>
      </w:r>
    </w:p>
    <w:p w:rsidR="0084250A" w:rsidRPr="0080460C" w:rsidRDefault="0084250A" w:rsidP="0084250A">
      <w:pPr>
        <w:numPr>
          <w:ilvl w:val="1"/>
          <w:numId w:val="42"/>
        </w:numPr>
        <w:spacing w:before="60" w:after="60"/>
        <w:ind w:hanging="357"/>
        <w:rPr>
          <w:lang w:val="en"/>
        </w:rPr>
      </w:pPr>
      <w:proofErr w:type="gramStart"/>
      <w:r w:rsidRPr="0080460C">
        <w:rPr>
          <w:lang w:val="en"/>
        </w:rPr>
        <w:t>the</w:t>
      </w:r>
      <w:proofErr w:type="gramEnd"/>
      <w:r w:rsidRPr="0080460C">
        <w:rPr>
          <w:lang w:val="en"/>
        </w:rPr>
        <w:t xml:space="preserve"> employee’s pay cycle details.</w:t>
      </w:r>
    </w:p>
    <w:p w:rsidR="0084250A" w:rsidRPr="0080460C" w:rsidRDefault="0084250A" w:rsidP="0084250A">
      <w:pPr>
        <w:numPr>
          <w:ilvl w:val="0"/>
          <w:numId w:val="42"/>
        </w:numPr>
        <w:spacing w:before="60" w:after="60"/>
        <w:ind w:hanging="357"/>
      </w:pPr>
      <w:r w:rsidRPr="0080460C">
        <w:t xml:space="preserve">The employer </w:t>
      </w:r>
      <w:r w:rsidR="00ED06CB">
        <w:t>to</w:t>
      </w:r>
      <w:r w:rsidR="00ED06CB" w:rsidRPr="0080460C">
        <w:t xml:space="preserve"> </w:t>
      </w:r>
      <w:r w:rsidRPr="0080460C">
        <w:t>provide Parental Leave Pay to the employee for the Paid Parental Leave period in accordance with the employee’s normal pay cycle.</w:t>
      </w:r>
    </w:p>
    <w:p w:rsidR="0084250A" w:rsidRPr="0084250A" w:rsidRDefault="0084250A" w:rsidP="0084250A">
      <w:pPr>
        <w:numPr>
          <w:ilvl w:val="0"/>
          <w:numId w:val="42"/>
        </w:numPr>
        <w:spacing w:before="60" w:after="60"/>
      </w:pPr>
      <w:r w:rsidRPr="0080460C">
        <w:t xml:space="preserve">The employer </w:t>
      </w:r>
      <w:r w:rsidR="00ED06CB">
        <w:t>to</w:t>
      </w:r>
      <w:r w:rsidR="00ED06CB" w:rsidRPr="0080460C">
        <w:t xml:space="preserve"> </w:t>
      </w:r>
      <w:r w:rsidRPr="0080460C">
        <w:t xml:space="preserve">withhold tax from the Parental Leave Pay under the usual PAYG withholding arrangements and include Parental Leave Pay in the total amounts on the employee’s annual </w:t>
      </w:r>
      <w:r>
        <w:t>or</w:t>
      </w:r>
      <w:r w:rsidRPr="0084250A">
        <w:t xml:space="preserve"> part-year payment summary.</w:t>
      </w:r>
    </w:p>
    <w:p w:rsidR="0084250A" w:rsidRPr="0084250A" w:rsidRDefault="0084250A" w:rsidP="0084250A">
      <w:pPr>
        <w:numPr>
          <w:ilvl w:val="0"/>
          <w:numId w:val="42"/>
        </w:numPr>
        <w:spacing w:before="60" w:after="60"/>
        <w:ind w:left="714" w:hanging="357"/>
      </w:pPr>
      <w:r w:rsidRPr="0084250A">
        <w:t xml:space="preserve">The employer </w:t>
      </w:r>
      <w:r w:rsidR="00ED06CB">
        <w:t>to</w:t>
      </w:r>
      <w:r w:rsidR="00ED06CB" w:rsidRPr="0084250A">
        <w:t xml:space="preserve"> </w:t>
      </w:r>
      <w:r w:rsidRPr="0084250A">
        <w:t>provide the employee with access to a record of their Parental Leave Pay – usually a pay slip.</w:t>
      </w:r>
    </w:p>
    <w:p w:rsidR="0084250A" w:rsidRPr="0084250A" w:rsidRDefault="0084250A" w:rsidP="0084250A">
      <w:pPr>
        <w:numPr>
          <w:ilvl w:val="0"/>
          <w:numId w:val="42"/>
        </w:numPr>
        <w:spacing w:before="60" w:after="60"/>
        <w:ind w:left="714" w:hanging="357"/>
      </w:pPr>
      <w:r w:rsidRPr="0084250A">
        <w:t xml:space="preserve">The employer </w:t>
      </w:r>
      <w:r w:rsidR="00ED06CB">
        <w:t>to</w:t>
      </w:r>
      <w:r w:rsidR="00ED06CB" w:rsidRPr="0084250A">
        <w:t xml:space="preserve"> </w:t>
      </w:r>
      <w:r w:rsidRPr="0084250A">
        <w:t xml:space="preserve">keep written financial records of receipt of Paid Parental Leave funds from </w:t>
      </w:r>
      <w:proofErr w:type="spellStart"/>
      <w:r w:rsidRPr="0084250A">
        <w:t>Centrelink</w:t>
      </w:r>
      <w:proofErr w:type="spellEnd"/>
      <w:r w:rsidRPr="0084250A">
        <w:t xml:space="preserve"> and of the Parental Leave Pay paid to an employee. </w:t>
      </w:r>
    </w:p>
    <w:p w:rsidR="0084250A" w:rsidRPr="0084250A" w:rsidRDefault="0084250A" w:rsidP="0084250A">
      <w:pPr>
        <w:numPr>
          <w:ilvl w:val="0"/>
          <w:numId w:val="42"/>
        </w:numPr>
        <w:spacing w:before="60" w:after="60"/>
        <w:ind w:hanging="357"/>
      </w:pPr>
      <w:r w:rsidRPr="0084250A">
        <w:t xml:space="preserve">The employer </w:t>
      </w:r>
      <w:r w:rsidR="00ED06CB">
        <w:t>to</w:t>
      </w:r>
      <w:r w:rsidR="00ED06CB" w:rsidRPr="0084250A">
        <w:t xml:space="preserve"> </w:t>
      </w:r>
      <w:r w:rsidRPr="0084250A">
        <w:t xml:space="preserve">notify </w:t>
      </w:r>
      <w:proofErr w:type="spellStart"/>
      <w:r w:rsidRPr="0084250A">
        <w:t>Centrelink</w:t>
      </w:r>
      <w:proofErr w:type="spellEnd"/>
      <w:r w:rsidRPr="0084250A">
        <w:t>:</w:t>
      </w:r>
    </w:p>
    <w:p w:rsidR="0084250A" w:rsidRPr="0084250A" w:rsidRDefault="0084250A" w:rsidP="0084250A">
      <w:pPr>
        <w:numPr>
          <w:ilvl w:val="1"/>
          <w:numId w:val="42"/>
        </w:numPr>
        <w:spacing w:before="60" w:after="60"/>
        <w:ind w:hanging="357"/>
      </w:pPr>
      <w:r w:rsidRPr="0084250A">
        <w:t>if and when an employee returns to work before or during their Paid Parental Leave period</w:t>
      </w:r>
    </w:p>
    <w:p w:rsidR="0084250A" w:rsidRPr="0084250A" w:rsidRDefault="0084250A" w:rsidP="0084250A">
      <w:pPr>
        <w:numPr>
          <w:ilvl w:val="1"/>
          <w:numId w:val="42"/>
        </w:numPr>
        <w:spacing w:before="60" w:after="60"/>
      </w:pPr>
      <w:r w:rsidRPr="0084250A">
        <w:t>if and when an employee is no longer employed by the employer</w:t>
      </w:r>
    </w:p>
    <w:p w:rsidR="0084250A" w:rsidRPr="0084250A" w:rsidRDefault="0084250A" w:rsidP="0084250A">
      <w:pPr>
        <w:numPr>
          <w:ilvl w:val="1"/>
          <w:numId w:val="42"/>
        </w:numPr>
        <w:spacing w:before="60" w:after="60"/>
      </w:pPr>
      <w:r w:rsidRPr="0084250A">
        <w:t>if the employer changes their bank account details or employee’s pay cycle</w:t>
      </w:r>
    </w:p>
    <w:p w:rsidR="0084250A" w:rsidRPr="0084250A" w:rsidRDefault="0084250A" w:rsidP="0084250A">
      <w:pPr>
        <w:numPr>
          <w:ilvl w:val="1"/>
          <w:numId w:val="42"/>
        </w:numPr>
        <w:spacing w:before="60" w:after="60"/>
        <w:ind w:hanging="357"/>
      </w:pPr>
      <w:proofErr w:type="gramStart"/>
      <w:r w:rsidRPr="0084250A">
        <w:t>if</w:t>
      </w:r>
      <w:proofErr w:type="gramEnd"/>
      <w:r w:rsidRPr="0084250A">
        <w:t xml:space="preserve"> the employer has been advanced incorrect Paid Parental Leave funds by </w:t>
      </w:r>
      <w:proofErr w:type="spellStart"/>
      <w:r w:rsidRPr="0084250A">
        <w:t>Centrelink</w:t>
      </w:r>
      <w:proofErr w:type="spellEnd"/>
      <w:r w:rsidRPr="0084250A">
        <w:t>, or if the employer is unable to provide Parental Leave Pay to the employee.</w:t>
      </w:r>
    </w:p>
    <w:p w:rsidR="0084250A" w:rsidRPr="0084250A" w:rsidRDefault="00595A06" w:rsidP="0084250A">
      <w:pPr>
        <w:numPr>
          <w:ilvl w:val="0"/>
          <w:numId w:val="42"/>
        </w:numPr>
        <w:spacing w:before="60" w:after="60"/>
        <w:ind w:hanging="357"/>
      </w:pPr>
      <w:r>
        <w:t>The e</w:t>
      </w:r>
      <w:r w:rsidR="0084250A" w:rsidRPr="0084250A">
        <w:t xml:space="preserve">mployer </w:t>
      </w:r>
      <w:r w:rsidR="00ED06CB">
        <w:t>to</w:t>
      </w:r>
      <w:r w:rsidR="00ED06CB" w:rsidRPr="0084250A">
        <w:t xml:space="preserve"> </w:t>
      </w:r>
      <w:r w:rsidR="0084250A" w:rsidRPr="0084250A">
        <w:t xml:space="preserve">return any unpaid Paid Parental Leave funds to </w:t>
      </w:r>
      <w:proofErr w:type="spellStart"/>
      <w:r w:rsidR="0084250A" w:rsidRPr="0084250A">
        <w:t>Centrelink</w:t>
      </w:r>
      <w:proofErr w:type="spellEnd"/>
      <w:r w:rsidR="0084250A" w:rsidRPr="0084250A">
        <w:t xml:space="preserve">. </w:t>
      </w:r>
    </w:p>
    <w:p w:rsidR="0084250A" w:rsidRPr="0084250A" w:rsidRDefault="00595A06" w:rsidP="0084250A">
      <w:pPr>
        <w:numPr>
          <w:ilvl w:val="0"/>
          <w:numId w:val="42"/>
        </w:numPr>
        <w:spacing w:before="60" w:after="60"/>
      </w:pPr>
      <w:r>
        <w:t>The e</w:t>
      </w:r>
      <w:r w:rsidR="0084250A" w:rsidRPr="0084250A">
        <w:t xml:space="preserve">mployer </w:t>
      </w:r>
      <w:r w:rsidR="00ED06CB">
        <w:t>to</w:t>
      </w:r>
      <w:r w:rsidR="00ED06CB" w:rsidRPr="0084250A">
        <w:t xml:space="preserve"> </w:t>
      </w:r>
      <w:r w:rsidR="0084250A" w:rsidRPr="0084250A">
        <w:t xml:space="preserve">notify </w:t>
      </w:r>
      <w:proofErr w:type="spellStart"/>
      <w:r w:rsidR="0084250A" w:rsidRPr="0084250A">
        <w:t>Centrelink</w:t>
      </w:r>
      <w:proofErr w:type="spellEnd"/>
      <w:r w:rsidR="0084250A" w:rsidRPr="0084250A">
        <w:t xml:space="preserve"> in advance of ceasing to trade, selling the business, transferring ownership or merging with another business.</w:t>
      </w:r>
    </w:p>
    <w:p w:rsidR="0084250A" w:rsidRDefault="0084250A" w:rsidP="0084250A">
      <w:pPr>
        <w:ind w:left="720"/>
        <w:rPr>
          <w:rFonts w:ascii="Arial" w:hAnsi="Arial" w:cs="Arial"/>
        </w:rPr>
      </w:pPr>
    </w:p>
    <w:p w:rsidR="00792655" w:rsidRDefault="00792655" w:rsidP="005F3925">
      <w:r>
        <w:t>The scheme was developed and implemented in consultation with employers.</w:t>
      </w:r>
      <w:r w:rsidR="001C320D">
        <w:t xml:space="preserve"> </w:t>
      </w:r>
      <w:r>
        <w:t>The following features are designed to ensure the employer role in the scheme is as beneficial and straightforward as possible for employers</w:t>
      </w:r>
      <w:r w:rsidR="00941A1F">
        <w:t>.</w:t>
      </w:r>
    </w:p>
    <w:p w:rsidR="00792655" w:rsidRDefault="00792655" w:rsidP="005F3925"/>
    <w:p w:rsidR="00564EA6" w:rsidRDefault="00564EA6" w:rsidP="00564EA6">
      <w:pPr>
        <w:pStyle w:val="ListParagraph"/>
        <w:numPr>
          <w:ilvl w:val="0"/>
          <w:numId w:val="40"/>
        </w:numPr>
        <w:autoSpaceDE w:val="0"/>
        <w:autoSpaceDN w:val="0"/>
        <w:adjustRightInd w:val="0"/>
      </w:pPr>
      <w:r>
        <w:t xml:space="preserve">Employers are not involved in the assessment of their employee’s eligibility, </w:t>
      </w:r>
      <w:proofErr w:type="spellStart"/>
      <w:r>
        <w:t>eg</w:t>
      </w:r>
      <w:proofErr w:type="spellEnd"/>
      <w:r>
        <w:t>.</w:t>
      </w:r>
      <w:r w:rsidR="001F00A4">
        <w:t xml:space="preserve"> </w:t>
      </w:r>
      <w:proofErr w:type="gramStart"/>
      <w:r w:rsidR="001F00A4">
        <w:t>employers</w:t>
      </w:r>
      <w:proofErr w:type="gramEnd"/>
      <w:r w:rsidR="001F00A4">
        <w:t xml:space="preserve"> are not required t</w:t>
      </w:r>
      <w:r>
        <w:t xml:space="preserve">o verify </w:t>
      </w:r>
      <w:r w:rsidR="001F00A4">
        <w:t>their employee</w:t>
      </w:r>
      <w:r w:rsidR="009417A6">
        <w:t>s</w:t>
      </w:r>
      <w:r w:rsidR="001F00A4">
        <w:t>’</w:t>
      </w:r>
      <w:r w:rsidR="009417A6">
        <w:t xml:space="preserve"> work history</w:t>
      </w:r>
      <w:r>
        <w:t>.</w:t>
      </w:r>
    </w:p>
    <w:p w:rsidR="00792655" w:rsidRDefault="00792655" w:rsidP="00564EA6">
      <w:pPr>
        <w:pStyle w:val="ListParagraph"/>
        <w:numPr>
          <w:ilvl w:val="0"/>
          <w:numId w:val="40"/>
        </w:numPr>
        <w:autoSpaceDE w:val="0"/>
        <w:autoSpaceDN w:val="0"/>
        <w:adjustRightInd w:val="0"/>
      </w:pPr>
      <w:r>
        <w:t>Employers are only required to provide Parental Leave Pay to their eligible long-term employees.</w:t>
      </w:r>
    </w:p>
    <w:p w:rsidR="00792655" w:rsidRDefault="00564EA6" w:rsidP="00564EA6">
      <w:pPr>
        <w:pStyle w:val="ListParagraph"/>
        <w:numPr>
          <w:ilvl w:val="0"/>
          <w:numId w:val="40"/>
        </w:numPr>
        <w:autoSpaceDE w:val="0"/>
        <w:autoSpaceDN w:val="0"/>
        <w:adjustRightInd w:val="0"/>
      </w:pPr>
      <w:r>
        <w:t xml:space="preserve">Employers are </w:t>
      </w:r>
      <w:r w:rsidR="001F00A4">
        <w:t>only</w:t>
      </w:r>
      <w:r>
        <w:t xml:space="preserve"> required to provide Parental Leave Pay to a</w:t>
      </w:r>
      <w:r w:rsidR="001F00A4">
        <w:t>n employee</w:t>
      </w:r>
      <w:r>
        <w:t xml:space="preserve"> who will receive </w:t>
      </w:r>
      <w:r w:rsidR="001F00A4">
        <w:t>eight weeks or more of pay</w:t>
      </w:r>
      <w:r>
        <w:t>.</w:t>
      </w:r>
    </w:p>
    <w:p w:rsidR="00564EA6" w:rsidRDefault="00564EA6" w:rsidP="00564EA6">
      <w:pPr>
        <w:pStyle w:val="ListParagraph"/>
        <w:numPr>
          <w:ilvl w:val="0"/>
          <w:numId w:val="40"/>
        </w:numPr>
        <w:autoSpaceDE w:val="0"/>
        <w:autoSpaceDN w:val="0"/>
        <w:adjustRightInd w:val="0"/>
      </w:pPr>
      <w:r>
        <w:t xml:space="preserve">Employers do not have to provide Parental Leave Pay to their employee until after they have received the funds from </w:t>
      </w:r>
      <w:proofErr w:type="spellStart"/>
      <w:r>
        <w:t>Centrelink</w:t>
      </w:r>
      <w:proofErr w:type="spellEnd"/>
      <w:r>
        <w:t>.</w:t>
      </w:r>
    </w:p>
    <w:p w:rsidR="00564EA6" w:rsidRDefault="00564EA6" w:rsidP="00564EA6">
      <w:pPr>
        <w:pStyle w:val="ListParagraph"/>
        <w:numPr>
          <w:ilvl w:val="0"/>
          <w:numId w:val="40"/>
        </w:numPr>
        <w:autoSpaceDE w:val="0"/>
        <w:autoSpaceDN w:val="0"/>
        <w:adjustRightInd w:val="0"/>
      </w:pPr>
      <w:r>
        <w:t>Employers do not need a separate bank account for Paid Parental Leave funds.</w:t>
      </w:r>
    </w:p>
    <w:p w:rsidR="00564EA6" w:rsidRDefault="00564EA6" w:rsidP="00564EA6">
      <w:pPr>
        <w:pStyle w:val="ListParagraph"/>
        <w:numPr>
          <w:ilvl w:val="0"/>
          <w:numId w:val="40"/>
        </w:numPr>
        <w:autoSpaceDE w:val="0"/>
        <w:autoSpaceDN w:val="0"/>
        <w:adjustRightInd w:val="0"/>
      </w:pPr>
      <w:r>
        <w:t xml:space="preserve">Paid Parental Leave funds </w:t>
      </w:r>
      <w:r w:rsidR="009417A6">
        <w:t>are</w:t>
      </w:r>
      <w:r>
        <w:t xml:space="preserve"> treated in the same way as income to the business</w:t>
      </w:r>
      <w:r w:rsidR="001F00A4">
        <w:t>, rather than public monies</w:t>
      </w:r>
      <w:r>
        <w:t>.</w:t>
      </w:r>
    </w:p>
    <w:p w:rsidR="00564EA6" w:rsidRDefault="00564EA6" w:rsidP="00564EA6">
      <w:pPr>
        <w:pStyle w:val="ListParagraph"/>
        <w:numPr>
          <w:ilvl w:val="0"/>
          <w:numId w:val="40"/>
        </w:numPr>
        <w:autoSpaceDE w:val="0"/>
        <w:autoSpaceDN w:val="0"/>
        <w:adjustRightInd w:val="0"/>
      </w:pPr>
      <w:r>
        <w:t>Paid Parental Leave funds do not need to be separately identified in annual financial statements.</w:t>
      </w:r>
    </w:p>
    <w:p w:rsidR="00564EA6" w:rsidRDefault="00564EA6" w:rsidP="00564EA6">
      <w:pPr>
        <w:pStyle w:val="ListParagraph"/>
        <w:numPr>
          <w:ilvl w:val="0"/>
          <w:numId w:val="40"/>
        </w:numPr>
        <w:autoSpaceDE w:val="0"/>
        <w:autoSpaceDN w:val="0"/>
        <w:adjustRightInd w:val="0"/>
      </w:pPr>
      <w:r>
        <w:t>Employers are not required to make superannuation contributions in respect of Parental Leave Pay, although they may do so if they wish.</w:t>
      </w:r>
    </w:p>
    <w:p w:rsidR="00564EA6" w:rsidRDefault="00564EA6" w:rsidP="00564EA6">
      <w:pPr>
        <w:pStyle w:val="ListParagraph"/>
        <w:numPr>
          <w:ilvl w:val="0"/>
          <w:numId w:val="40"/>
        </w:numPr>
        <w:autoSpaceDE w:val="0"/>
        <w:autoSpaceDN w:val="0"/>
        <w:adjustRightInd w:val="0"/>
      </w:pPr>
      <w:r>
        <w:t>Parental Leave Pay does not result in the accrual of any additional leave entitlements.</w:t>
      </w:r>
    </w:p>
    <w:p w:rsidR="00564EA6" w:rsidRDefault="00564EA6" w:rsidP="00564EA6">
      <w:pPr>
        <w:pStyle w:val="ListParagraph"/>
        <w:numPr>
          <w:ilvl w:val="0"/>
          <w:numId w:val="40"/>
        </w:numPr>
        <w:autoSpaceDE w:val="0"/>
        <w:autoSpaceDN w:val="0"/>
        <w:adjustRightInd w:val="0"/>
      </w:pPr>
      <w:r>
        <w:t xml:space="preserve">Employers are not required to provide </w:t>
      </w:r>
      <w:proofErr w:type="spellStart"/>
      <w:r>
        <w:t>Centrelink</w:t>
      </w:r>
      <w:proofErr w:type="spellEnd"/>
      <w:r>
        <w:t xml:space="preserve"> with any regular reports in relation to the scheme.</w:t>
      </w:r>
    </w:p>
    <w:p w:rsidR="00564EA6" w:rsidRDefault="009417A6" w:rsidP="00564EA6">
      <w:pPr>
        <w:pStyle w:val="ListParagraph"/>
        <w:numPr>
          <w:ilvl w:val="0"/>
          <w:numId w:val="40"/>
        </w:numPr>
        <w:autoSpaceDE w:val="0"/>
        <w:autoSpaceDN w:val="0"/>
        <w:adjustRightInd w:val="0"/>
      </w:pPr>
      <w:r>
        <w:t>Parental Leave P</w:t>
      </w:r>
      <w:r w:rsidR="00564EA6">
        <w:t>ay does not give rise to additional workers compensation premiums.</w:t>
      </w:r>
    </w:p>
    <w:p w:rsidR="00564EA6" w:rsidRDefault="00564EA6" w:rsidP="005F3925">
      <w:pPr>
        <w:pStyle w:val="ListParagraph"/>
        <w:numPr>
          <w:ilvl w:val="0"/>
          <w:numId w:val="40"/>
        </w:numPr>
        <w:autoSpaceDE w:val="0"/>
        <w:autoSpaceDN w:val="0"/>
        <w:adjustRightInd w:val="0"/>
      </w:pPr>
      <w:r>
        <w:t xml:space="preserve">Parental Leave Pay is not subject to payroll tax. </w:t>
      </w:r>
    </w:p>
    <w:p w:rsidR="002C0E35" w:rsidRDefault="002C0E35" w:rsidP="002C0E35">
      <w:pPr>
        <w:rPr>
          <w:rFonts w:ascii="Arial" w:hAnsi="Arial" w:cs="Arial"/>
          <w:b/>
          <w:bCs/>
          <w:iCs/>
          <w:sz w:val="28"/>
          <w:szCs w:val="28"/>
        </w:rPr>
      </w:pPr>
    </w:p>
    <w:p w:rsidR="00666A59" w:rsidRPr="00D23074" w:rsidRDefault="00666A59" w:rsidP="00B56206">
      <w:pPr>
        <w:pStyle w:val="Heading2"/>
      </w:pPr>
      <w:r>
        <w:t>More information</w:t>
      </w:r>
    </w:p>
    <w:p w:rsidR="00666A59" w:rsidRDefault="00666A59" w:rsidP="002C0E35">
      <w:pPr>
        <w:rPr>
          <w:rFonts w:ascii="Arial" w:hAnsi="Arial" w:cs="Arial"/>
          <w:b/>
          <w:bCs/>
          <w:iCs/>
          <w:sz w:val="28"/>
          <w:szCs w:val="28"/>
        </w:rPr>
      </w:pPr>
      <w:r>
        <w:t xml:space="preserve">More information about the employer role in the scheme is available from the </w:t>
      </w:r>
      <w:proofErr w:type="spellStart"/>
      <w:r>
        <w:t>Centrelink</w:t>
      </w:r>
      <w:proofErr w:type="spellEnd"/>
      <w:r>
        <w:t xml:space="preserve"> website at www.humanservices.gov.au.</w:t>
      </w:r>
    </w:p>
    <w:p w:rsidR="00666A59" w:rsidRDefault="00666A59" w:rsidP="002C0E35">
      <w:pPr>
        <w:rPr>
          <w:rFonts w:ascii="Arial" w:hAnsi="Arial" w:cs="Arial"/>
          <w:b/>
          <w:bCs/>
          <w:iCs/>
          <w:sz w:val="28"/>
          <w:szCs w:val="28"/>
        </w:rPr>
      </w:pPr>
    </w:p>
    <w:p w:rsidR="008D7811" w:rsidRPr="00D23074" w:rsidRDefault="002C0E35" w:rsidP="00B56206">
      <w:pPr>
        <w:pStyle w:val="Heading2"/>
      </w:pPr>
      <w:r>
        <w:t>E</w:t>
      </w:r>
      <w:r w:rsidR="008D7811" w:rsidRPr="00D23074">
        <w:t>mployer demographics</w:t>
      </w:r>
    </w:p>
    <w:p w:rsidR="00941A1F" w:rsidRDefault="000F1A50" w:rsidP="00343967">
      <w:r>
        <w:t xml:space="preserve">Since the commencement of Parental Leave Pay </w:t>
      </w:r>
      <w:r w:rsidR="00C53B42">
        <w:t xml:space="preserve">from </w:t>
      </w:r>
      <w:r>
        <w:t xml:space="preserve">1 January 2011 to </w:t>
      </w:r>
      <w:r w:rsidR="00C53B42">
        <w:t>31 December</w:t>
      </w:r>
      <w:r>
        <w:t> 2012</w:t>
      </w:r>
      <w:r w:rsidR="00941A1F">
        <w:t>:</w:t>
      </w:r>
      <w:r>
        <w:t xml:space="preserve"> </w:t>
      </w:r>
    </w:p>
    <w:p w:rsidR="00A75B5D" w:rsidRDefault="00A75B5D" w:rsidP="00343967"/>
    <w:p w:rsidR="00666A59" w:rsidRDefault="00A75B5D" w:rsidP="00A75B5D">
      <w:pPr>
        <w:pStyle w:val="ListParagraph"/>
        <w:numPr>
          <w:ilvl w:val="0"/>
          <w:numId w:val="47"/>
        </w:numPr>
      </w:pPr>
      <w:r>
        <w:t>m</w:t>
      </w:r>
      <w:r w:rsidR="009417A6">
        <w:t xml:space="preserve">ore than </w:t>
      </w:r>
      <w:r w:rsidR="000F1A50">
        <w:t>4</w:t>
      </w:r>
      <w:r w:rsidR="00C53B42">
        <w:t>3</w:t>
      </w:r>
      <w:r w:rsidR="000F1A50">
        <w:t xml:space="preserve">,000 businesses have registered to provide Parental Leave Pay to their </w:t>
      </w:r>
      <w:r w:rsidR="009417A6">
        <w:t xml:space="preserve">eligible </w:t>
      </w:r>
      <w:r w:rsidR="000F1A50">
        <w:t>employees</w:t>
      </w:r>
      <w:r w:rsidR="001C320D">
        <w:t xml:space="preserve"> </w:t>
      </w:r>
    </w:p>
    <w:p w:rsidR="00941A1F" w:rsidRDefault="00A75B5D" w:rsidP="00A75B5D">
      <w:pPr>
        <w:pStyle w:val="ListParagraph"/>
        <w:numPr>
          <w:ilvl w:val="0"/>
          <w:numId w:val="47"/>
        </w:numPr>
      </w:pPr>
      <w:r>
        <w:t>m</w:t>
      </w:r>
      <w:r w:rsidR="00941A1F">
        <w:t>ore than one in ten</w:t>
      </w:r>
      <w:r w:rsidR="000F1A50">
        <w:t xml:space="preserve"> businesses ha</w:t>
      </w:r>
      <w:r>
        <w:t>s</w:t>
      </w:r>
      <w:r w:rsidR="000F1A50">
        <w:t xml:space="preserve"> opted in to provide Parental Leave Pay to non-mandatory employees (such as those who have less than </w:t>
      </w:r>
      <w:r w:rsidR="009417A6">
        <w:t xml:space="preserve">12 </w:t>
      </w:r>
      <w:r w:rsidR="000F1A50">
        <w:t>months tenure with their organisation)</w:t>
      </w:r>
      <w:r w:rsidR="001C320D">
        <w:t xml:space="preserve"> </w:t>
      </w:r>
    </w:p>
    <w:p w:rsidR="000F1A50" w:rsidRDefault="00A75B5D" w:rsidP="00A75B5D">
      <w:pPr>
        <w:pStyle w:val="ListParagraph"/>
        <w:numPr>
          <w:ilvl w:val="0"/>
          <w:numId w:val="47"/>
        </w:numPr>
      </w:pPr>
      <w:r>
        <w:t>m</w:t>
      </w:r>
      <w:r w:rsidR="009417A6">
        <w:t xml:space="preserve">ore than </w:t>
      </w:r>
      <w:r w:rsidR="005715BB">
        <w:t>12</w:t>
      </w:r>
      <w:r w:rsidR="00AB3E76">
        <w:t>5</w:t>
      </w:r>
      <w:r w:rsidR="005715BB">
        <w:t xml:space="preserve">,000 employees have </w:t>
      </w:r>
      <w:r w:rsidR="009417A6">
        <w:t>received</w:t>
      </w:r>
      <w:r w:rsidR="005715BB">
        <w:t xml:space="preserve"> Parental </w:t>
      </w:r>
      <w:r w:rsidR="009417A6">
        <w:t>L</w:t>
      </w:r>
      <w:r w:rsidR="005715BB">
        <w:t xml:space="preserve">eave Pay </w:t>
      </w:r>
      <w:r w:rsidR="009417A6">
        <w:t>from</w:t>
      </w:r>
      <w:r w:rsidR="005715BB">
        <w:t xml:space="preserve"> their employer</w:t>
      </w:r>
    </w:p>
    <w:p w:rsidR="001367FD" w:rsidRDefault="00A75B5D" w:rsidP="00B56206">
      <w:pPr>
        <w:pStyle w:val="ListParagraph"/>
        <w:numPr>
          <w:ilvl w:val="0"/>
          <w:numId w:val="47"/>
        </w:numPr>
      </w:pPr>
      <w:proofErr w:type="gramStart"/>
      <w:r>
        <w:t>i</w:t>
      </w:r>
      <w:r w:rsidR="00941A1F">
        <w:t>n</w:t>
      </w:r>
      <w:proofErr w:type="gramEnd"/>
      <w:r w:rsidR="00941A1F">
        <w:t xml:space="preserve"> December 2012, 77 per cent of recipients were receiving their Parental Leave Pay from their employer.</w:t>
      </w:r>
      <w:r w:rsidR="00B56206">
        <w:rPr>
          <w:noProof/>
        </w:rPr>
        <w:t xml:space="preserve"> </w:t>
      </w:r>
    </w:p>
    <w:p w:rsidR="005115D5" w:rsidRDefault="0016100D" w:rsidP="00B56206">
      <w:pPr>
        <w:pStyle w:val="ListParagraph"/>
        <w:numPr>
          <w:ilvl w:val="0"/>
          <w:numId w:val="47"/>
        </w:numPr>
      </w:pPr>
      <w:bookmarkStart w:id="0" w:name="_GoBack"/>
      <w:bookmarkEnd w:id="0"/>
      <w:r>
        <w:rPr>
          <w:noProof/>
        </w:rPr>
        <w:drawing>
          <wp:inline distT="0" distB="0" distL="0" distR="0" wp14:anchorId="439B6A39" wp14:editId="3C46D790">
            <wp:extent cx="5224007" cy="3228230"/>
            <wp:effectExtent l="0" t="0" r="15240" b="10795"/>
            <wp:docPr id="2" name="Chart 2" descr="The data presented in this bar chart is for the period January 2011 to December 2012.&#10;&#10;Employer business size is shown along the horizontal axis. There are three categories for employer business size on this axis, being “small business”, “medium or large business” and “unknown size”. The vertical axis begins with zero per cent at the bottom and ends with one hundred per cent at the top. The scale for the vertical axis is in ten per cent increments.&#10;&#10;The graph has two sets of bars. The first set shows the percentage of employers who were providing Parental Leave Pay to their employees, for each category of business size. It shows that 48.6% of those employers were small businesses, 50.4% of those employers were medium or large businesses, and the remaining 1% of those employers were an unknown size.&#10;&#10;The second set of bars shows the percentage of all employees who were provided Parental Leave Pay by an employer in each of the three business size categories. It shows that 14.4% of those employees were provided Parental Leave Pay by an employer in the small business category. It shows that 84.6% of those employees were provided Parental Leave Pay by an employer in the medium or large business category. The remaining one per cent of those employees were provided Parental Leave Pay by an employer in the unknown size category.&#10;&#10;By comparing the two sets of bars in this graph, we see that although employers who provided Parental Leave Pay to employees during January 2011 to December 2012 are fairly evenly split between the small business and medium or large business size categories, the large majority of employees who were provided Parental Leave Pay during this time were provided Parental Leave Pay by employers in the medium or large business category.&#10;" title="Registered employers and Parental Leave Pay recipients by business siz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15D5" w:rsidRDefault="005115D5" w:rsidP="005115D5"/>
    <w:p w:rsidR="009417A6" w:rsidRDefault="00796FF5" w:rsidP="005115D5">
      <w:r>
        <w:t>Of all the industry sectors, nearly 40</w:t>
      </w:r>
      <w:r w:rsidR="009417A6">
        <w:t xml:space="preserve"> per cent</w:t>
      </w:r>
      <w:r>
        <w:t xml:space="preserve"> of businesses</w:t>
      </w:r>
      <w:r w:rsidR="009417A6">
        <w:t xml:space="preserve"> registered for the Paid Parental Leave scheme</w:t>
      </w:r>
      <w:r>
        <w:t xml:space="preserve"> belong in the following three sectors:</w:t>
      </w:r>
      <w:r w:rsidR="001C320D">
        <w:t xml:space="preserve"> </w:t>
      </w:r>
    </w:p>
    <w:p w:rsidR="009417A6" w:rsidRDefault="00796FF5" w:rsidP="009417A6">
      <w:pPr>
        <w:pStyle w:val="ListParagraph"/>
        <w:numPr>
          <w:ilvl w:val="0"/>
          <w:numId w:val="46"/>
        </w:numPr>
      </w:pPr>
      <w:r>
        <w:t xml:space="preserve">Professional, Scientific and Technical Services; </w:t>
      </w:r>
    </w:p>
    <w:p w:rsidR="009417A6" w:rsidRDefault="00796FF5" w:rsidP="009417A6">
      <w:pPr>
        <w:pStyle w:val="ListParagraph"/>
        <w:numPr>
          <w:ilvl w:val="0"/>
          <w:numId w:val="46"/>
        </w:numPr>
      </w:pPr>
      <w:r>
        <w:t xml:space="preserve">Health Care and Social Assistance; and </w:t>
      </w:r>
    </w:p>
    <w:p w:rsidR="00796FF5" w:rsidRDefault="00796FF5" w:rsidP="009417A6">
      <w:pPr>
        <w:pStyle w:val="ListParagraph"/>
        <w:numPr>
          <w:ilvl w:val="0"/>
          <w:numId w:val="46"/>
        </w:numPr>
      </w:pPr>
      <w:r>
        <w:t xml:space="preserve">Retail Trade. </w:t>
      </w:r>
    </w:p>
    <w:p w:rsidR="00796FF5" w:rsidRDefault="00796FF5" w:rsidP="00796FF5"/>
    <w:p w:rsidR="009417A6" w:rsidRDefault="00796FF5" w:rsidP="00796FF5">
      <w:r>
        <w:t xml:space="preserve">Of all the industry sectors, </w:t>
      </w:r>
      <w:r w:rsidR="009417A6">
        <w:t xml:space="preserve">more than </w:t>
      </w:r>
      <w:r>
        <w:t>40</w:t>
      </w:r>
      <w:r w:rsidR="009417A6">
        <w:t xml:space="preserve"> per cent</w:t>
      </w:r>
      <w:r>
        <w:t xml:space="preserve"> of employer-</w:t>
      </w:r>
      <w:r w:rsidR="009417A6">
        <w:t xml:space="preserve">provided </w:t>
      </w:r>
      <w:r>
        <w:t>Parental Leave Pay recipients work in the following three sectors:</w:t>
      </w:r>
    </w:p>
    <w:p w:rsidR="009417A6" w:rsidRDefault="00796FF5" w:rsidP="009417A6">
      <w:pPr>
        <w:pStyle w:val="ListParagraph"/>
        <w:numPr>
          <w:ilvl w:val="0"/>
          <w:numId w:val="46"/>
        </w:numPr>
      </w:pPr>
      <w:r>
        <w:t>Health Care and Social Assistance</w:t>
      </w:r>
    </w:p>
    <w:p w:rsidR="009417A6" w:rsidRDefault="00796FF5" w:rsidP="009417A6">
      <w:pPr>
        <w:pStyle w:val="ListParagraph"/>
        <w:numPr>
          <w:ilvl w:val="0"/>
          <w:numId w:val="46"/>
        </w:numPr>
      </w:pPr>
      <w:r>
        <w:t>Public Administration and Safety;</w:t>
      </w:r>
    </w:p>
    <w:p w:rsidR="00796FF5" w:rsidRDefault="00796FF5" w:rsidP="009417A6">
      <w:pPr>
        <w:pStyle w:val="ListParagraph"/>
        <w:numPr>
          <w:ilvl w:val="0"/>
          <w:numId w:val="46"/>
        </w:numPr>
      </w:pPr>
      <w:r>
        <w:t>Professional, Scientific and Technical Services.</w:t>
      </w:r>
    </w:p>
    <w:p w:rsidR="00796FF5" w:rsidRDefault="00796FF5"/>
    <w:p w:rsidR="00542AFE" w:rsidRDefault="00542AFE">
      <w:pPr>
        <w:rPr>
          <w:rFonts w:ascii="Arial" w:hAnsi="Arial" w:cs="Arial"/>
          <w:b/>
          <w:bCs/>
          <w:iCs/>
          <w:szCs w:val="28"/>
        </w:rPr>
      </w:pPr>
      <w:r>
        <w:rPr>
          <w:i/>
        </w:rPr>
        <w:br w:type="page"/>
      </w:r>
    </w:p>
    <w:p w:rsidR="009417A6" w:rsidRPr="006503BD" w:rsidRDefault="006503BD" w:rsidP="006503BD">
      <w:pPr>
        <w:pStyle w:val="Heading2"/>
        <w:rPr>
          <w:i w:val="0"/>
          <w:sz w:val="24"/>
        </w:rPr>
      </w:pPr>
      <w:r w:rsidRPr="006503BD">
        <w:rPr>
          <w:i w:val="0"/>
          <w:sz w:val="24"/>
        </w:rPr>
        <w:t>Table one: Registered employers and employees paid by Industry Type</w:t>
      </w:r>
    </w:p>
    <w:tbl>
      <w:tblPr>
        <w:tblStyle w:val="TableGrid"/>
        <w:tblW w:w="0" w:type="auto"/>
        <w:tblLook w:val="04A0" w:firstRow="1" w:lastRow="0" w:firstColumn="1" w:lastColumn="0" w:noHBand="0" w:noVBand="1"/>
        <w:tblCaption w:val="Table one - registered employers and PLP recipients by industry type"/>
        <w:tblDescription w:val="This table shows Industry Type in the first column, the percentage of employers in the second column and percentage of PLP reciepients in the third column. &#10;The categories are Professional, Scientific and Technical Services (15.5% of employers and 9.1% of recipients) Health care and social assistance (13.2% of employers and 19.6% of recipients) Retail Trade (9.6% of employers and 8.6% of recipients), Manufacturing (6.7% of employers and 4.3% of recipients), Other Services (6.3% of employers and 5.3% of recipients), Administrative and Support Services (6.3% of employers and 5.2% of recipients), Wholesale Trade (6.2% of employers and 4.1% of recipients), Accommodation and Food Services (5.5% employers and 2.8% of recipients), Education and Training (5.4% of employers and 5.7% of recipients), Financial and Insurance Services (5.2% of employers and 9.0% of recipients), Construction (4.6% of employers and 1.9% of recipients), Rental, Hiring and Real Estate Services (4.1% of employers and 1.9% of recipients), Transport, Postal and Warehousing (2.2% of employers and 2.4% of recipients), Public Administration and SAfety (2.2% of employers and 14.8% of recipients), Other (2.1% of employers and 2.5% of recipients), Information Media and Telecommunications (1.4% of employers and 1.6% of recipients), Arts and Recreation Services (1.3% of employers and 1.0% of recipients), Agriculture, Forestry and Fishing (1% of employers and 0.4% of recipients), Mining (0.8% of employers and 0.8% of recipients), Electricity, Gas, Water and Waste Services (0.4% employers and 0.8% of recipients)."/>
      </w:tblPr>
      <w:tblGrid>
        <w:gridCol w:w="4786"/>
        <w:gridCol w:w="1657"/>
        <w:gridCol w:w="1657"/>
      </w:tblGrid>
      <w:tr w:rsidR="00796FF5" w:rsidTr="00B56206">
        <w:trPr>
          <w:tblHeader/>
        </w:trPr>
        <w:tc>
          <w:tcPr>
            <w:tcW w:w="4786" w:type="dxa"/>
          </w:tcPr>
          <w:p w:rsidR="00796FF5" w:rsidRDefault="00796FF5" w:rsidP="00A37419">
            <w:pPr>
              <w:pStyle w:val="Heading2"/>
              <w:rPr>
                <w:sz w:val="24"/>
                <w:szCs w:val="24"/>
              </w:rPr>
            </w:pPr>
            <w:r w:rsidRPr="00B56206">
              <w:rPr>
                <w:sz w:val="24"/>
                <w:szCs w:val="24"/>
              </w:rPr>
              <w:t>Industry Type</w:t>
            </w:r>
          </w:p>
          <w:p w:rsidR="006503BD" w:rsidRPr="006503BD" w:rsidRDefault="006503BD" w:rsidP="006503BD"/>
        </w:tc>
        <w:tc>
          <w:tcPr>
            <w:tcW w:w="1375" w:type="dxa"/>
          </w:tcPr>
          <w:p w:rsidR="00796FF5" w:rsidRPr="00B56206" w:rsidRDefault="007C4577" w:rsidP="00A37419">
            <w:pPr>
              <w:pStyle w:val="Heading2"/>
              <w:rPr>
                <w:sz w:val="24"/>
                <w:szCs w:val="24"/>
              </w:rPr>
            </w:pPr>
            <w:r w:rsidRPr="00B56206">
              <w:rPr>
                <w:sz w:val="24"/>
                <w:szCs w:val="24"/>
              </w:rPr>
              <w:t>Registered employers</w:t>
            </w:r>
          </w:p>
          <w:p w:rsidR="009417A6" w:rsidRPr="00B56206" w:rsidRDefault="009417A6" w:rsidP="00A37419">
            <w:pPr>
              <w:pStyle w:val="Heading2"/>
              <w:rPr>
                <w:sz w:val="24"/>
                <w:szCs w:val="24"/>
              </w:rPr>
            </w:pPr>
            <w:r w:rsidRPr="00B56206">
              <w:rPr>
                <w:sz w:val="24"/>
                <w:szCs w:val="24"/>
              </w:rPr>
              <w:t>(</w:t>
            </w:r>
            <w:proofErr w:type="gramStart"/>
            <w:r w:rsidRPr="00B56206">
              <w:rPr>
                <w:sz w:val="24"/>
                <w:szCs w:val="24"/>
              </w:rPr>
              <w:t>percentage</w:t>
            </w:r>
            <w:proofErr w:type="gramEnd"/>
            <w:r w:rsidRPr="00B56206">
              <w:rPr>
                <w:sz w:val="24"/>
                <w:szCs w:val="24"/>
              </w:rPr>
              <w:t>)</w:t>
            </w:r>
          </w:p>
        </w:tc>
        <w:tc>
          <w:tcPr>
            <w:tcW w:w="1460" w:type="dxa"/>
          </w:tcPr>
          <w:p w:rsidR="00796FF5" w:rsidRPr="00B56206" w:rsidRDefault="0035087B" w:rsidP="00A37419">
            <w:pPr>
              <w:pStyle w:val="Heading2"/>
              <w:rPr>
                <w:sz w:val="24"/>
                <w:szCs w:val="24"/>
              </w:rPr>
            </w:pPr>
            <w:r w:rsidRPr="00B56206">
              <w:rPr>
                <w:sz w:val="24"/>
                <w:szCs w:val="24"/>
              </w:rPr>
              <w:t>Employees paid PLP</w:t>
            </w:r>
          </w:p>
          <w:p w:rsidR="009417A6" w:rsidRPr="00B56206" w:rsidRDefault="009417A6" w:rsidP="00A37419">
            <w:pPr>
              <w:pStyle w:val="Heading2"/>
              <w:rPr>
                <w:sz w:val="24"/>
                <w:szCs w:val="24"/>
              </w:rPr>
            </w:pPr>
            <w:r w:rsidRPr="00B56206">
              <w:rPr>
                <w:sz w:val="24"/>
                <w:szCs w:val="24"/>
              </w:rPr>
              <w:t>(</w:t>
            </w:r>
            <w:proofErr w:type="gramStart"/>
            <w:r w:rsidRPr="00B56206">
              <w:rPr>
                <w:sz w:val="24"/>
                <w:szCs w:val="24"/>
              </w:rPr>
              <w:t>percentage</w:t>
            </w:r>
            <w:proofErr w:type="gramEnd"/>
            <w:r w:rsidRPr="00B56206">
              <w:rPr>
                <w:sz w:val="24"/>
                <w:szCs w:val="24"/>
              </w:rPr>
              <w:t>)</w:t>
            </w:r>
          </w:p>
        </w:tc>
      </w:tr>
      <w:tr w:rsidR="0035087B" w:rsidTr="007A7591">
        <w:tc>
          <w:tcPr>
            <w:tcW w:w="4786" w:type="dxa"/>
            <w:vAlign w:val="bottom"/>
          </w:tcPr>
          <w:p w:rsidR="0035087B" w:rsidRPr="00857146" w:rsidRDefault="0035087B">
            <w:pPr>
              <w:rPr>
                <w:color w:val="000000"/>
              </w:rPr>
            </w:pPr>
            <w:r w:rsidRPr="00857146">
              <w:rPr>
                <w:color w:val="000000"/>
              </w:rPr>
              <w:t>Professional, Scientific and Technical Services</w:t>
            </w:r>
          </w:p>
        </w:tc>
        <w:tc>
          <w:tcPr>
            <w:tcW w:w="1375" w:type="dxa"/>
            <w:vAlign w:val="bottom"/>
          </w:tcPr>
          <w:p w:rsidR="0035087B" w:rsidRPr="00857146" w:rsidRDefault="0035087B" w:rsidP="001F00A4">
            <w:pPr>
              <w:jc w:val="center"/>
              <w:rPr>
                <w:color w:val="000000"/>
              </w:rPr>
            </w:pPr>
            <w:r w:rsidRPr="00857146">
              <w:rPr>
                <w:color w:val="000000"/>
              </w:rPr>
              <w:t>15.5</w:t>
            </w:r>
          </w:p>
        </w:tc>
        <w:tc>
          <w:tcPr>
            <w:tcW w:w="1460" w:type="dxa"/>
            <w:vAlign w:val="bottom"/>
          </w:tcPr>
          <w:p w:rsidR="0035087B" w:rsidRPr="00857146" w:rsidRDefault="0035087B" w:rsidP="001F00A4">
            <w:pPr>
              <w:jc w:val="center"/>
              <w:rPr>
                <w:color w:val="000000"/>
              </w:rPr>
            </w:pPr>
            <w:r w:rsidRPr="00857146">
              <w:rPr>
                <w:color w:val="000000"/>
              </w:rPr>
              <w:t>9.1</w:t>
            </w:r>
          </w:p>
        </w:tc>
      </w:tr>
      <w:tr w:rsidR="0035087B" w:rsidTr="007A7591">
        <w:tc>
          <w:tcPr>
            <w:tcW w:w="4786" w:type="dxa"/>
            <w:vAlign w:val="bottom"/>
          </w:tcPr>
          <w:p w:rsidR="0035087B" w:rsidRPr="00857146" w:rsidRDefault="0035087B">
            <w:pPr>
              <w:rPr>
                <w:color w:val="000000"/>
              </w:rPr>
            </w:pPr>
            <w:r w:rsidRPr="00857146">
              <w:rPr>
                <w:color w:val="000000"/>
              </w:rPr>
              <w:t>Health Care and Social Assistance</w:t>
            </w:r>
          </w:p>
        </w:tc>
        <w:tc>
          <w:tcPr>
            <w:tcW w:w="1375" w:type="dxa"/>
            <w:vAlign w:val="bottom"/>
          </w:tcPr>
          <w:p w:rsidR="0035087B" w:rsidRPr="00857146" w:rsidRDefault="0035087B" w:rsidP="001F00A4">
            <w:pPr>
              <w:jc w:val="center"/>
              <w:rPr>
                <w:color w:val="000000"/>
              </w:rPr>
            </w:pPr>
            <w:r w:rsidRPr="00857146">
              <w:rPr>
                <w:color w:val="000000"/>
              </w:rPr>
              <w:t>13.2</w:t>
            </w:r>
          </w:p>
        </w:tc>
        <w:tc>
          <w:tcPr>
            <w:tcW w:w="1460" w:type="dxa"/>
            <w:vAlign w:val="bottom"/>
          </w:tcPr>
          <w:p w:rsidR="0035087B" w:rsidRPr="00857146" w:rsidRDefault="0035087B" w:rsidP="001F00A4">
            <w:pPr>
              <w:jc w:val="center"/>
              <w:rPr>
                <w:color w:val="000000"/>
              </w:rPr>
            </w:pPr>
            <w:r w:rsidRPr="00857146">
              <w:rPr>
                <w:color w:val="000000"/>
              </w:rPr>
              <w:t>19.6</w:t>
            </w:r>
          </w:p>
        </w:tc>
      </w:tr>
      <w:tr w:rsidR="0035087B" w:rsidTr="007A7591">
        <w:tc>
          <w:tcPr>
            <w:tcW w:w="4786" w:type="dxa"/>
            <w:vAlign w:val="bottom"/>
          </w:tcPr>
          <w:p w:rsidR="0035087B" w:rsidRPr="00857146" w:rsidRDefault="0035087B">
            <w:pPr>
              <w:rPr>
                <w:color w:val="000000"/>
              </w:rPr>
            </w:pPr>
            <w:r w:rsidRPr="00857146">
              <w:rPr>
                <w:color w:val="000000"/>
              </w:rPr>
              <w:t>Retail Trade</w:t>
            </w:r>
          </w:p>
        </w:tc>
        <w:tc>
          <w:tcPr>
            <w:tcW w:w="1375" w:type="dxa"/>
            <w:vAlign w:val="bottom"/>
          </w:tcPr>
          <w:p w:rsidR="0035087B" w:rsidRPr="00857146" w:rsidRDefault="0035087B" w:rsidP="001F00A4">
            <w:pPr>
              <w:jc w:val="center"/>
              <w:rPr>
                <w:color w:val="000000"/>
              </w:rPr>
            </w:pPr>
            <w:r w:rsidRPr="00857146">
              <w:rPr>
                <w:color w:val="000000"/>
              </w:rPr>
              <w:t>9.6</w:t>
            </w:r>
          </w:p>
        </w:tc>
        <w:tc>
          <w:tcPr>
            <w:tcW w:w="1460" w:type="dxa"/>
            <w:vAlign w:val="bottom"/>
          </w:tcPr>
          <w:p w:rsidR="0035087B" w:rsidRPr="00857146" w:rsidRDefault="0035087B" w:rsidP="001F00A4">
            <w:pPr>
              <w:jc w:val="center"/>
              <w:rPr>
                <w:color w:val="000000"/>
              </w:rPr>
            </w:pPr>
            <w:r w:rsidRPr="00857146">
              <w:rPr>
                <w:color w:val="000000"/>
              </w:rPr>
              <w:t>8.6</w:t>
            </w:r>
          </w:p>
        </w:tc>
      </w:tr>
      <w:tr w:rsidR="0035087B" w:rsidTr="007A7591">
        <w:tc>
          <w:tcPr>
            <w:tcW w:w="4786" w:type="dxa"/>
            <w:vAlign w:val="bottom"/>
          </w:tcPr>
          <w:p w:rsidR="0035087B" w:rsidRPr="00857146" w:rsidRDefault="0035087B">
            <w:pPr>
              <w:rPr>
                <w:color w:val="000000"/>
              </w:rPr>
            </w:pPr>
            <w:r w:rsidRPr="00857146">
              <w:rPr>
                <w:color w:val="000000"/>
              </w:rPr>
              <w:t>Manufacturing</w:t>
            </w:r>
          </w:p>
        </w:tc>
        <w:tc>
          <w:tcPr>
            <w:tcW w:w="1375" w:type="dxa"/>
            <w:vAlign w:val="bottom"/>
          </w:tcPr>
          <w:p w:rsidR="0035087B" w:rsidRPr="00857146" w:rsidRDefault="0035087B" w:rsidP="001F00A4">
            <w:pPr>
              <w:jc w:val="center"/>
              <w:rPr>
                <w:color w:val="000000"/>
              </w:rPr>
            </w:pPr>
            <w:r w:rsidRPr="00857146">
              <w:rPr>
                <w:color w:val="000000"/>
              </w:rPr>
              <w:t>6.7</w:t>
            </w:r>
          </w:p>
        </w:tc>
        <w:tc>
          <w:tcPr>
            <w:tcW w:w="1460" w:type="dxa"/>
            <w:vAlign w:val="bottom"/>
          </w:tcPr>
          <w:p w:rsidR="0035087B" w:rsidRPr="00857146" w:rsidRDefault="0035087B" w:rsidP="001F00A4">
            <w:pPr>
              <w:jc w:val="center"/>
              <w:rPr>
                <w:color w:val="000000"/>
              </w:rPr>
            </w:pPr>
            <w:r w:rsidRPr="00857146">
              <w:rPr>
                <w:color w:val="000000"/>
              </w:rPr>
              <w:t>4.3</w:t>
            </w:r>
          </w:p>
        </w:tc>
      </w:tr>
      <w:tr w:rsidR="0035087B" w:rsidTr="007A7591">
        <w:tc>
          <w:tcPr>
            <w:tcW w:w="4786" w:type="dxa"/>
            <w:vAlign w:val="bottom"/>
          </w:tcPr>
          <w:p w:rsidR="0035087B" w:rsidRPr="00857146" w:rsidRDefault="0035087B">
            <w:pPr>
              <w:rPr>
                <w:color w:val="000000"/>
              </w:rPr>
            </w:pPr>
            <w:r w:rsidRPr="00857146">
              <w:rPr>
                <w:color w:val="000000"/>
              </w:rPr>
              <w:t>Other Services</w:t>
            </w:r>
          </w:p>
        </w:tc>
        <w:tc>
          <w:tcPr>
            <w:tcW w:w="1375" w:type="dxa"/>
            <w:vAlign w:val="bottom"/>
          </w:tcPr>
          <w:p w:rsidR="0035087B" w:rsidRPr="00857146" w:rsidRDefault="0035087B" w:rsidP="001F00A4">
            <w:pPr>
              <w:jc w:val="center"/>
              <w:rPr>
                <w:color w:val="000000"/>
              </w:rPr>
            </w:pPr>
            <w:r w:rsidRPr="00857146">
              <w:rPr>
                <w:color w:val="000000"/>
              </w:rPr>
              <w:t>6.3</w:t>
            </w:r>
          </w:p>
        </w:tc>
        <w:tc>
          <w:tcPr>
            <w:tcW w:w="1460" w:type="dxa"/>
            <w:vAlign w:val="bottom"/>
          </w:tcPr>
          <w:p w:rsidR="0035087B" w:rsidRPr="00857146" w:rsidRDefault="0035087B" w:rsidP="001F00A4">
            <w:pPr>
              <w:jc w:val="center"/>
              <w:rPr>
                <w:color w:val="000000"/>
              </w:rPr>
            </w:pPr>
            <w:r w:rsidRPr="00857146">
              <w:rPr>
                <w:color w:val="000000"/>
              </w:rPr>
              <w:t>3.6</w:t>
            </w:r>
          </w:p>
        </w:tc>
      </w:tr>
      <w:tr w:rsidR="0035087B" w:rsidTr="007A7591">
        <w:tc>
          <w:tcPr>
            <w:tcW w:w="4786" w:type="dxa"/>
            <w:vAlign w:val="bottom"/>
          </w:tcPr>
          <w:p w:rsidR="0035087B" w:rsidRPr="00857146" w:rsidRDefault="0035087B">
            <w:pPr>
              <w:rPr>
                <w:color w:val="000000"/>
              </w:rPr>
            </w:pPr>
            <w:r w:rsidRPr="00857146">
              <w:rPr>
                <w:color w:val="000000"/>
              </w:rPr>
              <w:t>Administrative and Support Services</w:t>
            </w:r>
          </w:p>
        </w:tc>
        <w:tc>
          <w:tcPr>
            <w:tcW w:w="1375" w:type="dxa"/>
            <w:vAlign w:val="bottom"/>
          </w:tcPr>
          <w:p w:rsidR="0035087B" w:rsidRPr="00857146" w:rsidRDefault="0035087B" w:rsidP="001F00A4">
            <w:pPr>
              <w:jc w:val="center"/>
              <w:rPr>
                <w:color w:val="000000"/>
              </w:rPr>
            </w:pPr>
            <w:r w:rsidRPr="00857146">
              <w:rPr>
                <w:color w:val="000000"/>
              </w:rPr>
              <w:t>6.3</w:t>
            </w:r>
          </w:p>
        </w:tc>
        <w:tc>
          <w:tcPr>
            <w:tcW w:w="1460" w:type="dxa"/>
            <w:vAlign w:val="bottom"/>
          </w:tcPr>
          <w:p w:rsidR="0035087B" w:rsidRPr="00857146" w:rsidRDefault="0035087B" w:rsidP="001F00A4">
            <w:pPr>
              <w:jc w:val="center"/>
              <w:rPr>
                <w:color w:val="000000"/>
              </w:rPr>
            </w:pPr>
            <w:r w:rsidRPr="00857146">
              <w:rPr>
                <w:color w:val="000000"/>
              </w:rPr>
              <w:t>5.2</w:t>
            </w:r>
          </w:p>
        </w:tc>
      </w:tr>
      <w:tr w:rsidR="0035087B" w:rsidTr="007A7591">
        <w:tc>
          <w:tcPr>
            <w:tcW w:w="4786" w:type="dxa"/>
            <w:vAlign w:val="bottom"/>
          </w:tcPr>
          <w:p w:rsidR="0035087B" w:rsidRPr="00857146" w:rsidRDefault="0035087B">
            <w:pPr>
              <w:rPr>
                <w:color w:val="000000"/>
              </w:rPr>
            </w:pPr>
            <w:r w:rsidRPr="00857146">
              <w:rPr>
                <w:color w:val="000000"/>
              </w:rPr>
              <w:t>Wholesale Trade</w:t>
            </w:r>
          </w:p>
        </w:tc>
        <w:tc>
          <w:tcPr>
            <w:tcW w:w="1375" w:type="dxa"/>
            <w:vAlign w:val="bottom"/>
          </w:tcPr>
          <w:p w:rsidR="0035087B" w:rsidRPr="00857146" w:rsidRDefault="0035087B" w:rsidP="001F00A4">
            <w:pPr>
              <w:jc w:val="center"/>
              <w:rPr>
                <w:color w:val="000000"/>
              </w:rPr>
            </w:pPr>
            <w:r w:rsidRPr="00857146">
              <w:rPr>
                <w:color w:val="000000"/>
              </w:rPr>
              <w:t>6.2</w:t>
            </w:r>
          </w:p>
        </w:tc>
        <w:tc>
          <w:tcPr>
            <w:tcW w:w="1460" w:type="dxa"/>
            <w:vAlign w:val="bottom"/>
          </w:tcPr>
          <w:p w:rsidR="0035087B" w:rsidRPr="00857146" w:rsidRDefault="0035087B" w:rsidP="001F00A4">
            <w:pPr>
              <w:jc w:val="center"/>
              <w:rPr>
                <w:color w:val="000000"/>
              </w:rPr>
            </w:pPr>
            <w:r w:rsidRPr="00857146">
              <w:rPr>
                <w:color w:val="000000"/>
              </w:rPr>
              <w:t>4.1</w:t>
            </w:r>
          </w:p>
        </w:tc>
      </w:tr>
      <w:tr w:rsidR="0035087B" w:rsidTr="007A7591">
        <w:tc>
          <w:tcPr>
            <w:tcW w:w="4786" w:type="dxa"/>
            <w:vAlign w:val="bottom"/>
          </w:tcPr>
          <w:p w:rsidR="0035087B" w:rsidRPr="00857146" w:rsidRDefault="0035087B">
            <w:pPr>
              <w:rPr>
                <w:color w:val="000000"/>
              </w:rPr>
            </w:pPr>
            <w:r w:rsidRPr="00857146">
              <w:rPr>
                <w:color w:val="000000"/>
              </w:rPr>
              <w:t>Accommodation and Food Services</w:t>
            </w:r>
          </w:p>
        </w:tc>
        <w:tc>
          <w:tcPr>
            <w:tcW w:w="1375" w:type="dxa"/>
            <w:vAlign w:val="bottom"/>
          </w:tcPr>
          <w:p w:rsidR="0035087B" w:rsidRPr="00857146" w:rsidRDefault="0035087B" w:rsidP="001F00A4">
            <w:pPr>
              <w:jc w:val="center"/>
              <w:rPr>
                <w:color w:val="000000"/>
              </w:rPr>
            </w:pPr>
            <w:r w:rsidRPr="00857146">
              <w:rPr>
                <w:color w:val="000000"/>
              </w:rPr>
              <w:t>5.5</w:t>
            </w:r>
          </w:p>
        </w:tc>
        <w:tc>
          <w:tcPr>
            <w:tcW w:w="1460" w:type="dxa"/>
            <w:vAlign w:val="bottom"/>
          </w:tcPr>
          <w:p w:rsidR="0035087B" w:rsidRPr="00857146" w:rsidRDefault="0035087B" w:rsidP="001F00A4">
            <w:pPr>
              <w:jc w:val="center"/>
              <w:rPr>
                <w:color w:val="000000"/>
              </w:rPr>
            </w:pPr>
            <w:r w:rsidRPr="00857146">
              <w:rPr>
                <w:color w:val="000000"/>
              </w:rPr>
              <w:t>2.8</w:t>
            </w:r>
          </w:p>
        </w:tc>
      </w:tr>
      <w:tr w:rsidR="0035087B" w:rsidTr="007A7591">
        <w:tc>
          <w:tcPr>
            <w:tcW w:w="4786" w:type="dxa"/>
            <w:vAlign w:val="bottom"/>
          </w:tcPr>
          <w:p w:rsidR="0035087B" w:rsidRPr="00857146" w:rsidRDefault="0035087B">
            <w:pPr>
              <w:rPr>
                <w:color w:val="000000"/>
              </w:rPr>
            </w:pPr>
            <w:r w:rsidRPr="00857146">
              <w:rPr>
                <w:color w:val="000000"/>
              </w:rPr>
              <w:t>Education and Training</w:t>
            </w:r>
          </w:p>
        </w:tc>
        <w:tc>
          <w:tcPr>
            <w:tcW w:w="1375" w:type="dxa"/>
            <w:vAlign w:val="bottom"/>
          </w:tcPr>
          <w:p w:rsidR="0035087B" w:rsidRPr="00857146" w:rsidRDefault="0035087B" w:rsidP="001F00A4">
            <w:pPr>
              <w:jc w:val="center"/>
              <w:rPr>
                <w:color w:val="000000"/>
              </w:rPr>
            </w:pPr>
            <w:r w:rsidRPr="00857146">
              <w:rPr>
                <w:color w:val="000000"/>
              </w:rPr>
              <w:t>5.4</w:t>
            </w:r>
          </w:p>
        </w:tc>
        <w:tc>
          <w:tcPr>
            <w:tcW w:w="1460" w:type="dxa"/>
            <w:vAlign w:val="bottom"/>
          </w:tcPr>
          <w:p w:rsidR="0035087B" w:rsidRPr="00857146" w:rsidRDefault="0035087B" w:rsidP="001F00A4">
            <w:pPr>
              <w:jc w:val="center"/>
              <w:rPr>
                <w:color w:val="000000"/>
              </w:rPr>
            </w:pPr>
            <w:r w:rsidRPr="00857146">
              <w:rPr>
                <w:color w:val="000000"/>
              </w:rPr>
              <w:t>5.7</w:t>
            </w:r>
          </w:p>
        </w:tc>
      </w:tr>
      <w:tr w:rsidR="0035087B" w:rsidTr="007A7591">
        <w:tc>
          <w:tcPr>
            <w:tcW w:w="4786" w:type="dxa"/>
            <w:vAlign w:val="bottom"/>
          </w:tcPr>
          <w:p w:rsidR="0035087B" w:rsidRPr="00857146" w:rsidRDefault="0035087B">
            <w:pPr>
              <w:rPr>
                <w:color w:val="000000"/>
              </w:rPr>
            </w:pPr>
            <w:r w:rsidRPr="00857146">
              <w:rPr>
                <w:color w:val="000000"/>
              </w:rPr>
              <w:t>Financial and Insurance Services</w:t>
            </w:r>
          </w:p>
        </w:tc>
        <w:tc>
          <w:tcPr>
            <w:tcW w:w="1375" w:type="dxa"/>
            <w:vAlign w:val="bottom"/>
          </w:tcPr>
          <w:p w:rsidR="0035087B" w:rsidRPr="00857146" w:rsidRDefault="0035087B" w:rsidP="001F00A4">
            <w:pPr>
              <w:jc w:val="center"/>
              <w:rPr>
                <w:color w:val="000000"/>
              </w:rPr>
            </w:pPr>
            <w:r w:rsidRPr="00857146">
              <w:rPr>
                <w:color w:val="000000"/>
              </w:rPr>
              <w:t>5.2</w:t>
            </w:r>
          </w:p>
        </w:tc>
        <w:tc>
          <w:tcPr>
            <w:tcW w:w="1460" w:type="dxa"/>
            <w:vAlign w:val="bottom"/>
          </w:tcPr>
          <w:p w:rsidR="0035087B" w:rsidRPr="00857146" w:rsidRDefault="0035087B" w:rsidP="001F00A4">
            <w:pPr>
              <w:jc w:val="center"/>
              <w:rPr>
                <w:color w:val="000000"/>
              </w:rPr>
            </w:pPr>
            <w:r w:rsidRPr="00857146">
              <w:rPr>
                <w:color w:val="000000"/>
              </w:rPr>
              <w:t>9.0</w:t>
            </w:r>
          </w:p>
        </w:tc>
      </w:tr>
      <w:tr w:rsidR="0035087B" w:rsidTr="007A7591">
        <w:tc>
          <w:tcPr>
            <w:tcW w:w="4786" w:type="dxa"/>
            <w:vAlign w:val="bottom"/>
          </w:tcPr>
          <w:p w:rsidR="0035087B" w:rsidRPr="00857146" w:rsidRDefault="0035087B">
            <w:pPr>
              <w:rPr>
                <w:color w:val="000000"/>
              </w:rPr>
            </w:pPr>
            <w:r w:rsidRPr="00857146">
              <w:rPr>
                <w:color w:val="000000"/>
              </w:rPr>
              <w:t>Construction</w:t>
            </w:r>
          </w:p>
        </w:tc>
        <w:tc>
          <w:tcPr>
            <w:tcW w:w="1375" w:type="dxa"/>
            <w:vAlign w:val="bottom"/>
          </w:tcPr>
          <w:p w:rsidR="0035087B" w:rsidRPr="00857146" w:rsidRDefault="0035087B" w:rsidP="001F00A4">
            <w:pPr>
              <w:jc w:val="center"/>
              <w:rPr>
                <w:color w:val="000000"/>
              </w:rPr>
            </w:pPr>
            <w:r w:rsidRPr="00857146">
              <w:rPr>
                <w:color w:val="000000"/>
              </w:rPr>
              <w:t>4.6</w:t>
            </w:r>
          </w:p>
        </w:tc>
        <w:tc>
          <w:tcPr>
            <w:tcW w:w="1460" w:type="dxa"/>
            <w:vAlign w:val="bottom"/>
          </w:tcPr>
          <w:p w:rsidR="0035087B" w:rsidRPr="00857146" w:rsidRDefault="0035087B" w:rsidP="001F00A4">
            <w:pPr>
              <w:jc w:val="center"/>
              <w:rPr>
                <w:color w:val="000000"/>
              </w:rPr>
            </w:pPr>
            <w:r w:rsidRPr="00857146">
              <w:rPr>
                <w:color w:val="000000"/>
              </w:rPr>
              <w:t>1.9</w:t>
            </w:r>
          </w:p>
        </w:tc>
      </w:tr>
      <w:tr w:rsidR="0035087B" w:rsidTr="007A7591">
        <w:tc>
          <w:tcPr>
            <w:tcW w:w="4786" w:type="dxa"/>
            <w:vAlign w:val="bottom"/>
          </w:tcPr>
          <w:p w:rsidR="0035087B" w:rsidRPr="00857146" w:rsidRDefault="0035087B">
            <w:pPr>
              <w:rPr>
                <w:color w:val="000000"/>
              </w:rPr>
            </w:pPr>
            <w:r w:rsidRPr="00857146">
              <w:rPr>
                <w:color w:val="000000"/>
              </w:rPr>
              <w:t>Rental, Hiring and Real Estate Services</w:t>
            </w:r>
          </w:p>
        </w:tc>
        <w:tc>
          <w:tcPr>
            <w:tcW w:w="1375" w:type="dxa"/>
            <w:vAlign w:val="bottom"/>
          </w:tcPr>
          <w:p w:rsidR="0035087B" w:rsidRPr="00857146" w:rsidRDefault="0035087B" w:rsidP="001F00A4">
            <w:pPr>
              <w:jc w:val="center"/>
              <w:rPr>
                <w:color w:val="000000"/>
              </w:rPr>
            </w:pPr>
            <w:r w:rsidRPr="00857146">
              <w:rPr>
                <w:color w:val="000000"/>
              </w:rPr>
              <w:t>4.1</w:t>
            </w:r>
          </w:p>
        </w:tc>
        <w:tc>
          <w:tcPr>
            <w:tcW w:w="1460" w:type="dxa"/>
            <w:vAlign w:val="bottom"/>
          </w:tcPr>
          <w:p w:rsidR="0035087B" w:rsidRPr="00857146" w:rsidRDefault="0035087B" w:rsidP="001F00A4">
            <w:pPr>
              <w:jc w:val="center"/>
              <w:rPr>
                <w:color w:val="000000"/>
              </w:rPr>
            </w:pPr>
            <w:r w:rsidRPr="00857146">
              <w:rPr>
                <w:color w:val="000000"/>
              </w:rPr>
              <w:t>1.9</w:t>
            </w:r>
          </w:p>
        </w:tc>
      </w:tr>
      <w:tr w:rsidR="0035087B" w:rsidTr="007A7591">
        <w:tc>
          <w:tcPr>
            <w:tcW w:w="4786" w:type="dxa"/>
            <w:vAlign w:val="bottom"/>
          </w:tcPr>
          <w:p w:rsidR="0035087B" w:rsidRPr="00857146" w:rsidRDefault="0035087B">
            <w:pPr>
              <w:rPr>
                <w:color w:val="000000"/>
              </w:rPr>
            </w:pPr>
            <w:r w:rsidRPr="00857146">
              <w:rPr>
                <w:color w:val="000000"/>
              </w:rPr>
              <w:t>Transport, Postal and Warehousing</w:t>
            </w:r>
          </w:p>
        </w:tc>
        <w:tc>
          <w:tcPr>
            <w:tcW w:w="1375" w:type="dxa"/>
            <w:vAlign w:val="bottom"/>
          </w:tcPr>
          <w:p w:rsidR="0035087B" w:rsidRPr="00857146" w:rsidRDefault="0035087B" w:rsidP="001F00A4">
            <w:pPr>
              <w:jc w:val="center"/>
              <w:rPr>
                <w:color w:val="000000"/>
              </w:rPr>
            </w:pPr>
            <w:r w:rsidRPr="00857146">
              <w:rPr>
                <w:color w:val="000000"/>
              </w:rPr>
              <w:t>2.2</w:t>
            </w:r>
          </w:p>
        </w:tc>
        <w:tc>
          <w:tcPr>
            <w:tcW w:w="1460" w:type="dxa"/>
            <w:vAlign w:val="bottom"/>
          </w:tcPr>
          <w:p w:rsidR="0035087B" w:rsidRPr="00857146" w:rsidRDefault="0035087B" w:rsidP="001F00A4">
            <w:pPr>
              <w:jc w:val="center"/>
              <w:rPr>
                <w:color w:val="000000"/>
              </w:rPr>
            </w:pPr>
            <w:r w:rsidRPr="00857146">
              <w:rPr>
                <w:color w:val="000000"/>
              </w:rPr>
              <w:t>2.4</w:t>
            </w:r>
          </w:p>
        </w:tc>
      </w:tr>
      <w:tr w:rsidR="0035087B" w:rsidTr="007A7591">
        <w:tc>
          <w:tcPr>
            <w:tcW w:w="4786" w:type="dxa"/>
            <w:vAlign w:val="bottom"/>
          </w:tcPr>
          <w:p w:rsidR="0035087B" w:rsidRPr="00857146" w:rsidRDefault="0035087B">
            <w:pPr>
              <w:rPr>
                <w:color w:val="000000"/>
              </w:rPr>
            </w:pPr>
            <w:r w:rsidRPr="00857146">
              <w:rPr>
                <w:color w:val="000000"/>
              </w:rPr>
              <w:t>Public Administration and Safety</w:t>
            </w:r>
          </w:p>
        </w:tc>
        <w:tc>
          <w:tcPr>
            <w:tcW w:w="1375" w:type="dxa"/>
            <w:vAlign w:val="bottom"/>
          </w:tcPr>
          <w:p w:rsidR="0035087B" w:rsidRPr="00857146" w:rsidRDefault="0035087B" w:rsidP="001F00A4">
            <w:pPr>
              <w:jc w:val="center"/>
              <w:rPr>
                <w:color w:val="000000"/>
              </w:rPr>
            </w:pPr>
            <w:r w:rsidRPr="00857146">
              <w:rPr>
                <w:color w:val="000000"/>
              </w:rPr>
              <w:t>2.2</w:t>
            </w:r>
          </w:p>
        </w:tc>
        <w:tc>
          <w:tcPr>
            <w:tcW w:w="1460" w:type="dxa"/>
            <w:vAlign w:val="bottom"/>
          </w:tcPr>
          <w:p w:rsidR="0035087B" w:rsidRPr="00857146" w:rsidRDefault="0035087B" w:rsidP="001F00A4">
            <w:pPr>
              <w:jc w:val="center"/>
              <w:rPr>
                <w:color w:val="000000"/>
              </w:rPr>
            </w:pPr>
            <w:r w:rsidRPr="00857146">
              <w:rPr>
                <w:color w:val="000000"/>
              </w:rPr>
              <w:t>14.8</w:t>
            </w:r>
          </w:p>
        </w:tc>
      </w:tr>
      <w:tr w:rsidR="0035087B" w:rsidTr="007A7591">
        <w:tc>
          <w:tcPr>
            <w:tcW w:w="4786" w:type="dxa"/>
            <w:vAlign w:val="bottom"/>
          </w:tcPr>
          <w:p w:rsidR="0035087B" w:rsidRPr="00857146" w:rsidRDefault="0035087B">
            <w:pPr>
              <w:rPr>
                <w:color w:val="000000"/>
              </w:rPr>
            </w:pPr>
            <w:r w:rsidRPr="00857146">
              <w:rPr>
                <w:color w:val="000000"/>
              </w:rPr>
              <w:t>Other (Not in ANZSIC)</w:t>
            </w:r>
          </w:p>
        </w:tc>
        <w:tc>
          <w:tcPr>
            <w:tcW w:w="1375" w:type="dxa"/>
            <w:vAlign w:val="bottom"/>
          </w:tcPr>
          <w:p w:rsidR="0035087B" w:rsidRPr="00857146" w:rsidRDefault="0035087B" w:rsidP="001F00A4">
            <w:pPr>
              <w:jc w:val="center"/>
              <w:rPr>
                <w:color w:val="000000"/>
              </w:rPr>
            </w:pPr>
            <w:r w:rsidRPr="00857146">
              <w:rPr>
                <w:color w:val="000000"/>
              </w:rPr>
              <w:t>2.1</w:t>
            </w:r>
          </w:p>
        </w:tc>
        <w:tc>
          <w:tcPr>
            <w:tcW w:w="1460" w:type="dxa"/>
            <w:vAlign w:val="bottom"/>
          </w:tcPr>
          <w:p w:rsidR="0035087B" w:rsidRPr="00857146" w:rsidRDefault="0035087B" w:rsidP="001F00A4">
            <w:pPr>
              <w:jc w:val="center"/>
              <w:rPr>
                <w:color w:val="000000"/>
              </w:rPr>
            </w:pPr>
            <w:r w:rsidRPr="00857146">
              <w:rPr>
                <w:color w:val="000000"/>
              </w:rPr>
              <w:t>2.5</w:t>
            </w:r>
          </w:p>
        </w:tc>
      </w:tr>
      <w:tr w:rsidR="0035087B" w:rsidTr="007A7591">
        <w:tc>
          <w:tcPr>
            <w:tcW w:w="4786" w:type="dxa"/>
            <w:vAlign w:val="bottom"/>
          </w:tcPr>
          <w:p w:rsidR="0035087B" w:rsidRPr="00857146" w:rsidRDefault="0035087B">
            <w:pPr>
              <w:rPr>
                <w:color w:val="000000"/>
              </w:rPr>
            </w:pPr>
            <w:r w:rsidRPr="00857146">
              <w:rPr>
                <w:color w:val="000000"/>
              </w:rPr>
              <w:t>Information Media and Telecommunications</w:t>
            </w:r>
          </w:p>
        </w:tc>
        <w:tc>
          <w:tcPr>
            <w:tcW w:w="1375" w:type="dxa"/>
            <w:vAlign w:val="bottom"/>
          </w:tcPr>
          <w:p w:rsidR="0035087B" w:rsidRPr="00857146" w:rsidRDefault="0035087B" w:rsidP="001F00A4">
            <w:pPr>
              <w:jc w:val="center"/>
              <w:rPr>
                <w:color w:val="000000"/>
              </w:rPr>
            </w:pPr>
            <w:r w:rsidRPr="00857146">
              <w:rPr>
                <w:color w:val="000000"/>
              </w:rPr>
              <w:t>1.4</w:t>
            </w:r>
          </w:p>
        </w:tc>
        <w:tc>
          <w:tcPr>
            <w:tcW w:w="1460" w:type="dxa"/>
            <w:vAlign w:val="bottom"/>
          </w:tcPr>
          <w:p w:rsidR="0035087B" w:rsidRPr="00857146" w:rsidRDefault="0035087B" w:rsidP="001F00A4">
            <w:pPr>
              <w:jc w:val="center"/>
              <w:rPr>
                <w:color w:val="000000"/>
              </w:rPr>
            </w:pPr>
            <w:r w:rsidRPr="00857146">
              <w:rPr>
                <w:color w:val="000000"/>
              </w:rPr>
              <w:t>1.6</w:t>
            </w:r>
          </w:p>
        </w:tc>
      </w:tr>
      <w:tr w:rsidR="0035087B" w:rsidTr="007A7591">
        <w:tc>
          <w:tcPr>
            <w:tcW w:w="4786" w:type="dxa"/>
            <w:vAlign w:val="bottom"/>
          </w:tcPr>
          <w:p w:rsidR="0035087B" w:rsidRPr="00857146" w:rsidRDefault="0035087B">
            <w:pPr>
              <w:rPr>
                <w:color w:val="000000"/>
              </w:rPr>
            </w:pPr>
            <w:r w:rsidRPr="00857146">
              <w:rPr>
                <w:color w:val="000000"/>
              </w:rPr>
              <w:t>Arts and Recreation Services</w:t>
            </w:r>
          </w:p>
        </w:tc>
        <w:tc>
          <w:tcPr>
            <w:tcW w:w="1375" w:type="dxa"/>
            <w:vAlign w:val="bottom"/>
          </w:tcPr>
          <w:p w:rsidR="0035087B" w:rsidRPr="00857146" w:rsidRDefault="0035087B" w:rsidP="001F00A4">
            <w:pPr>
              <w:jc w:val="center"/>
              <w:rPr>
                <w:color w:val="000000"/>
              </w:rPr>
            </w:pPr>
            <w:r w:rsidRPr="00857146">
              <w:rPr>
                <w:color w:val="000000"/>
              </w:rPr>
              <w:t>1.3</w:t>
            </w:r>
          </w:p>
        </w:tc>
        <w:tc>
          <w:tcPr>
            <w:tcW w:w="1460" w:type="dxa"/>
            <w:vAlign w:val="bottom"/>
          </w:tcPr>
          <w:p w:rsidR="0035087B" w:rsidRPr="00857146" w:rsidRDefault="0035087B" w:rsidP="001F00A4">
            <w:pPr>
              <w:jc w:val="center"/>
              <w:rPr>
                <w:color w:val="000000"/>
              </w:rPr>
            </w:pPr>
            <w:r w:rsidRPr="00857146">
              <w:rPr>
                <w:color w:val="000000"/>
              </w:rPr>
              <w:t>1.0</w:t>
            </w:r>
          </w:p>
        </w:tc>
      </w:tr>
      <w:tr w:rsidR="0035087B" w:rsidTr="007A7591">
        <w:tc>
          <w:tcPr>
            <w:tcW w:w="4786" w:type="dxa"/>
            <w:vAlign w:val="bottom"/>
          </w:tcPr>
          <w:p w:rsidR="0035087B" w:rsidRPr="00857146" w:rsidRDefault="0035087B">
            <w:pPr>
              <w:rPr>
                <w:color w:val="000000"/>
              </w:rPr>
            </w:pPr>
            <w:r w:rsidRPr="00857146">
              <w:rPr>
                <w:color w:val="000000"/>
              </w:rPr>
              <w:t>Agriculture, Forestry and Fishing</w:t>
            </w:r>
          </w:p>
        </w:tc>
        <w:tc>
          <w:tcPr>
            <w:tcW w:w="1375" w:type="dxa"/>
            <w:vAlign w:val="bottom"/>
          </w:tcPr>
          <w:p w:rsidR="0035087B" w:rsidRPr="00857146" w:rsidRDefault="0035087B" w:rsidP="001F00A4">
            <w:pPr>
              <w:jc w:val="center"/>
              <w:rPr>
                <w:color w:val="000000"/>
              </w:rPr>
            </w:pPr>
            <w:r w:rsidRPr="00857146">
              <w:rPr>
                <w:color w:val="000000"/>
              </w:rPr>
              <w:t>1.0</w:t>
            </w:r>
          </w:p>
        </w:tc>
        <w:tc>
          <w:tcPr>
            <w:tcW w:w="1460" w:type="dxa"/>
            <w:vAlign w:val="bottom"/>
          </w:tcPr>
          <w:p w:rsidR="0035087B" w:rsidRPr="00857146" w:rsidRDefault="0035087B" w:rsidP="001F00A4">
            <w:pPr>
              <w:jc w:val="center"/>
              <w:rPr>
                <w:color w:val="000000"/>
              </w:rPr>
            </w:pPr>
            <w:r w:rsidRPr="00857146">
              <w:rPr>
                <w:color w:val="000000"/>
              </w:rPr>
              <w:t>0.4</w:t>
            </w:r>
          </w:p>
        </w:tc>
      </w:tr>
      <w:tr w:rsidR="0035087B" w:rsidTr="007A7591">
        <w:tc>
          <w:tcPr>
            <w:tcW w:w="4786" w:type="dxa"/>
            <w:vAlign w:val="bottom"/>
          </w:tcPr>
          <w:p w:rsidR="0035087B" w:rsidRPr="00857146" w:rsidRDefault="0035087B">
            <w:pPr>
              <w:rPr>
                <w:color w:val="000000"/>
              </w:rPr>
            </w:pPr>
            <w:r w:rsidRPr="00857146">
              <w:rPr>
                <w:color w:val="000000"/>
              </w:rPr>
              <w:t>Mining</w:t>
            </w:r>
          </w:p>
        </w:tc>
        <w:tc>
          <w:tcPr>
            <w:tcW w:w="1375" w:type="dxa"/>
            <w:vAlign w:val="bottom"/>
          </w:tcPr>
          <w:p w:rsidR="0035087B" w:rsidRPr="00857146" w:rsidRDefault="0035087B" w:rsidP="001F00A4">
            <w:pPr>
              <w:jc w:val="center"/>
              <w:rPr>
                <w:color w:val="000000"/>
              </w:rPr>
            </w:pPr>
            <w:r w:rsidRPr="00857146">
              <w:rPr>
                <w:color w:val="000000"/>
              </w:rPr>
              <w:t>0.8</w:t>
            </w:r>
          </w:p>
        </w:tc>
        <w:tc>
          <w:tcPr>
            <w:tcW w:w="1460" w:type="dxa"/>
            <w:vAlign w:val="bottom"/>
          </w:tcPr>
          <w:p w:rsidR="0035087B" w:rsidRPr="00857146" w:rsidRDefault="0035087B" w:rsidP="001F00A4">
            <w:pPr>
              <w:jc w:val="center"/>
              <w:rPr>
                <w:color w:val="000000"/>
              </w:rPr>
            </w:pPr>
            <w:r w:rsidRPr="00857146">
              <w:rPr>
                <w:color w:val="000000"/>
              </w:rPr>
              <w:t>0.8</w:t>
            </w:r>
          </w:p>
        </w:tc>
      </w:tr>
      <w:tr w:rsidR="0035087B" w:rsidTr="007A7591">
        <w:tc>
          <w:tcPr>
            <w:tcW w:w="4786" w:type="dxa"/>
            <w:vAlign w:val="bottom"/>
          </w:tcPr>
          <w:p w:rsidR="0035087B" w:rsidRPr="00857146" w:rsidRDefault="0035087B">
            <w:pPr>
              <w:rPr>
                <w:color w:val="000000"/>
              </w:rPr>
            </w:pPr>
            <w:r w:rsidRPr="00857146">
              <w:rPr>
                <w:color w:val="000000"/>
              </w:rPr>
              <w:t>Electricity, Gas, Water and Waste Services</w:t>
            </w:r>
          </w:p>
        </w:tc>
        <w:tc>
          <w:tcPr>
            <w:tcW w:w="1375" w:type="dxa"/>
            <w:vAlign w:val="bottom"/>
          </w:tcPr>
          <w:p w:rsidR="0035087B" w:rsidRPr="00857146" w:rsidRDefault="0035087B" w:rsidP="001F00A4">
            <w:pPr>
              <w:jc w:val="center"/>
              <w:rPr>
                <w:color w:val="000000"/>
              </w:rPr>
            </w:pPr>
            <w:r w:rsidRPr="00857146">
              <w:rPr>
                <w:color w:val="000000"/>
              </w:rPr>
              <w:t>0.4</w:t>
            </w:r>
          </w:p>
        </w:tc>
        <w:tc>
          <w:tcPr>
            <w:tcW w:w="1460" w:type="dxa"/>
            <w:vAlign w:val="bottom"/>
          </w:tcPr>
          <w:p w:rsidR="0035087B" w:rsidRPr="00857146" w:rsidRDefault="0035087B" w:rsidP="001F00A4">
            <w:pPr>
              <w:jc w:val="center"/>
              <w:rPr>
                <w:color w:val="000000"/>
              </w:rPr>
            </w:pPr>
            <w:r w:rsidRPr="00857146">
              <w:rPr>
                <w:color w:val="000000"/>
              </w:rPr>
              <w:t>0.8</w:t>
            </w:r>
          </w:p>
        </w:tc>
      </w:tr>
      <w:tr w:rsidR="0035087B" w:rsidTr="007A7591">
        <w:tc>
          <w:tcPr>
            <w:tcW w:w="4786" w:type="dxa"/>
          </w:tcPr>
          <w:p w:rsidR="0035087B" w:rsidRPr="00857146" w:rsidRDefault="0035087B" w:rsidP="00796FF5">
            <w:pPr>
              <w:tabs>
                <w:tab w:val="left" w:pos="3000"/>
              </w:tabs>
            </w:pPr>
            <w:r w:rsidRPr="00857146">
              <w:t>Unknown</w:t>
            </w:r>
          </w:p>
        </w:tc>
        <w:tc>
          <w:tcPr>
            <w:tcW w:w="1375" w:type="dxa"/>
            <w:vAlign w:val="bottom"/>
          </w:tcPr>
          <w:p w:rsidR="0035087B" w:rsidRPr="00857146" w:rsidRDefault="0035087B" w:rsidP="001F00A4">
            <w:pPr>
              <w:jc w:val="center"/>
              <w:rPr>
                <w:color w:val="000000"/>
              </w:rPr>
            </w:pPr>
            <w:r w:rsidRPr="00857146">
              <w:rPr>
                <w:color w:val="000000"/>
              </w:rPr>
              <w:t>0.0</w:t>
            </w:r>
          </w:p>
        </w:tc>
        <w:tc>
          <w:tcPr>
            <w:tcW w:w="1460" w:type="dxa"/>
            <w:vAlign w:val="bottom"/>
          </w:tcPr>
          <w:p w:rsidR="0035087B" w:rsidRPr="00857146" w:rsidRDefault="0035087B" w:rsidP="001F00A4">
            <w:pPr>
              <w:jc w:val="center"/>
              <w:rPr>
                <w:color w:val="000000"/>
              </w:rPr>
            </w:pPr>
            <w:r w:rsidRPr="00857146">
              <w:rPr>
                <w:color w:val="000000"/>
              </w:rPr>
              <w:t>0.0</w:t>
            </w:r>
          </w:p>
        </w:tc>
      </w:tr>
      <w:tr w:rsidR="0035087B" w:rsidTr="007A7591">
        <w:tc>
          <w:tcPr>
            <w:tcW w:w="4786" w:type="dxa"/>
          </w:tcPr>
          <w:p w:rsidR="0035087B" w:rsidRPr="00857146" w:rsidRDefault="0035087B" w:rsidP="00343967">
            <w:pPr>
              <w:rPr>
                <w:b/>
              </w:rPr>
            </w:pPr>
            <w:r w:rsidRPr="00857146">
              <w:rPr>
                <w:b/>
              </w:rPr>
              <w:t>Total</w:t>
            </w:r>
          </w:p>
        </w:tc>
        <w:tc>
          <w:tcPr>
            <w:tcW w:w="1375" w:type="dxa"/>
            <w:vAlign w:val="bottom"/>
          </w:tcPr>
          <w:p w:rsidR="0035087B" w:rsidRPr="00857146" w:rsidRDefault="0035087B" w:rsidP="001F00A4">
            <w:pPr>
              <w:jc w:val="center"/>
              <w:rPr>
                <w:color w:val="000000"/>
              </w:rPr>
            </w:pPr>
            <w:r w:rsidRPr="00857146">
              <w:rPr>
                <w:color w:val="000000"/>
              </w:rPr>
              <w:t>100.0</w:t>
            </w:r>
          </w:p>
        </w:tc>
        <w:tc>
          <w:tcPr>
            <w:tcW w:w="1460" w:type="dxa"/>
            <w:vAlign w:val="bottom"/>
          </w:tcPr>
          <w:p w:rsidR="0035087B" w:rsidRPr="00857146" w:rsidRDefault="0035087B" w:rsidP="001F00A4">
            <w:pPr>
              <w:jc w:val="center"/>
              <w:rPr>
                <w:color w:val="000000"/>
              </w:rPr>
            </w:pPr>
            <w:r w:rsidRPr="00857146">
              <w:rPr>
                <w:color w:val="000000"/>
              </w:rPr>
              <w:t>100.0</w:t>
            </w:r>
          </w:p>
        </w:tc>
      </w:tr>
    </w:tbl>
    <w:p w:rsidR="006B0D88" w:rsidRDefault="006B0D88" w:rsidP="00343967"/>
    <w:sectPr w:rsidR="006B0D88" w:rsidSect="006C2A83">
      <w:headerReference w:type="default" r:id="rId10"/>
      <w:foot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96E" w:rsidRDefault="00F3696E" w:rsidP="001B1305">
      <w:r>
        <w:separator/>
      </w:r>
    </w:p>
  </w:endnote>
  <w:endnote w:type="continuationSeparator" w:id="0">
    <w:p w:rsidR="00F3696E" w:rsidRDefault="00F3696E" w:rsidP="001B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816559"/>
      <w:docPartObj>
        <w:docPartGallery w:val="Page Numbers (Bottom of Page)"/>
        <w:docPartUnique/>
      </w:docPartObj>
    </w:sdtPr>
    <w:sdtEndPr>
      <w:rPr>
        <w:noProof/>
      </w:rPr>
    </w:sdtEndPr>
    <w:sdtContent>
      <w:p w:rsidR="000A7CB8" w:rsidRDefault="004C18FA">
        <w:pPr>
          <w:pStyle w:val="Footer"/>
          <w:jc w:val="center"/>
        </w:pPr>
        <w:r>
          <w:fldChar w:fldCharType="begin"/>
        </w:r>
        <w:r>
          <w:instrText xml:space="preserve"> PAGE   \* MERGEFORMAT </w:instrText>
        </w:r>
        <w:r>
          <w:fldChar w:fldCharType="separate"/>
        </w:r>
        <w:r w:rsidR="001367FD">
          <w:rPr>
            <w:noProof/>
          </w:rPr>
          <w:t>3</w:t>
        </w:r>
        <w:r>
          <w:rPr>
            <w:noProof/>
          </w:rPr>
          <w:fldChar w:fldCharType="end"/>
        </w:r>
      </w:p>
    </w:sdtContent>
  </w:sdt>
  <w:p w:rsidR="000A7CB8" w:rsidRDefault="000A7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96E" w:rsidRDefault="00F3696E" w:rsidP="001B1305">
      <w:r>
        <w:separator/>
      </w:r>
    </w:p>
  </w:footnote>
  <w:footnote w:type="continuationSeparator" w:id="0">
    <w:p w:rsidR="00F3696E" w:rsidRDefault="00F3696E" w:rsidP="001B1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B8" w:rsidRPr="001B1305" w:rsidRDefault="000A7CB8" w:rsidP="001B1305">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ADB"/>
    <w:multiLevelType w:val="hybridMultilevel"/>
    <w:tmpl w:val="FA424734"/>
    <w:lvl w:ilvl="0" w:tplc="0C090003">
      <w:start w:val="1"/>
      <w:numFmt w:val="bullet"/>
      <w:lvlText w:val="o"/>
      <w:lvlJc w:val="left"/>
      <w:pPr>
        <w:ind w:left="862" w:hanging="360"/>
      </w:pPr>
      <w:rPr>
        <w:rFonts w:ascii="Courier New" w:hAnsi="Courier New" w:cs="Courier New"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nsid w:val="056B0931"/>
    <w:multiLevelType w:val="hybridMultilevel"/>
    <w:tmpl w:val="7638BD9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5E379A"/>
    <w:multiLevelType w:val="hybridMultilevel"/>
    <w:tmpl w:val="82A20AB2"/>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9023594"/>
    <w:multiLevelType w:val="hybridMultilevel"/>
    <w:tmpl w:val="5590E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70BB6"/>
    <w:multiLevelType w:val="hybridMultilevel"/>
    <w:tmpl w:val="8156358C"/>
    <w:lvl w:ilvl="0" w:tplc="D67CFB44">
      <w:start w:val="1"/>
      <w:numFmt w:val="decimal"/>
      <w:lvlText w:val="%1."/>
      <w:lvlJc w:val="left"/>
      <w:pPr>
        <w:tabs>
          <w:tab w:val="num" w:pos="360"/>
        </w:tabs>
        <w:ind w:left="360" w:hanging="360"/>
      </w:pPr>
      <w:rPr>
        <w:rFonts w:hint="default"/>
        <w:b w:val="0"/>
      </w:rPr>
    </w:lvl>
    <w:lvl w:ilvl="1" w:tplc="25BE5222">
      <w:start w:val="1"/>
      <w:numFmt w:val="decimal"/>
      <w:pStyle w:val="ListNumber"/>
      <w:lvlText w:val="%2."/>
      <w:lvlJc w:val="left"/>
      <w:pPr>
        <w:tabs>
          <w:tab w:val="num" w:pos="1080"/>
        </w:tabs>
        <w:ind w:left="1080" w:hanging="360"/>
      </w:pPr>
      <w:rPr>
        <w:rFonts w:hint="default"/>
        <w:b w:val="0"/>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0F5A2774"/>
    <w:multiLevelType w:val="hybridMultilevel"/>
    <w:tmpl w:val="2B8E5098"/>
    <w:lvl w:ilvl="0" w:tplc="0C090019">
      <w:start w:val="1"/>
      <w:numFmt w:val="lowerLetter"/>
      <w:lvlText w:val="%1."/>
      <w:lvlJc w:val="left"/>
      <w:pPr>
        <w:ind w:left="1440" w:hanging="360"/>
      </w:pPr>
      <w:rPr>
        <w:rFonts w:hint="default"/>
        <w:i/>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1C862BC"/>
    <w:multiLevelType w:val="hybridMultilevel"/>
    <w:tmpl w:val="178E16BA"/>
    <w:lvl w:ilvl="0" w:tplc="0C090001">
      <w:start w:val="1"/>
      <w:numFmt w:val="bullet"/>
      <w:lvlText w:val=""/>
      <w:lvlJc w:val="left"/>
      <w:pPr>
        <w:ind w:left="720" w:hanging="360"/>
      </w:pPr>
      <w:rPr>
        <w:rFonts w:ascii="Symbol" w:hAnsi="Symbol" w:hint="default"/>
      </w:rPr>
    </w:lvl>
    <w:lvl w:ilvl="1" w:tplc="7A2A2BD0">
      <w:numFmt w:val="bullet"/>
      <w:lvlText w:val=""/>
      <w:lvlJc w:val="left"/>
      <w:pPr>
        <w:ind w:left="1440" w:hanging="360"/>
      </w:pPr>
      <w:rPr>
        <w:rFonts w:ascii="Wingdings" w:eastAsia="Times New Roman" w:hAnsi="Wingdings"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863AC5"/>
    <w:multiLevelType w:val="hybridMultilevel"/>
    <w:tmpl w:val="D4B25F68"/>
    <w:lvl w:ilvl="0" w:tplc="0C090001">
      <w:start w:val="1"/>
      <w:numFmt w:val="bullet"/>
      <w:lvlText w:val=""/>
      <w:lvlJc w:val="left"/>
      <w:pPr>
        <w:ind w:left="720" w:hanging="360"/>
      </w:pPr>
      <w:rPr>
        <w:rFonts w:ascii="Symbol" w:hAnsi="Symbol" w:hint="default"/>
      </w:rPr>
    </w:lvl>
    <w:lvl w:ilvl="1" w:tplc="7C88F36A">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0E698D"/>
    <w:multiLevelType w:val="hybridMultilevel"/>
    <w:tmpl w:val="2CF2C602"/>
    <w:lvl w:ilvl="0" w:tplc="E938B56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4770D2"/>
    <w:multiLevelType w:val="hybridMultilevel"/>
    <w:tmpl w:val="CB04D300"/>
    <w:lvl w:ilvl="0" w:tplc="9A52B1D6">
      <w:start w:val="1"/>
      <w:numFmt w:val="decimal"/>
      <w:lvlText w:val="%1."/>
      <w:lvlJc w:val="left"/>
      <w:pPr>
        <w:ind w:left="1080" w:hanging="360"/>
      </w:pPr>
      <w:rPr>
        <w:rFonts w:hint="default"/>
        <w:i/>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1B1F274C"/>
    <w:multiLevelType w:val="hybridMultilevel"/>
    <w:tmpl w:val="867CA7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611B45"/>
    <w:multiLevelType w:val="hybridMultilevel"/>
    <w:tmpl w:val="980C6BB4"/>
    <w:lvl w:ilvl="0" w:tplc="EACE746A">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2">
    <w:nsid w:val="22750A07"/>
    <w:multiLevelType w:val="hybridMultilevel"/>
    <w:tmpl w:val="C1406E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nsid w:val="2A536759"/>
    <w:multiLevelType w:val="hybridMultilevel"/>
    <w:tmpl w:val="4A7841AA"/>
    <w:lvl w:ilvl="0" w:tplc="E938B564">
      <w:numFmt w:val="bullet"/>
      <w:lvlText w:val="•"/>
      <w:lvlJc w:val="left"/>
      <w:pPr>
        <w:ind w:left="720" w:hanging="360"/>
      </w:pPr>
      <w:rPr>
        <w:rFonts w:ascii="Times New Roman" w:eastAsia="Times New Roman" w:hAnsi="Times New Roman" w:cs="Times New Roman" w:hint="default"/>
      </w:rPr>
    </w:lvl>
    <w:lvl w:ilvl="1" w:tplc="7A2A2BD0">
      <w:numFmt w:val="bullet"/>
      <w:lvlText w:val=""/>
      <w:lvlJc w:val="left"/>
      <w:pPr>
        <w:ind w:left="1440" w:hanging="360"/>
      </w:pPr>
      <w:rPr>
        <w:rFonts w:ascii="Wingdings" w:eastAsia="Times New Roman" w:hAnsi="Wingdings"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6572E9"/>
    <w:multiLevelType w:val="hybridMultilevel"/>
    <w:tmpl w:val="19AC23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ED6795F"/>
    <w:multiLevelType w:val="hybridMultilevel"/>
    <w:tmpl w:val="1E2CD0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04630F"/>
    <w:multiLevelType w:val="hybridMultilevel"/>
    <w:tmpl w:val="FA624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6D599B"/>
    <w:multiLevelType w:val="hybridMultilevel"/>
    <w:tmpl w:val="8BA48F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2CC05D7"/>
    <w:multiLevelType w:val="hybridMultilevel"/>
    <w:tmpl w:val="8CA28D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nsid w:val="383E4EA8"/>
    <w:multiLevelType w:val="hybridMultilevel"/>
    <w:tmpl w:val="6BC02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1E57DE"/>
    <w:multiLevelType w:val="hybridMultilevel"/>
    <w:tmpl w:val="6FDE00E8"/>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E771690"/>
    <w:multiLevelType w:val="hybridMultilevel"/>
    <w:tmpl w:val="6A780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B43F03"/>
    <w:multiLevelType w:val="multilevel"/>
    <w:tmpl w:val="5218F5BE"/>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0263B05"/>
    <w:multiLevelType w:val="hybridMultilevel"/>
    <w:tmpl w:val="33CC8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3944B22"/>
    <w:multiLevelType w:val="hybridMultilevel"/>
    <w:tmpl w:val="6298F8A8"/>
    <w:lvl w:ilvl="0" w:tplc="63287602">
      <w:start w:val="30"/>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485F1EFE"/>
    <w:multiLevelType w:val="hybridMultilevel"/>
    <w:tmpl w:val="4028B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CA87B90"/>
    <w:multiLevelType w:val="hybridMultilevel"/>
    <w:tmpl w:val="6F2C477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4D4E76DD"/>
    <w:multiLevelType w:val="hybridMultilevel"/>
    <w:tmpl w:val="9ECA43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E067166"/>
    <w:multiLevelType w:val="hybridMultilevel"/>
    <w:tmpl w:val="416657E8"/>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9">
    <w:nsid w:val="4F1F1629"/>
    <w:multiLevelType w:val="hybridMultilevel"/>
    <w:tmpl w:val="C7CED6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nsid w:val="520F572C"/>
    <w:multiLevelType w:val="hybridMultilevel"/>
    <w:tmpl w:val="D7987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43C58AE"/>
    <w:multiLevelType w:val="hybridMultilevel"/>
    <w:tmpl w:val="A9F6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46C72D7"/>
    <w:multiLevelType w:val="hybridMultilevel"/>
    <w:tmpl w:val="0DDAA298"/>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3">
    <w:nsid w:val="56455F30"/>
    <w:multiLevelType w:val="hybridMultilevel"/>
    <w:tmpl w:val="1F36C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8B96B29"/>
    <w:multiLevelType w:val="hybridMultilevel"/>
    <w:tmpl w:val="AE4E9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8E22329"/>
    <w:multiLevelType w:val="hybridMultilevel"/>
    <w:tmpl w:val="F12251A8"/>
    <w:lvl w:ilvl="0" w:tplc="0C09000F">
      <w:start w:val="1"/>
      <w:numFmt w:val="decimal"/>
      <w:lvlText w:val="%1."/>
      <w:lvlJc w:val="left"/>
      <w:pPr>
        <w:ind w:left="720" w:hanging="360"/>
      </w:pPr>
      <w:rPr>
        <w:rFonts w:hint="default"/>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1C51C58"/>
    <w:multiLevelType w:val="hybridMultilevel"/>
    <w:tmpl w:val="00AE7A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2B15ABF"/>
    <w:multiLevelType w:val="hybridMultilevel"/>
    <w:tmpl w:val="4CFCE65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64F12C9C"/>
    <w:multiLevelType w:val="hybridMultilevel"/>
    <w:tmpl w:val="A76A1A58"/>
    <w:lvl w:ilvl="0" w:tplc="0C090001">
      <w:start w:val="1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C86105A"/>
    <w:multiLevelType w:val="hybridMultilevel"/>
    <w:tmpl w:val="133AF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ED12944"/>
    <w:multiLevelType w:val="hybridMultilevel"/>
    <w:tmpl w:val="8318C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3ED1A94"/>
    <w:multiLevelType w:val="hybridMultilevel"/>
    <w:tmpl w:val="BBE287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76160D59"/>
    <w:multiLevelType w:val="hybridMultilevel"/>
    <w:tmpl w:val="6D54D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6572E88"/>
    <w:multiLevelType w:val="multilevel"/>
    <w:tmpl w:val="AE824D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99800FF"/>
    <w:multiLevelType w:val="hybridMultilevel"/>
    <w:tmpl w:val="87BEF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EB77FC0"/>
    <w:multiLevelType w:val="hybridMultilevel"/>
    <w:tmpl w:val="7B7CC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F4C56B3"/>
    <w:multiLevelType w:val="hybridMultilevel"/>
    <w:tmpl w:val="A46A094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7"/>
  </w:num>
  <w:num w:numId="2">
    <w:abstractNumId w:val="43"/>
  </w:num>
  <w:num w:numId="3">
    <w:abstractNumId w:val="41"/>
  </w:num>
  <w:num w:numId="4">
    <w:abstractNumId w:val="22"/>
  </w:num>
  <w:num w:numId="5">
    <w:abstractNumId w:val="39"/>
  </w:num>
  <w:num w:numId="6">
    <w:abstractNumId w:val="13"/>
  </w:num>
  <w:num w:numId="7">
    <w:abstractNumId w:val="8"/>
  </w:num>
  <w:num w:numId="8">
    <w:abstractNumId w:val="24"/>
  </w:num>
  <w:num w:numId="9">
    <w:abstractNumId w:val="4"/>
  </w:num>
  <w:num w:numId="10">
    <w:abstractNumId w:val="11"/>
  </w:num>
  <w:num w:numId="11">
    <w:abstractNumId w:val="16"/>
  </w:num>
  <w:num w:numId="12">
    <w:abstractNumId w:val="45"/>
  </w:num>
  <w:num w:numId="13">
    <w:abstractNumId w:val="31"/>
  </w:num>
  <w:num w:numId="14">
    <w:abstractNumId w:val="1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32"/>
  </w:num>
  <w:num w:numId="18">
    <w:abstractNumId w:val="0"/>
  </w:num>
  <w:num w:numId="19">
    <w:abstractNumId w:val="1"/>
  </w:num>
  <w:num w:numId="20">
    <w:abstractNumId w:val="46"/>
  </w:num>
  <w:num w:numId="21">
    <w:abstractNumId w:val="26"/>
  </w:num>
  <w:num w:numId="22">
    <w:abstractNumId w:val="28"/>
  </w:num>
  <w:num w:numId="23">
    <w:abstractNumId w:val="23"/>
  </w:num>
  <w:num w:numId="24">
    <w:abstractNumId w:val="38"/>
  </w:num>
  <w:num w:numId="25">
    <w:abstractNumId w:val="37"/>
  </w:num>
  <w:num w:numId="26">
    <w:abstractNumId w:val="25"/>
  </w:num>
  <w:num w:numId="27">
    <w:abstractNumId w:val="12"/>
  </w:num>
  <w:num w:numId="28">
    <w:abstractNumId w:val="30"/>
  </w:num>
  <w:num w:numId="29">
    <w:abstractNumId w:val="35"/>
  </w:num>
  <w:num w:numId="30">
    <w:abstractNumId w:val="9"/>
  </w:num>
  <w:num w:numId="31">
    <w:abstractNumId w:val="5"/>
  </w:num>
  <w:num w:numId="32">
    <w:abstractNumId w:val="15"/>
  </w:num>
  <w:num w:numId="33">
    <w:abstractNumId w:val="7"/>
  </w:num>
  <w:num w:numId="34">
    <w:abstractNumId w:val="6"/>
  </w:num>
  <w:num w:numId="35">
    <w:abstractNumId w:val="3"/>
  </w:num>
  <w:num w:numId="36">
    <w:abstractNumId w:val="36"/>
  </w:num>
  <w:num w:numId="37">
    <w:abstractNumId w:val="14"/>
  </w:num>
  <w:num w:numId="38">
    <w:abstractNumId w:val="33"/>
  </w:num>
  <w:num w:numId="39">
    <w:abstractNumId w:val="40"/>
  </w:num>
  <w:num w:numId="40">
    <w:abstractNumId w:val="10"/>
  </w:num>
  <w:num w:numId="41">
    <w:abstractNumId w:val="20"/>
  </w:num>
  <w:num w:numId="42">
    <w:abstractNumId w:val="2"/>
  </w:num>
  <w:num w:numId="43">
    <w:abstractNumId w:val="27"/>
  </w:num>
  <w:num w:numId="44">
    <w:abstractNumId w:val="18"/>
  </w:num>
  <w:num w:numId="45">
    <w:abstractNumId w:val="34"/>
  </w:num>
  <w:num w:numId="46">
    <w:abstractNumId w:val="42"/>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77"/>
    <w:rsid w:val="000017D6"/>
    <w:rsid w:val="0000253F"/>
    <w:rsid w:val="00004ECA"/>
    <w:rsid w:val="000058E9"/>
    <w:rsid w:val="00005D1E"/>
    <w:rsid w:val="00007C55"/>
    <w:rsid w:val="00015C29"/>
    <w:rsid w:val="0002027C"/>
    <w:rsid w:val="00033458"/>
    <w:rsid w:val="0003432D"/>
    <w:rsid w:val="00050702"/>
    <w:rsid w:val="00052BBC"/>
    <w:rsid w:val="00053936"/>
    <w:rsid w:val="0005433F"/>
    <w:rsid w:val="000574D8"/>
    <w:rsid w:val="0006134C"/>
    <w:rsid w:val="000622D4"/>
    <w:rsid w:val="0006263E"/>
    <w:rsid w:val="000630A8"/>
    <w:rsid w:val="00072050"/>
    <w:rsid w:val="0007212A"/>
    <w:rsid w:val="00072F97"/>
    <w:rsid w:val="00077201"/>
    <w:rsid w:val="00077273"/>
    <w:rsid w:val="00077D6A"/>
    <w:rsid w:val="00080A79"/>
    <w:rsid w:val="00081304"/>
    <w:rsid w:val="00081A4E"/>
    <w:rsid w:val="0008304F"/>
    <w:rsid w:val="00090A7C"/>
    <w:rsid w:val="00090AE4"/>
    <w:rsid w:val="00091CC1"/>
    <w:rsid w:val="00093282"/>
    <w:rsid w:val="000964E9"/>
    <w:rsid w:val="000A7AFE"/>
    <w:rsid w:val="000A7CB8"/>
    <w:rsid w:val="000B1594"/>
    <w:rsid w:val="000B1C4C"/>
    <w:rsid w:val="000B2391"/>
    <w:rsid w:val="000B28EF"/>
    <w:rsid w:val="000B2F18"/>
    <w:rsid w:val="000B5447"/>
    <w:rsid w:val="000B71E7"/>
    <w:rsid w:val="000B759F"/>
    <w:rsid w:val="000C0A4A"/>
    <w:rsid w:val="000C0FD3"/>
    <w:rsid w:val="000D0CFF"/>
    <w:rsid w:val="000D1C40"/>
    <w:rsid w:val="000D686D"/>
    <w:rsid w:val="000E0F8B"/>
    <w:rsid w:val="000E5DCB"/>
    <w:rsid w:val="000F1A50"/>
    <w:rsid w:val="001026EE"/>
    <w:rsid w:val="00104BBB"/>
    <w:rsid w:val="0010535F"/>
    <w:rsid w:val="00106BCB"/>
    <w:rsid w:val="00116F76"/>
    <w:rsid w:val="00123EB2"/>
    <w:rsid w:val="00127568"/>
    <w:rsid w:val="00132E54"/>
    <w:rsid w:val="0013538E"/>
    <w:rsid w:val="00135786"/>
    <w:rsid w:val="00135E24"/>
    <w:rsid w:val="001367FD"/>
    <w:rsid w:val="00140D27"/>
    <w:rsid w:val="0014185E"/>
    <w:rsid w:val="0014652D"/>
    <w:rsid w:val="001470C1"/>
    <w:rsid w:val="00147E85"/>
    <w:rsid w:val="00150967"/>
    <w:rsid w:val="00152368"/>
    <w:rsid w:val="00154962"/>
    <w:rsid w:val="00156885"/>
    <w:rsid w:val="0016100D"/>
    <w:rsid w:val="00162791"/>
    <w:rsid w:val="00165A65"/>
    <w:rsid w:val="001710D1"/>
    <w:rsid w:val="001740B0"/>
    <w:rsid w:val="00174F08"/>
    <w:rsid w:val="00180A29"/>
    <w:rsid w:val="0018230E"/>
    <w:rsid w:val="00186D14"/>
    <w:rsid w:val="00186E52"/>
    <w:rsid w:val="0018755F"/>
    <w:rsid w:val="001876FF"/>
    <w:rsid w:val="00192E79"/>
    <w:rsid w:val="001964FB"/>
    <w:rsid w:val="001970AC"/>
    <w:rsid w:val="001A3F78"/>
    <w:rsid w:val="001B04AB"/>
    <w:rsid w:val="001B1305"/>
    <w:rsid w:val="001B736E"/>
    <w:rsid w:val="001B776A"/>
    <w:rsid w:val="001C1698"/>
    <w:rsid w:val="001C320D"/>
    <w:rsid w:val="001C680D"/>
    <w:rsid w:val="001C7F7B"/>
    <w:rsid w:val="001D225B"/>
    <w:rsid w:val="001E2287"/>
    <w:rsid w:val="001E4FCB"/>
    <w:rsid w:val="001F00A4"/>
    <w:rsid w:val="001F36EB"/>
    <w:rsid w:val="001F7219"/>
    <w:rsid w:val="001F7CC2"/>
    <w:rsid w:val="00203D9F"/>
    <w:rsid w:val="002079FF"/>
    <w:rsid w:val="00212751"/>
    <w:rsid w:val="00216B75"/>
    <w:rsid w:val="00216E96"/>
    <w:rsid w:val="00223A60"/>
    <w:rsid w:val="00231D16"/>
    <w:rsid w:val="002339A3"/>
    <w:rsid w:val="00234E03"/>
    <w:rsid w:val="002374FE"/>
    <w:rsid w:val="00240AAF"/>
    <w:rsid w:val="002419A1"/>
    <w:rsid w:val="002428BC"/>
    <w:rsid w:val="00242A5C"/>
    <w:rsid w:val="00243E6B"/>
    <w:rsid w:val="00245946"/>
    <w:rsid w:val="00247C2B"/>
    <w:rsid w:val="00250038"/>
    <w:rsid w:val="00252596"/>
    <w:rsid w:val="00252FF2"/>
    <w:rsid w:val="002542E3"/>
    <w:rsid w:val="0025582D"/>
    <w:rsid w:val="0026186F"/>
    <w:rsid w:val="00261C7A"/>
    <w:rsid w:val="002624CF"/>
    <w:rsid w:val="00265673"/>
    <w:rsid w:val="00265AFB"/>
    <w:rsid w:val="00265F77"/>
    <w:rsid w:val="002709B6"/>
    <w:rsid w:val="00270C6C"/>
    <w:rsid w:val="00270D0F"/>
    <w:rsid w:val="00277CF1"/>
    <w:rsid w:val="00280E9C"/>
    <w:rsid w:val="00282C67"/>
    <w:rsid w:val="00282D22"/>
    <w:rsid w:val="0028360B"/>
    <w:rsid w:val="00285E18"/>
    <w:rsid w:val="0028612E"/>
    <w:rsid w:val="00292121"/>
    <w:rsid w:val="00292753"/>
    <w:rsid w:val="0029361A"/>
    <w:rsid w:val="00296F7B"/>
    <w:rsid w:val="00297048"/>
    <w:rsid w:val="0029775F"/>
    <w:rsid w:val="00297A69"/>
    <w:rsid w:val="002A13A3"/>
    <w:rsid w:val="002A28A8"/>
    <w:rsid w:val="002A6C03"/>
    <w:rsid w:val="002A7119"/>
    <w:rsid w:val="002B08DF"/>
    <w:rsid w:val="002B12A6"/>
    <w:rsid w:val="002B3B09"/>
    <w:rsid w:val="002B3BB7"/>
    <w:rsid w:val="002B41E7"/>
    <w:rsid w:val="002B5202"/>
    <w:rsid w:val="002C0E35"/>
    <w:rsid w:val="002C60C4"/>
    <w:rsid w:val="002C7BF8"/>
    <w:rsid w:val="002D2341"/>
    <w:rsid w:val="002D28A9"/>
    <w:rsid w:val="002D2D68"/>
    <w:rsid w:val="002D7280"/>
    <w:rsid w:val="002E5354"/>
    <w:rsid w:val="002F0426"/>
    <w:rsid w:val="002F150F"/>
    <w:rsid w:val="002F31DE"/>
    <w:rsid w:val="002F748E"/>
    <w:rsid w:val="002F7E41"/>
    <w:rsid w:val="0030500E"/>
    <w:rsid w:val="00307004"/>
    <w:rsid w:val="00307BAE"/>
    <w:rsid w:val="00315ABA"/>
    <w:rsid w:val="00316DDD"/>
    <w:rsid w:val="0032607C"/>
    <w:rsid w:val="0033297C"/>
    <w:rsid w:val="00332B13"/>
    <w:rsid w:val="003362CA"/>
    <w:rsid w:val="00341523"/>
    <w:rsid w:val="00341B03"/>
    <w:rsid w:val="00342707"/>
    <w:rsid w:val="00343967"/>
    <w:rsid w:val="0035087B"/>
    <w:rsid w:val="00353481"/>
    <w:rsid w:val="00354095"/>
    <w:rsid w:val="003554A7"/>
    <w:rsid w:val="00356032"/>
    <w:rsid w:val="00357137"/>
    <w:rsid w:val="003608EA"/>
    <w:rsid w:val="0036713B"/>
    <w:rsid w:val="0036731E"/>
    <w:rsid w:val="0037166A"/>
    <w:rsid w:val="003742CF"/>
    <w:rsid w:val="003745E3"/>
    <w:rsid w:val="00376C01"/>
    <w:rsid w:val="00383B8A"/>
    <w:rsid w:val="00385993"/>
    <w:rsid w:val="00385C63"/>
    <w:rsid w:val="00385FCB"/>
    <w:rsid w:val="00387EFA"/>
    <w:rsid w:val="003901C4"/>
    <w:rsid w:val="00391169"/>
    <w:rsid w:val="00391325"/>
    <w:rsid w:val="00394383"/>
    <w:rsid w:val="003A29D6"/>
    <w:rsid w:val="003A3D29"/>
    <w:rsid w:val="003A3E0B"/>
    <w:rsid w:val="003B019E"/>
    <w:rsid w:val="003B1DE1"/>
    <w:rsid w:val="003D161F"/>
    <w:rsid w:val="003D1969"/>
    <w:rsid w:val="003D2466"/>
    <w:rsid w:val="003E43AB"/>
    <w:rsid w:val="003F2DC5"/>
    <w:rsid w:val="003F655F"/>
    <w:rsid w:val="003F782C"/>
    <w:rsid w:val="00402419"/>
    <w:rsid w:val="00407C42"/>
    <w:rsid w:val="00414613"/>
    <w:rsid w:val="0041750E"/>
    <w:rsid w:val="00422932"/>
    <w:rsid w:val="00423472"/>
    <w:rsid w:val="004252BF"/>
    <w:rsid w:val="00426ABF"/>
    <w:rsid w:val="00430BEE"/>
    <w:rsid w:val="00435AA5"/>
    <w:rsid w:val="0044611B"/>
    <w:rsid w:val="00452000"/>
    <w:rsid w:val="00452DDE"/>
    <w:rsid w:val="004533D8"/>
    <w:rsid w:val="004547DB"/>
    <w:rsid w:val="004556B3"/>
    <w:rsid w:val="004563E2"/>
    <w:rsid w:val="00464B1F"/>
    <w:rsid w:val="00465356"/>
    <w:rsid w:val="004673F5"/>
    <w:rsid w:val="00471F0E"/>
    <w:rsid w:val="00472353"/>
    <w:rsid w:val="00472FE5"/>
    <w:rsid w:val="00475CF2"/>
    <w:rsid w:val="004771DE"/>
    <w:rsid w:val="00480286"/>
    <w:rsid w:val="004827C3"/>
    <w:rsid w:val="00494DBA"/>
    <w:rsid w:val="004A078E"/>
    <w:rsid w:val="004A21B4"/>
    <w:rsid w:val="004A46E1"/>
    <w:rsid w:val="004A5F83"/>
    <w:rsid w:val="004B0B27"/>
    <w:rsid w:val="004B2E55"/>
    <w:rsid w:val="004B2F74"/>
    <w:rsid w:val="004B4136"/>
    <w:rsid w:val="004C0A84"/>
    <w:rsid w:val="004C18FA"/>
    <w:rsid w:val="004C1D1F"/>
    <w:rsid w:val="004C3CDC"/>
    <w:rsid w:val="004C4EA3"/>
    <w:rsid w:val="004D2878"/>
    <w:rsid w:val="004D53D3"/>
    <w:rsid w:val="004E0675"/>
    <w:rsid w:val="004E45B3"/>
    <w:rsid w:val="004F31C2"/>
    <w:rsid w:val="004F7BBF"/>
    <w:rsid w:val="00501988"/>
    <w:rsid w:val="0050254C"/>
    <w:rsid w:val="0050760E"/>
    <w:rsid w:val="00511238"/>
    <w:rsid w:val="005115D5"/>
    <w:rsid w:val="00517720"/>
    <w:rsid w:val="005178C3"/>
    <w:rsid w:val="0052035B"/>
    <w:rsid w:val="0052147D"/>
    <w:rsid w:val="00530627"/>
    <w:rsid w:val="005369DE"/>
    <w:rsid w:val="00542AFE"/>
    <w:rsid w:val="0054344E"/>
    <w:rsid w:val="005435AD"/>
    <w:rsid w:val="00544555"/>
    <w:rsid w:val="00553834"/>
    <w:rsid w:val="00553C6D"/>
    <w:rsid w:val="005552F3"/>
    <w:rsid w:val="00564EA6"/>
    <w:rsid w:val="00565305"/>
    <w:rsid w:val="005715BB"/>
    <w:rsid w:val="0057162E"/>
    <w:rsid w:val="005732F6"/>
    <w:rsid w:val="005735A6"/>
    <w:rsid w:val="00581DDF"/>
    <w:rsid w:val="00581F93"/>
    <w:rsid w:val="00582B0D"/>
    <w:rsid w:val="00583D39"/>
    <w:rsid w:val="0058594B"/>
    <w:rsid w:val="00586AF3"/>
    <w:rsid w:val="005879C1"/>
    <w:rsid w:val="005904BD"/>
    <w:rsid w:val="00595A06"/>
    <w:rsid w:val="00595F65"/>
    <w:rsid w:val="00596233"/>
    <w:rsid w:val="005A4C93"/>
    <w:rsid w:val="005A6633"/>
    <w:rsid w:val="005B11CA"/>
    <w:rsid w:val="005B2F31"/>
    <w:rsid w:val="005B305B"/>
    <w:rsid w:val="005B5702"/>
    <w:rsid w:val="005C0FDA"/>
    <w:rsid w:val="005C312E"/>
    <w:rsid w:val="005D46A7"/>
    <w:rsid w:val="005D498C"/>
    <w:rsid w:val="005D6385"/>
    <w:rsid w:val="005E42B1"/>
    <w:rsid w:val="005E6031"/>
    <w:rsid w:val="005E75A5"/>
    <w:rsid w:val="005F101C"/>
    <w:rsid w:val="005F3925"/>
    <w:rsid w:val="005F4F73"/>
    <w:rsid w:val="005F6894"/>
    <w:rsid w:val="0060449D"/>
    <w:rsid w:val="00610B91"/>
    <w:rsid w:val="00611098"/>
    <w:rsid w:val="00615D4A"/>
    <w:rsid w:val="00615EA3"/>
    <w:rsid w:val="00616922"/>
    <w:rsid w:val="0062280D"/>
    <w:rsid w:val="00624628"/>
    <w:rsid w:val="00624BF2"/>
    <w:rsid w:val="00625C37"/>
    <w:rsid w:val="00626718"/>
    <w:rsid w:val="00632BDA"/>
    <w:rsid w:val="0063359D"/>
    <w:rsid w:val="0064111D"/>
    <w:rsid w:val="00642EEC"/>
    <w:rsid w:val="00643107"/>
    <w:rsid w:val="006439CC"/>
    <w:rsid w:val="006467B8"/>
    <w:rsid w:val="006503BD"/>
    <w:rsid w:val="0065395F"/>
    <w:rsid w:val="00657054"/>
    <w:rsid w:val="00662C28"/>
    <w:rsid w:val="00665FFA"/>
    <w:rsid w:val="00666A59"/>
    <w:rsid w:val="006678A2"/>
    <w:rsid w:val="00671F3C"/>
    <w:rsid w:val="006724D9"/>
    <w:rsid w:val="006732B9"/>
    <w:rsid w:val="0067383C"/>
    <w:rsid w:val="0067744C"/>
    <w:rsid w:val="00680915"/>
    <w:rsid w:val="00683BED"/>
    <w:rsid w:val="0068411F"/>
    <w:rsid w:val="00684AB4"/>
    <w:rsid w:val="0068552C"/>
    <w:rsid w:val="0068572C"/>
    <w:rsid w:val="00692D97"/>
    <w:rsid w:val="006A1606"/>
    <w:rsid w:val="006A380E"/>
    <w:rsid w:val="006A6ECB"/>
    <w:rsid w:val="006A7C50"/>
    <w:rsid w:val="006B0D88"/>
    <w:rsid w:val="006B5E94"/>
    <w:rsid w:val="006B66A3"/>
    <w:rsid w:val="006C2A83"/>
    <w:rsid w:val="006C65A0"/>
    <w:rsid w:val="006C757F"/>
    <w:rsid w:val="006D0960"/>
    <w:rsid w:val="006D0B7D"/>
    <w:rsid w:val="006D49B2"/>
    <w:rsid w:val="006D63A4"/>
    <w:rsid w:val="006F4943"/>
    <w:rsid w:val="00700CCD"/>
    <w:rsid w:val="007100B4"/>
    <w:rsid w:val="0071225A"/>
    <w:rsid w:val="0071452A"/>
    <w:rsid w:val="00716DE9"/>
    <w:rsid w:val="00717E69"/>
    <w:rsid w:val="00720B7B"/>
    <w:rsid w:val="00722A2B"/>
    <w:rsid w:val="00723A48"/>
    <w:rsid w:val="00724AE9"/>
    <w:rsid w:val="00726BFE"/>
    <w:rsid w:val="0072762E"/>
    <w:rsid w:val="0072778F"/>
    <w:rsid w:val="00727EA3"/>
    <w:rsid w:val="0073141E"/>
    <w:rsid w:val="00733EA8"/>
    <w:rsid w:val="007378E4"/>
    <w:rsid w:val="00740CBF"/>
    <w:rsid w:val="0075205C"/>
    <w:rsid w:val="00754D05"/>
    <w:rsid w:val="00755C50"/>
    <w:rsid w:val="00755FA6"/>
    <w:rsid w:val="00757BB6"/>
    <w:rsid w:val="007621A8"/>
    <w:rsid w:val="00763B34"/>
    <w:rsid w:val="00765F3D"/>
    <w:rsid w:val="0077055C"/>
    <w:rsid w:val="00771967"/>
    <w:rsid w:val="007817CD"/>
    <w:rsid w:val="00785B1E"/>
    <w:rsid w:val="00792655"/>
    <w:rsid w:val="0079411A"/>
    <w:rsid w:val="00796908"/>
    <w:rsid w:val="00796FF5"/>
    <w:rsid w:val="007972D3"/>
    <w:rsid w:val="007A3B6F"/>
    <w:rsid w:val="007A6B60"/>
    <w:rsid w:val="007B30D5"/>
    <w:rsid w:val="007B4BCE"/>
    <w:rsid w:val="007B66F7"/>
    <w:rsid w:val="007B69D1"/>
    <w:rsid w:val="007C139A"/>
    <w:rsid w:val="007C4577"/>
    <w:rsid w:val="007C4C56"/>
    <w:rsid w:val="007D119D"/>
    <w:rsid w:val="007D789E"/>
    <w:rsid w:val="007D7AFA"/>
    <w:rsid w:val="007E0E16"/>
    <w:rsid w:val="007E6748"/>
    <w:rsid w:val="008003F4"/>
    <w:rsid w:val="008011C1"/>
    <w:rsid w:val="00801BF4"/>
    <w:rsid w:val="00802DDE"/>
    <w:rsid w:val="0080460C"/>
    <w:rsid w:val="00804CAF"/>
    <w:rsid w:val="008057D9"/>
    <w:rsid w:val="008071BE"/>
    <w:rsid w:val="0081160B"/>
    <w:rsid w:val="00811B5A"/>
    <w:rsid w:val="00816E43"/>
    <w:rsid w:val="00817F73"/>
    <w:rsid w:val="00820855"/>
    <w:rsid w:val="008232A2"/>
    <w:rsid w:val="00830BC8"/>
    <w:rsid w:val="008323EE"/>
    <w:rsid w:val="00833C94"/>
    <w:rsid w:val="0083409C"/>
    <w:rsid w:val="00840A10"/>
    <w:rsid w:val="0084250A"/>
    <w:rsid w:val="008440EE"/>
    <w:rsid w:val="00845554"/>
    <w:rsid w:val="00845C9E"/>
    <w:rsid w:val="00852705"/>
    <w:rsid w:val="00855A5D"/>
    <w:rsid w:val="00857146"/>
    <w:rsid w:val="00857648"/>
    <w:rsid w:val="0086259B"/>
    <w:rsid w:val="00862B99"/>
    <w:rsid w:val="00867E04"/>
    <w:rsid w:val="00871880"/>
    <w:rsid w:val="00875581"/>
    <w:rsid w:val="008769E4"/>
    <w:rsid w:val="0088679E"/>
    <w:rsid w:val="0088695D"/>
    <w:rsid w:val="00895662"/>
    <w:rsid w:val="00896CB9"/>
    <w:rsid w:val="00897A43"/>
    <w:rsid w:val="008A4FF7"/>
    <w:rsid w:val="008A7855"/>
    <w:rsid w:val="008B070C"/>
    <w:rsid w:val="008B1720"/>
    <w:rsid w:val="008B1F34"/>
    <w:rsid w:val="008C0178"/>
    <w:rsid w:val="008C317F"/>
    <w:rsid w:val="008C32BD"/>
    <w:rsid w:val="008C405C"/>
    <w:rsid w:val="008C771D"/>
    <w:rsid w:val="008D130B"/>
    <w:rsid w:val="008D20EB"/>
    <w:rsid w:val="008D321F"/>
    <w:rsid w:val="008D48E6"/>
    <w:rsid w:val="008D5B90"/>
    <w:rsid w:val="008D6B2F"/>
    <w:rsid w:val="008D6BD8"/>
    <w:rsid w:val="008D7811"/>
    <w:rsid w:val="008E6922"/>
    <w:rsid w:val="008F0B4D"/>
    <w:rsid w:val="008F164A"/>
    <w:rsid w:val="008F2F8D"/>
    <w:rsid w:val="00902A98"/>
    <w:rsid w:val="009055C1"/>
    <w:rsid w:val="00915191"/>
    <w:rsid w:val="00915E9A"/>
    <w:rsid w:val="00922F6D"/>
    <w:rsid w:val="00926AED"/>
    <w:rsid w:val="00927615"/>
    <w:rsid w:val="009276C8"/>
    <w:rsid w:val="00927CD3"/>
    <w:rsid w:val="00935A19"/>
    <w:rsid w:val="009365F5"/>
    <w:rsid w:val="009417A6"/>
    <w:rsid w:val="00941A1F"/>
    <w:rsid w:val="0094395F"/>
    <w:rsid w:val="00947ED1"/>
    <w:rsid w:val="00950ED6"/>
    <w:rsid w:val="0095619B"/>
    <w:rsid w:val="00956A9D"/>
    <w:rsid w:val="00957F34"/>
    <w:rsid w:val="00961059"/>
    <w:rsid w:val="00964449"/>
    <w:rsid w:val="00964749"/>
    <w:rsid w:val="009655A3"/>
    <w:rsid w:val="00967209"/>
    <w:rsid w:val="0097244E"/>
    <w:rsid w:val="0097306A"/>
    <w:rsid w:val="0097495C"/>
    <w:rsid w:val="00977C11"/>
    <w:rsid w:val="009801A9"/>
    <w:rsid w:val="00981CBF"/>
    <w:rsid w:val="00987017"/>
    <w:rsid w:val="00987C27"/>
    <w:rsid w:val="00991E7D"/>
    <w:rsid w:val="00993471"/>
    <w:rsid w:val="009A01B0"/>
    <w:rsid w:val="009A5CBD"/>
    <w:rsid w:val="009B1260"/>
    <w:rsid w:val="009B1CE7"/>
    <w:rsid w:val="009C5857"/>
    <w:rsid w:val="009C5955"/>
    <w:rsid w:val="009D3131"/>
    <w:rsid w:val="009F0977"/>
    <w:rsid w:val="009F4078"/>
    <w:rsid w:val="009F6226"/>
    <w:rsid w:val="00A00AB8"/>
    <w:rsid w:val="00A05E3D"/>
    <w:rsid w:val="00A07F7B"/>
    <w:rsid w:val="00A14732"/>
    <w:rsid w:val="00A14A9A"/>
    <w:rsid w:val="00A14FCF"/>
    <w:rsid w:val="00A16D70"/>
    <w:rsid w:val="00A173C7"/>
    <w:rsid w:val="00A22F08"/>
    <w:rsid w:val="00A242E2"/>
    <w:rsid w:val="00A24E27"/>
    <w:rsid w:val="00A24EFA"/>
    <w:rsid w:val="00A315E1"/>
    <w:rsid w:val="00A33F29"/>
    <w:rsid w:val="00A36C88"/>
    <w:rsid w:val="00A37419"/>
    <w:rsid w:val="00A37FE6"/>
    <w:rsid w:val="00A45B23"/>
    <w:rsid w:val="00A46022"/>
    <w:rsid w:val="00A46CFB"/>
    <w:rsid w:val="00A51216"/>
    <w:rsid w:val="00A54501"/>
    <w:rsid w:val="00A57860"/>
    <w:rsid w:val="00A65A27"/>
    <w:rsid w:val="00A73C13"/>
    <w:rsid w:val="00A75B5D"/>
    <w:rsid w:val="00A77847"/>
    <w:rsid w:val="00A82987"/>
    <w:rsid w:val="00A8516B"/>
    <w:rsid w:val="00AA25CF"/>
    <w:rsid w:val="00AA5BEF"/>
    <w:rsid w:val="00AB1066"/>
    <w:rsid w:val="00AB10B5"/>
    <w:rsid w:val="00AB156E"/>
    <w:rsid w:val="00AB25D1"/>
    <w:rsid w:val="00AB2ADD"/>
    <w:rsid w:val="00AB3E76"/>
    <w:rsid w:val="00AB51D2"/>
    <w:rsid w:val="00AC5202"/>
    <w:rsid w:val="00AC6BA4"/>
    <w:rsid w:val="00AD1ECD"/>
    <w:rsid w:val="00AD4809"/>
    <w:rsid w:val="00AD4DB7"/>
    <w:rsid w:val="00AD6870"/>
    <w:rsid w:val="00AE262F"/>
    <w:rsid w:val="00AE4B76"/>
    <w:rsid w:val="00AE7332"/>
    <w:rsid w:val="00AF109F"/>
    <w:rsid w:val="00AF2612"/>
    <w:rsid w:val="00B00BE1"/>
    <w:rsid w:val="00B019C3"/>
    <w:rsid w:val="00B0459D"/>
    <w:rsid w:val="00B100CB"/>
    <w:rsid w:val="00B160B3"/>
    <w:rsid w:val="00B166AE"/>
    <w:rsid w:val="00B313FC"/>
    <w:rsid w:val="00B3600D"/>
    <w:rsid w:val="00B36F19"/>
    <w:rsid w:val="00B37D19"/>
    <w:rsid w:val="00B4546D"/>
    <w:rsid w:val="00B45823"/>
    <w:rsid w:val="00B4798D"/>
    <w:rsid w:val="00B51CCB"/>
    <w:rsid w:val="00B53F9E"/>
    <w:rsid w:val="00B56206"/>
    <w:rsid w:val="00B56FFA"/>
    <w:rsid w:val="00B65E62"/>
    <w:rsid w:val="00B6780A"/>
    <w:rsid w:val="00B67D64"/>
    <w:rsid w:val="00B70931"/>
    <w:rsid w:val="00B70FA1"/>
    <w:rsid w:val="00B71929"/>
    <w:rsid w:val="00B7364E"/>
    <w:rsid w:val="00B75F2F"/>
    <w:rsid w:val="00B768B9"/>
    <w:rsid w:val="00B772D6"/>
    <w:rsid w:val="00B80EEA"/>
    <w:rsid w:val="00B817FF"/>
    <w:rsid w:val="00B81EB3"/>
    <w:rsid w:val="00B910C5"/>
    <w:rsid w:val="00B95F6F"/>
    <w:rsid w:val="00BA199E"/>
    <w:rsid w:val="00BA1C58"/>
    <w:rsid w:val="00BA4006"/>
    <w:rsid w:val="00BA48FE"/>
    <w:rsid w:val="00BA671E"/>
    <w:rsid w:val="00BC0A78"/>
    <w:rsid w:val="00BC4585"/>
    <w:rsid w:val="00BC46DA"/>
    <w:rsid w:val="00BC4A12"/>
    <w:rsid w:val="00BD0CF9"/>
    <w:rsid w:val="00BD3658"/>
    <w:rsid w:val="00BD6275"/>
    <w:rsid w:val="00BE49FA"/>
    <w:rsid w:val="00BE6874"/>
    <w:rsid w:val="00BE735E"/>
    <w:rsid w:val="00BE7E7D"/>
    <w:rsid w:val="00BF0FE1"/>
    <w:rsid w:val="00BF1615"/>
    <w:rsid w:val="00BF529D"/>
    <w:rsid w:val="00BF5663"/>
    <w:rsid w:val="00BF68D3"/>
    <w:rsid w:val="00C06605"/>
    <w:rsid w:val="00C10111"/>
    <w:rsid w:val="00C14A29"/>
    <w:rsid w:val="00C16CB6"/>
    <w:rsid w:val="00C16F7D"/>
    <w:rsid w:val="00C205F6"/>
    <w:rsid w:val="00C22C53"/>
    <w:rsid w:val="00C25F03"/>
    <w:rsid w:val="00C25FDC"/>
    <w:rsid w:val="00C44136"/>
    <w:rsid w:val="00C4498B"/>
    <w:rsid w:val="00C4799C"/>
    <w:rsid w:val="00C50A20"/>
    <w:rsid w:val="00C52622"/>
    <w:rsid w:val="00C534A7"/>
    <w:rsid w:val="00C5371F"/>
    <w:rsid w:val="00C53B42"/>
    <w:rsid w:val="00C57551"/>
    <w:rsid w:val="00C57E32"/>
    <w:rsid w:val="00C65586"/>
    <w:rsid w:val="00C65FDB"/>
    <w:rsid w:val="00C6615D"/>
    <w:rsid w:val="00C6665F"/>
    <w:rsid w:val="00C73B9D"/>
    <w:rsid w:val="00C75379"/>
    <w:rsid w:val="00C772C3"/>
    <w:rsid w:val="00C81F02"/>
    <w:rsid w:val="00C8297E"/>
    <w:rsid w:val="00C85293"/>
    <w:rsid w:val="00C85458"/>
    <w:rsid w:val="00C97DB3"/>
    <w:rsid w:val="00CA1ABA"/>
    <w:rsid w:val="00CA4A09"/>
    <w:rsid w:val="00CA50EC"/>
    <w:rsid w:val="00CA6F1A"/>
    <w:rsid w:val="00CB17D5"/>
    <w:rsid w:val="00CB2335"/>
    <w:rsid w:val="00CB3282"/>
    <w:rsid w:val="00CB7203"/>
    <w:rsid w:val="00CD0E26"/>
    <w:rsid w:val="00CD526B"/>
    <w:rsid w:val="00CD5BD5"/>
    <w:rsid w:val="00CD669F"/>
    <w:rsid w:val="00CE261F"/>
    <w:rsid w:val="00CE6CEA"/>
    <w:rsid w:val="00CF1C35"/>
    <w:rsid w:val="00CF258B"/>
    <w:rsid w:val="00CF279E"/>
    <w:rsid w:val="00CF29F7"/>
    <w:rsid w:val="00CF4FB8"/>
    <w:rsid w:val="00CF7F93"/>
    <w:rsid w:val="00D02E14"/>
    <w:rsid w:val="00D051E0"/>
    <w:rsid w:val="00D07693"/>
    <w:rsid w:val="00D11317"/>
    <w:rsid w:val="00D145E3"/>
    <w:rsid w:val="00D1625E"/>
    <w:rsid w:val="00D2123B"/>
    <w:rsid w:val="00D23074"/>
    <w:rsid w:val="00D24189"/>
    <w:rsid w:val="00D243F7"/>
    <w:rsid w:val="00D24688"/>
    <w:rsid w:val="00D24A7A"/>
    <w:rsid w:val="00D2770E"/>
    <w:rsid w:val="00D30C18"/>
    <w:rsid w:val="00D32C16"/>
    <w:rsid w:val="00D331F8"/>
    <w:rsid w:val="00D434CA"/>
    <w:rsid w:val="00D44E8E"/>
    <w:rsid w:val="00D539BF"/>
    <w:rsid w:val="00D57CF5"/>
    <w:rsid w:val="00D67E2E"/>
    <w:rsid w:val="00D73BCE"/>
    <w:rsid w:val="00D756C4"/>
    <w:rsid w:val="00D76EED"/>
    <w:rsid w:val="00D7700A"/>
    <w:rsid w:val="00D82E3D"/>
    <w:rsid w:val="00DA3587"/>
    <w:rsid w:val="00DB2FF6"/>
    <w:rsid w:val="00DB54FD"/>
    <w:rsid w:val="00DC4A42"/>
    <w:rsid w:val="00DD0B7C"/>
    <w:rsid w:val="00DD267E"/>
    <w:rsid w:val="00DD32DD"/>
    <w:rsid w:val="00DD3AC2"/>
    <w:rsid w:val="00DD5D4E"/>
    <w:rsid w:val="00DD6437"/>
    <w:rsid w:val="00DD672C"/>
    <w:rsid w:val="00DE071A"/>
    <w:rsid w:val="00DE3BED"/>
    <w:rsid w:val="00DE3F5D"/>
    <w:rsid w:val="00DF02C8"/>
    <w:rsid w:val="00DF11A3"/>
    <w:rsid w:val="00DF44FC"/>
    <w:rsid w:val="00DF4F6B"/>
    <w:rsid w:val="00DF6136"/>
    <w:rsid w:val="00DF6F6F"/>
    <w:rsid w:val="00E02B0A"/>
    <w:rsid w:val="00E04796"/>
    <w:rsid w:val="00E04E44"/>
    <w:rsid w:val="00E17251"/>
    <w:rsid w:val="00E20BB2"/>
    <w:rsid w:val="00E20CC6"/>
    <w:rsid w:val="00E22ECD"/>
    <w:rsid w:val="00E2530F"/>
    <w:rsid w:val="00E30A17"/>
    <w:rsid w:val="00E32542"/>
    <w:rsid w:val="00E350D1"/>
    <w:rsid w:val="00E45523"/>
    <w:rsid w:val="00E535BE"/>
    <w:rsid w:val="00E55406"/>
    <w:rsid w:val="00E67108"/>
    <w:rsid w:val="00E67A2D"/>
    <w:rsid w:val="00E67A96"/>
    <w:rsid w:val="00E72E7E"/>
    <w:rsid w:val="00E73F77"/>
    <w:rsid w:val="00E81EC1"/>
    <w:rsid w:val="00E8684F"/>
    <w:rsid w:val="00E90E88"/>
    <w:rsid w:val="00E91500"/>
    <w:rsid w:val="00E920AB"/>
    <w:rsid w:val="00E934C1"/>
    <w:rsid w:val="00E95AB7"/>
    <w:rsid w:val="00EB14FC"/>
    <w:rsid w:val="00EB66D7"/>
    <w:rsid w:val="00EB76E4"/>
    <w:rsid w:val="00EC2BBA"/>
    <w:rsid w:val="00EC42C8"/>
    <w:rsid w:val="00EC5AC7"/>
    <w:rsid w:val="00EC6A78"/>
    <w:rsid w:val="00EC7254"/>
    <w:rsid w:val="00ED06CB"/>
    <w:rsid w:val="00ED292C"/>
    <w:rsid w:val="00ED3732"/>
    <w:rsid w:val="00EE19B4"/>
    <w:rsid w:val="00EE4E5C"/>
    <w:rsid w:val="00EF476E"/>
    <w:rsid w:val="00EF5AA1"/>
    <w:rsid w:val="00F00103"/>
    <w:rsid w:val="00F02B1D"/>
    <w:rsid w:val="00F04292"/>
    <w:rsid w:val="00F05701"/>
    <w:rsid w:val="00F0797A"/>
    <w:rsid w:val="00F1083D"/>
    <w:rsid w:val="00F14CB0"/>
    <w:rsid w:val="00F159A1"/>
    <w:rsid w:val="00F175AB"/>
    <w:rsid w:val="00F177E6"/>
    <w:rsid w:val="00F21722"/>
    <w:rsid w:val="00F26C99"/>
    <w:rsid w:val="00F31F12"/>
    <w:rsid w:val="00F32E0E"/>
    <w:rsid w:val="00F3696E"/>
    <w:rsid w:val="00F37962"/>
    <w:rsid w:val="00F40F8E"/>
    <w:rsid w:val="00F418F0"/>
    <w:rsid w:val="00F41A5B"/>
    <w:rsid w:val="00F53CC6"/>
    <w:rsid w:val="00F64ACF"/>
    <w:rsid w:val="00F66232"/>
    <w:rsid w:val="00F673EC"/>
    <w:rsid w:val="00F67C9A"/>
    <w:rsid w:val="00F7203F"/>
    <w:rsid w:val="00F72E00"/>
    <w:rsid w:val="00F74795"/>
    <w:rsid w:val="00F759EA"/>
    <w:rsid w:val="00F84B6C"/>
    <w:rsid w:val="00F87054"/>
    <w:rsid w:val="00F92623"/>
    <w:rsid w:val="00FA016C"/>
    <w:rsid w:val="00FA79F7"/>
    <w:rsid w:val="00FA7E65"/>
    <w:rsid w:val="00FB0C67"/>
    <w:rsid w:val="00FC0EBB"/>
    <w:rsid w:val="00FC1DEE"/>
    <w:rsid w:val="00FC3E29"/>
    <w:rsid w:val="00FC48A2"/>
    <w:rsid w:val="00FC6027"/>
    <w:rsid w:val="00FE13BB"/>
    <w:rsid w:val="00FE1878"/>
    <w:rsid w:val="00FE2226"/>
    <w:rsid w:val="00FE2C92"/>
    <w:rsid w:val="00FE3418"/>
    <w:rsid w:val="00FE381A"/>
    <w:rsid w:val="00FE5B89"/>
    <w:rsid w:val="00FF18A6"/>
    <w:rsid w:val="00FF2B41"/>
    <w:rsid w:val="00FF5E65"/>
    <w:rsid w:val="00FF69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48E"/>
    <w:rPr>
      <w:sz w:val="24"/>
      <w:szCs w:val="24"/>
    </w:rPr>
  </w:style>
  <w:style w:type="paragraph" w:styleId="Heading1">
    <w:name w:val="heading 1"/>
    <w:basedOn w:val="Normal"/>
    <w:next w:val="Normal"/>
    <w:link w:val="Heading1Char"/>
    <w:qFormat/>
    <w:rsid w:val="00A374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47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4795"/>
    <w:rPr>
      <w:rFonts w:ascii="Arial" w:hAnsi="Arial" w:cs="Arial"/>
      <w:b/>
      <w:bCs/>
      <w:i/>
      <w:iCs/>
      <w:sz w:val="28"/>
      <w:szCs w:val="28"/>
    </w:rPr>
  </w:style>
  <w:style w:type="character" w:styleId="Emphasis">
    <w:name w:val="Emphasis"/>
    <w:basedOn w:val="DefaultParagraphFont"/>
    <w:qFormat/>
    <w:rsid w:val="00F74795"/>
    <w:rPr>
      <w:i/>
      <w:iCs/>
    </w:rPr>
  </w:style>
  <w:style w:type="character" w:styleId="Hyperlink">
    <w:name w:val="Hyperlink"/>
    <w:basedOn w:val="DefaultParagraphFont"/>
    <w:rsid w:val="00F74795"/>
    <w:rPr>
      <w:color w:val="0000FF"/>
      <w:u w:val="single"/>
    </w:rPr>
  </w:style>
  <w:style w:type="character" w:styleId="CommentReference">
    <w:name w:val="annotation reference"/>
    <w:basedOn w:val="DefaultParagraphFont"/>
    <w:uiPriority w:val="99"/>
    <w:rsid w:val="00F74795"/>
    <w:rPr>
      <w:sz w:val="16"/>
      <w:szCs w:val="16"/>
    </w:rPr>
  </w:style>
  <w:style w:type="paragraph" w:styleId="CommentText">
    <w:name w:val="annotation text"/>
    <w:basedOn w:val="Normal"/>
    <w:link w:val="CommentTextChar"/>
    <w:rsid w:val="00F74795"/>
    <w:rPr>
      <w:sz w:val="20"/>
      <w:szCs w:val="20"/>
    </w:rPr>
  </w:style>
  <w:style w:type="character" w:customStyle="1" w:styleId="CommentTextChar">
    <w:name w:val="Comment Text Char"/>
    <w:basedOn w:val="DefaultParagraphFont"/>
    <w:link w:val="CommentText"/>
    <w:rsid w:val="00F74795"/>
  </w:style>
  <w:style w:type="paragraph" w:styleId="BalloonText">
    <w:name w:val="Balloon Text"/>
    <w:basedOn w:val="Normal"/>
    <w:link w:val="BalloonTextChar"/>
    <w:rsid w:val="00F74795"/>
    <w:rPr>
      <w:rFonts w:ascii="Tahoma" w:hAnsi="Tahoma" w:cs="Tahoma"/>
      <w:sz w:val="16"/>
      <w:szCs w:val="16"/>
    </w:rPr>
  </w:style>
  <w:style w:type="character" w:customStyle="1" w:styleId="BalloonTextChar">
    <w:name w:val="Balloon Text Char"/>
    <w:basedOn w:val="DefaultParagraphFont"/>
    <w:link w:val="BalloonText"/>
    <w:rsid w:val="00F74795"/>
    <w:rPr>
      <w:rFonts w:ascii="Tahoma" w:hAnsi="Tahoma" w:cs="Tahoma"/>
      <w:sz w:val="16"/>
      <w:szCs w:val="16"/>
    </w:rPr>
  </w:style>
  <w:style w:type="paragraph" w:styleId="Revision">
    <w:name w:val="Revision"/>
    <w:hidden/>
    <w:uiPriority w:val="99"/>
    <w:semiHidden/>
    <w:rsid w:val="002F748E"/>
    <w:rPr>
      <w:sz w:val="24"/>
      <w:szCs w:val="24"/>
    </w:rPr>
  </w:style>
  <w:style w:type="paragraph" w:styleId="ListParagraph">
    <w:name w:val="List Paragraph"/>
    <w:basedOn w:val="Normal"/>
    <w:uiPriority w:val="34"/>
    <w:qFormat/>
    <w:rsid w:val="0072778F"/>
    <w:pPr>
      <w:ind w:left="720"/>
      <w:contextualSpacing/>
    </w:pPr>
  </w:style>
  <w:style w:type="character" w:styleId="FollowedHyperlink">
    <w:name w:val="FollowedHyperlink"/>
    <w:basedOn w:val="DefaultParagraphFont"/>
    <w:rsid w:val="004E0675"/>
    <w:rPr>
      <w:color w:val="800080" w:themeColor="followedHyperlink"/>
      <w:u w:val="single"/>
    </w:rPr>
  </w:style>
  <w:style w:type="paragraph" w:styleId="ListNumber">
    <w:name w:val="List Number"/>
    <w:basedOn w:val="Normal"/>
    <w:rsid w:val="004E0675"/>
    <w:pPr>
      <w:numPr>
        <w:ilvl w:val="1"/>
        <w:numId w:val="9"/>
      </w:numPr>
      <w:spacing w:line="360" w:lineRule="auto"/>
    </w:pPr>
    <w:rPr>
      <w:rFonts w:ascii="Arial" w:hAnsi="Arial"/>
      <w:sz w:val="28"/>
      <w:szCs w:val="20"/>
      <w:lang w:eastAsia="en-US"/>
    </w:rPr>
  </w:style>
  <w:style w:type="paragraph" w:customStyle="1" w:styleId="Backgroundtext">
    <w:name w:val="Background text"/>
    <w:basedOn w:val="Normal"/>
    <w:rsid w:val="004E0675"/>
    <w:pPr>
      <w:spacing w:after="120" w:line="360" w:lineRule="auto"/>
    </w:pPr>
    <w:rPr>
      <w:rFonts w:ascii="Arial (W1)" w:hAnsi="Arial (W1)"/>
      <w:szCs w:val="20"/>
      <w:lang w:eastAsia="en-US"/>
    </w:rPr>
  </w:style>
  <w:style w:type="paragraph" w:styleId="Header">
    <w:name w:val="header"/>
    <w:basedOn w:val="Normal"/>
    <w:link w:val="HeaderChar"/>
    <w:rsid w:val="001B1305"/>
    <w:pPr>
      <w:tabs>
        <w:tab w:val="center" w:pos="4513"/>
        <w:tab w:val="right" w:pos="9026"/>
      </w:tabs>
    </w:pPr>
  </w:style>
  <w:style w:type="character" w:customStyle="1" w:styleId="HeaderChar">
    <w:name w:val="Header Char"/>
    <w:basedOn w:val="DefaultParagraphFont"/>
    <w:link w:val="Header"/>
    <w:rsid w:val="001B1305"/>
    <w:rPr>
      <w:sz w:val="24"/>
      <w:szCs w:val="24"/>
    </w:rPr>
  </w:style>
  <w:style w:type="paragraph" w:styleId="Footer">
    <w:name w:val="footer"/>
    <w:basedOn w:val="Normal"/>
    <w:link w:val="FooterChar"/>
    <w:uiPriority w:val="99"/>
    <w:rsid w:val="001B1305"/>
    <w:pPr>
      <w:tabs>
        <w:tab w:val="center" w:pos="4513"/>
        <w:tab w:val="right" w:pos="9026"/>
      </w:tabs>
    </w:pPr>
  </w:style>
  <w:style w:type="character" w:customStyle="1" w:styleId="FooterChar">
    <w:name w:val="Footer Char"/>
    <w:basedOn w:val="DefaultParagraphFont"/>
    <w:link w:val="Footer"/>
    <w:uiPriority w:val="99"/>
    <w:rsid w:val="001B1305"/>
    <w:rPr>
      <w:sz w:val="24"/>
      <w:szCs w:val="24"/>
    </w:rPr>
  </w:style>
  <w:style w:type="paragraph" w:styleId="CommentSubject">
    <w:name w:val="annotation subject"/>
    <w:basedOn w:val="CommentText"/>
    <w:next w:val="CommentText"/>
    <w:link w:val="CommentSubjectChar"/>
    <w:rsid w:val="007C4C56"/>
    <w:rPr>
      <w:b/>
      <w:bCs/>
    </w:rPr>
  </w:style>
  <w:style w:type="character" w:customStyle="1" w:styleId="CommentSubjectChar">
    <w:name w:val="Comment Subject Char"/>
    <w:basedOn w:val="CommentTextChar"/>
    <w:link w:val="CommentSubject"/>
    <w:rsid w:val="007C4C56"/>
    <w:rPr>
      <w:b/>
      <w:bCs/>
    </w:rPr>
  </w:style>
  <w:style w:type="character" w:styleId="Strong">
    <w:name w:val="Strong"/>
    <w:basedOn w:val="DefaultParagraphFont"/>
    <w:qFormat/>
    <w:rsid w:val="00156885"/>
    <w:rPr>
      <w:b/>
      <w:bCs/>
    </w:rPr>
  </w:style>
  <w:style w:type="paragraph" w:styleId="NormalWeb">
    <w:name w:val="Normal (Web)"/>
    <w:basedOn w:val="Normal"/>
    <w:rsid w:val="0071452A"/>
    <w:pPr>
      <w:spacing w:before="100" w:beforeAutospacing="1" w:after="100" w:afterAutospacing="1"/>
    </w:pPr>
  </w:style>
  <w:style w:type="table" w:styleId="TableGrid">
    <w:name w:val="Table Grid"/>
    <w:basedOn w:val="TableNormal"/>
    <w:rsid w:val="00796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F4F73"/>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99"/>
    <w:rsid w:val="005F4F73"/>
    <w:rPr>
      <w:rFonts w:ascii="Arial" w:eastAsiaTheme="minorHAnsi" w:hAnsi="Arial" w:cstheme="minorBidi"/>
      <w:lang w:eastAsia="en-US"/>
    </w:rPr>
  </w:style>
  <w:style w:type="character" w:styleId="FootnoteReference">
    <w:name w:val="footnote reference"/>
    <w:basedOn w:val="DefaultParagraphFont"/>
    <w:uiPriority w:val="99"/>
    <w:unhideWhenUsed/>
    <w:rsid w:val="005F4F73"/>
    <w:rPr>
      <w:vertAlign w:val="superscript"/>
    </w:rPr>
  </w:style>
  <w:style w:type="character" w:customStyle="1" w:styleId="Heading1Char">
    <w:name w:val="Heading 1 Char"/>
    <w:basedOn w:val="DefaultParagraphFont"/>
    <w:link w:val="Heading1"/>
    <w:rsid w:val="00A3741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48E"/>
    <w:rPr>
      <w:sz w:val="24"/>
      <w:szCs w:val="24"/>
    </w:rPr>
  </w:style>
  <w:style w:type="paragraph" w:styleId="Heading1">
    <w:name w:val="heading 1"/>
    <w:basedOn w:val="Normal"/>
    <w:next w:val="Normal"/>
    <w:link w:val="Heading1Char"/>
    <w:qFormat/>
    <w:rsid w:val="00A374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47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4795"/>
    <w:rPr>
      <w:rFonts w:ascii="Arial" w:hAnsi="Arial" w:cs="Arial"/>
      <w:b/>
      <w:bCs/>
      <w:i/>
      <w:iCs/>
      <w:sz w:val="28"/>
      <w:szCs w:val="28"/>
    </w:rPr>
  </w:style>
  <w:style w:type="character" w:styleId="Emphasis">
    <w:name w:val="Emphasis"/>
    <w:basedOn w:val="DefaultParagraphFont"/>
    <w:qFormat/>
    <w:rsid w:val="00F74795"/>
    <w:rPr>
      <w:i/>
      <w:iCs/>
    </w:rPr>
  </w:style>
  <w:style w:type="character" w:styleId="Hyperlink">
    <w:name w:val="Hyperlink"/>
    <w:basedOn w:val="DefaultParagraphFont"/>
    <w:rsid w:val="00F74795"/>
    <w:rPr>
      <w:color w:val="0000FF"/>
      <w:u w:val="single"/>
    </w:rPr>
  </w:style>
  <w:style w:type="character" w:styleId="CommentReference">
    <w:name w:val="annotation reference"/>
    <w:basedOn w:val="DefaultParagraphFont"/>
    <w:uiPriority w:val="99"/>
    <w:rsid w:val="00F74795"/>
    <w:rPr>
      <w:sz w:val="16"/>
      <w:szCs w:val="16"/>
    </w:rPr>
  </w:style>
  <w:style w:type="paragraph" w:styleId="CommentText">
    <w:name w:val="annotation text"/>
    <w:basedOn w:val="Normal"/>
    <w:link w:val="CommentTextChar"/>
    <w:rsid w:val="00F74795"/>
    <w:rPr>
      <w:sz w:val="20"/>
      <w:szCs w:val="20"/>
    </w:rPr>
  </w:style>
  <w:style w:type="character" w:customStyle="1" w:styleId="CommentTextChar">
    <w:name w:val="Comment Text Char"/>
    <w:basedOn w:val="DefaultParagraphFont"/>
    <w:link w:val="CommentText"/>
    <w:rsid w:val="00F74795"/>
  </w:style>
  <w:style w:type="paragraph" w:styleId="BalloonText">
    <w:name w:val="Balloon Text"/>
    <w:basedOn w:val="Normal"/>
    <w:link w:val="BalloonTextChar"/>
    <w:rsid w:val="00F74795"/>
    <w:rPr>
      <w:rFonts w:ascii="Tahoma" w:hAnsi="Tahoma" w:cs="Tahoma"/>
      <w:sz w:val="16"/>
      <w:szCs w:val="16"/>
    </w:rPr>
  </w:style>
  <w:style w:type="character" w:customStyle="1" w:styleId="BalloonTextChar">
    <w:name w:val="Balloon Text Char"/>
    <w:basedOn w:val="DefaultParagraphFont"/>
    <w:link w:val="BalloonText"/>
    <w:rsid w:val="00F74795"/>
    <w:rPr>
      <w:rFonts w:ascii="Tahoma" w:hAnsi="Tahoma" w:cs="Tahoma"/>
      <w:sz w:val="16"/>
      <w:szCs w:val="16"/>
    </w:rPr>
  </w:style>
  <w:style w:type="paragraph" w:styleId="Revision">
    <w:name w:val="Revision"/>
    <w:hidden/>
    <w:uiPriority w:val="99"/>
    <w:semiHidden/>
    <w:rsid w:val="002F748E"/>
    <w:rPr>
      <w:sz w:val="24"/>
      <w:szCs w:val="24"/>
    </w:rPr>
  </w:style>
  <w:style w:type="paragraph" w:styleId="ListParagraph">
    <w:name w:val="List Paragraph"/>
    <w:basedOn w:val="Normal"/>
    <w:uiPriority w:val="34"/>
    <w:qFormat/>
    <w:rsid w:val="0072778F"/>
    <w:pPr>
      <w:ind w:left="720"/>
      <w:contextualSpacing/>
    </w:pPr>
  </w:style>
  <w:style w:type="character" w:styleId="FollowedHyperlink">
    <w:name w:val="FollowedHyperlink"/>
    <w:basedOn w:val="DefaultParagraphFont"/>
    <w:rsid w:val="004E0675"/>
    <w:rPr>
      <w:color w:val="800080" w:themeColor="followedHyperlink"/>
      <w:u w:val="single"/>
    </w:rPr>
  </w:style>
  <w:style w:type="paragraph" w:styleId="ListNumber">
    <w:name w:val="List Number"/>
    <w:basedOn w:val="Normal"/>
    <w:rsid w:val="004E0675"/>
    <w:pPr>
      <w:numPr>
        <w:ilvl w:val="1"/>
        <w:numId w:val="9"/>
      </w:numPr>
      <w:spacing w:line="360" w:lineRule="auto"/>
    </w:pPr>
    <w:rPr>
      <w:rFonts w:ascii="Arial" w:hAnsi="Arial"/>
      <w:sz w:val="28"/>
      <w:szCs w:val="20"/>
      <w:lang w:eastAsia="en-US"/>
    </w:rPr>
  </w:style>
  <w:style w:type="paragraph" w:customStyle="1" w:styleId="Backgroundtext">
    <w:name w:val="Background text"/>
    <w:basedOn w:val="Normal"/>
    <w:rsid w:val="004E0675"/>
    <w:pPr>
      <w:spacing w:after="120" w:line="360" w:lineRule="auto"/>
    </w:pPr>
    <w:rPr>
      <w:rFonts w:ascii="Arial (W1)" w:hAnsi="Arial (W1)"/>
      <w:szCs w:val="20"/>
      <w:lang w:eastAsia="en-US"/>
    </w:rPr>
  </w:style>
  <w:style w:type="paragraph" w:styleId="Header">
    <w:name w:val="header"/>
    <w:basedOn w:val="Normal"/>
    <w:link w:val="HeaderChar"/>
    <w:rsid w:val="001B1305"/>
    <w:pPr>
      <w:tabs>
        <w:tab w:val="center" w:pos="4513"/>
        <w:tab w:val="right" w:pos="9026"/>
      </w:tabs>
    </w:pPr>
  </w:style>
  <w:style w:type="character" w:customStyle="1" w:styleId="HeaderChar">
    <w:name w:val="Header Char"/>
    <w:basedOn w:val="DefaultParagraphFont"/>
    <w:link w:val="Header"/>
    <w:rsid w:val="001B1305"/>
    <w:rPr>
      <w:sz w:val="24"/>
      <w:szCs w:val="24"/>
    </w:rPr>
  </w:style>
  <w:style w:type="paragraph" w:styleId="Footer">
    <w:name w:val="footer"/>
    <w:basedOn w:val="Normal"/>
    <w:link w:val="FooterChar"/>
    <w:uiPriority w:val="99"/>
    <w:rsid w:val="001B1305"/>
    <w:pPr>
      <w:tabs>
        <w:tab w:val="center" w:pos="4513"/>
        <w:tab w:val="right" w:pos="9026"/>
      </w:tabs>
    </w:pPr>
  </w:style>
  <w:style w:type="character" w:customStyle="1" w:styleId="FooterChar">
    <w:name w:val="Footer Char"/>
    <w:basedOn w:val="DefaultParagraphFont"/>
    <w:link w:val="Footer"/>
    <w:uiPriority w:val="99"/>
    <w:rsid w:val="001B1305"/>
    <w:rPr>
      <w:sz w:val="24"/>
      <w:szCs w:val="24"/>
    </w:rPr>
  </w:style>
  <w:style w:type="paragraph" w:styleId="CommentSubject">
    <w:name w:val="annotation subject"/>
    <w:basedOn w:val="CommentText"/>
    <w:next w:val="CommentText"/>
    <w:link w:val="CommentSubjectChar"/>
    <w:rsid w:val="007C4C56"/>
    <w:rPr>
      <w:b/>
      <w:bCs/>
    </w:rPr>
  </w:style>
  <w:style w:type="character" w:customStyle="1" w:styleId="CommentSubjectChar">
    <w:name w:val="Comment Subject Char"/>
    <w:basedOn w:val="CommentTextChar"/>
    <w:link w:val="CommentSubject"/>
    <w:rsid w:val="007C4C56"/>
    <w:rPr>
      <w:b/>
      <w:bCs/>
    </w:rPr>
  </w:style>
  <w:style w:type="character" w:styleId="Strong">
    <w:name w:val="Strong"/>
    <w:basedOn w:val="DefaultParagraphFont"/>
    <w:qFormat/>
    <w:rsid w:val="00156885"/>
    <w:rPr>
      <w:b/>
      <w:bCs/>
    </w:rPr>
  </w:style>
  <w:style w:type="paragraph" w:styleId="NormalWeb">
    <w:name w:val="Normal (Web)"/>
    <w:basedOn w:val="Normal"/>
    <w:rsid w:val="0071452A"/>
    <w:pPr>
      <w:spacing w:before="100" w:beforeAutospacing="1" w:after="100" w:afterAutospacing="1"/>
    </w:pPr>
  </w:style>
  <w:style w:type="table" w:styleId="TableGrid">
    <w:name w:val="Table Grid"/>
    <w:basedOn w:val="TableNormal"/>
    <w:rsid w:val="00796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F4F73"/>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99"/>
    <w:rsid w:val="005F4F73"/>
    <w:rPr>
      <w:rFonts w:ascii="Arial" w:eastAsiaTheme="minorHAnsi" w:hAnsi="Arial" w:cstheme="minorBidi"/>
      <w:lang w:eastAsia="en-US"/>
    </w:rPr>
  </w:style>
  <w:style w:type="character" w:styleId="FootnoteReference">
    <w:name w:val="footnote reference"/>
    <w:basedOn w:val="DefaultParagraphFont"/>
    <w:uiPriority w:val="99"/>
    <w:unhideWhenUsed/>
    <w:rsid w:val="005F4F73"/>
    <w:rPr>
      <w:vertAlign w:val="superscript"/>
    </w:rPr>
  </w:style>
  <w:style w:type="character" w:customStyle="1" w:styleId="Heading1Char">
    <w:name w:val="Heading 1 Char"/>
    <w:basedOn w:val="DefaultParagraphFont"/>
    <w:link w:val="Heading1"/>
    <w:rsid w:val="00A3741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202">
      <w:bodyDiv w:val="1"/>
      <w:marLeft w:val="0"/>
      <w:marRight w:val="0"/>
      <w:marTop w:val="0"/>
      <w:marBottom w:val="0"/>
      <w:divBdr>
        <w:top w:val="none" w:sz="0" w:space="0" w:color="auto"/>
        <w:left w:val="none" w:sz="0" w:space="0" w:color="auto"/>
        <w:bottom w:val="none" w:sz="0" w:space="0" w:color="auto"/>
        <w:right w:val="none" w:sz="0" w:space="0" w:color="auto"/>
      </w:divBdr>
    </w:div>
    <w:div w:id="791099045">
      <w:bodyDiv w:val="1"/>
      <w:marLeft w:val="0"/>
      <w:marRight w:val="0"/>
      <w:marTop w:val="0"/>
      <w:marBottom w:val="0"/>
      <w:divBdr>
        <w:top w:val="none" w:sz="0" w:space="0" w:color="auto"/>
        <w:left w:val="none" w:sz="0" w:space="0" w:color="auto"/>
        <w:bottom w:val="none" w:sz="0" w:space="0" w:color="auto"/>
        <w:right w:val="none" w:sz="0" w:space="0" w:color="auto"/>
      </w:divBdr>
    </w:div>
    <w:div w:id="805270504">
      <w:bodyDiv w:val="1"/>
      <w:marLeft w:val="0"/>
      <w:marRight w:val="0"/>
      <w:marTop w:val="0"/>
      <w:marBottom w:val="0"/>
      <w:divBdr>
        <w:top w:val="none" w:sz="0" w:space="0" w:color="auto"/>
        <w:left w:val="none" w:sz="0" w:space="0" w:color="auto"/>
        <w:bottom w:val="none" w:sz="0" w:space="0" w:color="auto"/>
        <w:right w:val="none" w:sz="0" w:space="0" w:color="auto"/>
      </w:divBdr>
      <w:divsChild>
        <w:div w:id="539559120">
          <w:marLeft w:val="0"/>
          <w:marRight w:val="0"/>
          <w:marTop w:val="0"/>
          <w:marBottom w:val="0"/>
          <w:divBdr>
            <w:top w:val="none" w:sz="0" w:space="0" w:color="auto"/>
            <w:left w:val="none" w:sz="0" w:space="0" w:color="auto"/>
            <w:bottom w:val="none" w:sz="0" w:space="0" w:color="auto"/>
            <w:right w:val="none" w:sz="0" w:space="0" w:color="auto"/>
          </w:divBdr>
          <w:divsChild>
            <w:div w:id="127826860">
              <w:marLeft w:val="0"/>
              <w:marRight w:val="0"/>
              <w:marTop w:val="0"/>
              <w:marBottom w:val="0"/>
              <w:divBdr>
                <w:top w:val="none" w:sz="0" w:space="0" w:color="auto"/>
                <w:left w:val="none" w:sz="0" w:space="0" w:color="auto"/>
                <w:bottom w:val="none" w:sz="0" w:space="0" w:color="auto"/>
                <w:right w:val="none" w:sz="0" w:space="0" w:color="auto"/>
              </w:divBdr>
              <w:divsChild>
                <w:div w:id="1535263345">
                  <w:marLeft w:val="0"/>
                  <w:marRight w:val="0"/>
                  <w:marTop w:val="0"/>
                  <w:marBottom w:val="0"/>
                  <w:divBdr>
                    <w:top w:val="none" w:sz="0" w:space="0" w:color="auto"/>
                    <w:left w:val="none" w:sz="0" w:space="0" w:color="auto"/>
                    <w:bottom w:val="none" w:sz="0" w:space="0" w:color="auto"/>
                    <w:right w:val="none" w:sz="0" w:space="0" w:color="auto"/>
                  </w:divBdr>
                  <w:divsChild>
                    <w:div w:id="2146655030">
                      <w:marLeft w:val="0"/>
                      <w:marRight w:val="0"/>
                      <w:marTop w:val="0"/>
                      <w:marBottom w:val="0"/>
                      <w:divBdr>
                        <w:top w:val="none" w:sz="0" w:space="0" w:color="auto"/>
                        <w:left w:val="none" w:sz="0" w:space="0" w:color="auto"/>
                        <w:bottom w:val="none" w:sz="0" w:space="0" w:color="auto"/>
                        <w:right w:val="none" w:sz="0" w:space="0" w:color="auto"/>
                      </w:divBdr>
                      <w:divsChild>
                        <w:div w:id="390466821">
                          <w:marLeft w:val="0"/>
                          <w:marRight w:val="0"/>
                          <w:marTop w:val="0"/>
                          <w:marBottom w:val="0"/>
                          <w:divBdr>
                            <w:top w:val="single" w:sz="6" w:space="0" w:color="828282"/>
                            <w:left w:val="single" w:sz="6" w:space="0" w:color="828282"/>
                            <w:bottom w:val="single" w:sz="6" w:space="0" w:color="828282"/>
                            <w:right w:val="single" w:sz="6" w:space="0" w:color="828282"/>
                          </w:divBdr>
                          <w:divsChild>
                            <w:div w:id="331110246">
                              <w:marLeft w:val="0"/>
                              <w:marRight w:val="0"/>
                              <w:marTop w:val="0"/>
                              <w:marBottom w:val="0"/>
                              <w:divBdr>
                                <w:top w:val="none" w:sz="0" w:space="0" w:color="auto"/>
                                <w:left w:val="none" w:sz="0" w:space="0" w:color="auto"/>
                                <w:bottom w:val="none" w:sz="0" w:space="0" w:color="auto"/>
                                <w:right w:val="none" w:sz="0" w:space="0" w:color="auto"/>
                              </w:divBdr>
                              <w:divsChild>
                                <w:div w:id="1825853669">
                                  <w:marLeft w:val="0"/>
                                  <w:marRight w:val="0"/>
                                  <w:marTop w:val="0"/>
                                  <w:marBottom w:val="0"/>
                                  <w:divBdr>
                                    <w:top w:val="none" w:sz="0" w:space="0" w:color="auto"/>
                                    <w:left w:val="none" w:sz="0" w:space="0" w:color="auto"/>
                                    <w:bottom w:val="none" w:sz="0" w:space="0" w:color="auto"/>
                                    <w:right w:val="none" w:sz="0" w:space="0" w:color="auto"/>
                                  </w:divBdr>
                                  <w:divsChild>
                                    <w:div w:id="1233466936">
                                      <w:marLeft w:val="0"/>
                                      <w:marRight w:val="0"/>
                                      <w:marTop w:val="0"/>
                                      <w:marBottom w:val="0"/>
                                      <w:divBdr>
                                        <w:top w:val="none" w:sz="0" w:space="0" w:color="auto"/>
                                        <w:left w:val="none" w:sz="0" w:space="0" w:color="auto"/>
                                        <w:bottom w:val="none" w:sz="0" w:space="0" w:color="auto"/>
                                        <w:right w:val="none" w:sz="0" w:space="0" w:color="auto"/>
                                      </w:divBdr>
                                      <w:divsChild>
                                        <w:div w:id="1373388449">
                                          <w:marLeft w:val="0"/>
                                          <w:marRight w:val="0"/>
                                          <w:marTop w:val="0"/>
                                          <w:marBottom w:val="0"/>
                                          <w:divBdr>
                                            <w:top w:val="none" w:sz="0" w:space="0" w:color="auto"/>
                                            <w:left w:val="none" w:sz="0" w:space="0" w:color="auto"/>
                                            <w:bottom w:val="none" w:sz="0" w:space="0" w:color="auto"/>
                                            <w:right w:val="none" w:sz="0" w:space="0" w:color="auto"/>
                                          </w:divBdr>
                                          <w:divsChild>
                                            <w:div w:id="1537893001">
                                              <w:marLeft w:val="0"/>
                                              <w:marRight w:val="0"/>
                                              <w:marTop w:val="0"/>
                                              <w:marBottom w:val="0"/>
                                              <w:divBdr>
                                                <w:top w:val="none" w:sz="0" w:space="0" w:color="auto"/>
                                                <w:left w:val="none" w:sz="0" w:space="0" w:color="auto"/>
                                                <w:bottom w:val="none" w:sz="0" w:space="0" w:color="auto"/>
                                                <w:right w:val="none" w:sz="0" w:space="0" w:color="auto"/>
                                              </w:divBdr>
                                              <w:divsChild>
                                                <w:div w:id="6352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247056">
      <w:bodyDiv w:val="1"/>
      <w:marLeft w:val="0"/>
      <w:marRight w:val="0"/>
      <w:marTop w:val="0"/>
      <w:marBottom w:val="0"/>
      <w:divBdr>
        <w:top w:val="none" w:sz="0" w:space="0" w:color="auto"/>
        <w:left w:val="none" w:sz="0" w:space="0" w:color="auto"/>
        <w:bottom w:val="none" w:sz="0" w:space="0" w:color="auto"/>
        <w:right w:val="none" w:sz="0" w:space="0" w:color="auto"/>
      </w:divBdr>
    </w:div>
    <w:div w:id="1378894115">
      <w:bodyDiv w:val="1"/>
      <w:marLeft w:val="0"/>
      <w:marRight w:val="0"/>
      <w:marTop w:val="0"/>
      <w:marBottom w:val="0"/>
      <w:divBdr>
        <w:top w:val="none" w:sz="0" w:space="0" w:color="auto"/>
        <w:left w:val="none" w:sz="0" w:space="0" w:color="auto"/>
        <w:bottom w:val="none" w:sz="0" w:space="0" w:color="auto"/>
        <w:right w:val="none" w:sz="0" w:space="0" w:color="auto"/>
      </w:divBdr>
    </w:div>
    <w:div w:id="1541092664">
      <w:bodyDiv w:val="1"/>
      <w:marLeft w:val="0"/>
      <w:marRight w:val="0"/>
      <w:marTop w:val="0"/>
      <w:marBottom w:val="0"/>
      <w:divBdr>
        <w:top w:val="none" w:sz="0" w:space="0" w:color="auto"/>
        <w:left w:val="none" w:sz="0" w:space="0" w:color="auto"/>
        <w:bottom w:val="none" w:sz="0" w:space="0" w:color="auto"/>
        <w:right w:val="none" w:sz="0" w:space="0" w:color="auto"/>
      </w:divBdr>
    </w:div>
    <w:div w:id="1545487371">
      <w:bodyDiv w:val="1"/>
      <w:marLeft w:val="0"/>
      <w:marRight w:val="0"/>
      <w:marTop w:val="0"/>
      <w:marBottom w:val="0"/>
      <w:divBdr>
        <w:top w:val="none" w:sz="0" w:space="0" w:color="auto"/>
        <w:left w:val="none" w:sz="0" w:space="0" w:color="auto"/>
        <w:bottom w:val="none" w:sz="0" w:space="0" w:color="auto"/>
        <w:right w:val="none" w:sz="0" w:space="0" w:color="auto"/>
      </w:divBdr>
    </w:div>
    <w:div w:id="156468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Registered employers</a:t>
            </a:r>
            <a:r>
              <a:rPr lang="en-AU" baseline="0"/>
              <a:t> and Parental Leave Pay recipients by business size</a:t>
            </a:r>
          </a:p>
          <a:p>
            <a:pPr>
              <a:defRPr/>
            </a:pPr>
            <a:r>
              <a:rPr lang="en-AU" sz="1400" baseline="0"/>
              <a:t>January 2011 to December 2012</a:t>
            </a:r>
            <a:endParaRPr lang="en-AU" sz="1400"/>
          </a:p>
        </c:rich>
      </c:tx>
      <c:layout/>
      <c:overlay val="0"/>
    </c:title>
    <c:autoTitleDeleted val="0"/>
    <c:plotArea>
      <c:layout/>
      <c:barChart>
        <c:barDir val="col"/>
        <c:grouping val="clustered"/>
        <c:varyColors val="0"/>
        <c:ser>
          <c:idx val="0"/>
          <c:order val="0"/>
          <c:tx>
            <c:strRef>
              <c:f>Sheet1!$B$3</c:f>
              <c:strCache>
                <c:ptCount val="1"/>
                <c:pt idx="0">
                  <c:v>Employers providing PLP</c:v>
                </c:pt>
              </c:strCache>
            </c:strRef>
          </c:tx>
          <c:invertIfNegative val="0"/>
          <c:dLbls>
            <c:showLegendKey val="0"/>
            <c:showVal val="1"/>
            <c:showCatName val="0"/>
            <c:showSerName val="0"/>
            <c:showPercent val="0"/>
            <c:showBubbleSize val="0"/>
            <c:showLeaderLines val="0"/>
          </c:dLbls>
          <c:cat>
            <c:strRef>
              <c:f>Sheet1!$A$4:$A$6</c:f>
              <c:strCache>
                <c:ptCount val="3"/>
                <c:pt idx="0">
                  <c:v>Small business</c:v>
                </c:pt>
                <c:pt idx="1">
                  <c:v>Medium/large business </c:v>
                </c:pt>
                <c:pt idx="2">
                  <c:v>Unknown size</c:v>
                </c:pt>
              </c:strCache>
            </c:strRef>
          </c:cat>
          <c:val>
            <c:numRef>
              <c:f>Sheet1!$B$4:$B$6</c:f>
              <c:numCache>
                <c:formatCode>0.0%</c:formatCode>
                <c:ptCount val="3"/>
                <c:pt idx="0">
                  <c:v>0.48599999999999999</c:v>
                </c:pt>
                <c:pt idx="1">
                  <c:v>0.504</c:v>
                </c:pt>
                <c:pt idx="2">
                  <c:v>0.01</c:v>
                </c:pt>
              </c:numCache>
            </c:numRef>
          </c:val>
        </c:ser>
        <c:ser>
          <c:idx val="1"/>
          <c:order val="1"/>
          <c:tx>
            <c:strRef>
              <c:f>Sheet1!$C$3</c:f>
              <c:strCache>
                <c:ptCount val="1"/>
                <c:pt idx="0">
                  <c:v>Employees paid PLP</c:v>
                </c:pt>
              </c:strCache>
            </c:strRef>
          </c:tx>
          <c:invertIfNegative val="0"/>
          <c:dLbls>
            <c:showLegendKey val="0"/>
            <c:showVal val="1"/>
            <c:showCatName val="0"/>
            <c:showSerName val="0"/>
            <c:showPercent val="0"/>
            <c:showBubbleSize val="0"/>
            <c:showLeaderLines val="0"/>
          </c:dLbls>
          <c:cat>
            <c:strRef>
              <c:f>Sheet1!$A$4:$A$6</c:f>
              <c:strCache>
                <c:ptCount val="3"/>
                <c:pt idx="0">
                  <c:v>Small business</c:v>
                </c:pt>
                <c:pt idx="1">
                  <c:v>Medium/large business </c:v>
                </c:pt>
                <c:pt idx="2">
                  <c:v>Unknown size</c:v>
                </c:pt>
              </c:strCache>
            </c:strRef>
          </c:cat>
          <c:val>
            <c:numRef>
              <c:f>Sheet1!$C$4:$C$6</c:f>
              <c:numCache>
                <c:formatCode>0.0%</c:formatCode>
                <c:ptCount val="3"/>
                <c:pt idx="0">
                  <c:v>0.14399999999999999</c:v>
                </c:pt>
                <c:pt idx="1">
                  <c:v>0.84599999999999997</c:v>
                </c:pt>
                <c:pt idx="2">
                  <c:v>0.01</c:v>
                </c:pt>
              </c:numCache>
            </c:numRef>
          </c:val>
        </c:ser>
        <c:dLbls>
          <c:showLegendKey val="0"/>
          <c:showVal val="0"/>
          <c:showCatName val="0"/>
          <c:showSerName val="0"/>
          <c:showPercent val="0"/>
          <c:showBubbleSize val="0"/>
        </c:dLbls>
        <c:gapWidth val="75"/>
        <c:axId val="35068160"/>
        <c:axId val="87576576"/>
      </c:barChart>
      <c:catAx>
        <c:axId val="35068160"/>
        <c:scaling>
          <c:orientation val="minMax"/>
        </c:scaling>
        <c:delete val="0"/>
        <c:axPos val="b"/>
        <c:majorTickMark val="none"/>
        <c:minorTickMark val="none"/>
        <c:tickLblPos val="nextTo"/>
        <c:crossAx val="87576576"/>
        <c:crosses val="autoZero"/>
        <c:auto val="1"/>
        <c:lblAlgn val="ctr"/>
        <c:lblOffset val="100"/>
        <c:noMultiLvlLbl val="0"/>
      </c:catAx>
      <c:valAx>
        <c:axId val="87576576"/>
        <c:scaling>
          <c:orientation val="minMax"/>
          <c:max val="1"/>
        </c:scaling>
        <c:delete val="0"/>
        <c:axPos val="l"/>
        <c:majorGridlines/>
        <c:numFmt formatCode="0.0%" sourceLinked="1"/>
        <c:majorTickMark val="none"/>
        <c:minorTickMark val="none"/>
        <c:tickLblPos val="nextTo"/>
        <c:spPr>
          <a:ln w="9525">
            <a:noFill/>
          </a:ln>
        </c:spPr>
        <c:crossAx val="35068160"/>
        <c:crosses val="autoZero"/>
        <c:crossBetween val="between"/>
      </c:valAx>
      <c:spPr>
        <a:ln>
          <a:solidFill>
            <a:sysClr val="windowText" lastClr="000000"/>
          </a:solidFill>
        </a:ln>
      </c:spPr>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FACEE-D483-4D6B-B994-0A138437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Simone</dc:creator>
  <cp:lastModifiedBy>SPARKE, Erica</cp:lastModifiedBy>
  <cp:revision>2</cp:revision>
  <cp:lastPrinted>2013-01-20T04:05:00Z</cp:lastPrinted>
  <dcterms:created xsi:type="dcterms:W3CDTF">2013-03-08T00:45:00Z</dcterms:created>
  <dcterms:modified xsi:type="dcterms:W3CDTF">2013-03-08T00:45:00Z</dcterms:modified>
</cp:coreProperties>
</file>