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1256" w14:textId="77777777" w:rsidR="00051119" w:rsidRPr="00314E60" w:rsidRDefault="00C973E5" w:rsidP="00820CD3">
      <w:pPr>
        <w:spacing w:line="276" w:lineRule="auto"/>
        <w:jc w:val="center"/>
        <w:rPr>
          <w:rFonts w:asciiTheme="minorHAnsi" w:hAnsiTheme="minorHAnsi" w:cstheme="minorHAnsi"/>
        </w:rPr>
      </w:pPr>
      <w:bookmarkStart w:id="0" w:name="Example"/>
      <w:r w:rsidRPr="00314E60">
        <w:rPr>
          <w:rFonts w:asciiTheme="minorHAnsi" w:hAnsiTheme="minorHAnsi" w:cstheme="minorHAnsi"/>
          <w:noProof/>
        </w:rPr>
        <w:drawing>
          <wp:inline distT="0" distB="0" distL="0" distR="0" wp14:anchorId="435A9C11" wp14:editId="04694B96">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8"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bookmarkEnd w:id="0"/>
    <w:p w14:paraId="009C45FF" w14:textId="77777777" w:rsidR="00861B22" w:rsidRDefault="00861B22" w:rsidP="00820CD3">
      <w:pPr>
        <w:pStyle w:val="Heading1"/>
        <w:spacing w:line="276" w:lineRule="auto"/>
        <w:rPr>
          <w:rFonts w:asciiTheme="minorHAnsi" w:hAnsiTheme="minorHAnsi" w:cstheme="minorHAnsi"/>
        </w:rPr>
      </w:pPr>
    </w:p>
    <w:p w14:paraId="68B80470" w14:textId="77777777" w:rsidR="00861B22" w:rsidRDefault="00861B22" w:rsidP="00820CD3">
      <w:pPr>
        <w:pStyle w:val="Heading1"/>
        <w:spacing w:line="276" w:lineRule="auto"/>
        <w:rPr>
          <w:rFonts w:asciiTheme="minorHAnsi" w:hAnsiTheme="minorHAnsi" w:cstheme="minorHAnsi"/>
        </w:rPr>
      </w:pPr>
    </w:p>
    <w:p w14:paraId="48CCC545" w14:textId="77777777" w:rsidR="00861B22" w:rsidRDefault="00861B22" w:rsidP="00820CD3">
      <w:pPr>
        <w:pStyle w:val="Heading1"/>
        <w:spacing w:line="276" w:lineRule="auto"/>
        <w:rPr>
          <w:rFonts w:asciiTheme="minorHAnsi" w:hAnsiTheme="minorHAnsi" w:cstheme="minorHAnsi"/>
        </w:rPr>
      </w:pPr>
    </w:p>
    <w:p w14:paraId="7E3B43CF" w14:textId="77777777" w:rsidR="00861B22" w:rsidRDefault="00861B22" w:rsidP="00820CD3">
      <w:pPr>
        <w:pStyle w:val="Heading1"/>
        <w:spacing w:line="276" w:lineRule="auto"/>
        <w:rPr>
          <w:rFonts w:asciiTheme="minorHAnsi" w:hAnsiTheme="minorHAnsi" w:cstheme="minorHAnsi"/>
        </w:rPr>
      </w:pPr>
    </w:p>
    <w:p w14:paraId="694853D1" w14:textId="71B12259" w:rsidR="007073F5" w:rsidRPr="00314E60" w:rsidRDefault="0050570F" w:rsidP="00820CD3">
      <w:pPr>
        <w:pStyle w:val="Heading1"/>
        <w:spacing w:line="276" w:lineRule="auto"/>
        <w:rPr>
          <w:rFonts w:asciiTheme="minorHAnsi" w:hAnsiTheme="minorHAnsi" w:cstheme="minorHAnsi"/>
        </w:rPr>
      </w:pPr>
      <w:bookmarkStart w:id="1" w:name="_Toc157587858"/>
      <w:bookmarkStart w:id="2" w:name="_GoBack"/>
      <w:r w:rsidRPr="00314E60">
        <w:rPr>
          <w:rFonts w:asciiTheme="minorHAnsi" w:hAnsiTheme="minorHAnsi" w:cstheme="minorHAnsi"/>
        </w:rPr>
        <w:t xml:space="preserve">DES </w:t>
      </w:r>
      <w:r w:rsidR="007704B6" w:rsidRPr="00314E60">
        <w:rPr>
          <w:rFonts w:asciiTheme="minorHAnsi" w:hAnsiTheme="minorHAnsi" w:cstheme="minorHAnsi"/>
        </w:rPr>
        <w:t>Quality</w:t>
      </w:r>
      <w:r w:rsidR="00647854" w:rsidRPr="00314E60">
        <w:rPr>
          <w:rFonts w:asciiTheme="minorHAnsi" w:hAnsiTheme="minorHAnsi" w:cstheme="minorHAnsi"/>
        </w:rPr>
        <w:t xml:space="preserve"> </w:t>
      </w:r>
      <w:r w:rsidR="004D3DE6" w:rsidRPr="00314E60">
        <w:rPr>
          <w:rFonts w:asciiTheme="minorHAnsi" w:hAnsiTheme="minorHAnsi" w:cstheme="minorHAnsi"/>
        </w:rPr>
        <w:t>Guideline</w:t>
      </w:r>
      <w:r w:rsidR="00E44BF3">
        <w:rPr>
          <w:rFonts w:asciiTheme="minorHAnsi" w:hAnsiTheme="minorHAnsi" w:cstheme="minorHAnsi"/>
        </w:rPr>
        <w:t>s</w:t>
      </w:r>
      <w:bookmarkEnd w:id="1"/>
    </w:p>
    <w:p w14:paraId="16C46C51" w14:textId="1D234768" w:rsidR="007073F5" w:rsidRDefault="007073F5" w:rsidP="00820CD3">
      <w:pPr>
        <w:spacing w:line="276" w:lineRule="auto"/>
        <w:jc w:val="center"/>
        <w:rPr>
          <w:rFonts w:asciiTheme="minorHAnsi" w:hAnsiTheme="minorHAnsi" w:cstheme="minorHAnsi"/>
          <w:b/>
          <w:sz w:val="36"/>
          <w:szCs w:val="36"/>
        </w:rPr>
      </w:pPr>
      <w:bookmarkStart w:id="3" w:name="_Toc495402559"/>
      <w:bookmarkStart w:id="4" w:name="_Toc509998600"/>
      <w:bookmarkStart w:id="5" w:name="_Toc509998874"/>
      <w:bookmarkEnd w:id="2"/>
      <w:r w:rsidRPr="00314E60">
        <w:rPr>
          <w:rFonts w:asciiTheme="minorHAnsi" w:hAnsiTheme="minorHAnsi" w:cstheme="minorHAnsi"/>
          <w:b/>
          <w:sz w:val="36"/>
          <w:szCs w:val="36"/>
        </w:rPr>
        <w:t>V 1.</w:t>
      </w:r>
      <w:bookmarkEnd w:id="3"/>
      <w:bookmarkEnd w:id="4"/>
      <w:bookmarkEnd w:id="5"/>
      <w:r w:rsidR="00A61D82">
        <w:rPr>
          <w:rFonts w:asciiTheme="minorHAnsi" w:hAnsiTheme="minorHAnsi" w:cstheme="minorHAnsi"/>
          <w:b/>
          <w:sz w:val="36"/>
          <w:szCs w:val="36"/>
        </w:rPr>
        <w:t>1</w:t>
      </w:r>
    </w:p>
    <w:p w14:paraId="19D2825A" w14:textId="7C09CE84" w:rsidR="00BF6DE4" w:rsidRDefault="00BF6DE4" w:rsidP="00820CD3">
      <w:pPr>
        <w:spacing w:line="276" w:lineRule="auto"/>
        <w:jc w:val="center"/>
        <w:rPr>
          <w:rFonts w:asciiTheme="minorHAnsi" w:hAnsiTheme="minorHAnsi" w:cstheme="minorHAnsi"/>
          <w:b/>
          <w:sz w:val="36"/>
          <w:szCs w:val="36"/>
        </w:rPr>
      </w:pPr>
    </w:p>
    <w:p w14:paraId="1F448608" w14:textId="11551AFC" w:rsidR="00BF6DE4" w:rsidRDefault="00BF6DE4" w:rsidP="00820CD3">
      <w:pPr>
        <w:spacing w:line="276" w:lineRule="auto"/>
        <w:jc w:val="center"/>
        <w:rPr>
          <w:rFonts w:asciiTheme="minorHAnsi" w:hAnsiTheme="minorHAnsi" w:cstheme="minorHAnsi"/>
          <w:b/>
          <w:sz w:val="36"/>
          <w:szCs w:val="36"/>
        </w:rPr>
      </w:pPr>
    </w:p>
    <w:p w14:paraId="63A1A63F" w14:textId="197926CD" w:rsidR="00BF6DE4" w:rsidRDefault="00BF6DE4" w:rsidP="00820CD3">
      <w:pPr>
        <w:spacing w:line="276" w:lineRule="auto"/>
        <w:jc w:val="center"/>
        <w:rPr>
          <w:rFonts w:asciiTheme="minorHAnsi" w:hAnsiTheme="minorHAnsi" w:cstheme="minorHAnsi"/>
          <w:b/>
          <w:sz w:val="36"/>
          <w:szCs w:val="36"/>
        </w:rPr>
      </w:pPr>
    </w:p>
    <w:p w14:paraId="502034A5" w14:textId="77777777" w:rsidR="00BF6DE4" w:rsidRPr="00314E60" w:rsidRDefault="00BF6DE4" w:rsidP="00820CD3">
      <w:pPr>
        <w:spacing w:line="276" w:lineRule="auto"/>
        <w:jc w:val="center"/>
        <w:rPr>
          <w:rFonts w:asciiTheme="minorHAnsi" w:hAnsiTheme="minorHAnsi" w:cstheme="minorHAnsi"/>
          <w:b/>
          <w:sz w:val="36"/>
          <w:szCs w:val="36"/>
          <w:u w:val="double"/>
        </w:rPr>
      </w:pPr>
    </w:p>
    <w:p w14:paraId="087C2EC7" w14:textId="51E14DAC" w:rsidR="003757B3" w:rsidRPr="00314E60" w:rsidRDefault="00427E22" w:rsidP="00820CD3">
      <w:pPr>
        <w:pStyle w:val="Disclaimer"/>
        <w:spacing w:line="276" w:lineRule="auto"/>
        <w:rPr>
          <w:rFonts w:asciiTheme="minorHAnsi" w:hAnsiTheme="minorHAnsi" w:cstheme="minorHAnsi"/>
          <w:sz w:val="20"/>
        </w:rPr>
      </w:pPr>
      <w:r w:rsidRPr="00314E60">
        <w:rPr>
          <w:rFonts w:asciiTheme="minorHAnsi" w:hAnsiTheme="minorHAnsi" w:cstheme="minorHAnsi"/>
          <w:b/>
          <w:sz w:val="20"/>
        </w:rPr>
        <w:t>Disclaimer</w:t>
      </w:r>
      <w:r w:rsidRPr="00314E60">
        <w:rPr>
          <w:rFonts w:asciiTheme="minorHAnsi" w:hAnsiTheme="minorHAnsi" w:cstheme="minorHAnsi"/>
          <w:sz w:val="20"/>
        </w:rPr>
        <w:br/>
        <w:t xml:space="preserve">This document is not a stand-alone document and does not contain the entirety of </w:t>
      </w:r>
      <w:r w:rsidR="00693A7E">
        <w:rPr>
          <w:rFonts w:asciiTheme="minorHAnsi" w:hAnsiTheme="minorHAnsi" w:cstheme="minorHAnsi"/>
          <w:sz w:val="20"/>
        </w:rPr>
        <w:t>Disability Employment Services p</w:t>
      </w:r>
      <w:r w:rsidRPr="00314E60">
        <w:rPr>
          <w:rFonts w:asciiTheme="minorHAnsi" w:hAnsiTheme="minorHAnsi" w:cstheme="minorHAnsi"/>
          <w:sz w:val="20"/>
        </w:rPr>
        <w:t>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E2611B">
        <w:rPr>
          <w:rFonts w:asciiTheme="minorHAnsi" w:hAnsiTheme="minorHAnsi" w:cstheme="minorHAnsi"/>
          <w:sz w:val="20"/>
        </w:rPr>
        <w:t xml:space="preserve"> </w:t>
      </w:r>
      <w:r w:rsidR="00E2611B" w:rsidRPr="00E2611B">
        <w:rPr>
          <w:rFonts w:asciiTheme="minorHAnsi" w:hAnsiTheme="minorHAnsi" w:cstheme="minorHAnsi"/>
          <w:sz w:val="20"/>
        </w:rPr>
        <w:t xml:space="preserve">If there is any inconsistency between this document and the Disability Employment Services Grant Agreement, then the Disability Employment Services Grant Agreement will have precedence. </w:t>
      </w:r>
      <w:r w:rsidR="007073F5" w:rsidRPr="00314E60">
        <w:rPr>
          <w:rFonts w:asciiTheme="minorHAnsi" w:hAnsiTheme="minorHAnsi" w:cstheme="minorHAnsi"/>
        </w:rPr>
        <w:br w:type="page"/>
      </w:r>
      <w:bookmarkStart w:id="6" w:name="_Toc316553386"/>
      <w:bookmarkStart w:id="7" w:name="_Toc316553411"/>
      <w:bookmarkStart w:id="8" w:name="_Toc425412073"/>
      <w:bookmarkStart w:id="9" w:name="_Toc486510119"/>
      <w:bookmarkStart w:id="10" w:name="_Toc487730649"/>
      <w:bookmarkStart w:id="11" w:name="_Toc495666001"/>
    </w:p>
    <w:bookmarkEnd w:id="11" w:displacedByCustomXml="next"/>
    <w:bookmarkEnd w:id="10" w:displacedByCustomXml="next"/>
    <w:bookmarkEnd w:id="9" w:displacedByCustomXml="next"/>
    <w:bookmarkEnd w:id="8" w:displacedByCustomXml="next"/>
    <w:bookmarkEnd w:id="7" w:displacedByCustomXml="next"/>
    <w:bookmarkEnd w:id="6" w:displacedByCustomXml="next"/>
    <w:bookmarkStart w:id="12" w:name="_Toc509842407" w:displacedByCustomXml="next"/>
    <w:bookmarkStart w:id="13" w:name="_Toc157587859" w:displacedByCustomXml="next"/>
    <w:sdt>
      <w:sdtPr>
        <w:rPr>
          <w:rFonts w:asciiTheme="minorHAnsi" w:eastAsia="Times New Roman" w:hAnsiTheme="minorHAnsi" w:cstheme="minorHAnsi"/>
          <w:b w:val="0"/>
          <w:bCs w:val="0"/>
          <w:sz w:val="22"/>
          <w:szCs w:val="24"/>
        </w:rPr>
        <w:id w:val="1370883962"/>
        <w:docPartObj>
          <w:docPartGallery w:val="Table of Contents"/>
          <w:docPartUnique/>
        </w:docPartObj>
      </w:sdtPr>
      <w:sdtEndPr>
        <w:rPr>
          <w:noProof/>
        </w:rPr>
      </w:sdtEndPr>
      <w:sdtContent>
        <w:p w14:paraId="1F1B497C" w14:textId="77777777" w:rsidR="00E341A6" w:rsidRPr="00314E60" w:rsidRDefault="00E341A6" w:rsidP="00055246">
          <w:pPr>
            <w:pStyle w:val="Heading2"/>
            <w:numPr>
              <w:ilvl w:val="0"/>
              <w:numId w:val="0"/>
            </w:numPr>
            <w:spacing w:before="120" w:after="120" w:line="276" w:lineRule="auto"/>
            <w:ind w:left="720" w:hanging="720"/>
            <w:rPr>
              <w:rFonts w:asciiTheme="minorHAnsi" w:hAnsiTheme="minorHAnsi" w:cstheme="minorHAnsi"/>
            </w:rPr>
          </w:pPr>
          <w:r w:rsidRPr="00314E60">
            <w:rPr>
              <w:rFonts w:asciiTheme="minorHAnsi" w:hAnsiTheme="minorHAnsi" w:cstheme="minorHAnsi"/>
            </w:rPr>
            <w:t>Table of Contents</w:t>
          </w:r>
          <w:bookmarkEnd w:id="13"/>
          <w:bookmarkEnd w:id="12"/>
        </w:p>
        <w:p w14:paraId="0C422E34" w14:textId="27813739" w:rsidR="000D2188" w:rsidRDefault="009B4050">
          <w:pPr>
            <w:pStyle w:val="TOC1"/>
            <w:rPr>
              <w:rFonts w:eastAsiaTheme="minorEastAsia" w:cstheme="minorBidi"/>
              <w:b w:val="0"/>
              <w:bCs w:val="0"/>
              <w:noProof/>
              <w:sz w:val="22"/>
              <w:szCs w:val="22"/>
            </w:rPr>
          </w:pPr>
          <w:r w:rsidRPr="00314E60">
            <w:rPr>
              <w:i/>
              <w:iCs/>
            </w:rPr>
            <w:fldChar w:fldCharType="begin"/>
          </w:r>
          <w:r w:rsidRPr="00314E60">
            <w:instrText xml:space="preserve"> TOC \o "1-3" \h \z \u </w:instrText>
          </w:r>
          <w:r w:rsidRPr="00314E60">
            <w:rPr>
              <w:i/>
              <w:iCs/>
            </w:rPr>
            <w:fldChar w:fldCharType="separate"/>
          </w:r>
          <w:hyperlink w:anchor="_Toc157587858" w:history="1">
            <w:r w:rsidR="000D2188" w:rsidRPr="006963E2">
              <w:rPr>
                <w:rStyle w:val="Hyperlink"/>
                <w:noProof/>
              </w:rPr>
              <w:t>DES Quality Guidelines</w:t>
            </w:r>
            <w:r w:rsidR="000D2188">
              <w:rPr>
                <w:noProof/>
                <w:webHidden/>
              </w:rPr>
              <w:tab/>
            </w:r>
            <w:r w:rsidR="000D2188">
              <w:rPr>
                <w:noProof/>
                <w:webHidden/>
              </w:rPr>
              <w:fldChar w:fldCharType="begin"/>
            </w:r>
            <w:r w:rsidR="000D2188">
              <w:rPr>
                <w:noProof/>
                <w:webHidden/>
              </w:rPr>
              <w:instrText xml:space="preserve"> PAGEREF _Toc157587858 \h </w:instrText>
            </w:r>
            <w:r w:rsidR="000D2188">
              <w:rPr>
                <w:noProof/>
                <w:webHidden/>
              </w:rPr>
            </w:r>
            <w:r w:rsidR="000D2188">
              <w:rPr>
                <w:noProof/>
                <w:webHidden/>
              </w:rPr>
              <w:fldChar w:fldCharType="separate"/>
            </w:r>
            <w:r w:rsidR="000D2188">
              <w:rPr>
                <w:noProof/>
                <w:webHidden/>
              </w:rPr>
              <w:t>1</w:t>
            </w:r>
            <w:r w:rsidR="000D2188">
              <w:rPr>
                <w:noProof/>
                <w:webHidden/>
              </w:rPr>
              <w:fldChar w:fldCharType="end"/>
            </w:r>
          </w:hyperlink>
        </w:p>
        <w:p w14:paraId="61F347C5" w14:textId="20AC7567" w:rsidR="000D2188" w:rsidRDefault="005871E3">
          <w:pPr>
            <w:pStyle w:val="TOC2"/>
            <w:rPr>
              <w:rFonts w:eastAsiaTheme="minorEastAsia" w:cstheme="minorBidi"/>
              <w:i w:val="0"/>
              <w:iCs w:val="0"/>
              <w:noProof/>
              <w:sz w:val="22"/>
              <w:szCs w:val="22"/>
            </w:rPr>
          </w:pPr>
          <w:hyperlink w:anchor="_Toc157587859" w:history="1">
            <w:r w:rsidR="000D2188" w:rsidRPr="006963E2">
              <w:rPr>
                <w:rStyle w:val="Hyperlink"/>
                <w:noProof/>
              </w:rPr>
              <w:t>Table of Contents</w:t>
            </w:r>
            <w:r w:rsidR="000D2188">
              <w:rPr>
                <w:noProof/>
                <w:webHidden/>
              </w:rPr>
              <w:tab/>
            </w:r>
            <w:r w:rsidR="000D2188">
              <w:rPr>
                <w:noProof/>
                <w:webHidden/>
              </w:rPr>
              <w:fldChar w:fldCharType="begin"/>
            </w:r>
            <w:r w:rsidR="000D2188">
              <w:rPr>
                <w:noProof/>
                <w:webHidden/>
              </w:rPr>
              <w:instrText xml:space="preserve"> PAGEREF _Toc157587859 \h </w:instrText>
            </w:r>
            <w:r w:rsidR="000D2188">
              <w:rPr>
                <w:noProof/>
                <w:webHidden/>
              </w:rPr>
            </w:r>
            <w:r w:rsidR="000D2188">
              <w:rPr>
                <w:noProof/>
                <w:webHidden/>
              </w:rPr>
              <w:fldChar w:fldCharType="separate"/>
            </w:r>
            <w:r w:rsidR="000D2188">
              <w:rPr>
                <w:noProof/>
                <w:webHidden/>
              </w:rPr>
              <w:t>2</w:t>
            </w:r>
            <w:r w:rsidR="000D2188">
              <w:rPr>
                <w:noProof/>
                <w:webHidden/>
              </w:rPr>
              <w:fldChar w:fldCharType="end"/>
            </w:r>
          </w:hyperlink>
        </w:p>
        <w:p w14:paraId="4D154A53" w14:textId="39ED8603" w:rsidR="000D2188" w:rsidRDefault="005871E3">
          <w:pPr>
            <w:pStyle w:val="TOC1"/>
            <w:rPr>
              <w:rFonts w:eastAsiaTheme="minorEastAsia" w:cstheme="minorBidi"/>
              <w:b w:val="0"/>
              <w:bCs w:val="0"/>
              <w:noProof/>
              <w:sz w:val="22"/>
              <w:szCs w:val="22"/>
            </w:rPr>
          </w:pPr>
          <w:hyperlink w:anchor="_Toc157587860" w:history="1">
            <w:r w:rsidR="000D2188" w:rsidRPr="006963E2">
              <w:rPr>
                <w:rStyle w:val="Hyperlink"/>
                <w:noProof/>
              </w:rPr>
              <w:t>1.</w:t>
            </w:r>
            <w:r w:rsidR="000D2188">
              <w:rPr>
                <w:rFonts w:eastAsiaTheme="minorEastAsia" w:cstheme="minorBidi"/>
                <w:b w:val="0"/>
                <w:bCs w:val="0"/>
                <w:noProof/>
                <w:sz w:val="22"/>
                <w:szCs w:val="22"/>
              </w:rPr>
              <w:tab/>
            </w:r>
            <w:r w:rsidR="000D2188" w:rsidRPr="006963E2">
              <w:rPr>
                <w:rStyle w:val="Hyperlink"/>
                <w:noProof/>
              </w:rPr>
              <w:t>Introduction</w:t>
            </w:r>
            <w:r w:rsidR="000D2188">
              <w:rPr>
                <w:noProof/>
                <w:webHidden/>
              </w:rPr>
              <w:tab/>
            </w:r>
            <w:r w:rsidR="000D2188">
              <w:rPr>
                <w:noProof/>
                <w:webHidden/>
              </w:rPr>
              <w:fldChar w:fldCharType="begin"/>
            </w:r>
            <w:r w:rsidR="000D2188">
              <w:rPr>
                <w:noProof/>
                <w:webHidden/>
              </w:rPr>
              <w:instrText xml:space="preserve"> PAGEREF _Toc157587860 \h </w:instrText>
            </w:r>
            <w:r w:rsidR="000D2188">
              <w:rPr>
                <w:noProof/>
                <w:webHidden/>
              </w:rPr>
            </w:r>
            <w:r w:rsidR="000D2188">
              <w:rPr>
                <w:noProof/>
                <w:webHidden/>
              </w:rPr>
              <w:fldChar w:fldCharType="separate"/>
            </w:r>
            <w:r w:rsidR="000D2188">
              <w:rPr>
                <w:noProof/>
                <w:webHidden/>
              </w:rPr>
              <w:t>3</w:t>
            </w:r>
            <w:r w:rsidR="000D2188">
              <w:rPr>
                <w:noProof/>
                <w:webHidden/>
              </w:rPr>
              <w:fldChar w:fldCharType="end"/>
            </w:r>
          </w:hyperlink>
        </w:p>
        <w:p w14:paraId="44D1325C" w14:textId="2992A3B8" w:rsidR="000D2188" w:rsidRDefault="005871E3">
          <w:pPr>
            <w:pStyle w:val="TOC2"/>
            <w:rPr>
              <w:rFonts w:eastAsiaTheme="minorEastAsia" w:cstheme="minorBidi"/>
              <w:i w:val="0"/>
              <w:iCs w:val="0"/>
              <w:noProof/>
              <w:sz w:val="22"/>
              <w:szCs w:val="22"/>
            </w:rPr>
          </w:pPr>
          <w:hyperlink w:anchor="_Toc157587861" w:history="1">
            <w:r w:rsidR="000D2188" w:rsidRPr="006963E2">
              <w:rPr>
                <w:rStyle w:val="Hyperlink"/>
                <w:noProof/>
              </w:rPr>
              <w:t>1.1.</w:t>
            </w:r>
            <w:r w:rsidR="000D2188">
              <w:rPr>
                <w:rFonts w:eastAsiaTheme="minorEastAsia" w:cstheme="minorBidi"/>
                <w:i w:val="0"/>
                <w:iCs w:val="0"/>
                <w:noProof/>
                <w:sz w:val="22"/>
                <w:szCs w:val="22"/>
              </w:rPr>
              <w:tab/>
            </w:r>
            <w:r w:rsidR="000D2188" w:rsidRPr="006963E2">
              <w:rPr>
                <w:rStyle w:val="Hyperlink"/>
                <w:noProof/>
              </w:rPr>
              <w:t>Quality</w:t>
            </w:r>
            <w:r w:rsidR="000D2188">
              <w:rPr>
                <w:noProof/>
                <w:webHidden/>
              </w:rPr>
              <w:tab/>
            </w:r>
            <w:r w:rsidR="000D2188">
              <w:rPr>
                <w:noProof/>
                <w:webHidden/>
              </w:rPr>
              <w:fldChar w:fldCharType="begin"/>
            </w:r>
            <w:r w:rsidR="000D2188">
              <w:rPr>
                <w:noProof/>
                <w:webHidden/>
              </w:rPr>
              <w:instrText xml:space="preserve"> PAGEREF _Toc157587861 \h </w:instrText>
            </w:r>
            <w:r w:rsidR="000D2188">
              <w:rPr>
                <w:noProof/>
                <w:webHidden/>
              </w:rPr>
            </w:r>
            <w:r w:rsidR="000D2188">
              <w:rPr>
                <w:noProof/>
                <w:webHidden/>
              </w:rPr>
              <w:fldChar w:fldCharType="separate"/>
            </w:r>
            <w:r w:rsidR="000D2188">
              <w:rPr>
                <w:noProof/>
                <w:webHidden/>
              </w:rPr>
              <w:t>3</w:t>
            </w:r>
            <w:r w:rsidR="000D2188">
              <w:rPr>
                <w:noProof/>
                <w:webHidden/>
              </w:rPr>
              <w:fldChar w:fldCharType="end"/>
            </w:r>
          </w:hyperlink>
        </w:p>
        <w:p w14:paraId="2885D5F4" w14:textId="68E9F4CA" w:rsidR="000D2188" w:rsidRDefault="005871E3">
          <w:pPr>
            <w:pStyle w:val="TOC2"/>
            <w:rPr>
              <w:rFonts w:eastAsiaTheme="minorEastAsia" w:cstheme="minorBidi"/>
              <w:i w:val="0"/>
              <w:iCs w:val="0"/>
              <w:noProof/>
              <w:sz w:val="22"/>
              <w:szCs w:val="22"/>
            </w:rPr>
          </w:pPr>
          <w:hyperlink w:anchor="_Toc157587862" w:history="1">
            <w:r w:rsidR="000D2188" w:rsidRPr="006963E2">
              <w:rPr>
                <w:rStyle w:val="Hyperlink"/>
                <w:noProof/>
              </w:rPr>
              <w:t>1.2.</w:t>
            </w:r>
            <w:r w:rsidR="000D2188">
              <w:rPr>
                <w:rFonts w:eastAsiaTheme="minorEastAsia" w:cstheme="minorBidi"/>
                <w:i w:val="0"/>
                <w:iCs w:val="0"/>
                <w:noProof/>
                <w:sz w:val="22"/>
                <w:szCs w:val="22"/>
              </w:rPr>
              <w:tab/>
            </w:r>
            <w:r w:rsidR="000D2188" w:rsidRPr="006963E2">
              <w:rPr>
                <w:rStyle w:val="Hyperlink"/>
                <w:noProof/>
              </w:rPr>
              <w:t>Quality Elements</w:t>
            </w:r>
            <w:r w:rsidR="000D2188">
              <w:rPr>
                <w:noProof/>
                <w:webHidden/>
              </w:rPr>
              <w:tab/>
            </w:r>
            <w:r w:rsidR="000D2188">
              <w:rPr>
                <w:noProof/>
                <w:webHidden/>
              </w:rPr>
              <w:fldChar w:fldCharType="begin"/>
            </w:r>
            <w:r w:rsidR="000D2188">
              <w:rPr>
                <w:noProof/>
                <w:webHidden/>
              </w:rPr>
              <w:instrText xml:space="preserve"> PAGEREF _Toc157587862 \h </w:instrText>
            </w:r>
            <w:r w:rsidR="000D2188">
              <w:rPr>
                <w:noProof/>
                <w:webHidden/>
              </w:rPr>
            </w:r>
            <w:r w:rsidR="000D2188">
              <w:rPr>
                <w:noProof/>
                <w:webHidden/>
              </w:rPr>
              <w:fldChar w:fldCharType="separate"/>
            </w:r>
            <w:r w:rsidR="000D2188">
              <w:rPr>
                <w:noProof/>
                <w:webHidden/>
              </w:rPr>
              <w:t>3</w:t>
            </w:r>
            <w:r w:rsidR="000D2188">
              <w:rPr>
                <w:noProof/>
                <w:webHidden/>
              </w:rPr>
              <w:fldChar w:fldCharType="end"/>
            </w:r>
          </w:hyperlink>
        </w:p>
        <w:p w14:paraId="316DC603" w14:textId="7FECAD6B" w:rsidR="000D2188" w:rsidRDefault="005871E3">
          <w:pPr>
            <w:pStyle w:val="TOC1"/>
            <w:rPr>
              <w:rFonts w:eastAsiaTheme="minorEastAsia" w:cstheme="minorBidi"/>
              <w:b w:val="0"/>
              <w:bCs w:val="0"/>
              <w:noProof/>
              <w:sz w:val="22"/>
              <w:szCs w:val="22"/>
            </w:rPr>
          </w:pPr>
          <w:hyperlink w:anchor="_Toc157587863" w:history="1">
            <w:r w:rsidR="000D2188" w:rsidRPr="006963E2">
              <w:rPr>
                <w:rStyle w:val="Hyperlink"/>
                <w:noProof/>
              </w:rPr>
              <w:t>2.</w:t>
            </w:r>
            <w:r w:rsidR="000D2188">
              <w:rPr>
                <w:rFonts w:eastAsiaTheme="minorEastAsia" w:cstheme="minorBidi"/>
                <w:b w:val="0"/>
                <w:bCs w:val="0"/>
                <w:noProof/>
                <w:sz w:val="22"/>
                <w:szCs w:val="22"/>
              </w:rPr>
              <w:tab/>
            </w:r>
            <w:r w:rsidR="000D2188" w:rsidRPr="006963E2">
              <w:rPr>
                <w:rStyle w:val="Hyperlink"/>
                <w:noProof/>
              </w:rPr>
              <w:t>Quality Ratings</w:t>
            </w:r>
            <w:r w:rsidR="000D2188">
              <w:rPr>
                <w:noProof/>
                <w:webHidden/>
              </w:rPr>
              <w:tab/>
            </w:r>
            <w:r w:rsidR="000D2188">
              <w:rPr>
                <w:noProof/>
                <w:webHidden/>
              </w:rPr>
              <w:fldChar w:fldCharType="begin"/>
            </w:r>
            <w:r w:rsidR="000D2188">
              <w:rPr>
                <w:noProof/>
                <w:webHidden/>
              </w:rPr>
              <w:instrText xml:space="preserve"> PAGEREF _Toc157587863 \h </w:instrText>
            </w:r>
            <w:r w:rsidR="000D2188">
              <w:rPr>
                <w:noProof/>
                <w:webHidden/>
              </w:rPr>
            </w:r>
            <w:r w:rsidR="000D2188">
              <w:rPr>
                <w:noProof/>
                <w:webHidden/>
              </w:rPr>
              <w:fldChar w:fldCharType="separate"/>
            </w:r>
            <w:r w:rsidR="000D2188">
              <w:rPr>
                <w:noProof/>
                <w:webHidden/>
              </w:rPr>
              <w:t>4</w:t>
            </w:r>
            <w:r w:rsidR="000D2188">
              <w:rPr>
                <w:noProof/>
                <w:webHidden/>
              </w:rPr>
              <w:fldChar w:fldCharType="end"/>
            </w:r>
          </w:hyperlink>
        </w:p>
        <w:p w14:paraId="5B5228CB" w14:textId="6A5BF0F8" w:rsidR="000D2188" w:rsidRDefault="005871E3">
          <w:pPr>
            <w:pStyle w:val="TOC1"/>
            <w:rPr>
              <w:rFonts w:eastAsiaTheme="minorEastAsia" w:cstheme="minorBidi"/>
              <w:b w:val="0"/>
              <w:bCs w:val="0"/>
              <w:noProof/>
              <w:sz w:val="22"/>
              <w:szCs w:val="22"/>
            </w:rPr>
          </w:pPr>
          <w:hyperlink w:anchor="_Toc157587864" w:history="1">
            <w:r w:rsidR="000D2188" w:rsidRPr="006963E2">
              <w:rPr>
                <w:rStyle w:val="Hyperlink"/>
                <w:noProof/>
              </w:rPr>
              <w:t>3.</w:t>
            </w:r>
            <w:r w:rsidR="000D2188">
              <w:rPr>
                <w:rFonts w:eastAsiaTheme="minorEastAsia" w:cstheme="minorBidi"/>
                <w:b w:val="0"/>
                <w:bCs w:val="0"/>
                <w:noProof/>
                <w:sz w:val="22"/>
                <w:szCs w:val="22"/>
              </w:rPr>
              <w:tab/>
            </w:r>
            <w:r w:rsidR="000D2188" w:rsidRPr="006963E2">
              <w:rPr>
                <w:rStyle w:val="Hyperlink"/>
                <w:noProof/>
              </w:rPr>
              <w:t>Quality assessment process</w:t>
            </w:r>
            <w:r w:rsidR="000D2188">
              <w:rPr>
                <w:noProof/>
                <w:webHidden/>
              </w:rPr>
              <w:tab/>
            </w:r>
            <w:r w:rsidR="000D2188">
              <w:rPr>
                <w:noProof/>
                <w:webHidden/>
              </w:rPr>
              <w:fldChar w:fldCharType="begin"/>
            </w:r>
            <w:r w:rsidR="000D2188">
              <w:rPr>
                <w:noProof/>
                <w:webHidden/>
              </w:rPr>
              <w:instrText xml:space="preserve"> PAGEREF _Toc157587864 \h </w:instrText>
            </w:r>
            <w:r w:rsidR="000D2188">
              <w:rPr>
                <w:noProof/>
                <w:webHidden/>
              </w:rPr>
            </w:r>
            <w:r w:rsidR="000D2188">
              <w:rPr>
                <w:noProof/>
                <w:webHidden/>
              </w:rPr>
              <w:fldChar w:fldCharType="separate"/>
            </w:r>
            <w:r w:rsidR="000D2188">
              <w:rPr>
                <w:noProof/>
                <w:webHidden/>
              </w:rPr>
              <w:t>5</w:t>
            </w:r>
            <w:r w:rsidR="000D2188">
              <w:rPr>
                <w:noProof/>
                <w:webHidden/>
              </w:rPr>
              <w:fldChar w:fldCharType="end"/>
            </w:r>
          </w:hyperlink>
        </w:p>
        <w:p w14:paraId="79F3ED6D" w14:textId="2975D259" w:rsidR="000D2188" w:rsidRDefault="005871E3">
          <w:pPr>
            <w:pStyle w:val="TOC2"/>
            <w:rPr>
              <w:rFonts w:eastAsiaTheme="minorEastAsia" w:cstheme="minorBidi"/>
              <w:i w:val="0"/>
              <w:iCs w:val="0"/>
              <w:noProof/>
              <w:sz w:val="22"/>
              <w:szCs w:val="22"/>
            </w:rPr>
          </w:pPr>
          <w:hyperlink w:anchor="_Toc157587865" w:history="1">
            <w:r w:rsidR="000D2188" w:rsidRPr="006963E2">
              <w:rPr>
                <w:rStyle w:val="Hyperlink"/>
                <w:noProof/>
              </w:rPr>
              <w:t>3.1.</w:t>
            </w:r>
            <w:r w:rsidR="000D2188">
              <w:rPr>
                <w:rFonts w:eastAsiaTheme="minorEastAsia" w:cstheme="minorBidi"/>
                <w:i w:val="0"/>
                <w:iCs w:val="0"/>
                <w:noProof/>
                <w:sz w:val="22"/>
                <w:szCs w:val="22"/>
              </w:rPr>
              <w:tab/>
            </w:r>
            <w:r w:rsidR="000D2188" w:rsidRPr="006963E2">
              <w:rPr>
                <w:rStyle w:val="Hyperlink"/>
                <w:noProof/>
              </w:rPr>
              <w:t>Overview of the quality assessment process</w:t>
            </w:r>
            <w:r w:rsidR="000D2188">
              <w:rPr>
                <w:noProof/>
                <w:webHidden/>
              </w:rPr>
              <w:tab/>
            </w:r>
            <w:r w:rsidR="000D2188">
              <w:rPr>
                <w:noProof/>
                <w:webHidden/>
              </w:rPr>
              <w:fldChar w:fldCharType="begin"/>
            </w:r>
            <w:r w:rsidR="000D2188">
              <w:rPr>
                <w:noProof/>
                <w:webHidden/>
              </w:rPr>
              <w:instrText xml:space="preserve"> PAGEREF _Toc157587865 \h </w:instrText>
            </w:r>
            <w:r w:rsidR="000D2188">
              <w:rPr>
                <w:noProof/>
                <w:webHidden/>
              </w:rPr>
            </w:r>
            <w:r w:rsidR="000D2188">
              <w:rPr>
                <w:noProof/>
                <w:webHidden/>
              </w:rPr>
              <w:fldChar w:fldCharType="separate"/>
            </w:r>
            <w:r w:rsidR="000D2188">
              <w:rPr>
                <w:noProof/>
                <w:webHidden/>
              </w:rPr>
              <w:t>5</w:t>
            </w:r>
            <w:r w:rsidR="000D2188">
              <w:rPr>
                <w:noProof/>
                <w:webHidden/>
              </w:rPr>
              <w:fldChar w:fldCharType="end"/>
            </w:r>
          </w:hyperlink>
        </w:p>
        <w:p w14:paraId="1DE86E34" w14:textId="0409C361" w:rsidR="000D2188" w:rsidRDefault="005871E3">
          <w:pPr>
            <w:pStyle w:val="TOC2"/>
            <w:rPr>
              <w:rFonts w:eastAsiaTheme="minorEastAsia" w:cstheme="minorBidi"/>
              <w:i w:val="0"/>
              <w:iCs w:val="0"/>
              <w:noProof/>
              <w:sz w:val="22"/>
              <w:szCs w:val="22"/>
            </w:rPr>
          </w:pPr>
          <w:hyperlink w:anchor="_Toc157587866" w:history="1">
            <w:r w:rsidR="000D2188" w:rsidRPr="006963E2">
              <w:rPr>
                <w:rStyle w:val="Hyperlink"/>
                <w:noProof/>
              </w:rPr>
              <w:t>3.2.</w:t>
            </w:r>
            <w:r w:rsidR="000D2188">
              <w:rPr>
                <w:rFonts w:eastAsiaTheme="minorEastAsia" w:cstheme="minorBidi"/>
                <w:i w:val="0"/>
                <w:iCs w:val="0"/>
                <w:noProof/>
                <w:sz w:val="22"/>
                <w:szCs w:val="22"/>
              </w:rPr>
              <w:tab/>
            </w:r>
            <w:r w:rsidR="000D2188" w:rsidRPr="006963E2">
              <w:rPr>
                <w:rStyle w:val="Hyperlink"/>
                <w:noProof/>
              </w:rPr>
              <w:t>Provider Notification and Quality Scorecard</w:t>
            </w:r>
            <w:r w:rsidR="000D2188">
              <w:rPr>
                <w:noProof/>
                <w:webHidden/>
              </w:rPr>
              <w:tab/>
            </w:r>
            <w:r w:rsidR="000D2188">
              <w:rPr>
                <w:noProof/>
                <w:webHidden/>
              </w:rPr>
              <w:fldChar w:fldCharType="begin"/>
            </w:r>
            <w:r w:rsidR="000D2188">
              <w:rPr>
                <w:noProof/>
                <w:webHidden/>
              </w:rPr>
              <w:instrText xml:space="preserve"> PAGEREF _Toc157587866 \h </w:instrText>
            </w:r>
            <w:r w:rsidR="000D2188">
              <w:rPr>
                <w:noProof/>
                <w:webHidden/>
              </w:rPr>
            </w:r>
            <w:r w:rsidR="000D2188">
              <w:rPr>
                <w:noProof/>
                <w:webHidden/>
              </w:rPr>
              <w:fldChar w:fldCharType="separate"/>
            </w:r>
            <w:r w:rsidR="000D2188">
              <w:rPr>
                <w:noProof/>
                <w:webHidden/>
              </w:rPr>
              <w:t>5</w:t>
            </w:r>
            <w:r w:rsidR="000D2188">
              <w:rPr>
                <w:noProof/>
                <w:webHidden/>
              </w:rPr>
              <w:fldChar w:fldCharType="end"/>
            </w:r>
          </w:hyperlink>
        </w:p>
        <w:p w14:paraId="78D88140" w14:textId="344A5560" w:rsidR="000D2188" w:rsidRDefault="005871E3">
          <w:pPr>
            <w:pStyle w:val="TOC2"/>
            <w:rPr>
              <w:rFonts w:eastAsiaTheme="minorEastAsia" w:cstheme="minorBidi"/>
              <w:i w:val="0"/>
              <w:iCs w:val="0"/>
              <w:noProof/>
              <w:sz w:val="22"/>
              <w:szCs w:val="22"/>
            </w:rPr>
          </w:pPr>
          <w:hyperlink w:anchor="_Toc157587867" w:history="1">
            <w:r w:rsidR="000D2188" w:rsidRPr="006963E2">
              <w:rPr>
                <w:rStyle w:val="Hyperlink"/>
                <w:noProof/>
              </w:rPr>
              <w:t>3.3.</w:t>
            </w:r>
            <w:r w:rsidR="000D2188">
              <w:rPr>
                <w:rFonts w:eastAsiaTheme="minorEastAsia" w:cstheme="minorBidi"/>
                <w:i w:val="0"/>
                <w:iCs w:val="0"/>
                <w:noProof/>
                <w:sz w:val="22"/>
                <w:szCs w:val="22"/>
              </w:rPr>
              <w:tab/>
            </w:r>
            <w:r w:rsidR="000D2188" w:rsidRPr="006963E2">
              <w:rPr>
                <w:rStyle w:val="Hyperlink"/>
                <w:noProof/>
              </w:rPr>
              <w:t>Provider Review of Rating</w:t>
            </w:r>
            <w:r w:rsidR="000D2188">
              <w:rPr>
                <w:noProof/>
                <w:webHidden/>
              </w:rPr>
              <w:tab/>
            </w:r>
            <w:r w:rsidR="000D2188">
              <w:rPr>
                <w:noProof/>
                <w:webHidden/>
              </w:rPr>
              <w:fldChar w:fldCharType="begin"/>
            </w:r>
            <w:r w:rsidR="000D2188">
              <w:rPr>
                <w:noProof/>
                <w:webHidden/>
              </w:rPr>
              <w:instrText xml:space="preserve"> PAGEREF _Toc157587867 \h </w:instrText>
            </w:r>
            <w:r w:rsidR="000D2188">
              <w:rPr>
                <w:noProof/>
                <w:webHidden/>
              </w:rPr>
            </w:r>
            <w:r w:rsidR="000D2188">
              <w:rPr>
                <w:noProof/>
                <w:webHidden/>
              </w:rPr>
              <w:fldChar w:fldCharType="separate"/>
            </w:r>
            <w:r w:rsidR="000D2188">
              <w:rPr>
                <w:noProof/>
                <w:webHidden/>
              </w:rPr>
              <w:t>5</w:t>
            </w:r>
            <w:r w:rsidR="000D2188">
              <w:rPr>
                <w:noProof/>
                <w:webHidden/>
              </w:rPr>
              <w:fldChar w:fldCharType="end"/>
            </w:r>
          </w:hyperlink>
        </w:p>
        <w:p w14:paraId="24E37594" w14:textId="1047311E" w:rsidR="000D2188" w:rsidRDefault="005871E3">
          <w:pPr>
            <w:pStyle w:val="TOC2"/>
            <w:rPr>
              <w:rFonts w:eastAsiaTheme="minorEastAsia" w:cstheme="minorBidi"/>
              <w:i w:val="0"/>
              <w:iCs w:val="0"/>
              <w:noProof/>
              <w:sz w:val="22"/>
              <w:szCs w:val="22"/>
            </w:rPr>
          </w:pPr>
          <w:hyperlink w:anchor="_Toc157587868" w:history="1">
            <w:r w:rsidR="000D2188" w:rsidRPr="006963E2">
              <w:rPr>
                <w:rStyle w:val="Hyperlink"/>
                <w:noProof/>
              </w:rPr>
              <w:t>3.4.</w:t>
            </w:r>
            <w:r w:rsidR="000D2188">
              <w:rPr>
                <w:rFonts w:eastAsiaTheme="minorEastAsia" w:cstheme="minorBidi"/>
                <w:i w:val="0"/>
                <w:iCs w:val="0"/>
                <w:noProof/>
                <w:sz w:val="22"/>
                <w:szCs w:val="22"/>
              </w:rPr>
              <w:tab/>
            </w:r>
            <w:r w:rsidR="000D2188" w:rsidRPr="006963E2">
              <w:rPr>
                <w:rStyle w:val="Hyperlink"/>
                <w:noProof/>
              </w:rPr>
              <w:t>Release of Rating</w:t>
            </w:r>
            <w:r w:rsidR="000D2188">
              <w:rPr>
                <w:noProof/>
                <w:webHidden/>
              </w:rPr>
              <w:tab/>
            </w:r>
            <w:r w:rsidR="000D2188">
              <w:rPr>
                <w:noProof/>
                <w:webHidden/>
              </w:rPr>
              <w:fldChar w:fldCharType="begin"/>
            </w:r>
            <w:r w:rsidR="000D2188">
              <w:rPr>
                <w:noProof/>
                <w:webHidden/>
              </w:rPr>
              <w:instrText xml:space="preserve"> PAGEREF _Toc157587868 \h </w:instrText>
            </w:r>
            <w:r w:rsidR="000D2188">
              <w:rPr>
                <w:noProof/>
                <w:webHidden/>
              </w:rPr>
            </w:r>
            <w:r w:rsidR="000D2188">
              <w:rPr>
                <w:noProof/>
                <w:webHidden/>
              </w:rPr>
              <w:fldChar w:fldCharType="separate"/>
            </w:r>
            <w:r w:rsidR="000D2188">
              <w:rPr>
                <w:noProof/>
                <w:webHidden/>
              </w:rPr>
              <w:t>6</w:t>
            </w:r>
            <w:r w:rsidR="000D2188">
              <w:rPr>
                <w:noProof/>
                <w:webHidden/>
              </w:rPr>
              <w:fldChar w:fldCharType="end"/>
            </w:r>
          </w:hyperlink>
        </w:p>
        <w:p w14:paraId="45227606" w14:textId="2763373B" w:rsidR="000D2188" w:rsidRDefault="005871E3">
          <w:pPr>
            <w:pStyle w:val="TOC2"/>
            <w:rPr>
              <w:rFonts w:eastAsiaTheme="minorEastAsia" w:cstheme="minorBidi"/>
              <w:i w:val="0"/>
              <w:iCs w:val="0"/>
              <w:noProof/>
              <w:sz w:val="22"/>
              <w:szCs w:val="22"/>
            </w:rPr>
          </w:pPr>
          <w:hyperlink w:anchor="_Toc157587869" w:history="1">
            <w:r w:rsidR="000D2188" w:rsidRPr="006963E2">
              <w:rPr>
                <w:rStyle w:val="Hyperlink"/>
                <w:noProof/>
              </w:rPr>
              <w:t>3.5.</w:t>
            </w:r>
            <w:r w:rsidR="000D2188">
              <w:rPr>
                <w:rFonts w:eastAsiaTheme="minorEastAsia" w:cstheme="minorBidi"/>
                <w:i w:val="0"/>
                <w:iCs w:val="0"/>
                <w:noProof/>
                <w:sz w:val="22"/>
                <w:szCs w:val="22"/>
              </w:rPr>
              <w:tab/>
            </w:r>
            <w:r w:rsidR="000D2188" w:rsidRPr="006963E2">
              <w:rPr>
                <w:rStyle w:val="Hyperlink"/>
                <w:noProof/>
              </w:rPr>
              <w:t>Frequency and Timing</w:t>
            </w:r>
            <w:r w:rsidR="000D2188">
              <w:rPr>
                <w:noProof/>
                <w:webHidden/>
              </w:rPr>
              <w:tab/>
            </w:r>
            <w:r w:rsidR="000D2188">
              <w:rPr>
                <w:noProof/>
                <w:webHidden/>
              </w:rPr>
              <w:fldChar w:fldCharType="begin"/>
            </w:r>
            <w:r w:rsidR="000D2188">
              <w:rPr>
                <w:noProof/>
                <w:webHidden/>
              </w:rPr>
              <w:instrText xml:space="preserve"> PAGEREF _Toc157587869 \h </w:instrText>
            </w:r>
            <w:r w:rsidR="000D2188">
              <w:rPr>
                <w:noProof/>
                <w:webHidden/>
              </w:rPr>
            </w:r>
            <w:r w:rsidR="000D2188">
              <w:rPr>
                <w:noProof/>
                <w:webHidden/>
              </w:rPr>
              <w:fldChar w:fldCharType="separate"/>
            </w:r>
            <w:r w:rsidR="000D2188">
              <w:rPr>
                <w:noProof/>
                <w:webHidden/>
              </w:rPr>
              <w:t>6</w:t>
            </w:r>
            <w:r w:rsidR="000D2188">
              <w:rPr>
                <w:noProof/>
                <w:webHidden/>
              </w:rPr>
              <w:fldChar w:fldCharType="end"/>
            </w:r>
          </w:hyperlink>
        </w:p>
        <w:p w14:paraId="5616940D" w14:textId="12F8082D" w:rsidR="000D2188" w:rsidRDefault="005871E3">
          <w:pPr>
            <w:pStyle w:val="TOC2"/>
            <w:rPr>
              <w:rFonts w:eastAsiaTheme="minorEastAsia" w:cstheme="minorBidi"/>
              <w:i w:val="0"/>
              <w:iCs w:val="0"/>
              <w:noProof/>
              <w:sz w:val="22"/>
              <w:szCs w:val="22"/>
            </w:rPr>
          </w:pPr>
          <w:hyperlink w:anchor="_Toc157587870" w:history="1">
            <w:r w:rsidR="000D2188" w:rsidRPr="006963E2">
              <w:rPr>
                <w:rStyle w:val="Hyperlink"/>
                <w:noProof/>
              </w:rPr>
              <w:t>3.6.</w:t>
            </w:r>
            <w:r w:rsidR="000D2188">
              <w:rPr>
                <w:rFonts w:eastAsiaTheme="minorEastAsia" w:cstheme="minorBidi"/>
                <w:i w:val="0"/>
                <w:iCs w:val="0"/>
                <w:noProof/>
                <w:sz w:val="22"/>
                <w:szCs w:val="22"/>
              </w:rPr>
              <w:tab/>
            </w:r>
            <w:r w:rsidR="000D2188" w:rsidRPr="006963E2">
              <w:rPr>
                <w:rStyle w:val="Hyperlink"/>
                <w:noProof/>
              </w:rPr>
              <w:t>Quality Improvement Plans</w:t>
            </w:r>
            <w:r w:rsidR="000D2188">
              <w:rPr>
                <w:noProof/>
                <w:webHidden/>
              </w:rPr>
              <w:tab/>
            </w:r>
            <w:r w:rsidR="000D2188">
              <w:rPr>
                <w:noProof/>
                <w:webHidden/>
              </w:rPr>
              <w:fldChar w:fldCharType="begin"/>
            </w:r>
            <w:r w:rsidR="000D2188">
              <w:rPr>
                <w:noProof/>
                <w:webHidden/>
              </w:rPr>
              <w:instrText xml:space="preserve"> PAGEREF _Toc157587870 \h </w:instrText>
            </w:r>
            <w:r w:rsidR="000D2188">
              <w:rPr>
                <w:noProof/>
                <w:webHidden/>
              </w:rPr>
            </w:r>
            <w:r w:rsidR="000D2188">
              <w:rPr>
                <w:noProof/>
                <w:webHidden/>
              </w:rPr>
              <w:fldChar w:fldCharType="separate"/>
            </w:r>
            <w:r w:rsidR="000D2188">
              <w:rPr>
                <w:noProof/>
                <w:webHidden/>
              </w:rPr>
              <w:t>6</w:t>
            </w:r>
            <w:r w:rsidR="000D2188">
              <w:rPr>
                <w:noProof/>
                <w:webHidden/>
              </w:rPr>
              <w:fldChar w:fldCharType="end"/>
            </w:r>
          </w:hyperlink>
        </w:p>
        <w:p w14:paraId="3B3AA8B0" w14:textId="774DA65C" w:rsidR="000D2188" w:rsidRDefault="005871E3">
          <w:pPr>
            <w:pStyle w:val="TOC1"/>
            <w:rPr>
              <w:rFonts w:eastAsiaTheme="minorEastAsia" w:cstheme="minorBidi"/>
              <w:b w:val="0"/>
              <w:bCs w:val="0"/>
              <w:noProof/>
              <w:sz w:val="22"/>
              <w:szCs w:val="22"/>
            </w:rPr>
          </w:pPr>
          <w:hyperlink w:anchor="_Toc157587871" w:history="1">
            <w:r w:rsidR="000D2188" w:rsidRPr="006963E2">
              <w:rPr>
                <w:rStyle w:val="Hyperlink"/>
                <w:noProof/>
              </w:rPr>
              <w:t>4.</w:t>
            </w:r>
            <w:r w:rsidR="000D2188">
              <w:rPr>
                <w:rFonts w:eastAsiaTheme="minorEastAsia" w:cstheme="minorBidi"/>
                <w:b w:val="0"/>
                <w:bCs w:val="0"/>
                <w:noProof/>
                <w:sz w:val="22"/>
                <w:szCs w:val="22"/>
              </w:rPr>
              <w:tab/>
            </w:r>
            <w:r w:rsidR="000D2188" w:rsidRPr="006963E2">
              <w:rPr>
                <w:rStyle w:val="Hyperlink"/>
                <w:noProof/>
              </w:rPr>
              <w:t>Evidence and Data</w:t>
            </w:r>
            <w:r w:rsidR="000D2188">
              <w:rPr>
                <w:noProof/>
                <w:webHidden/>
              </w:rPr>
              <w:tab/>
            </w:r>
            <w:r w:rsidR="000D2188">
              <w:rPr>
                <w:noProof/>
                <w:webHidden/>
              </w:rPr>
              <w:fldChar w:fldCharType="begin"/>
            </w:r>
            <w:r w:rsidR="000D2188">
              <w:rPr>
                <w:noProof/>
                <w:webHidden/>
              </w:rPr>
              <w:instrText xml:space="preserve"> PAGEREF _Toc157587871 \h </w:instrText>
            </w:r>
            <w:r w:rsidR="000D2188">
              <w:rPr>
                <w:noProof/>
                <w:webHidden/>
              </w:rPr>
            </w:r>
            <w:r w:rsidR="000D2188">
              <w:rPr>
                <w:noProof/>
                <w:webHidden/>
              </w:rPr>
              <w:fldChar w:fldCharType="separate"/>
            </w:r>
            <w:r w:rsidR="000D2188">
              <w:rPr>
                <w:noProof/>
                <w:webHidden/>
              </w:rPr>
              <w:t>7</w:t>
            </w:r>
            <w:r w:rsidR="000D2188">
              <w:rPr>
                <w:noProof/>
                <w:webHidden/>
              </w:rPr>
              <w:fldChar w:fldCharType="end"/>
            </w:r>
          </w:hyperlink>
        </w:p>
        <w:p w14:paraId="54664C57" w14:textId="69C3E345" w:rsidR="000D2188" w:rsidRDefault="005871E3">
          <w:pPr>
            <w:pStyle w:val="TOC2"/>
            <w:rPr>
              <w:rFonts w:eastAsiaTheme="minorEastAsia" w:cstheme="minorBidi"/>
              <w:i w:val="0"/>
              <w:iCs w:val="0"/>
              <w:noProof/>
              <w:sz w:val="22"/>
              <w:szCs w:val="22"/>
            </w:rPr>
          </w:pPr>
          <w:hyperlink w:anchor="_Toc157587872" w:history="1">
            <w:r w:rsidR="000D2188" w:rsidRPr="006963E2">
              <w:rPr>
                <w:rStyle w:val="Hyperlink"/>
                <w:noProof/>
              </w:rPr>
              <w:t>All Quality Elements</w:t>
            </w:r>
            <w:r w:rsidR="000D2188">
              <w:rPr>
                <w:noProof/>
                <w:webHidden/>
              </w:rPr>
              <w:tab/>
            </w:r>
            <w:r w:rsidR="000D2188">
              <w:rPr>
                <w:noProof/>
                <w:webHidden/>
              </w:rPr>
              <w:fldChar w:fldCharType="begin"/>
            </w:r>
            <w:r w:rsidR="000D2188">
              <w:rPr>
                <w:noProof/>
                <w:webHidden/>
              </w:rPr>
              <w:instrText xml:space="preserve"> PAGEREF _Toc157587872 \h </w:instrText>
            </w:r>
            <w:r w:rsidR="000D2188">
              <w:rPr>
                <w:noProof/>
                <w:webHidden/>
              </w:rPr>
            </w:r>
            <w:r w:rsidR="000D2188">
              <w:rPr>
                <w:noProof/>
                <w:webHidden/>
              </w:rPr>
              <w:fldChar w:fldCharType="separate"/>
            </w:r>
            <w:r w:rsidR="000D2188">
              <w:rPr>
                <w:noProof/>
                <w:webHidden/>
              </w:rPr>
              <w:t>7</w:t>
            </w:r>
            <w:r w:rsidR="000D2188">
              <w:rPr>
                <w:noProof/>
                <w:webHidden/>
              </w:rPr>
              <w:fldChar w:fldCharType="end"/>
            </w:r>
          </w:hyperlink>
        </w:p>
        <w:p w14:paraId="738B8EBA" w14:textId="47425BAC" w:rsidR="000D2188" w:rsidRDefault="005871E3">
          <w:pPr>
            <w:pStyle w:val="TOC2"/>
            <w:rPr>
              <w:rFonts w:eastAsiaTheme="minorEastAsia" w:cstheme="minorBidi"/>
              <w:i w:val="0"/>
              <w:iCs w:val="0"/>
              <w:noProof/>
              <w:sz w:val="22"/>
              <w:szCs w:val="22"/>
            </w:rPr>
          </w:pPr>
          <w:hyperlink w:anchor="_Toc157587873" w:history="1">
            <w:r w:rsidR="000D2188" w:rsidRPr="006963E2">
              <w:rPr>
                <w:rStyle w:val="Hyperlink"/>
                <w:noProof/>
              </w:rPr>
              <w:t>4.1.</w:t>
            </w:r>
            <w:r w:rsidR="000D2188">
              <w:rPr>
                <w:rFonts w:eastAsiaTheme="minorEastAsia" w:cstheme="minorBidi"/>
                <w:i w:val="0"/>
                <w:iCs w:val="0"/>
                <w:noProof/>
                <w:sz w:val="22"/>
                <w:szCs w:val="22"/>
              </w:rPr>
              <w:tab/>
            </w:r>
            <w:r w:rsidR="000D2188" w:rsidRPr="006963E2">
              <w:rPr>
                <w:rStyle w:val="Hyperlink"/>
                <w:noProof/>
              </w:rPr>
              <w:t>National Standards for Disability Services (NSDS)</w:t>
            </w:r>
            <w:r w:rsidR="000D2188">
              <w:rPr>
                <w:noProof/>
                <w:webHidden/>
              </w:rPr>
              <w:tab/>
            </w:r>
            <w:r w:rsidR="000D2188">
              <w:rPr>
                <w:noProof/>
                <w:webHidden/>
              </w:rPr>
              <w:fldChar w:fldCharType="begin"/>
            </w:r>
            <w:r w:rsidR="000D2188">
              <w:rPr>
                <w:noProof/>
                <w:webHidden/>
              </w:rPr>
              <w:instrText xml:space="preserve"> PAGEREF _Toc157587873 \h </w:instrText>
            </w:r>
            <w:r w:rsidR="000D2188">
              <w:rPr>
                <w:noProof/>
                <w:webHidden/>
              </w:rPr>
            </w:r>
            <w:r w:rsidR="000D2188">
              <w:rPr>
                <w:noProof/>
                <w:webHidden/>
              </w:rPr>
              <w:fldChar w:fldCharType="separate"/>
            </w:r>
            <w:r w:rsidR="000D2188">
              <w:rPr>
                <w:noProof/>
                <w:webHidden/>
              </w:rPr>
              <w:t>7</w:t>
            </w:r>
            <w:r w:rsidR="000D2188">
              <w:rPr>
                <w:noProof/>
                <w:webHidden/>
              </w:rPr>
              <w:fldChar w:fldCharType="end"/>
            </w:r>
          </w:hyperlink>
        </w:p>
        <w:p w14:paraId="4BEF6FB4" w14:textId="7134EF61" w:rsidR="000D2188" w:rsidRDefault="005871E3">
          <w:pPr>
            <w:pStyle w:val="TOC2"/>
            <w:rPr>
              <w:rFonts w:eastAsiaTheme="minorEastAsia" w:cstheme="minorBidi"/>
              <w:i w:val="0"/>
              <w:iCs w:val="0"/>
              <w:noProof/>
              <w:sz w:val="22"/>
              <w:szCs w:val="22"/>
            </w:rPr>
          </w:pPr>
          <w:hyperlink w:anchor="_Toc157587874" w:history="1">
            <w:r w:rsidR="000D2188" w:rsidRPr="006963E2">
              <w:rPr>
                <w:rStyle w:val="Hyperlink"/>
                <w:noProof/>
              </w:rPr>
              <w:t>4.2.</w:t>
            </w:r>
            <w:r w:rsidR="000D2188">
              <w:rPr>
                <w:rFonts w:eastAsiaTheme="minorEastAsia" w:cstheme="minorBidi"/>
                <w:i w:val="0"/>
                <w:iCs w:val="0"/>
                <w:noProof/>
                <w:sz w:val="22"/>
                <w:szCs w:val="22"/>
              </w:rPr>
              <w:tab/>
            </w:r>
            <w:r w:rsidR="000D2188" w:rsidRPr="006963E2">
              <w:rPr>
                <w:rStyle w:val="Hyperlink"/>
                <w:noProof/>
              </w:rPr>
              <w:t>Understanding Quality Assessment</w:t>
            </w:r>
            <w:r w:rsidR="000D2188">
              <w:rPr>
                <w:noProof/>
                <w:webHidden/>
              </w:rPr>
              <w:tab/>
            </w:r>
            <w:r w:rsidR="000D2188">
              <w:rPr>
                <w:noProof/>
                <w:webHidden/>
              </w:rPr>
              <w:fldChar w:fldCharType="begin"/>
            </w:r>
            <w:r w:rsidR="000D2188">
              <w:rPr>
                <w:noProof/>
                <w:webHidden/>
              </w:rPr>
              <w:instrText xml:space="preserve"> PAGEREF _Toc157587874 \h </w:instrText>
            </w:r>
            <w:r w:rsidR="000D2188">
              <w:rPr>
                <w:noProof/>
                <w:webHidden/>
              </w:rPr>
            </w:r>
            <w:r w:rsidR="000D2188">
              <w:rPr>
                <w:noProof/>
                <w:webHidden/>
              </w:rPr>
              <w:fldChar w:fldCharType="separate"/>
            </w:r>
            <w:r w:rsidR="000D2188">
              <w:rPr>
                <w:noProof/>
                <w:webHidden/>
              </w:rPr>
              <w:t>7</w:t>
            </w:r>
            <w:r w:rsidR="000D2188">
              <w:rPr>
                <w:noProof/>
                <w:webHidden/>
              </w:rPr>
              <w:fldChar w:fldCharType="end"/>
            </w:r>
          </w:hyperlink>
        </w:p>
        <w:p w14:paraId="3B9D293A" w14:textId="0F1171D0" w:rsidR="000D2188" w:rsidRDefault="005871E3">
          <w:pPr>
            <w:pStyle w:val="TOC2"/>
            <w:rPr>
              <w:rFonts w:eastAsiaTheme="minorEastAsia" w:cstheme="minorBidi"/>
              <w:i w:val="0"/>
              <w:iCs w:val="0"/>
              <w:noProof/>
              <w:sz w:val="22"/>
              <w:szCs w:val="22"/>
            </w:rPr>
          </w:pPr>
          <w:hyperlink w:anchor="_Toc157587875" w:history="1">
            <w:r w:rsidR="000D2188" w:rsidRPr="006963E2">
              <w:rPr>
                <w:rStyle w:val="Hyperlink"/>
                <w:noProof/>
              </w:rPr>
              <w:t>4.3.</w:t>
            </w:r>
            <w:r w:rsidR="000D2188">
              <w:rPr>
                <w:rFonts w:eastAsiaTheme="minorEastAsia" w:cstheme="minorBidi"/>
                <w:i w:val="0"/>
                <w:iCs w:val="0"/>
                <w:noProof/>
                <w:sz w:val="22"/>
                <w:szCs w:val="22"/>
              </w:rPr>
              <w:tab/>
            </w:r>
            <w:r w:rsidR="000D2188" w:rsidRPr="006963E2">
              <w:rPr>
                <w:rStyle w:val="Hyperlink"/>
                <w:noProof/>
              </w:rPr>
              <w:t>Breaches</w:t>
            </w:r>
            <w:r w:rsidR="000D2188">
              <w:rPr>
                <w:noProof/>
                <w:webHidden/>
              </w:rPr>
              <w:tab/>
            </w:r>
            <w:r w:rsidR="000D2188">
              <w:rPr>
                <w:noProof/>
                <w:webHidden/>
              </w:rPr>
              <w:fldChar w:fldCharType="begin"/>
            </w:r>
            <w:r w:rsidR="000D2188">
              <w:rPr>
                <w:noProof/>
                <w:webHidden/>
              </w:rPr>
              <w:instrText xml:space="preserve"> PAGEREF _Toc157587875 \h </w:instrText>
            </w:r>
            <w:r w:rsidR="000D2188">
              <w:rPr>
                <w:noProof/>
                <w:webHidden/>
              </w:rPr>
            </w:r>
            <w:r w:rsidR="000D2188">
              <w:rPr>
                <w:noProof/>
                <w:webHidden/>
              </w:rPr>
              <w:fldChar w:fldCharType="separate"/>
            </w:r>
            <w:r w:rsidR="000D2188">
              <w:rPr>
                <w:noProof/>
                <w:webHidden/>
              </w:rPr>
              <w:t>8</w:t>
            </w:r>
            <w:r w:rsidR="000D2188">
              <w:rPr>
                <w:noProof/>
                <w:webHidden/>
              </w:rPr>
              <w:fldChar w:fldCharType="end"/>
            </w:r>
          </w:hyperlink>
        </w:p>
        <w:p w14:paraId="174371EF" w14:textId="66475D80" w:rsidR="000D2188" w:rsidRDefault="005871E3">
          <w:pPr>
            <w:pStyle w:val="TOC2"/>
            <w:rPr>
              <w:rFonts w:eastAsiaTheme="minorEastAsia" w:cstheme="minorBidi"/>
              <w:i w:val="0"/>
              <w:iCs w:val="0"/>
              <w:noProof/>
              <w:sz w:val="22"/>
              <w:szCs w:val="22"/>
            </w:rPr>
          </w:pPr>
          <w:hyperlink w:anchor="_Toc157587876" w:history="1">
            <w:r w:rsidR="000D2188" w:rsidRPr="006963E2">
              <w:rPr>
                <w:rStyle w:val="Hyperlink"/>
                <w:noProof/>
              </w:rPr>
              <w:t>4.4.</w:t>
            </w:r>
            <w:r w:rsidR="000D2188">
              <w:rPr>
                <w:rFonts w:eastAsiaTheme="minorEastAsia" w:cstheme="minorBidi"/>
                <w:i w:val="0"/>
                <w:iCs w:val="0"/>
                <w:noProof/>
                <w:sz w:val="22"/>
                <w:szCs w:val="22"/>
              </w:rPr>
              <w:tab/>
            </w:r>
            <w:r w:rsidR="000D2188" w:rsidRPr="006963E2">
              <w:rPr>
                <w:rStyle w:val="Hyperlink"/>
                <w:noProof/>
              </w:rPr>
              <w:t>Compliance Improvement Plans</w:t>
            </w:r>
            <w:r w:rsidR="000D2188">
              <w:rPr>
                <w:noProof/>
                <w:webHidden/>
              </w:rPr>
              <w:tab/>
            </w:r>
            <w:r w:rsidR="000D2188">
              <w:rPr>
                <w:noProof/>
                <w:webHidden/>
              </w:rPr>
              <w:fldChar w:fldCharType="begin"/>
            </w:r>
            <w:r w:rsidR="000D2188">
              <w:rPr>
                <w:noProof/>
                <w:webHidden/>
              </w:rPr>
              <w:instrText xml:space="preserve"> PAGEREF _Toc157587876 \h </w:instrText>
            </w:r>
            <w:r w:rsidR="000D2188">
              <w:rPr>
                <w:noProof/>
                <w:webHidden/>
              </w:rPr>
            </w:r>
            <w:r w:rsidR="000D2188">
              <w:rPr>
                <w:noProof/>
                <w:webHidden/>
              </w:rPr>
              <w:fldChar w:fldCharType="separate"/>
            </w:r>
            <w:r w:rsidR="000D2188">
              <w:rPr>
                <w:noProof/>
                <w:webHidden/>
              </w:rPr>
              <w:t>8</w:t>
            </w:r>
            <w:r w:rsidR="000D2188">
              <w:rPr>
                <w:noProof/>
                <w:webHidden/>
              </w:rPr>
              <w:fldChar w:fldCharType="end"/>
            </w:r>
          </w:hyperlink>
        </w:p>
        <w:p w14:paraId="1176ABD4" w14:textId="5F499EFB" w:rsidR="000D2188" w:rsidRDefault="005871E3">
          <w:pPr>
            <w:pStyle w:val="TOC2"/>
            <w:rPr>
              <w:rFonts w:eastAsiaTheme="minorEastAsia" w:cstheme="minorBidi"/>
              <w:i w:val="0"/>
              <w:iCs w:val="0"/>
              <w:noProof/>
              <w:sz w:val="22"/>
              <w:szCs w:val="22"/>
            </w:rPr>
          </w:pPr>
          <w:hyperlink w:anchor="_Toc157587877" w:history="1">
            <w:r w:rsidR="000D2188" w:rsidRPr="006963E2">
              <w:rPr>
                <w:rStyle w:val="Hyperlink"/>
                <w:noProof/>
              </w:rPr>
              <w:t>4.5.</w:t>
            </w:r>
            <w:r w:rsidR="000D2188">
              <w:rPr>
                <w:rFonts w:eastAsiaTheme="minorEastAsia" w:cstheme="minorBidi"/>
                <w:i w:val="0"/>
                <w:iCs w:val="0"/>
                <w:noProof/>
                <w:sz w:val="22"/>
                <w:szCs w:val="22"/>
              </w:rPr>
              <w:tab/>
            </w:r>
            <w:r w:rsidR="000D2188" w:rsidRPr="006963E2">
              <w:rPr>
                <w:rStyle w:val="Hyperlink"/>
                <w:noProof/>
              </w:rPr>
              <w:t>DES Payment Assurance Program results finalised in the rating period</w:t>
            </w:r>
            <w:r w:rsidR="000D2188">
              <w:rPr>
                <w:noProof/>
                <w:webHidden/>
              </w:rPr>
              <w:tab/>
            </w:r>
            <w:r w:rsidR="000D2188">
              <w:rPr>
                <w:noProof/>
                <w:webHidden/>
              </w:rPr>
              <w:fldChar w:fldCharType="begin"/>
            </w:r>
            <w:r w:rsidR="000D2188">
              <w:rPr>
                <w:noProof/>
                <w:webHidden/>
              </w:rPr>
              <w:instrText xml:space="preserve"> PAGEREF _Toc157587877 \h </w:instrText>
            </w:r>
            <w:r w:rsidR="000D2188">
              <w:rPr>
                <w:noProof/>
                <w:webHidden/>
              </w:rPr>
            </w:r>
            <w:r w:rsidR="000D2188">
              <w:rPr>
                <w:noProof/>
                <w:webHidden/>
              </w:rPr>
              <w:fldChar w:fldCharType="separate"/>
            </w:r>
            <w:r w:rsidR="000D2188">
              <w:rPr>
                <w:noProof/>
                <w:webHidden/>
              </w:rPr>
              <w:t>9</w:t>
            </w:r>
            <w:r w:rsidR="000D2188">
              <w:rPr>
                <w:noProof/>
                <w:webHidden/>
              </w:rPr>
              <w:fldChar w:fldCharType="end"/>
            </w:r>
          </w:hyperlink>
        </w:p>
        <w:p w14:paraId="10AA9ADE" w14:textId="27B863ED" w:rsidR="000D2188" w:rsidRDefault="005871E3">
          <w:pPr>
            <w:pStyle w:val="TOC2"/>
            <w:rPr>
              <w:rFonts w:eastAsiaTheme="minorEastAsia" w:cstheme="minorBidi"/>
              <w:i w:val="0"/>
              <w:iCs w:val="0"/>
              <w:noProof/>
              <w:sz w:val="22"/>
              <w:szCs w:val="22"/>
            </w:rPr>
          </w:pPr>
          <w:hyperlink w:anchor="_Toc157587878" w:history="1">
            <w:r w:rsidR="000D2188" w:rsidRPr="006963E2">
              <w:rPr>
                <w:rStyle w:val="Hyperlink"/>
                <w:noProof/>
              </w:rPr>
              <w:t>4.6.</w:t>
            </w:r>
            <w:r w:rsidR="000D2188">
              <w:rPr>
                <w:rFonts w:eastAsiaTheme="minorEastAsia" w:cstheme="minorBidi"/>
                <w:i w:val="0"/>
                <w:iCs w:val="0"/>
                <w:noProof/>
                <w:sz w:val="22"/>
                <w:szCs w:val="22"/>
              </w:rPr>
              <w:tab/>
            </w:r>
            <w:r w:rsidR="000D2188" w:rsidRPr="006963E2">
              <w:rPr>
                <w:rStyle w:val="Hyperlink"/>
                <w:noProof/>
              </w:rPr>
              <w:t>Incident reporting and management</w:t>
            </w:r>
            <w:r w:rsidR="000D2188">
              <w:rPr>
                <w:noProof/>
                <w:webHidden/>
              </w:rPr>
              <w:tab/>
            </w:r>
            <w:r w:rsidR="000D2188">
              <w:rPr>
                <w:noProof/>
                <w:webHidden/>
              </w:rPr>
              <w:fldChar w:fldCharType="begin"/>
            </w:r>
            <w:r w:rsidR="000D2188">
              <w:rPr>
                <w:noProof/>
                <w:webHidden/>
              </w:rPr>
              <w:instrText xml:space="preserve"> PAGEREF _Toc157587878 \h </w:instrText>
            </w:r>
            <w:r w:rsidR="000D2188">
              <w:rPr>
                <w:noProof/>
                <w:webHidden/>
              </w:rPr>
            </w:r>
            <w:r w:rsidR="000D2188">
              <w:rPr>
                <w:noProof/>
                <w:webHidden/>
              </w:rPr>
              <w:fldChar w:fldCharType="separate"/>
            </w:r>
            <w:r w:rsidR="000D2188">
              <w:rPr>
                <w:noProof/>
                <w:webHidden/>
              </w:rPr>
              <w:t>9</w:t>
            </w:r>
            <w:r w:rsidR="000D2188">
              <w:rPr>
                <w:noProof/>
                <w:webHidden/>
              </w:rPr>
              <w:fldChar w:fldCharType="end"/>
            </w:r>
          </w:hyperlink>
        </w:p>
        <w:p w14:paraId="7C03E89F" w14:textId="1A8545EE" w:rsidR="000D2188" w:rsidRDefault="005871E3">
          <w:pPr>
            <w:pStyle w:val="TOC2"/>
            <w:rPr>
              <w:rFonts w:eastAsiaTheme="minorEastAsia" w:cstheme="minorBidi"/>
              <w:i w:val="0"/>
              <w:iCs w:val="0"/>
              <w:noProof/>
              <w:sz w:val="22"/>
              <w:szCs w:val="22"/>
            </w:rPr>
          </w:pPr>
          <w:hyperlink w:anchor="_Toc157587879" w:history="1">
            <w:r w:rsidR="000D2188" w:rsidRPr="006963E2">
              <w:rPr>
                <w:rStyle w:val="Hyperlink"/>
                <w:noProof/>
              </w:rPr>
              <w:t>4.7.</w:t>
            </w:r>
            <w:r w:rsidR="000D2188">
              <w:rPr>
                <w:rFonts w:eastAsiaTheme="minorEastAsia" w:cstheme="minorBidi"/>
                <w:i w:val="0"/>
                <w:iCs w:val="0"/>
                <w:noProof/>
                <w:sz w:val="22"/>
                <w:szCs w:val="22"/>
              </w:rPr>
              <w:tab/>
            </w:r>
            <w:r w:rsidR="000D2188" w:rsidRPr="006963E2">
              <w:rPr>
                <w:rStyle w:val="Hyperlink"/>
                <w:noProof/>
              </w:rPr>
              <w:t>Complaints management</w:t>
            </w:r>
            <w:r w:rsidR="000D2188">
              <w:rPr>
                <w:noProof/>
                <w:webHidden/>
              </w:rPr>
              <w:tab/>
            </w:r>
            <w:r w:rsidR="000D2188">
              <w:rPr>
                <w:noProof/>
                <w:webHidden/>
              </w:rPr>
              <w:fldChar w:fldCharType="begin"/>
            </w:r>
            <w:r w:rsidR="000D2188">
              <w:rPr>
                <w:noProof/>
                <w:webHidden/>
              </w:rPr>
              <w:instrText xml:space="preserve"> PAGEREF _Toc157587879 \h </w:instrText>
            </w:r>
            <w:r w:rsidR="000D2188">
              <w:rPr>
                <w:noProof/>
                <w:webHidden/>
              </w:rPr>
            </w:r>
            <w:r w:rsidR="000D2188">
              <w:rPr>
                <w:noProof/>
                <w:webHidden/>
              </w:rPr>
              <w:fldChar w:fldCharType="separate"/>
            </w:r>
            <w:r w:rsidR="000D2188">
              <w:rPr>
                <w:noProof/>
                <w:webHidden/>
              </w:rPr>
              <w:t>10</w:t>
            </w:r>
            <w:r w:rsidR="000D2188">
              <w:rPr>
                <w:noProof/>
                <w:webHidden/>
              </w:rPr>
              <w:fldChar w:fldCharType="end"/>
            </w:r>
          </w:hyperlink>
        </w:p>
        <w:p w14:paraId="3D0021E2" w14:textId="5C4BE6C9" w:rsidR="000D2188" w:rsidRDefault="005871E3">
          <w:pPr>
            <w:pStyle w:val="TOC1"/>
            <w:rPr>
              <w:rFonts w:eastAsiaTheme="minorEastAsia" w:cstheme="minorBidi"/>
              <w:b w:val="0"/>
              <w:bCs w:val="0"/>
              <w:noProof/>
              <w:sz w:val="22"/>
              <w:szCs w:val="22"/>
            </w:rPr>
          </w:pPr>
          <w:hyperlink w:anchor="_Toc157587880" w:history="1">
            <w:r w:rsidR="000D2188" w:rsidRPr="006963E2">
              <w:rPr>
                <w:rStyle w:val="Hyperlink"/>
                <w:noProof/>
                <w:lang w:eastAsia="en-US"/>
              </w:rPr>
              <w:t>Attachment A: DES Quality Framework - Assessment Rubric</w:t>
            </w:r>
            <w:r w:rsidR="000D2188">
              <w:rPr>
                <w:noProof/>
                <w:webHidden/>
              </w:rPr>
              <w:tab/>
            </w:r>
            <w:r w:rsidR="000D2188">
              <w:rPr>
                <w:noProof/>
                <w:webHidden/>
              </w:rPr>
              <w:fldChar w:fldCharType="begin"/>
            </w:r>
            <w:r w:rsidR="000D2188">
              <w:rPr>
                <w:noProof/>
                <w:webHidden/>
              </w:rPr>
              <w:instrText xml:space="preserve"> PAGEREF _Toc157587880 \h </w:instrText>
            </w:r>
            <w:r w:rsidR="000D2188">
              <w:rPr>
                <w:noProof/>
                <w:webHidden/>
              </w:rPr>
            </w:r>
            <w:r w:rsidR="000D2188">
              <w:rPr>
                <w:noProof/>
                <w:webHidden/>
              </w:rPr>
              <w:fldChar w:fldCharType="separate"/>
            </w:r>
            <w:r w:rsidR="000D2188">
              <w:rPr>
                <w:noProof/>
                <w:webHidden/>
              </w:rPr>
              <w:t>11</w:t>
            </w:r>
            <w:r w:rsidR="000D2188">
              <w:rPr>
                <w:noProof/>
                <w:webHidden/>
              </w:rPr>
              <w:fldChar w:fldCharType="end"/>
            </w:r>
          </w:hyperlink>
        </w:p>
        <w:p w14:paraId="4920BA56" w14:textId="03D1F94C" w:rsidR="000D2188" w:rsidRDefault="005871E3">
          <w:pPr>
            <w:pStyle w:val="TOC1"/>
            <w:rPr>
              <w:rFonts w:eastAsiaTheme="minorEastAsia" w:cstheme="minorBidi"/>
              <w:b w:val="0"/>
              <w:bCs w:val="0"/>
              <w:noProof/>
              <w:sz w:val="22"/>
              <w:szCs w:val="22"/>
            </w:rPr>
          </w:pPr>
          <w:hyperlink w:anchor="_Toc157587881" w:history="1">
            <w:r w:rsidR="000D2188" w:rsidRPr="006963E2">
              <w:rPr>
                <w:rStyle w:val="Hyperlink"/>
                <w:noProof/>
                <w:lang w:eastAsia="en-US"/>
              </w:rPr>
              <w:t>Attachment B: DES Quality Framework – Understanding Quality Assessment – (Element 2)</w:t>
            </w:r>
            <w:r w:rsidR="000D2188">
              <w:rPr>
                <w:noProof/>
                <w:webHidden/>
              </w:rPr>
              <w:tab/>
            </w:r>
            <w:r w:rsidR="000D2188">
              <w:rPr>
                <w:noProof/>
                <w:webHidden/>
              </w:rPr>
              <w:fldChar w:fldCharType="begin"/>
            </w:r>
            <w:r w:rsidR="000D2188">
              <w:rPr>
                <w:noProof/>
                <w:webHidden/>
              </w:rPr>
              <w:instrText xml:space="preserve"> PAGEREF _Toc157587881 \h </w:instrText>
            </w:r>
            <w:r w:rsidR="000D2188">
              <w:rPr>
                <w:noProof/>
                <w:webHidden/>
              </w:rPr>
            </w:r>
            <w:r w:rsidR="000D2188">
              <w:rPr>
                <w:noProof/>
                <w:webHidden/>
              </w:rPr>
              <w:fldChar w:fldCharType="separate"/>
            </w:r>
            <w:r w:rsidR="000D2188">
              <w:rPr>
                <w:noProof/>
                <w:webHidden/>
              </w:rPr>
              <w:t>14</w:t>
            </w:r>
            <w:r w:rsidR="000D2188">
              <w:rPr>
                <w:noProof/>
                <w:webHidden/>
              </w:rPr>
              <w:fldChar w:fldCharType="end"/>
            </w:r>
          </w:hyperlink>
        </w:p>
        <w:p w14:paraId="079949EA" w14:textId="12DB38A6" w:rsidR="000D2188" w:rsidRDefault="005871E3">
          <w:pPr>
            <w:pStyle w:val="TOC1"/>
            <w:rPr>
              <w:rFonts w:eastAsiaTheme="minorEastAsia" w:cstheme="minorBidi"/>
              <w:b w:val="0"/>
              <w:bCs w:val="0"/>
              <w:noProof/>
              <w:sz w:val="22"/>
              <w:szCs w:val="22"/>
            </w:rPr>
          </w:pPr>
          <w:hyperlink w:anchor="_Toc157587882" w:history="1">
            <w:r w:rsidR="000D2188" w:rsidRPr="006963E2">
              <w:rPr>
                <w:rStyle w:val="Hyperlink"/>
                <w:i/>
                <w:noProof/>
              </w:rPr>
              <w:t>Annexure 1: Glossary of Definitions</w:t>
            </w:r>
            <w:r w:rsidR="000D2188">
              <w:rPr>
                <w:noProof/>
                <w:webHidden/>
              </w:rPr>
              <w:tab/>
            </w:r>
            <w:r w:rsidR="000D2188">
              <w:rPr>
                <w:noProof/>
                <w:webHidden/>
              </w:rPr>
              <w:fldChar w:fldCharType="begin"/>
            </w:r>
            <w:r w:rsidR="000D2188">
              <w:rPr>
                <w:noProof/>
                <w:webHidden/>
              </w:rPr>
              <w:instrText xml:space="preserve"> PAGEREF _Toc157587882 \h </w:instrText>
            </w:r>
            <w:r w:rsidR="000D2188">
              <w:rPr>
                <w:noProof/>
                <w:webHidden/>
              </w:rPr>
            </w:r>
            <w:r w:rsidR="000D2188">
              <w:rPr>
                <w:noProof/>
                <w:webHidden/>
              </w:rPr>
              <w:fldChar w:fldCharType="separate"/>
            </w:r>
            <w:r w:rsidR="000D2188">
              <w:rPr>
                <w:noProof/>
                <w:webHidden/>
              </w:rPr>
              <w:t>20</w:t>
            </w:r>
            <w:r w:rsidR="000D2188">
              <w:rPr>
                <w:noProof/>
                <w:webHidden/>
              </w:rPr>
              <w:fldChar w:fldCharType="end"/>
            </w:r>
          </w:hyperlink>
        </w:p>
        <w:p w14:paraId="6E3DA6DD" w14:textId="67037F94" w:rsidR="00E341A6" w:rsidRPr="00314E60" w:rsidRDefault="009B4050" w:rsidP="00055246">
          <w:pPr>
            <w:spacing w:line="276" w:lineRule="auto"/>
            <w:rPr>
              <w:rFonts w:asciiTheme="minorHAnsi" w:hAnsiTheme="minorHAnsi" w:cstheme="minorHAnsi"/>
            </w:rPr>
          </w:pPr>
          <w:r w:rsidRPr="00314E60">
            <w:rPr>
              <w:rFonts w:asciiTheme="minorHAnsi" w:hAnsiTheme="minorHAnsi" w:cstheme="minorHAnsi"/>
              <w:sz w:val="20"/>
              <w:szCs w:val="20"/>
            </w:rPr>
            <w:fldChar w:fldCharType="end"/>
          </w:r>
        </w:p>
      </w:sdtContent>
    </w:sdt>
    <w:p w14:paraId="521902E4" w14:textId="1CE88E66" w:rsidR="00E12248" w:rsidRDefault="00E12248" w:rsidP="00055246">
      <w:pPr>
        <w:spacing w:line="276" w:lineRule="auto"/>
        <w:rPr>
          <w:rFonts w:asciiTheme="minorHAnsi" w:hAnsiTheme="minorHAnsi" w:cstheme="minorHAnsi"/>
          <w:b/>
          <w:szCs w:val="22"/>
        </w:rPr>
      </w:pPr>
    </w:p>
    <w:p w14:paraId="5C79911A" w14:textId="77777777" w:rsidR="00672C1B" w:rsidRDefault="00672C1B" w:rsidP="00055246">
      <w:pPr>
        <w:spacing w:line="276" w:lineRule="auto"/>
        <w:rPr>
          <w:rFonts w:asciiTheme="minorHAnsi" w:hAnsiTheme="minorHAnsi" w:cstheme="minorHAnsi"/>
          <w:b/>
          <w:sz w:val="28"/>
          <w:szCs w:val="28"/>
        </w:rPr>
      </w:pPr>
    </w:p>
    <w:p w14:paraId="4032BA71" w14:textId="77777777" w:rsidR="00672C1B" w:rsidRDefault="00672C1B" w:rsidP="00055246">
      <w:pPr>
        <w:spacing w:line="276" w:lineRule="auto"/>
        <w:rPr>
          <w:rFonts w:asciiTheme="minorHAnsi" w:hAnsiTheme="minorHAnsi" w:cstheme="minorHAnsi"/>
          <w:b/>
          <w:sz w:val="28"/>
          <w:szCs w:val="28"/>
        </w:rPr>
      </w:pPr>
    </w:p>
    <w:p w14:paraId="77BDA8E7" w14:textId="77777777" w:rsidR="00672C1B" w:rsidRDefault="00672C1B" w:rsidP="00055246">
      <w:pPr>
        <w:spacing w:line="276" w:lineRule="auto"/>
        <w:rPr>
          <w:rFonts w:asciiTheme="minorHAnsi" w:hAnsiTheme="minorHAnsi" w:cstheme="minorHAnsi"/>
          <w:b/>
          <w:sz w:val="28"/>
          <w:szCs w:val="28"/>
        </w:rPr>
      </w:pPr>
    </w:p>
    <w:p w14:paraId="6CA2E4DA" w14:textId="737C044B" w:rsidR="00067E57" w:rsidRPr="00055246" w:rsidRDefault="00786CE2" w:rsidP="00055246">
      <w:pPr>
        <w:spacing w:line="276" w:lineRule="auto"/>
        <w:rPr>
          <w:rFonts w:asciiTheme="minorHAnsi" w:hAnsiTheme="minorHAnsi" w:cstheme="minorHAnsi"/>
          <w:b/>
          <w:sz w:val="28"/>
          <w:szCs w:val="28"/>
        </w:rPr>
      </w:pPr>
      <w:r>
        <w:rPr>
          <w:rFonts w:asciiTheme="minorHAnsi" w:hAnsiTheme="minorHAnsi" w:cstheme="minorHAnsi"/>
          <w:b/>
          <w:sz w:val="28"/>
          <w:szCs w:val="28"/>
        </w:rPr>
        <w:t>E</w:t>
      </w:r>
      <w:r w:rsidR="00067E57" w:rsidRPr="00055246">
        <w:rPr>
          <w:rFonts w:asciiTheme="minorHAnsi" w:hAnsiTheme="minorHAnsi" w:cstheme="minorHAnsi"/>
          <w:b/>
          <w:sz w:val="28"/>
          <w:szCs w:val="28"/>
        </w:rPr>
        <w:t>xplanatory Note:</w:t>
      </w:r>
    </w:p>
    <w:p w14:paraId="1D6F5CAF" w14:textId="0E2298E3" w:rsidR="00F13CC8" w:rsidRDefault="00067E57" w:rsidP="00055246">
      <w:pPr>
        <w:spacing w:line="276" w:lineRule="auto"/>
        <w:rPr>
          <w:rFonts w:asciiTheme="minorHAnsi" w:hAnsiTheme="minorHAnsi" w:cstheme="minorHAnsi"/>
          <w:szCs w:val="22"/>
        </w:rPr>
      </w:pPr>
      <w:r w:rsidRPr="00314E60">
        <w:rPr>
          <w:rFonts w:asciiTheme="minorHAnsi" w:hAnsiTheme="minorHAnsi" w:cstheme="minorHAnsi"/>
          <w:szCs w:val="22"/>
        </w:rPr>
        <w:t xml:space="preserve">In this document, “must” means that compliance is mandatory and “should” means that compliance represents best practice. References to ‘the </w:t>
      </w:r>
      <w:r w:rsidR="00200ACD">
        <w:rPr>
          <w:rFonts w:asciiTheme="minorHAnsi" w:hAnsiTheme="minorHAnsi" w:cstheme="minorHAnsi"/>
          <w:szCs w:val="22"/>
        </w:rPr>
        <w:t>d</w:t>
      </w:r>
      <w:r w:rsidRPr="00314E60">
        <w:rPr>
          <w:rFonts w:asciiTheme="minorHAnsi" w:hAnsiTheme="minorHAnsi" w:cstheme="minorHAnsi"/>
          <w:szCs w:val="22"/>
        </w:rPr>
        <w:t xml:space="preserve">epartment’ in these Guidelines refer to the Department of Social Services. </w:t>
      </w:r>
      <w:bookmarkStart w:id="14" w:name="_Toc227571645"/>
      <w:bookmarkStart w:id="15" w:name="_Toc495402560"/>
    </w:p>
    <w:p w14:paraId="5838549B" w14:textId="77777777" w:rsidR="00786CE2" w:rsidRDefault="00786CE2" w:rsidP="00055246">
      <w:pPr>
        <w:spacing w:line="276" w:lineRule="auto"/>
        <w:rPr>
          <w:rFonts w:asciiTheme="minorHAnsi" w:hAnsiTheme="minorHAnsi" w:cstheme="minorHAnsi"/>
          <w:b/>
          <w:sz w:val="28"/>
          <w:szCs w:val="28"/>
        </w:rPr>
      </w:pPr>
    </w:p>
    <w:p w14:paraId="5F610C28" w14:textId="46E8C107" w:rsidR="007073F5" w:rsidRPr="00055246" w:rsidRDefault="007073F5" w:rsidP="00055246">
      <w:pPr>
        <w:spacing w:line="276" w:lineRule="auto"/>
        <w:rPr>
          <w:rFonts w:asciiTheme="minorHAnsi" w:hAnsiTheme="minorHAnsi" w:cstheme="minorHAnsi"/>
          <w:b/>
          <w:sz w:val="28"/>
          <w:szCs w:val="28"/>
        </w:rPr>
      </w:pPr>
      <w:r w:rsidRPr="00055246">
        <w:rPr>
          <w:rFonts w:asciiTheme="minorHAnsi" w:hAnsiTheme="minorHAnsi" w:cstheme="minorHAnsi"/>
          <w:b/>
          <w:sz w:val="28"/>
          <w:szCs w:val="28"/>
        </w:rPr>
        <w:t>Document Change History</w:t>
      </w:r>
      <w:bookmarkEnd w:id="14"/>
      <w:bookmarkEnd w:id="1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367"/>
        <w:gridCol w:w="1560"/>
        <w:gridCol w:w="4110"/>
      </w:tblGrid>
      <w:tr w:rsidR="003F4C74" w:rsidRPr="00314E60" w14:paraId="1E81225B" w14:textId="77777777" w:rsidTr="00B27A65">
        <w:trPr>
          <w:cantSplit/>
          <w:tblHeader/>
        </w:trPr>
        <w:tc>
          <w:tcPr>
            <w:tcW w:w="1035" w:type="dxa"/>
            <w:shd w:val="clear" w:color="auto" w:fill="auto"/>
          </w:tcPr>
          <w:p w14:paraId="291C557E" w14:textId="77777777" w:rsidR="003F4C74" w:rsidRPr="00314E60" w:rsidRDefault="003F4C74" w:rsidP="00055246">
            <w:pPr>
              <w:pStyle w:val="TableHeading"/>
              <w:spacing w:line="276" w:lineRule="auto"/>
              <w:rPr>
                <w:rFonts w:asciiTheme="minorHAnsi" w:hAnsiTheme="minorHAnsi" w:cstheme="minorHAnsi"/>
                <w:color w:val="auto"/>
                <w:szCs w:val="22"/>
              </w:rPr>
            </w:pPr>
            <w:r w:rsidRPr="00314E60">
              <w:rPr>
                <w:rFonts w:asciiTheme="minorHAnsi" w:hAnsiTheme="minorHAnsi" w:cstheme="minorHAnsi"/>
                <w:color w:val="auto"/>
                <w:szCs w:val="22"/>
              </w:rPr>
              <w:t>Version</w:t>
            </w:r>
          </w:p>
        </w:tc>
        <w:tc>
          <w:tcPr>
            <w:tcW w:w="2367" w:type="dxa"/>
            <w:shd w:val="clear" w:color="auto" w:fill="auto"/>
          </w:tcPr>
          <w:p w14:paraId="3F087906" w14:textId="77777777" w:rsidR="003F4C74" w:rsidRPr="00314E60" w:rsidRDefault="003F4C74" w:rsidP="00055246">
            <w:pPr>
              <w:pStyle w:val="TableHeading"/>
              <w:spacing w:line="276" w:lineRule="auto"/>
              <w:rPr>
                <w:rFonts w:asciiTheme="minorHAnsi" w:hAnsiTheme="minorHAnsi" w:cstheme="minorHAnsi"/>
                <w:color w:val="auto"/>
                <w:szCs w:val="22"/>
              </w:rPr>
            </w:pPr>
            <w:r w:rsidRPr="00314E60">
              <w:rPr>
                <w:rFonts w:asciiTheme="minorHAnsi" w:hAnsiTheme="minorHAnsi" w:cstheme="minorHAnsi"/>
                <w:color w:val="auto"/>
                <w:szCs w:val="22"/>
              </w:rPr>
              <w:t>Effective Date</w:t>
            </w:r>
          </w:p>
        </w:tc>
        <w:tc>
          <w:tcPr>
            <w:tcW w:w="1560" w:type="dxa"/>
            <w:shd w:val="clear" w:color="auto" w:fill="auto"/>
          </w:tcPr>
          <w:p w14:paraId="4317A223" w14:textId="77777777" w:rsidR="003F4C74" w:rsidRPr="00314E60" w:rsidRDefault="003F4C74" w:rsidP="00055246">
            <w:pPr>
              <w:pStyle w:val="TableHeading"/>
              <w:spacing w:line="276" w:lineRule="auto"/>
              <w:rPr>
                <w:rFonts w:asciiTheme="minorHAnsi" w:hAnsiTheme="minorHAnsi" w:cstheme="minorHAnsi"/>
                <w:color w:val="auto"/>
                <w:szCs w:val="22"/>
              </w:rPr>
            </w:pPr>
            <w:r w:rsidRPr="00314E60">
              <w:rPr>
                <w:rFonts w:asciiTheme="minorHAnsi" w:hAnsiTheme="minorHAnsi" w:cstheme="minorHAnsi"/>
                <w:color w:val="auto"/>
                <w:szCs w:val="22"/>
              </w:rPr>
              <w:t>End Date</w:t>
            </w:r>
          </w:p>
        </w:tc>
        <w:tc>
          <w:tcPr>
            <w:tcW w:w="4110" w:type="dxa"/>
            <w:shd w:val="clear" w:color="auto" w:fill="auto"/>
          </w:tcPr>
          <w:p w14:paraId="7CB3F313" w14:textId="6B7AAE02" w:rsidR="003F4C74" w:rsidRPr="00314E60" w:rsidRDefault="003F4C74" w:rsidP="00FC6FBD">
            <w:pPr>
              <w:pStyle w:val="TableHeading"/>
              <w:spacing w:line="276" w:lineRule="auto"/>
              <w:rPr>
                <w:rFonts w:asciiTheme="minorHAnsi" w:hAnsiTheme="minorHAnsi" w:cstheme="minorHAnsi"/>
                <w:color w:val="auto"/>
                <w:szCs w:val="22"/>
              </w:rPr>
            </w:pPr>
            <w:r w:rsidRPr="00314E60">
              <w:rPr>
                <w:rFonts w:asciiTheme="minorHAnsi" w:hAnsiTheme="minorHAnsi" w:cstheme="minorHAnsi"/>
                <w:color w:val="auto"/>
                <w:szCs w:val="22"/>
              </w:rPr>
              <w:t xml:space="preserve">Change </w:t>
            </w:r>
          </w:p>
        </w:tc>
      </w:tr>
      <w:tr w:rsidR="00A33192" w:rsidRPr="00314E60" w14:paraId="1E713091" w14:textId="77777777" w:rsidTr="00B27A65">
        <w:trPr>
          <w:cantSplit/>
        </w:trPr>
        <w:tc>
          <w:tcPr>
            <w:tcW w:w="1035" w:type="dxa"/>
          </w:tcPr>
          <w:p w14:paraId="5B0FB9AD" w14:textId="77777777" w:rsidR="00A33192" w:rsidRPr="00314E60" w:rsidRDefault="00A33192" w:rsidP="00820CD3">
            <w:pPr>
              <w:spacing w:line="276" w:lineRule="auto"/>
              <w:jc w:val="center"/>
              <w:rPr>
                <w:rFonts w:asciiTheme="minorHAnsi" w:hAnsiTheme="minorHAnsi" w:cstheme="minorHAnsi"/>
                <w:szCs w:val="22"/>
              </w:rPr>
            </w:pPr>
            <w:r w:rsidRPr="00314E60">
              <w:rPr>
                <w:rFonts w:asciiTheme="minorHAnsi" w:hAnsiTheme="minorHAnsi" w:cstheme="minorHAnsi"/>
                <w:szCs w:val="22"/>
              </w:rPr>
              <w:t>1.0</w:t>
            </w:r>
          </w:p>
        </w:tc>
        <w:tc>
          <w:tcPr>
            <w:tcW w:w="2367" w:type="dxa"/>
          </w:tcPr>
          <w:p w14:paraId="0552F9AB" w14:textId="03718CA5" w:rsidR="00A33192" w:rsidRPr="00314E60" w:rsidRDefault="00A33192" w:rsidP="00820CD3">
            <w:pPr>
              <w:spacing w:line="276" w:lineRule="auto"/>
              <w:jc w:val="center"/>
              <w:rPr>
                <w:rFonts w:asciiTheme="minorHAnsi" w:hAnsiTheme="minorHAnsi" w:cstheme="minorHAnsi"/>
                <w:szCs w:val="22"/>
              </w:rPr>
            </w:pPr>
          </w:p>
        </w:tc>
        <w:tc>
          <w:tcPr>
            <w:tcW w:w="1560" w:type="dxa"/>
          </w:tcPr>
          <w:p w14:paraId="5B40C41A" w14:textId="488AC7CC" w:rsidR="00A33192" w:rsidRPr="00314E60" w:rsidRDefault="00A33192" w:rsidP="00820CD3">
            <w:pPr>
              <w:spacing w:line="276" w:lineRule="auto"/>
              <w:jc w:val="center"/>
              <w:rPr>
                <w:rFonts w:asciiTheme="minorHAnsi" w:hAnsiTheme="minorHAnsi" w:cstheme="minorHAnsi"/>
                <w:szCs w:val="22"/>
              </w:rPr>
            </w:pPr>
          </w:p>
        </w:tc>
        <w:tc>
          <w:tcPr>
            <w:tcW w:w="4110" w:type="dxa"/>
          </w:tcPr>
          <w:p w14:paraId="5EAFEF03" w14:textId="77777777" w:rsidR="00A33192" w:rsidRPr="00314E60" w:rsidRDefault="00A33192" w:rsidP="00820CD3">
            <w:pPr>
              <w:spacing w:line="276" w:lineRule="auto"/>
              <w:rPr>
                <w:rStyle w:val="Strong"/>
                <w:rFonts w:asciiTheme="minorHAnsi" w:hAnsiTheme="minorHAnsi" w:cstheme="minorHAnsi"/>
                <w:szCs w:val="22"/>
              </w:rPr>
            </w:pPr>
            <w:r w:rsidRPr="00314E60">
              <w:rPr>
                <w:rStyle w:val="Strong"/>
                <w:rFonts w:asciiTheme="minorHAnsi" w:hAnsiTheme="minorHAnsi" w:cstheme="minorHAnsi"/>
                <w:b w:val="0"/>
                <w:szCs w:val="22"/>
              </w:rPr>
              <w:t>Original version of document</w:t>
            </w:r>
          </w:p>
        </w:tc>
      </w:tr>
      <w:tr w:rsidR="00A61D82" w:rsidRPr="00314E60" w14:paraId="4DA1D547" w14:textId="77777777" w:rsidTr="00B27A65">
        <w:trPr>
          <w:cantSplit/>
        </w:trPr>
        <w:tc>
          <w:tcPr>
            <w:tcW w:w="1035" w:type="dxa"/>
          </w:tcPr>
          <w:p w14:paraId="4836B2BB" w14:textId="4195FABB" w:rsidR="00A61D82" w:rsidRPr="00314E60" w:rsidRDefault="00A61D82" w:rsidP="00820CD3">
            <w:pPr>
              <w:spacing w:line="276" w:lineRule="auto"/>
              <w:jc w:val="center"/>
              <w:rPr>
                <w:rFonts w:asciiTheme="minorHAnsi" w:hAnsiTheme="minorHAnsi" w:cstheme="minorHAnsi"/>
                <w:szCs w:val="22"/>
              </w:rPr>
            </w:pPr>
            <w:r>
              <w:rPr>
                <w:rFonts w:asciiTheme="minorHAnsi" w:hAnsiTheme="minorHAnsi" w:cstheme="minorHAnsi"/>
                <w:szCs w:val="22"/>
              </w:rPr>
              <w:t>1.1</w:t>
            </w:r>
          </w:p>
        </w:tc>
        <w:tc>
          <w:tcPr>
            <w:tcW w:w="2367" w:type="dxa"/>
          </w:tcPr>
          <w:p w14:paraId="757392E9" w14:textId="5C569451" w:rsidR="00A61D82" w:rsidRPr="00314E60" w:rsidRDefault="00B27A65" w:rsidP="00820CD3">
            <w:pPr>
              <w:spacing w:line="276" w:lineRule="auto"/>
              <w:jc w:val="center"/>
              <w:rPr>
                <w:rFonts w:asciiTheme="minorHAnsi" w:hAnsiTheme="minorHAnsi" w:cstheme="minorHAnsi"/>
                <w:szCs w:val="22"/>
              </w:rPr>
            </w:pPr>
            <w:r>
              <w:rPr>
                <w:rFonts w:asciiTheme="minorHAnsi" w:hAnsiTheme="minorHAnsi" w:cstheme="minorHAnsi"/>
                <w:szCs w:val="22"/>
              </w:rPr>
              <w:t xml:space="preserve">1 </w:t>
            </w:r>
            <w:r w:rsidR="00A61D82">
              <w:rPr>
                <w:rFonts w:asciiTheme="minorHAnsi" w:hAnsiTheme="minorHAnsi" w:cstheme="minorHAnsi"/>
                <w:szCs w:val="22"/>
              </w:rPr>
              <w:t>January 2024</w:t>
            </w:r>
          </w:p>
        </w:tc>
        <w:tc>
          <w:tcPr>
            <w:tcW w:w="1560" w:type="dxa"/>
          </w:tcPr>
          <w:p w14:paraId="6DD7F2D2" w14:textId="77777777" w:rsidR="00A61D82" w:rsidRPr="00314E60" w:rsidRDefault="00A61D82" w:rsidP="00820CD3">
            <w:pPr>
              <w:spacing w:line="276" w:lineRule="auto"/>
              <w:jc w:val="center"/>
              <w:rPr>
                <w:rFonts w:asciiTheme="minorHAnsi" w:hAnsiTheme="minorHAnsi" w:cstheme="minorHAnsi"/>
                <w:szCs w:val="22"/>
              </w:rPr>
            </w:pPr>
          </w:p>
        </w:tc>
        <w:tc>
          <w:tcPr>
            <w:tcW w:w="4110" w:type="dxa"/>
          </w:tcPr>
          <w:p w14:paraId="108B5E00" w14:textId="7B1A5EC9" w:rsidR="00FC6FBD" w:rsidRPr="00314E60" w:rsidRDefault="00FC6FBD" w:rsidP="00FC6FBD">
            <w:pPr>
              <w:spacing w:line="276" w:lineRule="auto"/>
              <w:rPr>
                <w:rStyle w:val="Strong"/>
                <w:rFonts w:asciiTheme="minorHAnsi" w:hAnsiTheme="minorHAnsi" w:cstheme="minorHAnsi"/>
                <w:b w:val="0"/>
                <w:szCs w:val="22"/>
              </w:rPr>
            </w:pPr>
            <w:r>
              <w:rPr>
                <w:rStyle w:val="Strong"/>
                <w:rFonts w:asciiTheme="minorHAnsi" w:hAnsiTheme="minorHAnsi" w:cstheme="minorHAnsi"/>
                <w:b w:val="0"/>
                <w:szCs w:val="22"/>
              </w:rPr>
              <w:t>Minor terminology and grammar u</w:t>
            </w:r>
            <w:r w:rsidR="00A61D82">
              <w:rPr>
                <w:rStyle w:val="Strong"/>
                <w:rFonts w:asciiTheme="minorHAnsi" w:hAnsiTheme="minorHAnsi" w:cstheme="minorHAnsi"/>
                <w:b w:val="0"/>
                <w:szCs w:val="22"/>
              </w:rPr>
              <w:t xml:space="preserve">pdates </w:t>
            </w:r>
            <w:r>
              <w:rPr>
                <w:rStyle w:val="Strong"/>
                <w:rFonts w:asciiTheme="minorHAnsi" w:hAnsiTheme="minorHAnsi" w:cstheme="minorHAnsi"/>
                <w:b w:val="0"/>
                <w:szCs w:val="22"/>
              </w:rPr>
              <w:t xml:space="preserve">through out document. </w:t>
            </w:r>
          </w:p>
        </w:tc>
      </w:tr>
    </w:tbl>
    <w:p w14:paraId="075B833A" w14:textId="77777777" w:rsidR="002B7A8D" w:rsidRDefault="002B7A8D" w:rsidP="00820CD3">
      <w:pPr>
        <w:pStyle w:val="Heading1"/>
        <w:numPr>
          <w:ilvl w:val="0"/>
          <w:numId w:val="14"/>
        </w:numPr>
        <w:spacing w:line="276" w:lineRule="auto"/>
        <w:jc w:val="left"/>
        <w:rPr>
          <w:rFonts w:asciiTheme="minorHAnsi" w:hAnsiTheme="minorHAnsi" w:cstheme="minorHAnsi"/>
          <w:sz w:val="36"/>
        </w:rPr>
      </w:pPr>
      <w:bookmarkStart w:id="16" w:name="_Toc148977049"/>
      <w:bookmarkStart w:id="17" w:name="_Toc157587860"/>
      <w:r w:rsidRPr="00067E57">
        <w:rPr>
          <w:rFonts w:asciiTheme="minorHAnsi" w:hAnsiTheme="minorHAnsi" w:cstheme="minorHAnsi"/>
          <w:sz w:val="36"/>
        </w:rPr>
        <w:t>Introduction</w:t>
      </w:r>
      <w:bookmarkEnd w:id="16"/>
      <w:bookmarkEnd w:id="17"/>
      <w:r w:rsidRPr="00067E57">
        <w:rPr>
          <w:rFonts w:asciiTheme="minorHAnsi" w:hAnsiTheme="minorHAnsi" w:cstheme="minorHAnsi"/>
          <w:sz w:val="36"/>
        </w:rPr>
        <w:t xml:space="preserve"> </w:t>
      </w:r>
    </w:p>
    <w:p w14:paraId="04ABC650" w14:textId="04723510" w:rsidR="00053FAC" w:rsidRDefault="00053FAC" w:rsidP="00820CD3">
      <w:pPr>
        <w:pStyle w:val="Heading2"/>
        <w:numPr>
          <w:ilvl w:val="1"/>
          <w:numId w:val="14"/>
        </w:numPr>
        <w:spacing w:before="120" w:after="120" w:line="276" w:lineRule="auto"/>
        <w:rPr>
          <w:rFonts w:asciiTheme="minorHAnsi" w:hAnsiTheme="minorHAnsi" w:cstheme="minorHAnsi"/>
        </w:rPr>
      </w:pPr>
      <w:bookmarkStart w:id="18" w:name="_Toc157587861"/>
      <w:r>
        <w:rPr>
          <w:rFonts w:asciiTheme="minorHAnsi" w:hAnsiTheme="minorHAnsi" w:cstheme="minorHAnsi"/>
        </w:rPr>
        <w:t>Quality</w:t>
      </w:r>
      <w:bookmarkEnd w:id="18"/>
    </w:p>
    <w:p w14:paraId="350E2608" w14:textId="59B3ADF0" w:rsidR="00053FAC" w:rsidRDefault="00E7269F" w:rsidP="00820CD3">
      <w:pPr>
        <w:spacing w:line="276" w:lineRule="auto"/>
        <w:rPr>
          <w:rFonts w:asciiTheme="minorHAnsi" w:hAnsiTheme="minorHAnsi" w:cstheme="minorHAnsi"/>
        </w:rPr>
      </w:pPr>
      <w:bookmarkStart w:id="19" w:name="_Toc150266099"/>
      <w:bookmarkStart w:id="20" w:name="_Toc150338492"/>
      <w:bookmarkStart w:id="21" w:name="_Toc150266100"/>
      <w:bookmarkStart w:id="22" w:name="_Toc150338493"/>
      <w:bookmarkStart w:id="23" w:name="_Toc150266101"/>
      <w:bookmarkStart w:id="24" w:name="_Toc150338494"/>
      <w:bookmarkStart w:id="25" w:name="_Toc150266102"/>
      <w:bookmarkStart w:id="26" w:name="_Toc150338495"/>
      <w:bookmarkStart w:id="27" w:name="_Toc150266103"/>
      <w:bookmarkStart w:id="28" w:name="_Toc150338496"/>
      <w:bookmarkEnd w:id="19"/>
      <w:bookmarkEnd w:id="20"/>
      <w:bookmarkEnd w:id="21"/>
      <w:bookmarkEnd w:id="22"/>
      <w:bookmarkEnd w:id="23"/>
      <w:bookmarkEnd w:id="24"/>
      <w:bookmarkEnd w:id="25"/>
      <w:bookmarkEnd w:id="26"/>
      <w:bookmarkEnd w:id="27"/>
      <w:bookmarkEnd w:id="28"/>
      <w:r>
        <w:rPr>
          <w:rFonts w:asciiTheme="minorHAnsi" w:hAnsiTheme="minorHAnsi" w:cstheme="minorHAnsi"/>
        </w:rPr>
        <w:t xml:space="preserve">The purpose of the DES Quality Framework is to support the delivery of high quality individualised services that support participants towards sustained employment. </w:t>
      </w:r>
      <w:r w:rsidR="00053FAC" w:rsidRPr="00F74FCF">
        <w:rPr>
          <w:rFonts w:asciiTheme="minorHAnsi" w:hAnsiTheme="minorHAnsi" w:cstheme="minorHAnsi"/>
        </w:rPr>
        <w:t>T</w:t>
      </w:r>
      <w:r w:rsidR="0083595E">
        <w:rPr>
          <w:rFonts w:asciiTheme="minorHAnsi" w:hAnsiTheme="minorHAnsi" w:cstheme="minorHAnsi"/>
        </w:rPr>
        <w:t>hese</w:t>
      </w:r>
      <w:r w:rsidR="00053FAC" w:rsidRPr="00F74FCF">
        <w:rPr>
          <w:rFonts w:asciiTheme="minorHAnsi" w:hAnsiTheme="minorHAnsi" w:cstheme="minorHAnsi"/>
        </w:rPr>
        <w:t xml:space="preserve"> </w:t>
      </w:r>
      <w:r w:rsidR="00053FAC" w:rsidRPr="00586F79">
        <w:rPr>
          <w:rFonts w:asciiTheme="minorHAnsi" w:hAnsiTheme="minorHAnsi" w:cstheme="minorHAnsi"/>
        </w:rPr>
        <w:t>Guideline</w:t>
      </w:r>
      <w:r w:rsidR="0083595E" w:rsidRPr="00586F79">
        <w:rPr>
          <w:rFonts w:asciiTheme="minorHAnsi" w:hAnsiTheme="minorHAnsi" w:cstheme="minorHAnsi"/>
        </w:rPr>
        <w:t>s</w:t>
      </w:r>
      <w:r w:rsidR="001B6054" w:rsidRPr="00586F79">
        <w:rPr>
          <w:rFonts w:asciiTheme="minorHAnsi" w:hAnsiTheme="minorHAnsi" w:cstheme="minorHAnsi"/>
        </w:rPr>
        <w:t xml:space="preserve"> </w:t>
      </w:r>
      <w:r w:rsidR="00053FAC" w:rsidRPr="00586F79">
        <w:rPr>
          <w:rFonts w:asciiTheme="minorHAnsi" w:hAnsiTheme="minorHAnsi" w:cstheme="minorHAnsi"/>
        </w:rPr>
        <w:t>outline</w:t>
      </w:r>
      <w:r w:rsidR="0006174F" w:rsidRPr="00586F79">
        <w:rPr>
          <w:rFonts w:asciiTheme="minorHAnsi" w:hAnsiTheme="minorHAnsi" w:cstheme="minorHAnsi"/>
        </w:rPr>
        <w:t xml:space="preserve"> </w:t>
      </w:r>
      <w:r w:rsidR="00053FAC" w:rsidRPr="00586F79">
        <w:rPr>
          <w:rFonts w:asciiTheme="minorHAnsi" w:hAnsiTheme="minorHAnsi" w:cstheme="minorHAnsi"/>
        </w:rPr>
        <w:t>h</w:t>
      </w:r>
      <w:r w:rsidR="00053FAC" w:rsidRPr="00F74FCF">
        <w:rPr>
          <w:rFonts w:asciiTheme="minorHAnsi" w:hAnsiTheme="minorHAnsi" w:cstheme="minorHAnsi"/>
        </w:rPr>
        <w:t xml:space="preserve">ow the </w:t>
      </w:r>
      <w:r w:rsidR="00200ACD">
        <w:rPr>
          <w:rFonts w:asciiTheme="minorHAnsi" w:hAnsiTheme="minorHAnsi" w:cstheme="minorHAnsi"/>
        </w:rPr>
        <w:t>d</w:t>
      </w:r>
      <w:r w:rsidR="00053FAC" w:rsidRPr="00F74FCF">
        <w:rPr>
          <w:rFonts w:asciiTheme="minorHAnsi" w:hAnsiTheme="minorHAnsi" w:cstheme="minorHAnsi"/>
        </w:rPr>
        <w:t xml:space="preserve">epartment will monitor, measure and evaluate </w:t>
      </w:r>
      <w:r w:rsidR="00053FAC" w:rsidRPr="00053FAC">
        <w:rPr>
          <w:rFonts w:asciiTheme="minorHAnsi" w:hAnsiTheme="minorHAnsi" w:cstheme="minorHAnsi"/>
          <w:b/>
        </w:rPr>
        <w:t>KPI 3: Quality</w:t>
      </w:r>
      <w:r>
        <w:rPr>
          <w:rFonts w:asciiTheme="minorHAnsi" w:hAnsiTheme="minorHAnsi" w:cstheme="minorHAnsi"/>
        </w:rPr>
        <w:t xml:space="preserve"> and providers </w:t>
      </w:r>
      <w:r w:rsidR="008A7FC7">
        <w:rPr>
          <w:rFonts w:asciiTheme="minorHAnsi" w:hAnsiTheme="minorHAnsi" w:cstheme="minorHAnsi"/>
        </w:rPr>
        <w:t>role in en</w:t>
      </w:r>
      <w:r w:rsidR="009A7D79">
        <w:rPr>
          <w:rFonts w:asciiTheme="minorHAnsi" w:hAnsiTheme="minorHAnsi" w:cstheme="minorHAnsi"/>
        </w:rPr>
        <w:t>gaging in these processes</w:t>
      </w:r>
      <w:r w:rsidR="00053FAC">
        <w:rPr>
          <w:rFonts w:asciiTheme="minorHAnsi" w:hAnsiTheme="minorHAnsi" w:cstheme="minorHAnsi"/>
        </w:rPr>
        <w:t>.</w:t>
      </w:r>
    </w:p>
    <w:bookmarkStart w:id="29" w:name="_Toc150266104"/>
    <w:bookmarkStart w:id="30" w:name="_Toc150338497"/>
    <w:bookmarkEnd w:id="29"/>
    <w:bookmarkEnd w:id="30"/>
    <w:p w14:paraId="4869493E" w14:textId="6E34E936" w:rsidR="00067E57" w:rsidDel="00A223B1" w:rsidRDefault="0006174F" w:rsidP="00820CD3">
      <w:pPr>
        <w:spacing w:line="276" w:lineRule="auto"/>
        <w:rPr>
          <w:rFonts w:asciiTheme="minorHAnsi" w:hAnsiTheme="minorHAnsi" w:cstheme="minorHAnsi"/>
        </w:rPr>
      </w:pPr>
      <w:r w:rsidDel="00A223B1">
        <w:rPr>
          <w:rFonts w:asciiTheme="minorHAnsi" w:hAnsiTheme="minorHAnsi" w:cstheme="minorHAnsi"/>
          <w:noProof/>
        </w:rPr>
        <w:lastRenderedPageBreak/>
        <mc:AlternateContent>
          <mc:Choice Requires="wps">
            <w:drawing>
              <wp:inline distT="0" distB="0" distL="0" distR="0" wp14:anchorId="2EFC75FD" wp14:editId="3C435DC3">
                <wp:extent cx="6151880" cy="4216400"/>
                <wp:effectExtent l="0" t="0" r="20320" b="12700"/>
                <wp:docPr id="2" name="Text Box 2"/>
                <wp:cNvGraphicFramePr/>
                <a:graphic xmlns:a="http://schemas.openxmlformats.org/drawingml/2006/main">
                  <a:graphicData uri="http://schemas.microsoft.com/office/word/2010/wordprocessingShape">
                    <wps:wsp>
                      <wps:cNvSpPr txBox="1"/>
                      <wps:spPr>
                        <a:xfrm>
                          <a:off x="0" y="0"/>
                          <a:ext cx="6151880" cy="4216400"/>
                        </a:xfrm>
                        <a:prstGeom prst="rect">
                          <a:avLst/>
                        </a:prstGeom>
                        <a:solidFill>
                          <a:srgbClr val="4BACC6">
                            <a:lumMod val="20000"/>
                            <a:lumOff val="80000"/>
                          </a:srgbClr>
                        </a:solidFill>
                        <a:ln w="6350">
                          <a:solidFill>
                            <a:prstClr val="black"/>
                          </a:solidFill>
                        </a:ln>
                      </wps:spPr>
                      <wps:txbx>
                        <w:txbxContent>
                          <w:p w14:paraId="0B7C92F2" w14:textId="77777777" w:rsidR="000D2188" w:rsidRDefault="000D2188" w:rsidP="00067E57">
                            <w:pPr>
                              <w:shd w:val="clear" w:color="auto" w:fill="DAEEF3" w:themeFill="accent5" w:themeFillTint="33"/>
                              <w:rPr>
                                <w:rFonts w:asciiTheme="minorHAnsi" w:hAnsiTheme="minorHAnsi" w:cstheme="minorHAnsi"/>
                                <w:b/>
                                <w:i/>
                              </w:rPr>
                            </w:pPr>
                            <w:r w:rsidRPr="00A8661F">
                              <w:rPr>
                                <w:rFonts w:asciiTheme="minorHAnsi" w:hAnsiTheme="minorHAnsi" w:cstheme="minorHAnsi"/>
                                <w:b/>
                                <w:i/>
                              </w:rPr>
                              <w:t xml:space="preserve">DES Grant Agreement </w:t>
                            </w:r>
                            <w:r>
                              <w:rPr>
                                <w:rFonts w:asciiTheme="minorHAnsi" w:hAnsiTheme="minorHAnsi" w:cstheme="minorHAnsi"/>
                                <w:b/>
                                <w:i/>
                              </w:rPr>
                              <w:t xml:space="preserve">– important </w:t>
                            </w:r>
                            <w:r w:rsidRPr="00A8661F">
                              <w:rPr>
                                <w:rFonts w:asciiTheme="minorHAnsi" w:hAnsiTheme="minorHAnsi" w:cstheme="minorHAnsi"/>
                                <w:b/>
                                <w:i/>
                              </w:rPr>
                              <w:t>clauses:</w:t>
                            </w:r>
                          </w:p>
                          <w:p w14:paraId="451E0476" w14:textId="77777777" w:rsidR="000D2188" w:rsidRPr="00602684"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602684">
                              <w:rPr>
                                <w:rFonts w:asciiTheme="minorHAnsi" w:eastAsia="Calibri" w:hAnsiTheme="minorHAnsi" w:cstheme="minorHAnsi"/>
                                <w:i/>
                              </w:rPr>
                              <w:t>Section 2E Evaluation Activities</w:t>
                            </w:r>
                          </w:p>
                          <w:p w14:paraId="2B9E05B3"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Section 2F Customer and Provider feedback</w:t>
                            </w:r>
                          </w:p>
                          <w:p w14:paraId="1CFEE913" w14:textId="77777777"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 xml:space="preserve">Section 3C Control of Information, </w:t>
                            </w:r>
                          </w:p>
                          <w:p w14:paraId="29AFEA52" w14:textId="32F5DBD2" w:rsidR="000D2188" w:rsidRDefault="000D2188" w:rsidP="00D23286">
                            <w:pPr>
                              <w:pStyle w:val="ListParagraph"/>
                              <w:numPr>
                                <w:ilvl w:val="1"/>
                                <w:numId w:val="13"/>
                              </w:numPr>
                              <w:spacing w:before="60" w:after="0" w:line="276" w:lineRule="auto"/>
                              <w:contextualSpacing w:val="0"/>
                              <w:rPr>
                                <w:rFonts w:asciiTheme="minorHAnsi" w:eastAsia="Calibri" w:hAnsiTheme="minorHAnsi" w:cstheme="minorHAnsi"/>
                                <w:i/>
                              </w:rPr>
                            </w:pPr>
                            <w:r>
                              <w:rPr>
                                <w:rFonts w:asciiTheme="minorHAnsi" w:eastAsia="Calibri" w:hAnsiTheme="minorHAnsi" w:cstheme="minorHAnsi"/>
                                <w:i/>
                              </w:rPr>
                              <w:t>Clause 43 Release of information on provider’s performance</w:t>
                            </w:r>
                          </w:p>
                          <w:p w14:paraId="4BC8C42E" w14:textId="7225FC71"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Section 4D Other matters</w:t>
                            </w:r>
                          </w:p>
                          <w:p w14:paraId="684D6DE8" w14:textId="3267F868" w:rsidR="000D2188" w:rsidRDefault="000D2188" w:rsidP="00D23286">
                            <w:pPr>
                              <w:pStyle w:val="ListParagraph"/>
                              <w:numPr>
                                <w:ilvl w:val="1"/>
                                <w:numId w:val="13"/>
                              </w:numPr>
                              <w:spacing w:before="60" w:after="0" w:line="276" w:lineRule="auto"/>
                              <w:contextualSpacing w:val="0"/>
                              <w:rPr>
                                <w:rFonts w:asciiTheme="minorHAnsi" w:eastAsia="Calibri" w:hAnsiTheme="minorHAnsi" w:cstheme="minorHAnsi"/>
                                <w:i/>
                              </w:rPr>
                            </w:pPr>
                            <w:r>
                              <w:rPr>
                                <w:rFonts w:asciiTheme="minorHAnsi" w:eastAsia="Calibri" w:hAnsiTheme="minorHAnsi" w:cstheme="minorHAnsi"/>
                                <w:i/>
                              </w:rPr>
                              <w:t>Clause 67</w:t>
                            </w:r>
                            <w:r w:rsidRPr="00A65595">
                              <w:rPr>
                                <w:rFonts w:asciiTheme="minorHAnsi" w:eastAsia="Calibri" w:hAnsiTheme="minorHAnsi" w:cstheme="minorHAnsi"/>
                                <w:i/>
                              </w:rPr>
                              <w:t xml:space="preserve"> the </w:t>
                            </w:r>
                            <w:r>
                              <w:rPr>
                                <w:rFonts w:asciiTheme="minorHAnsi" w:eastAsia="Calibri" w:hAnsiTheme="minorHAnsi" w:cstheme="minorHAnsi"/>
                                <w:i/>
                              </w:rPr>
                              <w:t>d</w:t>
                            </w:r>
                            <w:r w:rsidRPr="00A65595">
                              <w:rPr>
                                <w:rFonts w:asciiTheme="minorHAnsi" w:eastAsia="Calibri" w:hAnsiTheme="minorHAnsi" w:cstheme="minorHAnsi"/>
                                <w:i/>
                              </w:rPr>
                              <w:t>epartment’s right to publicise best practice</w:t>
                            </w:r>
                            <w:r>
                              <w:rPr>
                                <w:rFonts w:asciiTheme="minorHAnsi" w:eastAsia="Calibri" w:hAnsiTheme="minorHAnsi" w:cstheme="minorHAnsi"/>
                                <w:i/>
                              </w:rPr>
                              <w:t xml:space="preserve"> </w:t>
                            </w:r>
                          </w:p>
                          <w:p w14:paraId="5779B8E0" w14:textId="0DB93F29"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Section 5E Some basic rules about Program Services</w:t>
                            </w:r>
                          </w:p>
                          <w:p w14:paraId="7D7E3ADD" w14:textId="77777777" w:rsidR="000D2188" w:rsidRPr="004F3C57"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4F3C57">
                              <w:rPr>
                                <w:rFonts w:asciiTheme="minorHAnsi" w:eastAsia="Calibri" w:hAnsiTheme="minorHAnsi" w:cstheme="minorHAnsi"/>
                                <w:i/>
                              </w:rPr>
                              <w:t>Section 5Q Assessment and management of Program Service Provider’s performance</w:t>
                            </w:r>
                          </w:p>
                          <w:p w14:paraId="6EA52B77" w14:textId="56A68883" w:rsidR="000D2188" w:rsidRPr="004F3C57" w:rsidRDefault="000D2188" w:rsidP="00751CCE">
                            <w:pPr>
                              <w:pStyle w:val="ListParagraph"/>
                              <w:numPr>
                                <w:ilvl w:val="1"/>
                                <w:numId w:val="13"/>
                              </w:numPr>
                              <w:spacing w:before="60" w:after="0" w:line="276" w:lineRule="auto"/>
                              <w:contextualSpacing w:val="0"/>
                              <w:rPr>
                                <w:rFonts w:asciiTheme="minorHAnsi" w:eastAsia="Calibri" w:hAnsiTheme="minorHAnsi" w:cstheme="minorHAnsi"/>
                                <w:i/>
                              </w:rPr>
                            </w:pPr>
                            <w:r w:rsidRPr="004F3C57">
                              <w:rPr>
                                <w:rFonts w:asciiTheme="minorHAnsi" w:eastAsia="Calibri" w:hAnsiTheme="minorHAnsi" w:cstheme="minorHAnsi"/>
                                <w:i/>
                              </w:rPr>
                              <w:t>Clause 155.1 Performance assessments</w:t>
                            </w:r>
                            <w:r>
                              <w:rPr>
                                <w:rFonts w:asciiTheme="minorHAnsi" w:eastAsia="Calibri" w:hAnsiTheme="minorHAnsi" w:cstheme="minorHAnsi"/>
                                <w:i/>
                              </w:rPr>
                              <w:t xml:space="preserve"> </w:t>
                            </w:r>
                          </w:p>
                          <w:p w14:paraId="518165BF" w14:textId="73881D2A" w:rsidR="000D2188" w:rsidRPr="004F3C57" w:rsidRDefault="000D2188" w:rsidP="00751CCE">
                            <w:pPr>
                              <w:pStyle w:val="ListParagraph"/>
                              <w:numPr>
                                <w:ilvl w:val="1"/>
                                <w:numId w:val="13"/>
                              </w:numPr>
                              <w:spacing w:before="60" w:after="0" w:line="276" w:lineRule="auto"/>
                              <w:contextualSpacing w:val="0"/>
                              <w:rPr>
                                <w:rFonts w:asciiTheme="minorHAnsi" w:eastAsia="Calibri" w:hAnsiTheme="minorHAnsi" w:cstheme="minorHAnsi"/>
                                <w:i/>
                              </w:rPr>
                            </w:pPr>
                            <w:r w:rsidRPr="004F3C57">
                              <w:rPr>
                                <w:rFonts w:asciiTheme="minorHAnsi" w:eastAsia="Calibri" w:hAnsiTheme="minorHAnsi" w:cstheme="minorHAnsi"/>
                                <w:i/>
                              </w:rPr>
                              <w:t>Clause 155.2 (c) (i)</w:t>
                            </w:r>
                          </w:p>
                          <w:p w14:paraId="11F6D507" w14:textId="77777777"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Section 5R</w:t>
                            </w:r>
                            <w:r>
                              <w:rPr>
                                <w:rFonts w:asciiTheme="minorHAnsi" w:eastAsia="Calibri" w:hAnsiTheme="minorHAnsi" w:cstheme="minorHAnsi"/>
                                <w:i/>
                              </w:rPr>
                              <w:t xml:space="preserve"> Other Program Service matters</w:t>
                            </w:r>
                          </w:p>
                          <w:p w14:paraId="6C29316B" w14:textId="7CCE5098" w:rsidR="000D2188" w:rsidRPr="00A65595" w:rsidRDefault="000D2188" w:rsidP="0047657D">
                            <w:pPr>
                              <w:pStyle w:val="ListParagraph"/>
                              <w:numPr>
                                <w:ilvl w:val="1"/>
                                <w:numId w:val="13"/>
                              </w:numPr>
                              <w:spacing w:before="60" w:after="0" w:line="276" w:lineRule="auto"/>
                              <w:contextualSpacing w:val="0"/>
                              <w:rPr>
                                <w:rFonts w:asciiTheme="minorHAnsi" w:eastAsia="Calibri" w:hAnsiTheme="minorHAnsi" w:cstheme="minorHAnsi"/>
                                <w:i/>
                              </w:rPr>
                            </w:pPr>
                            <w:r w:rsidRPr="00A65595">
                              <w:rPr>
                                <w:rFonts w:asciiTheme="minorHAnsi" w:eastAsia="Calibri" w:hAnsiTheme="minorHAnsi" w:cstheme="minorHAnsi"/>
                                <w:i/>
                              </w:rPr>
                              <w:t xml:space="preserve"> Clause 158 Complaints Resolution and Referral Services</w:t>
                            </w:r>
                          </w:p>
                          <w:p w14:paraId="0359B855" w14:textId="77777777" w:rsidR="000D2188" w:rsidRPr="00A65595" w:rsidRDefault="000D2188" w:rsidP="00A65595">
                            <w:pPr>
                              <w:spacing w:before="60" w:after="0" w:line="276" w:lineRule="auto"/>
                              <w:rPr>
                                <w:rFonts w:asciiTheme="minorHAnsi" w:eastAsia="Calibri" w:hAnsiTheme="minorHAnsi" w:cstheme="minorHAnsi"/>
                                <w:b/>
                                <w:i/>
                              </w:rPr>
                            </w:pPr>
                            <w:r w:rsidRPr="00A65595">
                              <w:rPr>
                                <w:rFonts w:asciiTheme="minorHAnsi" w:eastAsia="Calibri" w:hAnsiTheme="minorHAnsi" w:cstheme="minorHAnsi"/>
                                <w:b/>
                                <w:i/>
                              </w:rPr>
                              <w:t>Reference documents relevant to these Guidelines:</w:t>
                            </w:r>
                          </w:p>
                          <w:p w14:paraId="24013C12"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DES Code of Practice</w:t>
                            </w:r>
                          </w:p>
                          <w:p w14:paraId="5E6A31F0"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DES Service Guarantee</w:t>
                            </w:r>
                          </w:p>
                          <w:p w14:paraId="2B0AB542" w14:textId="167AACEB" w:rsidR="000D2188" w:rsidRDefault="000D2188" w:rsidP="003F36B8">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C31188">
                              <w:rPr>
                                <w:rFonts w:asciiTheme="minorHAnsi" w:eastAsia="Calibri" w:hAnsiTheme="minorHAnsi" w:cstheme="minorHAnsi"/>
                                <w:i/>
                              </w:rPr>
                              <w:t>DES Provider User Guide and relevant</w:t>
                            </w:r>
                            <w:r w:rsidRPr="003F36B8">
                              <w:rPr>
                                <w:rFonts w:asciiTheme="minorHAnsi" w:eastAsia="Calibri" w:hAnsiTheme="minorHAnsi" w:cstheme="minorHAnsi"/>
                                <w:i/>
                              </w:rPr>
                              <w:t xml:space="preserve"> Guidelines</w:t>
                            </w:r>
                          </w:p>
                          <w:p w14:paraId="0B53057B" w14:textId="77777777" w:rsidR="000D2188" w:rsidRDefault="000D2188" w:rsidP="00067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FC75FD" id="_x0000_t202" coordsize="21600,21600" o:spt="202" path="m,l,21600r21600,l21600,xe">
                <v:stroke joinstyle="miter"/>
                <v:path gradientshapeok="t" o:connecttype="rect"/>
              </v:shapetype>
              <v:shape id="Text Box 2" o:spid="_x0000_s1026" type="#_x0000_t202" style="width:484.4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" fillcolor="#dbeef4" strokeweight=".5pt">
                <v:textbox>
                  <w:txbxContent>
                    <w:p w14:paraId="0B7C92F2" w14:textId="77777777" w:rsidR="000D2188" w:rsidRDefault="000D2188" w:rsidP="00067E57">
                      <w:pPr>
                        <w:shd w:val="clear" w:color="auto" w:fill="DAEEF3" w:themeFill="accent5" w:themeFillTint="33"/>
                        <w:rPr>
                          <w:rFonts w:asciiTheme="minorHAnsi" w:hAnsiTheme="minorHAnsi" w:cstheme="minorHAnsi"/>
                          <w:b/>
                          <w:i/>
                        </w:rPr>
                      </w:pPr>
                      <w:r w:rsidRPr="00A8661F">
                        <w:rPr>
                          <w:rFonts w:asciiTheme="minorHAnsi" w:hAnsiTheme="minorHAnsi" w:cstheme="minorHAnsi"/>
                          <w:b/>
                          <w:i/>
                        </w:rPr>
                        <w:t xml:space="preserve">DES Grant Agreement </w:t>
                      </w:r>
                      <w:r>
                        <w:rPr>
                          <w:rFonts w:asciiTheme="minorHAnsi" w:hAnsiTheme="minorHAnsi" w:cstheme="minorHAnsi"/>
                          <w:b/>
                          <w:i/>
                        </w:rPr>
                        <w:t xml:space="preserve">– important </w:t>
                      </w:r>
                      <w:r w:rsidRPr="00A8661F">
                        <w:rPr>
                          <w:rFonts w:asciiTheme="minorHAnsi" w:hAnsiTheme="minorHAnsi" w:cstheme="minorHAnsi"/>
                          <w:b/>
                          <w:i/>
                        </w:rPr>
                        <w:t>clauses:</w:t>
                      </w:r>
                    </w:p>
                    <w:p w14:paraId="451E0476" w14:textId="77777777" w:rsidR="000D2188" w:rsidRPr="00602684"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602684">
                        <w:rPr>
                          <w:rFonts w:asciiTheme="minorHAnsi" w:eastAsia="Calibri" w:hAnsiTheme="minorHAnsi" w:cstheme="minorHAnsi"/>
                          <w:i/>
                        </w:rPr>
                        <w:t>Section 2E Evaluation Activities</w:t>
                      </w:r>
                    </w:p>
                    <w:p w14:paraId="2B9E05B3"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Section 2F Customer and Provider feedback</w:t>
                      </w:r>
                    </w:p>
                    <w:p w14:paraId="1CFEE913" w14:textId="77777777"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 xml:space="preserve">Section 3C Control of Information, </w:t>
                      </w:r>
                    </w:p>
                    <w:p w14:paraId="29AFEA52" w14:textId="32F5DBD2" w:rsidR="000D2188" w:rsidRDefault="000D2188" w:rsidP="00D23286">
                      <w:pPr>
                        <w:pStyle w:val="ListParagraph"/>
                        <w:numPr>
                          <w:ilvl w:val="1"/>
                          <w:numId w:val="13"/>
                        </w:numPr>
                        <w:spacing w:before="60" w:after="0" w:line="276" w:lineRule="auto"/>
                        <w:contextualSpacing w:val="0"/>
                        <w:rPr>
                          <w:rFonts w:asciiTheme="minorHAnsi" w:eastAsia="Calibri" w:hAnsiTheme="minorHAnsi" w:cstheme="minorHAnsi"/>
                          <w:i/>
                        </w:rPr>
                      </w:pPr>
                      <w:r>
                        <w:rPr>
                          <w:rFonts w:asciiTheme="minorHAnsi" w:eastAsia="Calibri" w:hAnsiTheme="minorHAnsi" w:cstheme="minorHAnsi"/>
                          <w:i/>
                        </w:rPr>
                        <w:t>Clause 43 Release of information on provider’s performance</w:t>
                      </w:r>
                    </w:p>
                    <w:p w14:paraId="4BC8C42E" w14:textId="7225FC71"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Section 4D Other matters</w:t>
                      </w:r>
                    </w:p>
                    <w:p w14:paraId="684D6DE8" w14:textId="3267F868" w:rsidR="000D2188" w:rsidRDefault="000D2188" w:rsidP="00D23286">
                      <w:pPr>
                        <w:pStyle w:val="ListParagraph"/>
                        <w:numPr>
                          <w:ilvl w:val="1"/>
                          <w:numId w:val="13"/>
                        </w:numPr>
                        <w:spacing w:before="60" w:after="0" w:line="276" w:lineRule="auto"/>
                        <w:contextualSpacing w:val="0"/>
                        <w:rPr>
                          <w:rFonts w:asciiTheme="minorHAnsi" w:eastAsia="Calibri" w:hAnsiTheme="minorHAnsi" w:cstheme="minorHAnsi"/>
                          <w:i/>
                        </w:rPr>
                      </w:pPr>
                      <w:r>
                        <w:rPr>
                          <w:rFonts w:asciiTheme="minorHAnsi" w:eastAsia="Calibri" w:hAnsiTheme="minorHAnsi" w:cstheme="minorHAnsi"/>
                          <w:i/>
                        </w:rPr>
                        <w:t>Clause 67</w:t>
                      </w:r>
                      <w:r w:rsidRPr="00A65595">
                        <w:rPr>
                          <w:rFonts w:asciiTheme="minorHAnsi" w:eastAsia="Calibri" w:hAnsiTheme="minorHAnsi" w:cstheme="minorHAnsi"/>
                          <w:i/>
                        </w:rPr>
                        <w:t xml:space="preserve"> the </w:t>
                      </w:r>
                      <w:r>
                        <w:rPr>
                          <w:rFonts w:asciiTheme="minorHAnsi" w:eastAsia="Calibri" w:hAnsiTheme="minorHAnsi" w:cstheme="minorHAnsi"/>
                          <w:i/>
                        </w:rPr>
                        <w:t>d</w:t>
                      </w:r>
                      <w:r w:rsidRPr="00A65595">
                        <w:rPr>
                          <w:rFonts w:asciiTheme="minorHAnsi" w:eastAsia="Calibri" w:hAnsiTheme="minorHAnsi" w:cstheme="minorHAnsi"/>
                          <w:i/>
                        </w:rPr>
                        <w:t>epartment’s right to publicise best practice</w:t>
                      </w:r>
                      <w:r>
                        <w:rPr>
                          <w:rFonts w:asciiTheme="minorHAnsi" w:eastAsia="Calibri" w:hAnsiTheme="minorHAnsi" w:cstheme="minorHAnsi"/>
                          <w:i/>
                        </w:rPr>
                        <w:t xml:space="preserve"> </w:t>
                      </w:r>
                    </w:p>
                    <w:p w14:paraId="5779B8E0" w14:textId="0DB93F29"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Pr>
                          <w:rFonts w:asciiTheme="minorHAnsi" w:eastAsia="Calibri" w:hAnsiTheme="minorHAnsi" w:cstheme="minorHAnsi"/>
                          <w:i/>
                        </w:rPr>
                        <w:t>Section 5E Some basic rules about Program Services</w:t>
                      </w:r>
                    </w:p>
                    <w:p w14:paraId="7D7E3ADD" w14:textId="77777777" w:rsidR="000D2188" w:rsidRPr="004F3C57"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4F3C57">
                        <w:rPr>
                          <w:rFonts w:asciiTheme="minorHAnsi" w:eastAsia="Calibri" w:hAnsiTheme="minorHAnsi" w:cstheme="minorHAnsi"/>
                          <w:i/>
                        </w:rPr>
                        <w:t>Section 5Q Assessment and management of Program Service Provider’s performance</w:t>
                      </w:r>
                    </w:p>
                    <w:p w14:paraId="6EA52B77" w14:textId="56A68883" w:rsidR="000D2188" w:rsidRPr="004F3C57" w:rsidRDefault="000D2188" w:rsidP="00751CCE">
                      <w:pPr>
                        <w:pStyle w:val="ListParagraph"/>
                        <w:numPr>
                          <w:ilvl w:val="1"/>
                          <w:numId w:val="13"/>
                        </w:numPr>
                        <w:spacing w:before="60" w:after="0" w:line="276" w:lineRule="auto"/>
                        <w:contextualSpacing w:val="0"/>
                        <w:rPr>
                          <w:rFonts w:asciiTheme="minorHAnsi" w:eastAsia="Calibri" w:hAnsiTheme="minorHAnsi" w:cstheme="minorHAnsi"/>
                          <w:i/>
                        </w:rPr>
                      </w:pPr>
                      <w:r w:rsidRPr="004F3C57">
                        <w:rPr>
                          <w:rFonts w:asciiTheme="minorHAnsi" w:eastAsia="Calibri" w:hAnsiTheme="minorHAnsi" w:cstheme="minorHAnsi"/>
                          <w:i/>
                        </w:rPr>
                        <w:t>Clause 155.1 Performance assessments</w:t>
                      </w:r>
                      <w:r>
                        <w:rPr>
                          <w:rFonts w:asciiTheme="minorHAnsi" w:eastAsia="Calibri" w:hAnsiTheme="minorHAnsi" w:cstheme="minorHAnsi"/>
                          <w:i/>
                        </w:rPr>
                        <w:t xml:space="preserve"> </w:t>
                      </w:r>
                    </w:p>
                    <w:p w14:paraId="518165BF" w14:textId="73881D2A" w:rsidR="000D2188" w:rsidRPr="004F3C57" w:rsidRDefault="000D2188" w:rsidP="00751CCE">
                      <w:pPr>
                        <w:pStyle w:val="ListParagraph"/>
                        <w:numPr>
                          <w:ilvl w:val="1"/>
                          <w:numId w:val="13"/>
                        </w:numPr>
                        <w:spacing w:before="60" w:after="0" w:line="276" w:lineRule="auto"/>
                        <w:contextualSpacing w:val="0"/>
                        <w:rPr>
                          <w:rFonts w:asciiTheme="minorHAnsi" w:eastAsia="Calibri" w:hAnsiTheme="minorHAnsi" w:cstheme="minorHAnsi"/>
                          <w:i/>
                        </w:rPr>
                      </w:pPr>
                      <w:r w:rsidRPr="004F3C57">
                        <w:rPr>
                          <w:rFonts w:asciiTheme="minorHAnsi" w:eastAsia="Calibri" w:hAnsiTheme="minorHAnsi" w:cstheme="minorHAnsi"/>
                          <w:i/>
                        </w:rPr>
                        <w:t>Clause 155.2 (c) (i)</w:t>
                      </w:r>
                    </w:p>
                    <w:p w14:paraId="11F6D507" w14:textId="77777777" w:rsidR="000D2188"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Section 5R</w:t>
                      </w:r>
                      <w:r>
                        <w:rPr>
                          <w:rFonts w:asciiTheme="minorHAnsi" w:eastAsia="Calibri" w:hAnsiTheme="minorHAnsi" w:cstheme="minorHAnsi"/>
                          <w:i/>
                        </w:rPr>
                        <w:t xml:space="preserve"> Other Program Service matters</w:t>
                      </w:r>
                    </w:p>
                    <w:p w14:paraId="6C29316B" w14:textId="7CCE5098" w:rsidR="000D2188" w:rsidRPr="00A65595" w:rsidRDefault="000D2188" w:rsidP="0047657D">
                      <w:pPr>
                        <w:pStyle w:val="ListParagraph"/>
                        <w:numPr>
                          <w:ilvl w:val="1"/>
                          <w:numId w:val="13"/>
                        </w:numPr>
                        <w:spacing w:before="60" w:after="0" w:line="276" w:lineRule="auto"/>
                        <w:contextualSpacing w:val="0"/>
                        <w:rPr>
                          <w:rFonts w:asciiTheme="minorHAnsi" w:eastAsia="Calibri" w:hAnsiTheme="minorHAnsi" w:cstheme="minorHAnsi"/>
                          <w:i/>
                        </w:rPr>
                      </w:pPr>
                      <w:r w:rsidRPr="00A65595">
                        <w:rPr>
                          <w:rFonts w:asciiTheme="minorHAnsi" w:eastAsia="Calibri" w:hAnsiTheme="minorHAnsi" w:cstheme="minorHAnsi"/>
                          <w:i/>
                        </w:rPr>
                        <w:t xml:space="preserve"> Clause 158 Complaints Resolution and Referral Services</w:t>
                      </w:r>
                    </w:p>
                    <w:p w14:paraId="0359B855" w14:textId="77777777" w:rsidR="000D2188" w:rsidRPr="00A65595" w:rsidRDefault="000D2188" w:rsidP="00A65595">
                      <w:pPr>
                        <w:spacing w:before="60" w:after="0" w:line="276" w:lineRule="auto"/>
                        <w:rPr>
                          <w:rFonts w:asciiTheme="minorHAnsi" w:eastAsia="Calibri" w:hAnsiTheme="minorHAnsi" w:cstheme="minorHAnsi"/>
                          <w:b/>
                          <w:i/>
                        </w:rPr>
                      </w:pPr>
                      <w:r w:rsidRPr="00A65595">
                        <w:rPr>
                          <w:rFonts w:asciiTheme="minorHAnsi" w:eastAsia="Calibri" w:hAnsiTheme="minorHAnsi" w:cstheme="minorHAnsi"/>
                          <w:b/>
                          <w:i/>
                        </w:rPr>
                        <w:t>Reference documents relevant to these Guidelines:</w:t>
                      </w:r>
                    </w:p>
                    <w:p w14:paraId="24013C12"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DES Code of Practice</w:t>
                      </w:r>
                    </w:p>
                    <w:p w14:paraId="5E6A31F0" w14:textId="77777777" w:rsidR="000D2188" w:rsidRPr="00A65595" w:rsidRDefault="000D2188" w:rsidP="00751CCE">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A65595">
                        <w:rPr>
                          <w:rFonts w:asciiTheme="minorHAnsi" w:eastAsia="Calibri" w:hAnsiTheme="minorHAnsi" w:cstheme="minorHAnsi"/>
                          <w:i/>
                        </w:rPr>
                        <w:t>DES Service Guarantee</w:t>
                      </w:r>
                    </w:p>
                    <w:p w14:paraId="2B0AB542" w14:textId="167AACEB" w:rsidR="000D2188" w:rsidRDefault="000D2188" w:rsidP="003F36B8">
                      <w:pPr>
                        <w:pStyle w:val="ListParagraph"/>
                        <w:numPr>
                          <w:ilvl w:val="0"/>
                          <w:numId w:val="13"/>
                        </w:numPr>
                        <w:spacing w:before="60" w:after="0" w:line="276" w:lineRule="auto"/>
                        <w:ind w:left="714" w:hanging="357"/>
                        <w:contextualSpacing w:val="0"/>
                        <w:rPr>
                          <w:rFonts w:asciiTheme="minorHAnsi" w:eastAsia="Calibri" w:hAnsiTheme="minorHAnsi" w:cstheme="minorHAnsi"/>
                          <w:i/>
                        </w:rPr>
                      </w:pPr>
                      <w:r w:rsidRPr="00C31188">
                        <w:rPr>
                          <w:rFonts w:asciiTheme="minorHAnsi" w:eastAsia="Calibri" w:hAnsiTheme="minorHAnsi" w:cstheme="minorHAnsi"/>
                          <w:i/>
                        </w:rPr>
                        <w:t>DES Provider User Guide and relevant</w:t>
                      </w:r>
                      <w:r w:rsidRPr="003F36B8">
                        <w:rPr>
                          <w:rFonts w:asciiTheme="minorHAnsi" w:eastAsia="Calibri" w:hAnsiTheme="minorHAnsi" w:cstheme="minorHAnsi"/>
                          <w:i/>
                        </w:rPr>
                        <w:t xml:space="preserve"> Guidelines</w:t>
                      </w:r>
                    </w:p>
                    <w:p w14:paraId="0B53057B" w14:textId="77777777" w:rsidR="000D2188" w:rsidRDefault="000D2188" w:rsidP="00067E57"/>
                  </w:txbxContent>
                </v:textbox>
                <w10:anchorlock/>
              </v:shape>
            </w:pict>
          </mc:Fallback>
        </mc:AlternateContent>
      </w:r>
    </w:p>
    <w:p w14:paraId="3A780AD9" w14:textId="65BC54E6" w:rsidR="00067E57" w:rsidDel="00A223B1" w:rsidRDefault="00067E57" w:rsidP="00820CD3">
      <w:pPr>
        <w:spacing w:line="276" w:lineRule="auto"/>
        <w:rPr>
          <w:rFonts w:asciiTheme="minorHAnsi" w:hAnsiTheme="minorHAnsi" w:cstheme="minorHAnsi"/>
        </w:rPr>
      </w:pPr>
      <w:bookmarkStart w:id="31" w:name="_Toc150266105"/>
      <w:bookmarkStart w:id="32" w:name="_Toc150338498"/>
      <w:bookmarkStart w:id="33" w:name="_Toc150266106"/>
      <w:bookmarkStart w:id="34" w:name="_Toc150338499"/>
      <w:bookmarkEnd w:id="31"/>
      <w:bookmarkEnd w:id="32"/>
      <w:bookmarkEnd w:id="33"/>
      <w:bookmarkEnd w:id="34"/>
    </w:p>
    <w:p w14:paraId="04EBB12F" w14:textId="6DF799AF" w:rsidR="002B7A8D" w:rsidRPr="00314E60" w:rsidRDefault="00DA2ABE" w:rsidP="00055E38">
      <w:pPr>
        <w:pStyle w:val="Heading2"/>
        <w:numPr>
          <w:ilvl w:val="1"/>
          <w:numId w:val="14"/>
        </w:numPr>
        <w:spacing w:before="120" w:after="120" w:line="276" w:lineRule="auto"/>
        <w:rPr>
          <w:rFonts w:asciiTheme="minorHAnsi" w:hAnsiTheme="minorHAnsi" w:cstheme="minorHAnsi"/>
        </w:rPr>
      </w:pPr>
      <w:bookmarkStart w:id="35" w:name="_Toc150266107"/>
      <w:bookmarkStart w:id="36" w:name="_Toc150338500"/>
      <w:bookmarkStart w:id="37" w:name="_Toc150266108"/>
      <w:bookmarkStart w:id="38" w:name="_Toc150338501"/>
      <w:bookmarkStart w:id="39" w:name="_Toc150266109"/>
      <w:bookmarkStart w:id="40" w:name="_Toc150338502"/>
      <w:bookmarkStart w:id="41" w:name="_Toc150266110"/>
      <w:bookmarkStart w:id="42" w:name="_Toc150338503"/>
      <w:bookmarkStart w:id="43" w:name="_Toc150266111"/>
      <w:bookmarkStart w:id="44" w:name="_Toc150338504"/>
      <w:bookmarkStart w:id="45" w:name="_Toc150266112"/>
      <w:bookmarkStart w:id="46" w:name="_Toc150338505"/>
      <w:bookmarkStart w:id="47" w:name="_Toc150266113"/>
      <w:bookmarkStart w:id="48" w:name="_Toc150338506"/>
      <w:bookmarkStart w:id="49" w:name="_Toc150266114"/>
      <w:bookmarkStart w:id="50" w:name="_Toc150338507"/>
      <w:bookmarkStart w:id="51" w:name="_Toc150266116"/>
      <w:bookmarkStart w:id="52" w:name="_Toc150338509"/>
      <w:bookmarkStart w:id="53" w:name="_Toc152075577"/>
      <w:bookmarkStart w:id="54" w:name="_Toc152075578"/>
      <w:bookmarkStart w:id="55" w:name="_Toc152075579"/>
      <w:bookmarkStart w:id="56" w:name="_Toc150266120"/>
      <w:bookmarkStart w:id="57" w:name="_Toc150338513"/>
      <w:bookmarkStart w:id="58" w:name="_Toc152075583"/>
      <w:bookmarkStart w:id="59" w:name="_Toc152075584"/>
      <w:bookmarkStart w:id="60" w:name="_Toc157587862"/>
      <w:bookmarkStart w:id="61" w:name="_Toc49540256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Theme="minorHAnsi" w:hAnsiTheme="minorHAnsi" w:cstheme="minorHAnsi"/>
        </w:rPr>
        <w:t>Q</w:t>
      </w:r>
      <w:r w:rsidR="002B7A8D" w:rsidRPr="00314E60">
        <w:rPr>
          <w:rFonts w:asciiTheme="minorHAnsi" w:hAnsiTheme="minorHAnsi" w:cstheme="minorHAnsi"/>
        </w:rPr>
        <w:t xml:space="preserve">uality </w:t>
      </w:r>
      <w:r>
        <w:rPr>
          <w:rFonts w:asciiTheme="minorHAnsi" w:hAnsiTheme="minorHAnsi" w:cstheme="minorHAnsi"/>
        </w:rPr>
        <w:t>E</w:t>
      </w:r>
      <w:r w:rsidR="002B7A8D" w:rsidRPr="00314E60">
        <w:rPr>
          <w:rFonts w:asciiTheme="minorHAnsi" w:hAnsiTheme="minorHAnsi" w:cstheme="minorHAnsi"/>
        </w:rPr>
        <w:t>lements</w:t>
      </w:r>
      <w:bookmarkEnd w:id="60"/>
    </w:p>
    <w:p w14:paraId="7886C58B" w14:textId="03583260" w:rsidR="000C63ED" w:rsidRPr="00314E60" w:rsidRDefault="000C63ED" w:rsidP="00055E38">
      <w:pPr>
        <w:spacing w:line="276" w:lineRule="auto"/>
      </w:pPr>
      <w:r w:rsidRPr="00314E60">
        <w:t xml:space="preserve">The Framework </w:t>
      </w:r>
      <w:r w:rsidR="00506025">
        <w:t>includes</w:t>
      </w:r>
      <w:r w:rsidRPr="00314E60">
        <w:t xml:space="preserve"> four quality </w:t>
      </w:r>
      <w:r w:rsidR="00114AA0" w:rsidRPr="00314E60">
        <w:t>elements</w:t>
      </w:r>
      <w:r w:rsidR="00F26C26">
        <w:t>. E</w:t>
      </w:r>
      <w:r w:rsidRPr="00314E60">
        <w:t xml:space="preserve">ach </w:t>
      </w:r>
      <w:r w:rsidR="00DA2ABE">
        <w:t xml:space="preserve">quality </w:t>
      </w:r>
      <w:r w:rsidRPr="00314E60">
        <w:t>element is supported by</w:t>
      </w:r>
      <w:r w:rsidR="00577B14">
        <w:t xml:space="preserve"> </w:t>
      </w:r>
      <w:r w:rsidRPr="00314E60">
        <w:t>one or two outcome statements</w:t>
      </w:r>
      <w:r w:rsidR="00674B1D">
        <w:t>,</w:t>
      </w:r>
      <w:r w:rsidRPr="00314E60">
        <w:t xml:space="preserve"> </w:t>
      </w:r>
      <w:r w:rsidR="00BC7B8E">
        <w:t>a set of indicators and a series of measurements</w:t>
      </w:r>
      <w:r w:rsidR="00867161">
        <w:t>.</w:t>
      </w:r>
      <w:r w:rsidR="009A7D79">
        <w:t xml:space="preserve"> Detail describing the components, outcomes and indicators is available at </w:t>
      </w:r>
      <w:r w:rsidR="00FD2787">
        <w:rPr>
          <w:b/>
        </w:rPr>
        <w:t xml:space="preserve">Attachment A: </w:t>
      </w:r>
      <w:r w:rsidR="00FD2787" w:rsidRPr="006E28C4">
        <w:rPr>
          <w:rFonts w:eastAsia="Calibri" w:cs="Arial"/>
          <w:b/>
          <w:lang w:val="en-US"/>
        </w:rPr>
        <w:t>DES Quality Framework - Assessment Rubric</w:t>
      </w:r>
      <w:r w:rsidR="009A7D79">
        <w:t>.</w:t>
      </w:r>
    </w:p>
    <w:p w14:paraId="02A46145" w14:textId="04BD5292" w:rsidR="00674B1D" w:rsidRDefault="00674B1D">
      <w:pPr>
        <w:spacing w:before="0" w:after="0"/>
      </w:pPr>
    </w:p>
    <w:p w14:paraId="732EF2AD" w14:textId="7D3529FA" w:rsidR="000C63ED" w:rsidRDefault="006E28C4" w:rsidP="00055E38">
      <w:pPr>
        <w:spacing w:line="276" w:lineRule="auto"/>
      </w:pPr>
      <w:r>
        <w:t>Figure 1</w:t>
      </w:r>
      <w:r w:rsidR="000C63ED" w:rsidRPr="00314E60">
        <w:t xml:space="preserve"> below illustrates the key components of the Framework. </w:t>
      </w:r>
    </w:p>
    <w:p w14:paraId="65D02AF7" w14:textId="0C192369" w:rsidR="00625DDF" w:rsidRPr="00625DDF" w:rsidRDefault="00625DDF" w:rsidP="00625DDF">
      <w:pPr>
        <w:pStyle w:val="Caption"/>
        <w:keepNext/>
        <w:rPr>
          <w:color w:val="auto"/>
          <w:sz w:val="20"/>
        </w:rPr>
      </w:pPr>
      <w:r w:rsidRPr="00625DDF">
        <w:rPr>
          <w:color w:val="auto"/>
          <w:sz w:val="20"/>
        </w:rPr>
        <w:lastRenderedPageBreak/>
        <w:t xml:space="preserve">Figure </w:t>
      </w:r>
      <w:r w:rsidRPr="00625DDF">
        <w:rPr>
          <w:color w:val="auto"/>
          <w:sz w:val="20"/>
        </w:rPr>
        <w:fldChar w:fldCharType="begin"/>
      </w:r>
      <w:r w:rsidRPr="00625DDF">
        <w:rPr>
          <w:color w:val="auto"/>
          <w:sz w:val="20"/>
        </w:rPr>
        <w:instrText xml:space="preserve"> SEQ Figure \* ARABIC </w:instrText>
      </w:r>
      <w:r w:rsidRPr="00625DDF">
        <w:rPr>
          <w:color w:val="auto"/>
          <w:sz w:val="20"/>
        </w:rPr>
        <w:fldChar w:fldCharType="separate"/>
      </w:r>
      <w:r w:rsidR="00510BB6">
        <w:rPr>
          <w:noProof/>
          <w:color w:val="auto"/>
          <w:sz w:val="20"/>
        </w:rPr>
        <w:t>1</w:t>
      </w:r>
      <w:r w:rsidRPr="00625DDF">
        <w:rPr>
          <w:color w:val="auto"/>
          <w:sz w:val="20"/>
        </w:rPr>
        <w:fldChar w:fldCharType="end"/>
      </w:r>
      <w:r w:rsidRPr="00625DDF">
        <w:rPr>
          <w:color w:val="auto"/>
          <w:sz w:val="20"/>
        </w:rPr>
        <w:t>: Components of the Framework</w:t>
      </w:r>
    </w:p>
    <w:p w14:paraId="6CD8D198" w14:textId="52FC7BA3" w:rsidR="00F56477" w:rsidRDefault="00CF5E44" w:rsidP="00CF5E44">
      <w:pPr>
        <w:spacing w:line="276" w:lineRule="auto"/>
        <w:ind w:left="426"/>
        <w:rPr>
          <w:rFonts w:asciiTheme="minorHAnsi" w:hAnsiTheme="minorHAnsi" w:cstheme="minorHAnsi"/>
          <w:noProof/>
        </w:rPr>
      </w:pPr>
      <w:r w:rsidRPr="00CF5E44">
        <w:rPr>
          <w:rFonts w:asciiTheme="minorHAnsi" w:hAnsiTheme="minorHAnsi" w:cstheme="minorHAnsi"/>
          <w:noProof/>
        </w:rPr>
        <w:drawing>
          <wp:inline distT="0" distB="0" distL="0" distR="0" wp14:anchorId="3B1FFF1F" wp14:editId="624DA167">
            <wp:extent cx="6220693" cy="3096057"/>
            <wp:effectExtent l="0" t="0" r="8890" b="9525"/>
            <wp:docPr id="1" name="Picture 1" descr="For each of the 4 elements, there are specific outcomes and indicators. Information gathered from assessment activities will be used to assess provider's performance against the Outcomes and Indicators. This then leads to a Quality Rating for each element, and then an Overall Rating." title="The components of th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0693" cy="3096057"/>
                    </a:xfrm>
                    <a:prstGeom prst="rect">
                      <a:avLst/>
                    </a:prstGeom>
                  </pic:spPr>
                </pic:pic>
              </a:graphicData>
            </a:graphic>
          </wp:inline>
        </w:drawing>
      </w:r>
    </w:p>
    <w:p w14:paraId="1A7A65A0" w14:textId="0204B81D" w:rsidR="002736E3" w:rsidRPr="00067E57" w:rsidRDefault="002736E3" w:rsidP="002736E3">
      <w:pPr>
        <w:pStyle w:val="Heading1"/>
        <w:numPr>
          <w:ilvl w:val="0"/>
          <w:numId w:val="14"/>
        </w:numPr>
        <w:spacing w:line="276" w:lineRule="auto"/>
        <w:jc w:val="left"/>
        <w:rPr>
          <w:rFonts w:asciiTheme="minorHAnsi" w:hAnsiTheme="minorHAnsi" w:cstheme="minorHAnsi"/>
          <w:sz w:val="36"/>
        </w:rPr>
      </w:pPr>
      <w:bookmarkStart w:id="62" w:name="_Toc150266127"/>
      <w:bookmarkStart w:id="63" w:name="_Toc150338559"/>
      <w:bookmarkStart w:id="64" w:name="_Toc150338564"/>
      <w:bookmarkStart w:id="65" w:name="_Toc150338565"/>
      <w:bookmarkStart w:id="66" w:name="_Toc150338566"/>
      <w:bookmarkStart w:id="67" w:name="_Toc150338572"/>
      <w:bookmarkStart w:id="68" w:name="_Toc150266132"/>
      <w:bookmarkStart w:id="69" w:name="_Toc150338574"/>
      <w:bookmarkStart w:id="70" w:name="_Toc150266133"/>
      <w:bookmarkStart w:id="71" w:name="_Toc150338575"/>
      <w:bookmarkStart w:id="72" w:name="_Toc150266134"/>
      <w:bookmarkStart w:id="73" w:name="_Toc150338576"/>
      <w:bookmarkStart w:id="74" w:name="_Toc150266135"/>
      <w:bookmarkStart w:id="75" w:name="_Toc150338577"/>
      <w:bookmarkStart w:id="76" w:name="_Toc150266137"/>
      <w:bookmarkStart w:id="77" w:name="_Toc150338579"/>
      <w:bookmarkStart w:id="78" w:name="_Toc150266147"/>
      <w:bookmarkStart w:id="79" w:name="_Toc150338589"/>
      <w:bookmarkStart w:id="80" w:name="_Toc15758786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67E57">
        <w:rPr>
          <w:rFonts w:asciiTheme="minorHAnsi" w:hAnsiTheme="minorHAnsi" w:cstheme="minorHAnsi"/>
          <w:sz w:val="36"/>
        </w:rPr>
        <w:t>Quality Ratings</w:t>
      </w:r>
      <w:bookmarkEnd w:id="80"/>
    </w:p>
    <w:p w14:paraId="64995E3A" w14:textId="43CA9BD4" w:rsidR="002736E3" w:rsidRDefault="00820CD3" w:rsidP="002736E3">
      <w:pPr>
        <w:spacing w:line="276" w:lineRule="auto"/>
      </w:pPr>
      <w:r>
        <w:t xml:space="preserve">Quality ratings will be </w:t>
      </w:r>
      <w:r w:rsidR="009B42CF">
        <w:t>determined</w:t>
      </w:r>
      <w:r>
        <w:t xml:space="preserve"> at a provider organisational level. </w:t>
      </w:r>
      <w:r w:rsidR="002736E3">
        <w:t xml:space="preserve">Quality ratings will be awarded on a </w:t>
      </w:r>
      <w:r w:rsidR="00867161">
        <w:t>three-point</w:t>
      </w:r>
      <w:r w:rsidR="002736E3">
        <w:t xml:space="preserve"> scale of </w:t>
      </w:r>
      <w:r w:rsidR="002736E3">
        <w:rPr>
          <w:rFonts w:eastAsia="Calibri" w:cs="Arial"/>
          <w:lang w:val="en-US"/>
        </w:rPr>
        <w:t>Exceeds, Meets or Improvement Required</w:t>
      </w:r>
      <w:r w:rsidR="002736E3">
        <w:t xml:space="preserve"> for each </w:t>
      </w:r>
      <w:r w:rsidR="00DA2ABE">
        <w:t xml:space="preserve">quality </w:t>
      </w:r>
      <w:r w:rsidR="002736E3">
        <w:t xml:space="preserve">element. These </w:t>
      </w:r>
      <w:r w:rsidR="00DA2ABE">
        <w:t xml:space="preserve">quality </w:t>
      </w:r>
      <w:r w:rsidR="002736E3">
        <w:t xml:space="preserve">element ratings will be combined to determine an overall quality rating for a provider of </w:t>
      </w:r>
      <w:r w:rsidR="002736E3">
        <w:rPr>
          <w:rFonts w:eastAsia="Calibri" w:cs="Arial"/>
          <w:lang w:val="en-US"/>
        </w:rPr>
        <w:t>Exceeds, Meets or Improvement Required</w:t>
      </w:r>
      <w:r w:rsidR="002736E3">
        <w:t xml:space="preserve">. </w:t>
      </w:r>
      <w:r w:rsidR="009B42CF">
        <w:t>These ratings</w:t>
      </w:r>
      <w:r w:rsidR="002736E3">
        <w:t xml:space="preserve"> will be used to provide feedback to providers on quality and help to guide quality improvement.</w:t>
      </w:r>
    </w:p>
    <w:p w14:paraId="6AC0B7C3" w14:textId="64B5474A" w:rsidR="002736E3" w:rsidRDefault="002736E3" w:rsidP="002736E3">
      <w:pPr>
        <w:spacing w:line="276" w:lineRule="auto"/>
        <w:rPr>
          <w:rFonts w:eastAsia="Calibri" w:cs="Arial"/>
          <w:lang w:val="en-US"/>
        </w:rPr>
      </w:pPr>
      <w:r>
        <w:rPr>
          <w:rFonts w:eastAsia="Calibri" w:cs="Arial"/>
          <w:lang w:val="en-US"/>
        </w:rPr>
        <w:t xml:space="preserve">The definition </w:t>
      </w:r>
      <w:r w:rsidR="00820CD3">
        <w:rPr>
          <w:rFonts w:eastAsia="Calibri" w:cs="Arial"/>
          <w:lang w:val="en-US"/>
        </w:rPr>
        <w:t>for the three ratings are</w:t>
      </w:r>
      <w:r w:rsidR="00183011">
        <w:rPr>
          <w:rFonts w:eastAsia="Calibri" w:cs="Arial"/>
          <w:lang w:val="en-US"/>
        </w:rPr>
        <w:t xml:space="preserve"> detailed in Table 1 below.</w:t>
      </w:r>
      <w:r w:rsidR="00820CD3">
        <w:rPr>
          <w:rFonts w:eastAsia="Calibri" w:cs="Arial"/>
          <w:lang w:val="en-US"/>
        </w:rPr>
        <w:t xml:space="preserve"> </w:t>
      </w:r>
    </w:p>
    <w:p w14:paraId="01F813E6" w14:textId="16CF77EF" w:rsidR="001C6A7B" w:rsidRPr="00CD2212" w:rsidRDefault="001C6A7B" w:rsidP="00CD2212">
      <w:pPr>
        <w:pStyle w:val="Caption"/>
        <w:keepNext/>
        <w:rPr>
          <w:sz w:val="20"/>
        </w:rPr>
      </w:pPr>
      <w:r w:rsidRPr="00CD2212">
        <w:rPr>
          <w:color w:val="auto"/>
          <w:sz w:val="20"/>
        </w:rPr>
        <w:t xml:space="preserve">Table </w:t>
      </w:r>
      <w:r w:rsidRPr="00CD2212">
        <w:rPr>
          <w:color w:val="auto"/>
          <w:sz w:val="20"/>
        </w:rPr>
        <w:fldChar w:fldCharType="begin"/>
      </w:r>
      <w:r w:rsidRPr="00CD2212">
        <w:rPr>
          <w:color w:val="auto"/>
          <w:sz w:val="20"/>
        </w:rPr>
        <w:instrText xml:space="preserve"> SEQ Table \* ARABIC </w:instrText>
      </w:r>
      <w:r w:rsidRPr="00CD2212">
        <w:rPr>
          <w:color w:val="auto"/>
          <w:sz w:val="20"/>
        </w:rPr>
        <w:fldChar w:fldCharType="separate"/>
      </w:r>
      <w:r w:rsidR="00510BB6">
        <w:rPr>
          <w:noProof/>
          <w:color w:val="auto"/>
          <w:sz w:val="20"/>
        </w:rPr>
        <w:t>1</w:t>
      </w:r>
      <w:r w:rsidRPr="00CD2212">
        <w:rPr>
          <w:color w:val="auto"/>
          <w:sz w:val="20"/>
        </w:rPr>
        <w:fldChar w:fldCharType="end"/>
      </w:r>
      <w:r w:rsidRPr="00CD2212">
        <w:rPr>
          <w:color w:val="auto"/>
          <w:sz w:val="20"/>
        </w:rPr>
        <w:t>: Rating Definitions</w:t>
      </w:r>
    </w:p>
    <w:tbl>
      <w:tblPr>
        <w:tblW w:w="0" w:type="auto"/>
        <w:tblCellMar>
          <w:left w:w="0" w:type="dxa"/>
          <w:right w:w="0" w:type="dxa"/>
        </w:tblCellMar>
        <w:tblLook w:val="04A0" w:firstRow="1" w:lastRow="0" w:firstColumn="1" w:lastColumn="0" w:noHBand="0" w:noVBand="1"/>
        <w:tblCaption w:val="Quality Ratings Definitions"/>
        <w:tblDescription w:val="A brief and general explanation for each of the three Quality Rating clssifications."/>
      </w:tblPr>
      <w:tblGrid>
        <w:gridCol w:w="2164"/>
        <w:gridCol w:w="7878"/>
      </w:tblGrid>
      <w:tr w:rsidR="00AC0884" w14:paraId="62D8BEC9" w14:textId="77777777" w:rsidTr="00820CD3">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87E28" w14:textId="77777777" w:rsidR="002736E3" w:rsidRDefault="002736E3" w:rsidP="004B25EB">
            <w:pPr>
              <w:spacing w:before="60" w:after="60"/>
              <w:rPr>
                <w:b/>
                <w:bCs/>
              </w:rPr>
            </w:pPr>
            <w:r>
              <w:rPr>
                <w:b/>
                <w:bCs/>
              </w:rPr>
              <w:t>Rating</w:t>
            </w:r>
          </w:p>
        </w:tc>
        <w:tc>
          <w:tcPr>
            <w:tcW w:w="7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C9839" w14:textId="77777777" w:rsidR="002736E3" w:rsidRDefault="002736E3">
            <w:pPr>
              <w:spacing w:before="60" w:after="60"/>
              <w:rPr>
                <w:b/>
                <w:bCs/>
              </w:rPr>
            </w:pPr>
            <w:r>
              <w:rPr>
                <w:b/>
                <w:bCs/>
              </w:rPr>
              <w:t>Details</w:t>
            </w:r>
          </w:p>
        </w:tc>
      </w:tr>
      <w:tr w:rsidR="002736E3" w14:paraId="613CCA3E" w14:textId="77777777" w:rsidTr="00183011">
        <w:trPr>
          <w:trHeight w:val="391"/>
        </w:trPr>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DCB2A" w14:textId="77777777" w:rsidR="00625723" w:rsidRDefault="002736E3" w:rsidP="00183011">
            <w:pPr>
              <w:pStyle w:val="Default"/>
              <w:ind w:right="-1"/>
            </w:pPr>
            <w:r>
              <w:t xml:space="preserve">Exceeds </w:t>
            </w:r>
            <w:r w:rsidR="002D648A">
              <w:t xml:space="preserve">         </w:t>
            </w:r>
          </w:p>
          <w:p w14:paraId="7EFFEABF" w14:textId="1FD809EC" w:rsidR="002736E3" w:rsidRPr="00183011" w:rsidRDefault="00116FAB" w:rsidP="00183011">
            <w:pPr>
              <w:pStyle w:val="Default"/>
              <w:ind w:right="-1"/>
              <w:rPr>
                <w:sz w:val="28"/>
                <w:szCs w:val="28"/>
              </w:rPr>
            </w:pP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p>
        </w:tc>
        <w:tc>
          <w:tcPr>
            <w:tcW w:w="7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D9228" w14:textId="079A0FA5" w:rsidR="00E42D2E" w:rsidRDefault="00820CD3" w:rsidP="008D4A39">
            <w:pPr>
              <w:spacing w:before="0" w:after="0"/>
            </w:pPr>
            <w:r>
              <w:t>P</w:t>
            </w:r>
            <w:r w:rsidR="00E42D2E">
              <w:t xml:space="preserve">roviders are exceeding the </w:t>
            </w:r>
            <w:r w:rsidR="008D4A39">
              <w:t>d</w:t>
            </w:r>
            <w:r w:rsidR="00E42D2E">
              <w:t>e</w:t>
            </w:r>
            <w:r>
              <w:t>partment’s quality expectations.</w:t>
            </w:r>
          </w:p>
        </w:tc>
      </w:tr>
      <w:tr w:rsidR="00116FAB" w14:paraId="75A6D0BA" w14:textId="77777777" w:rsidTr="00121A1B">
        <w:tc>
          <w:tcPr>
            <w:tcW w:w="2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EF38C" w14:textId="77777777" w:rsidR="00625723" w:rsidRDefault="00116FAB" w:rsidP="00183011">
            <w:pPr>
              <w:pStyle w:val="Default"/>
              <w:ind w:right="-1"/>
            </w:pPr>
            <w:r>
              <w:t>Meets</w:t>
            </w:r>
            <w:r w:rsidR="002D648A">
              <w:t xml:space="preserve">                 </w:t>
            </w:r>
            <w:r>
              <w:t xml:space="preserve"> </w:t>
            </w:r>
          </w:p>
          <w:p w14:paraId="282D6DA6" w14:textId="443EF80D" w:rsidR="00116FAB" w:rsidRPr="00183011" w:rsidRDefault="00116FAB" w:rsidP="00183011">
            <w:pPr>
              <w:pStyle w:val="Default"/>
              <w:ind w:right="-1"/>
              <w:rPr>
                <w:sz w:val="28"/>
                <w:szCs w:val="28"/>
              </w:rPr>
            </w:pPr>
            <w:r w:rsidRPr="00183011">
              <w:rPr>
                <w:rFonts w:asciiTheme="minorHAnsi" w:hAnsiTheme="minorHAnsi" w:cstheme="minorHAnsi"/>
                <w:bCs/>
                <w:sz w:val="28"/>
                <w:szCs w:val="28"/>
              </w:rPr>
              <w:sym w:font="Wingdings" w:char="F0FC"/>
            </w:r>
            <w:r w:rsidRPr="00183011">
              <w:rPr>
                <w:rFonts w:asciiTheme="minorHAnsi" w:hAnsiTheme="minorHAnsi" w:cstheme="minorHAnsi"/>
                <w:bCs/>
                <w:sz w:val="28"/>
                <w:szCs w:val="28"/>
              </w:rPr>
              <w:sym w:font="Wingdings" w:char="F0FC"/>
            </w:r>
          </w:p>
        </w:tc>
        <w:tc>
          <w:tcPr>
            <w:tcW w:w="7878" w:type="dxa"/>
            <w:tcBorders>
              <w:top w:val="nil"/>
              <w:left w:val="nil"/>
              <w:bottom w:val="single" w:sz="8" w:space="0" w:color="auto"/>
              <w:right w:val="single" w:sz="8" w:space="0" w:color="auto"/>
            </w:tcBorders>
            <w:tcMar>
              <w:top w:w="0" w:type="dxa"/>
              <w:left w:w="108" w:type="dxa"/>
              <w:bottom w:w="0" w:type="dxa"/>
              <w:right w:w="108" w:type="dxa"/>
            </w:tcMar>
            <w:hideMark/>
          </w:tcPr>
          <w:p w14:paraId="71D4394A" w14:textId="12EC71C6" w:rsidR="00116FAB" w:rsidRDefault="008D4A39" w:rsidP="00121A1B">
            <w:pPr>
              <w:spacing w:before="60" w:after="60"/>
            </w:pPr>
            <w:r>
              <w:t>Providers are meeting the d</w:t>
            </w:r>
            <w:r w:rsidR="00116FAB">
              <w:t>epartment’s quality expectations.</w:t>
            </w:r>
          </w:p>
        </w:tc>
      </w:tr>
      <w:tr w:rsidR="00116FAB" w14:paraId="1227B978" w14:textId="77777777" w:rsidTr="00116FAB">
        <w:tc>
          <w:tcPr>
            <w:tcW w:w="2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5E41E5" w14:textId="77777777" w:rsidR="00625723" w:rsidRDefault="00116FAB" w:rsidP="00183011">
            <w:pPr>
              <w:pStyle w:val="Default"/>
              <w:ind w:right="-1"/>
            </w:pPr>
            <w:r>
              <w:t xml:space="preserve">Improvement Required </w:t>
            </w:r>
            <w:r w:rsidR="002D648A">
              <w:t xml:space="preserve">              </w:t>
            </w:r>
          </w:p>
          <w:p w14:paraId="7C7A989F" w14:textId="17F12D22" w:rsidR="00116FAB" w:rsidRPr="00183011" w:rsidRDefault="00116FAB" w:rsidP="00183011">
            <w:pPr>
              <w:pStyle w:val="Default"/>
              <w:ind w:right="-1"/>
              <w:rPr>
                <w:sz w:val="28"/>
                <w:szCs w:val="28"/>
              </w:rPr>
            </w:pPr>
            <w:r w:rsidRPr="00183011">
              <w:rPr>
                <w:rFonts w:asciiTheme="minorHAnsi" w:hAnsiTheme="minorHAnsi" w:cstheme="minorHAnsi"/>
                <w:bCs/>
                <w:sz w:val="28"/>
                <w:szCs w:val="28"/>
              </w:rPr>
              <w:sym w:font="Wingdings" w:char="F0FC"/>
            </w:r>
          </w:p>
        </w:tc>
        <w:tc>
          <w:tcPr>
            <w:tcW w:w="7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DF68A" w14:textId="358E4965" w:rsidR="00116FAB" w:rsidRDefault="006E28C4" w:rsidP="008D4A39">
            <w:pPr>
              <w:spacing w:before="0" w:after="0"/>
            </w:pPr>
            <w:r>
              <w:t>P</w:t>
            </w:r>
            <w:r w:rsidR="000656FF" w:rsidRPr="00BD631A">
              <w:t xml:space="preserve">roviders </w:t>
            </w:r>
            <w:r w:rsidR="000656FF">
              <w:t>have not fully met the d</w:t>
            </w:r>
            <w:r w:rsidR="000656FF" w:rsidRPr="00BD631A">
              <w:t>epartment’s quality expectations. Improvement actions are required or will continue</w:t>
            </w:r>
            <w:r w:rsidR="00116FAB">
              <w:t>.</w:t>
            </w:r>
          </w:p>
        </w:tc>
      </w:tr>
    </w:tbl>
    <w:p w14:paraId="2192B7CF" w14:textId="5986377C" w:rsidR="00E60EB1" w:rsidRDefault="00820CD3" w:rsidP="00E60EB1">
      <w:pPr>
        <w:spacing w:line="276" w:lineRule="auto"/>
      </w:pPr>
      <w:r>
        <w:t xml:space="preserve">The approach to determine the individual </w:t>
      </w:r>
      <w:r w:rsidR="00DA2ABE">
        <w:t xml:space="preserve">quality </w:t>
      </w:r>
      <w:r>
        <w:t>element ratin</w:t>
      </w:r>
      <w:r w:rsidR="00142790">
        <w:t>g</w:t>
      </w:r>
      <w:r>
        <w:t xml:space="preserve">s and overall rating is outlined </w:t>
      </w:r>
      <w:r>
        <w:rPr>
          <w:rFonts w:eastAsia="Calibri" w:cs="Arial"/>
          <w:lang w:val="en-US"/>
        </w:rPr>
        <w:t xml:space="preserve">in </w:t>
      </w:r>
      <w:r w:rsidRPr="006E28C4">
        <w:rPr>
          <w:rFonts w:eastAsia="Calibri" w:cs="Arial"/>
          <w:b/>
          <w:lang w:val="en-US"/>
        </w:rPr>
        <w:t>Attachment A: DES Quality Framework - Assessment Rubric</w:t>
      </w:r>
      <w:r>
        <w:rPr>
          <w:rFonts w:eastAsia="Calibri" w:cs="Arial"/>
          <w:lang w:val="en-US"/>
        </w:rPr>
        <w:t>.</w:t>
      </w:r>
    </w:p>
    <w:p w14:paraId="0D0B6D56" w14:textId="77777777" w:rsidR="00E60EB1" w:rsidRDefault="00E60EB1">
      <w:pPr>
        <w:spacing w:before="0" w:after="0"/>
      </w:pPr>
      <w:r>
        <w:br w:type="page"/>
      </w:r>
    </w:p>
    <w:p w14:paraId="78E4FDC2" w14:textId="688B48CF" w:rsidR="001F72FF" w:rsidRPr="00067E57" w:rsidRDefault="001F72FF" w:rsidP="00055E38">
      <w:pPr>
        <w:pStyle w:val="Heading1"/>
        <w:numPr>
          <w:ilvl w:val="0"/>
          <w:numId w:val="14"/>
        </w:numPr>
        <w:spacing w:line="276" w:lineRule="auto"/>
        <w:jc w:val="left"/>
        <w:rPr>
          <w:rFonts w:asciiTheme="minorHAnsi" w:hAnsiTheme="minorHAnsi" w:cstheme="minorHAnsi"/>
          <w:sz w:val="36"/>
        </w:rPr>
      </w:pPr>
      <w:bookmarkStart w:id="81" w:name="_Toc157587864"/>
      <w:r>
        <w:rPr>
          <w:rFonts w:asciiTheme="minorHAnsi" w:hAnsiTheme="minorHAnsi" w:cstheme="minorHAnsi"/>
          <w:sz w:val="36"/>
        </w:rPr>
        <w:lastRenderedPageBreak/>
        <w:t>Q</w:t>
      </w:r>
      <w:r w:rsidRPr="00067E57">
        <w:rPr>
          <w:rFonts w:asciiTheme="minorHAnsi" w:hAnsiTheme="minorHAnsi" w:cstheme="minorHAnsi"/>
          <w:sz w:val="36"/>
        </w:rPr>
        <w:t>uality assessment process</w:t>
      </w:r>
      <w:bookmarkEnd w:id="81"/>
    </w:p>
    <w:p w14:paraId="03E7F4B7" w14:textId="77777777" w:rsidR="001F72FF" w:rsidRPr="00314E60" w:rsidRDefault="001F72FF" w:rsidP="00055E38">
      <w:pPr>
        <w:pStyle w:val="Heading2"/>
        <w:numPr>
          <w:ilvl w:val="1"/>
          <w:numId w:val="14"/>
        </w:numPr>
        <w:spacing w:before="120" w:after="120" w:line="276" w:lineRule="auto"/>
        <w:ind w:left="788" w:hanging="431"/>
        <w:rPr>
          <w:rFonts w:asciiTheme="minorHAnsi" w:hAnsiTheme="minorHAnsi" w:cstheme="minorHAnsi"/>
        </w:rPr>
      </w:pPr>
      <w:bookmarkStart w:id="82" w:name="_Toc157587865"/>
      <w:r w:rsidRPr="00314E60">
        <w:rPr>
          <w:rFonts w:asciiTheme="minorHAnsi" w:hAnsiTheme="minorHAnsi" w:cstheme="minorHAnsi"/>
        </w:rPr>
        <w:t>Overview of the quality assessment process</w:t>
      </w:r>
      <w:bookmarkEnd w:id="82"/>
    </w:p>
    <w:p w14:paraId="5034ACA2" w14:textId="6B955A96" w:rsidR="009E1723" w:rsidRDefault="009E1723" w:rsidP="00055E38">
      <w:pPr>
        <w:spacing w:line="276" w:lineRule="auto"/>
      </w:pPr>
      <w:r>
        <w:t>The department will review and consider all available evidence and data</w:t>
      </w:r>
      <w:r w:rsidR="000F7DB9">
        <w:t xml:space="preserve"> as detailed in </w:t>
      </w:r>
      <w:r w:rsidR="000F7DB9" w:rsidRPr="00771756">
        <w:t>Section 4</w:t>
      </w:r>
      <w:r w:rsidR="006E28C4" w:rsidRPr="00771756">
        <w:t xml:space="preserve"> below</w:t>
      </w:r>
      <w:r w:rsidRPr="006E28C4">
        <w:rPr>
          <w:i/>
        </w:rPr>
        <w:t xml:space="preserve">. </w:t>
      </w:r>
      <w:r w:rsidRPr="006E28C4">
        <w:t xml:space="preserve">Assessment </w:t>
      </w:r>
      <w:r w:rsidR="006E28C4">
        <w:t>r</w:t>
      </w:r>
      <w:r w:rsidRPr="006E28C4">
        <w:t>atings will</w:t>
      </w:r>
      <w:r>
        <w:t xml:space="preserve"> undergo moderation to ensure a consistent approach to ratings.</w:t>
      </w:r>
    </w:p>
    <w:p w14:paraId="54395417" w14:textId="31199D31" w:rsidR="001F72FF" w:rsidRDefault="001F72FF" w:rsidP="00055E38">
      <w:pPr>
        <w:spacing w:line="276" w:lineRule="auto"/>
      </w:pPr>
      <w:r>
        <w:t xml:space="preserve">A </w:t>
      </w:r>
      <w:r w:rsidR="00810953">
        <w:t>q</w:t>
      </w:r>
      <w:r>
        <w:t xml:space="preserve">uality </w:t>
      </w:r>
      <w:r w:rsidR="00810953">
        <w:t>r</w:t>
      </w:r>
      <w:r>
        <w:t xml:space="preserve">ating </w:t>
      </w:r>
      <w:r w:rsidR="00B41306">
        <w:t xml:space="preserve">for each provider </w:t>
      </w:r>
      <w:r>
        <w:t>will be released every six months capturing performance over a rolling 12</w:t>
      </w:r>
      <w:r w:rsidR="00E208EC">
        <w:noBreakHyphen/>
      </w:r>
      <w:r>
        <w:t xml:space="preserve">month period. </w:t>
      </w:r>
      <w:r w:rsidRPr="00DD60E5">
        <w:t xml:space="preserve">This </w:t>
      </w:r>
      <w:r>
        <w:t>allows the incorporation of</w:t>
      </w:r>
      <w:r w:rsidRPr="00DD60E5">
        <w:t xml:space="preserve"> NSDS Audits </w:t>
      </w:r>
      <w:r>
        <w:t>that</w:t>
      </w:r>
      <w:r w:rsidR="006E28C4">
        <w:t xml:space="preserve"> are conducted annually.</w:t>
      </w:r>
    </w:p>
    <w:p w14:paraId="2F254F2E" w14:textId="23B2DB4C" w:rsidR="00625DDF" w:rsidRPr="00625DDF" w:rsidRDefault="00625DDF" w:rsidP="00625DDF">
      <w:pPr>
        <w:pStyle w:val="Caption"/>
        <w:keepNext/>
        <w:rPr>
          <w:color w:val="auto"/>
          <w:sz w:val="20"/>
        </w:rPr>
      </w:pPr>
      <w:r w:rsidRPr="00625DDF">
        <w:rPr>
          <w:color w:val="auto"/>
          <w:sz w:val="20"/>
        </w:rPr>
        <w:t xml:space="preserve">Figure </w:t>
      </w:r>
      <w:r w:rsidRPr="00625DDF">
        <w:rPr>
          <w:color w:val="auto"/>
          <w:sz w:val="20"/>
        </w:rPr>
        <w:fldChar w:fldCharType="begin"/>
      </w:r>
      <w:r w:rsidRPr="00625DDF">
        <w:rPr>
          <w:color w:val="auto"/>
          <w:sz w:val="20"/>
        </w:rPr>
        <w:instrText xml:space="preserve"> SEQ Figure \* ARABIC </w:instrText>
      </w:r>
      <w:r w:rsidRPr="00625DDF">
        <w:rPr>
          <w:color w:val="auto"/>
          <w:sz w:val="20"/>
        </w:rPr>
        <w:fldChar w:fldCharType="separate"/>
      </w:r>
      <w:r w:rsidR="00510BB6">
        <w:rPr>
          <w:noProof/>
          <w:color w:val="auto"/>
          <w:sz w:val="20"/>
        </w:rPr>
        <w:t>2</w:t>
      </w:r>
      <w:r w:rsidRPr="00625DDF">
        <w:rPr>
          <w:color w:val="auto"/>
          <w:sz w:val="20"/>
        </w:rPr>
        <w:fldChar w:fldCharType="end"/>
      </w:r>
      <w:r w:rsidRPr="00625DDF">
        <w:rPr>
          <w:color w:val="auto"/>
          <w:sz w:val="20"/>
        </w:rPr>
        <w:t>: Overview of the quality assessment process</w:t>
      </w:r>
    </w:p>
    <w:p w14:paraId="7DC8831A" w14:textId="53AF1754" w:rsidR="001F72FF" w:rsidRPr="00314E60" w:rsidRDefault="00AB56B7" w:rsidP="00820CD3">
      <w:pPr>
        <w:spacing w:line="276" w:lineRule="auto"/>
        <w:jc w:val="center"/>
        <w:rPr>
          <w:rFonts w:asciiTheme="minorHAnsi" w:hAnsiTheme="minorHAnsi" w:cstheme="minorHAnsi"/>
          <w:b/>
          <w:bCs/>
          <w:sz w:val="24"/>
        </w:rPr>
      </w:pPr>
      <w:r w:rsidRPr="00AB56B7">
        <w:rPr>
          <w:rFonts w:asciiTheme="minorHAnsi" w:hAnsiTheme="minorHAnsi" w:cstheme="minorHAnsi"/>
          <w:b/>
          <w:bCs/>
          <w:noProof/>
          <w:sz w:val="24"/>
        </w:rPr>
        <w:drawing>
          <wp:inline distT="0" distB="0" distL="0" distR="0" wp14:anchorId="7F1EDFA8" wp14:editId="256B9713">
            <wp:extent cx="6389370" cy="1623695"/>
            <wp:effectExtent l="0" t="0" r="0" b="0"/>
            <wp:docPr id="4" name="Picture 4" descr="1a. DSS collates NSDS reports and other data&#10;1b. DSS engages with providers regularly, including through site and threshold visits&#10;1c. Providers complete the Understanding Quality Self-Assessment Tool&#10;2. DSS reviews and considers all available evidence and data, including the NSDS reports and the Provider Understanding Quality Self-Assessment&#10;3. DSS determines rating which is moderated and issued to providers in a Quality Scorecard&#10;4. Providers have an opportunity to review their quality rating prior to its public release. During this, they can request a review of their rating if they disagree with it.&#10;5. All provider ratings are released publicly.&#10;5a. For providers not meeting standards, a Quality Improvement Plan is created and put in place." title="The Process for Assessing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9370" cy="1623695"/>
                    </a:xfrm>
                    <a:prstGeom prst="rect">
                      <a:avLst/>
                    </a:prstGeom>
                  </pic:spPr>
                </pic:pic>
              </a:graphicData>
            </a:graphic>
          </wp:inline>
        </w:drawing>
      </w:r>
    </w:p>
    <w:p w14:paraId="0CE19D19" w14:textId="73F6C520" w:rsidR="005E4DE9" w:rsidRPr="002325AF" w:rsidRDefault="005E4DE9" w:rsidP="00820CD3">
      <w:pPr>
        <w:pStyle w:val="Heading2"/>
        <w:numPr>
          <w:ilvl w:val="1"/>
          <w:numId w:val="14"/>
        </w:numPr>
        <w:spacing w:before="120" w:after="120" w:line="276" w:lineRule="auto"/>
        <w:rPr>
          <w:rFonts w:asciiTheme="minorHAnsi" w:hAnsiTheme="minorHAnsi" w:cstheme="minorHAnsi"/>
        </w:rPr>
      </w:pPr>
      <w:bookmarkStart w:id="83" w:name="_Toc150338598"/>
      <w:bookmarkStart w:id="84" w:name="_Toc157587866"/>
      <w:bookmarkEnd w:id="83"/>
      <w:r>
        <w:rPr>
          <w:rFonts w:asciiTheme="minorHAnsi" w:hAnsiTheme="minorHAnsi" w:cstheme="minorHAnsi"/>
        </w:rPr>
        <w:t>Provider Notification and Quality Scorecard</w:t>
      </w:r>
      <w:bookmarkEnd w:id="84"/>
    </w:p>
    <w:p w14:paraId="18876C89" w14:textId="77777777" w:rsidR="00810953" w:rsidRPr="00A13F71" w:rsidRDefault="00810953" w:rsidP="00820CD3">
      <w:pPr>
        <w:spacing w:line="276" w:lineRule="auto"/>
      </w:pPr>
      <w:r w:rsidRPr="00A13F71">
        <w:t>Quality ratings will be issued to providers through a ‘quality scorecard’. The quality scorecard will include:</w:t>
      </w:r>
    </w:p>
    <w:p w14:paraId="1E5B91C6" w14:textId="3F67D462" w:rsidR="00810953" w:rsidRPr="00A13F71" w:rsidRDefault="00810953" w:rsidP="00820CD3">
      <w:pPr>
        <w:pStyle w:val="BodyText"/>
        <w:widowControl/>
        <w:numPr>
          <w:ilvl w:val="0"/>
          <w:numId w:val="17"/>
        </w:numPr>
        <w:autoSpaceDE/>
        <w:autoSpaceDN/>
        <w:spacing w:before="120" w:after="120" w:line="276" w:lineRule="auto"/>
        <w:jc w:val="both"/>
        <w:rPr>
          <w:rFonts w:asciiTheme="minorHAnsi" w:hAnsiTheme="minorHAnsi" w:cstheme="minorHAnsi"/>
          <w:sz w:val="22"/>
        </w:rPr>
      </w:pPr>
      <w:r w:rsidRPr="00A13F71">
        <w:rPr>
          <w:rFonts w:asciiTheme="minorHAnsi" w:hAnsiTheme="minorHAnsi" w:cstheme="minorHAnsi"/>
          <w:sz w:val="22"/>
        </w:rPr>
        <w:t xml:space="preserve">the quality ratings for each </w:t>
      </w:r>
      <w:r w:rsidR="00DA2ABE">
        <w:rPr>
          <w:rFonts w:asciiTheme="minorHAnsi" w:hAnsiTheme="minorHAnsi" w:cstheme="minorHAnsi"/>
          <w:sz w:val="22"/>
        </w:rPr>
        <w:t xml:space="preserve">quality </w:t>
      </w:r>
      <w:r w:rsidRPr="00A13F71">
        <w:rPr>
          <w:rFonts w:asciiTheme="minorHAnsi" w:hAnsiTheme="minorHAnsi" w:cstheme="minorHAnsi"/>
          <w:sz w:val="22"/>
        </w:rPr>
        <w:t>element</w:t>
      </w:r>
    </w:p>
    <w:p w14:paraId="39F40FC7" w14:textId="1726E361" w:rsidR="00810953" w:rsidRDefault="00810953" w:rsidP="00820CD3">
      <w:pPr>
        <w:pStyle w:val="BodyText"/>
        <w:widowControl/>
        <w:numPr>
          <w:ilvl w:val="0"/>
          <w:numId w:val="17"/>
        </w:numPr>
        <w:autoSpaceDE/>
        <w:autoSpaceDN/>
        <w:spacing w:before="120" w:after="120" w:line="276" w:lineRule="auto"/>
        <w:jc w:val="both"/>
        <w:rPr>
          <w:rFonts w:asciiTheme="minorHAnsi" w:hAnsiTheme="minorHAnsi" w:cstheme="minorHAnsi"/>
          <w:sz w:val="22"/>
        </w:rPr>
      </w:pPr>
      <w:r w:rsidRPr="00A13F71">
        <w:rPr>
          <w:rFonts w:asciiTheme="minorHAnsi" w:hAnsiTheme="minorHAnsi" w:cstheme="minorHAnsi"/>
          <w:sz w:val="22"/>
        </w:rPr>
        <w:t xml:space="preserve">ratings for each indicator that informs the </w:t>
      </w:r>
      <w:r w:rsidR="00DA2ABE">
        <w:rPr>
          <w:rFonts w:asciiTheme="minorHAnsi" w:hAnsiTheme="minorHAnsi" w:cstheme="minorHAnsi"/>
          <w:sz w:val="22"/>
        </w:rPr>
        <w:t xml:space="preserve">quality </w:t>
      </w:r>
      <w:r w:rsidRPr="00A13F71">
        <w:rPr>
          <w:rFonts w:asciiTheme="minorHAnsi" w:hAnsiTheme="minorHAnsi" w:cstheme="minorHAnsi"/>
          <w:sz w:val="22"/>
        </w:rPr>
        <w:t>element rating</w:t>
      </w:r>
      <w:r w:rsidR="006E28C4">
        <w:rPr>
          <w:rFonts w:asciiTheme="minorHAnsi" w:hAnsiTheme="minorHAnsi" w:cstheme="minorHAnsi"/>
          <w:sz w:val="22"/>
        </w:rPr>
        <w:t>.</w:t>
      </w:r>
    </w:p>
    <w:p w14:paraId="15A32E61" w14:textId="47962B23" w:rsidR="002425AE" w:rsidRPr="00A13F71" w:rsidRDefault="002425AE" w:rsidP="00820CD3">
      <w:pPr>
        <w:spacing w:line="276" w:lineRule="auto"/>
      </w:pPr>
      <w:r w:rsidRPr="00A13F71">
        <w:t xml:space="preserve">The quality scorecard </w:t>
      </w:r>
      <w:r>
        <w:t>may also</w:t>
      </w:r>
      <w:r w:rsidRPr="00A13F71">
        <w:t xml:space="preserve"> include:</w:t>
      </w:r>
    </w:p>
    <w:p w14:paraId="630E1DA2" w14:textId="7C467FC1" w:rsidR="00810953" w:rsidRPr="00A13F71" w:rsidRDefault="00810953" w:rsidP="00820CD3">
      <w:pPr>
        <w:pStyle w:val="BodyText"/>
        <w:widowControl/>
        <w:numPr>
          <w:ilvl w:val="0"/>
          <w:numId w:val="17"/>
        </w:numPr>
        <w:autoSpaceDE/>
        <w:autoSpaceDN/>
        <w:spacing w:before="120" w:after="120" w:line="276" w:lineRule="auto"/>
        <w:jc w:val="both"/>
        <w:rPr>
          <w:rFonts w:asciiTheme="minorHAnsi" w:hAnsiTheme="minorHAnsi" w:cstheme="minorHAnsi"/>
          <w:sz w:val="22"/>
        </w:rPr>
      </w:pPr>
      <w:r w:rsidRPr="00A13F71">
        <w:rPr>
          <w:rFonts w:asciiTheme="minorHAnsi" w:hAnsiTheme="minorHAnsi" w:cstheme="minorHAnsi"/>
          <w:sz w:val="22"/>
        </w:rPr>
        <w:t>key areas of strength</w:t>
      </w:r>
    </w:p>
    <w:p w14:paraId="2F93AF9C" w14:textId="56544D33" w:rsidR="00810953" w:rsidRPr="00A13F71" w:rsidRDefault="00810953" w:rsidP="00820CD3">
      <w:pPr>
        <w:pStyle w:val="BodyText"/>
        <w:widowControl/>
        <w:numPr>
          <w:ilvl w:val="0"/>
          <w:numId w:val="17"/>
        </w:numPr>
        <w:autoSpaceDE/>
        <w:autoSpaceDN/>
        <w:spacing w:before="120" w:after="120" w:line="276" w:lineRule="auto"/>
        <w:jc w:val="both"/>
        <w:rPr>
          <w:rFonts w:asciiTheme="minorHAnsi" w:hAnsiTheme="minorHAnsi" w:cstheme="minorHAnsi"/>
          <w:sz w:val="22"/>
        </w:rPr>
      </w:pPr>
      <w:r w:rsidRPr="00A13F71">
        <w:rPr>
          <w:rFonts w:asciiTheme="minorHAnsi" w:hAnsiTheme="minorHAnsi" w:cstheme="minorHAnsi"/>
          <w:sz w:val="22"/>
        </w:rPr>
        <w:t xml:space="preserve">areas for further development and improvement for each </w:t>
      </w:r>
      <w:r w:rsidR="00DA2ABE">
        <w:rPr>
          <w:rFonts w:asciiTheme="minorHAnsi" w:hAnsiTheme="minorHAnsi" w:cstheme="minorHAnsi"/>
          <w:sz w:val="22"/>
        </w:rPr>
        <w:t xml:space="preserve">quality </w:t>
      </w:r>
      <w:r w:rsidRPr="00A13F71">
        <w:rPr>
          <w:rFonts w:asciiTheme="minorHAnsi" w:hAnsiTheme="minorHAnsi" w:cstheme="minorHAnsi"/>
          <w:sz w:val="22"/>
        </w:rPr>
        <w:t>element.</w:t>
      </w:r>
    </w:p>
    <w:p w14:paraId="2D6093CB" w14:textId="73373F4B" w:rsidR="00810953" w:rsidRDefault="00810953" w:rsidP="00820CD3">
      <w:pPr>
        <w:spacing w:line="276" w:lineRule="auto"/>
      </w:pPr>
      <w:r w:rsidRPr="00A13F71">
        <w:rPr>
          <w:rFonts w:asciiTheme="minorHAnsi" w:hAnsiTheme="minorHAnsi" w:cstheme="minorHAnsi"/>
        </w:rPr>
        <w:t>The scorecard can be used by providers to inform continuous</w:t>
      </w:r>
      <w:r w:rsidR="00493CBF">
        <w:rPr>
          <w:rFonts w:asciiTheme="minorHAnsi" w:hAnsiTheme="minorHAnsi" w:cstheme="minorHAnsi"/>
        </w:rPr>
        <w:t xml:space="preserve"> improvement</w:t>
      </w:r>
      <w:r>
        <w:t>.</w:t>
      </w:r>
    </w:p>
    <w:p w14:paraId="0368566E" w14:textId="6B6C3642" w:rsidR="00CA02CD" w:rsidRDefault="00CA02CD" w:rsidP="00820CD3">
      <w:pPr>
        <w:pStyle w:val="Heading2"/>
        <w:numPr>
          <w:ilvl w:val="1"/>
          <w:numId w:val="14"/>
        </w:numPr>
        <w:spacing w:before="120" w:after="120" w:line="276" w:lineRule="auto"/>
      </w:pPr>
      <w:bookmarkStart w:id="85" w:name="_Toc157587867"/>
      <w:r w:rsidRPr="00CA02CD">
        <w:rPr>
          <w:rFonts w:asciiTheme="minorHAnsi" w:hAnsiTheme="minorHAnsi" w:cstheme="minorHAnsi"/>
        </w:rPr>
        <w:t>Provider Review of Rating</w:t>
      </w:r>
      <w:bookmarkEnd w:id="85"/>
    </w:p>
    <w:p w14:paraId="718D16CA" w14:textId="6A1B7793" w:rsidR="00CA02CD" w:rsidRDefault="0026772F" w:rsidP="00820CD3">
      <w:pPr>
        <w:spacing w:line="276" w:lineRule="auto"/>
        <w:rPr>
          <w:rFonts w:eastAsia="Calibri" w:cs="Arial"/>
          <w:lang w:val="en-US"/>
        </w:rPr>
      </w:pPr>
      <w:r w:rsidRPr="00990286">
        <w:t xml:space="preserve">Once </w:t>
      </w:r>
      <w:r w:rsidRPr="00820CD3">
        <w:t xml:space="preserve">all quality assessments have been completed, providers will be </w:t>
      </w:r>
      <w:r w:rsidR="00116FAB">
        <w:t xml:space="preserve">issued with a </w:t>
      </w:r>
      <w:r w:rsidR="006E28C4">
        <w:t>quality s</w:t>
      </w:r>
      <w:r w:rsidR="00116FAB">
        <w:t>corecard</w:t>
      </w:r>
      <w:r w:rsidR="00A17AA5">
        <w:t xml:space="preserve"> detailing their quality rating</w:t>
      </w:r>
      <w:r w:rsidRPr="00820CD3">
        <w:rPr>
          <w:rFonts w:eastAsia="Calibri" w:cs="Arial"/>
          <w:lang w:val="en-US"/>
        </w:rPr>
        <w:t>.</w:t>
      </w:r>
      <w:r>
        <w:rPr>
          <w:rFonts w:eastAsia="Calibri" w:cs="Arial"/>
          <w:lang w:val="en-US"/>
        </w:rPr>
        <w:t xml:space="preserve"> </w:t>
      </w:r>
      <w:r w:rsidR="00C1096F">
        <w:rPr>
          <w:rFonts w:eastAsia="Calibri" w:cs="Arial"/>
          <w:lang w:val="en-US"/>
        </w:rPr>
        <w:t>Providers have an opportunity to formally request a review of the</w:t>
      </w:r>
      <w:r w:rsidR="00A17AA5">
        <w:rPr>
          <w:rFonts w:eastAsia="Calibri" w:cs="Arial"/>
          <w:lang w:val="en-US"/>
        </w:rPr>
        <w:t>ir quality</w:t>
      </w:r>
      <w:r w:rsidR="00C1096F">
        <w:rPr>
          <w:rFonts w:eastAsia="Calibri" w:cs="Arial"/>
          <w:lang w:val="en-US"/>
        </w:rPr>
        <w:t xml:space="preserve"> ratings</w:t>
      </w:r>
      <w:r w:rsidR="00A17AA5">
        <w:rPr>
          <w:rFonts w:eastAsia="Calibri" w:cs="Arial"/>
          <w:lang w:val="en-US"/>
        </w:rPr>
        <w:t xml:space="preserve"> prior to public release</w:t>
      </w:r>
      <w:r w:rsidR="00C1096F">
        <w:rPr>
          <w:rFonts w:eastAsia="Calibri" w:cs="Arial"/>
          <w:lang w:val="en-US"/>
        </w:rPr>
        <w:t>.</w:t>
      </w:r>
    </w:p>
    <w:p w14:paraId="730BEF7C" w14:textId="4BF5399C" w:rsidR="00CA02CD" w:rsidRDefault="002317E5" w:rsidP="00820CD3">
      <w:pPr>
        <w:spacing w:line="276" w:lineRule="auto"/>
      </w:pPr>
      <w:r>
        <w:rPr>
          <w:rFonts w:eastAsia="Calibri" w:cs="Arial"/>
          <w:lang w:val="en-US"/>
        </w:rPr>
        <w:t xml:space="preserve">Requests </w:t>
      </w:r>
      <w:r w:rsidR="00C1096F">
        <w:t xml:space="preserve">for review must identify which indicator and/or </w:t>
      </w:r>
      <w:r w:rsidR="00DA2ABE">
        <w:t xml:space="preserve">quality </w:t>
      </w:r>
      <w:r w:rsidR="00C1096F">
        <w:t xml:space="preserve">element rating is considered to be incorrectly rated with a justification statement </w:t>
      </w:r>
      <w:r w:rsidR="00FA6C3E">
        <w:t xml:space="preserve">and supporting evidence </w:t>
      </w:r>
      <w:r w:rsidR="00C1096F">
        <w:t>as to why a different rating is appropriate.</w:t>
      </w:r>
    </w:p>
    <w:p w14:paraId="1E8BD7CB" w14:textId="073B88B3" w:rsidR="009A7D79" w:rsidRDefault="00493CBF" w:rsidP="00820CD3">
      <w:pPr>
        <w:spacing w:line="276" w:lineRule="auto"/>
      </w:pPr>
      <w:r>
        <w:t xml:space="preserve">Providers must send </w:t>
      </w:r>
      <w:r w:rsidR="00CA02CD">
        <w:t xml:space="preserve">review </w:t>
      </w:r>
      <w:r>
        <w:t>r</w:t>
      </w:r>
      <w:r w:rsidR="00C1096F">
        <w:t>equests to</w:t>
      </w:r>
      <w:r>
        <w:t xml:space="preserve"> the relevant </w:t>
      </w:r>
      <w:r w:rsidR="00C1096F">
        <w:t xml:space="preserve">Relationship Manager </w:t>
      </w:r>
      <w:r>
        <w:t>within 10</w:t>
      </w:r>
      <w:r w:rsidR="00C90734">
        <w:t xml:space="preserve"> business</w:t>
      </w:r>
      <w:r>
        <w:t xml:space="preserve"> days of receiving the </w:t>
      </w:r>
      <w:r w:rsidR="006E28C4">
        <w:t>q</w:t>
      </w:r>
      <w:r w:rsidR="009A7D79">
        <w:t xml:space="preserve">uality </w:t>
      </w:r>
      <w:r w:rsidR="006E28C4">
        <w:t>r</w:t>
      </w:r>
      <w:r w:rsidR="009A7D79">
        <w:t xml:space="preserve">ating </w:t>
      </w:r>
      <w:r w:rsidR="006E28C4">
        <w:t>s</w:t>
      </w:r>
      <w:r w:rsidR="009A7D79">
        <w:t>corecard</w:t>
      </w:r>
      <w:r w:rsidR="0072010B">
        <w:t>.</w:t>
      </w:r>
      <w:bookmarkStart w:id="86" w:name="_Toc150338607"/>
      <w:bookmarkEnd w:id="86"/>
    </w:p>
    <w:p w14:paraId="52F8710E" w14:textId="5CBEE90E" w:rsidR="00E60EB1" w:rsidRDefault="006E28C4" w:rsidP="00820CD3">
      <w:pPr>
        <w:spacing w:line="276" w:lineRule="auto"/>
        <w:rPr>
          <w:rFonts w:asciiTheme="minorHAnsi" w:hAnsiTheme="minorHAnsi" w:cstheme="minorHAnsi"/>
        </w:rPr>
      </w:pPr>
      <w:r>
        <w:rPr>
          <w:rFonts w:asciiTheme="minorHAnsi" w:hAnsiTheme="minorHAnsi" w:cstheme="minorHAnsi"/>
        </w:rPr>
        <w:t>Following the review period, q</w:t>
      </w:r>
      <w:r w:rsidR="00921EC0">
        <w:rPr>
          <w:rFonts w:asciiTheme="minorHAnsi" w:hAnsiTheme="minorHAnsi" w:cstheme="minorHAnsi"/>
        </w:rPr>
        <w:t xml:space="preserve">uality </w:t>
      </w:r>
      <w:r>
        <w:rPr>
          <w:rFonts w:asciiTheme="minorHAnsi" w:hAnsiTheme="minorHAnsi" w:cstheme="minorHAnsi"/>
        </w:rPr>
        <w:t>r</w:t>
      </w:r>
      <w:r w:rsidR="00921EC0">
        <w:rPr>
          <w:rFonts w:asciiTheme="minorHAnsi" w:hAnsiTheme="minorHAnsi" w:cstheme="minorHAnsi"/>
        </w:rPr>
        <w:t xml:space="preserve">ating </w:t>
      </w:r>
      <w:r>
        <w:rPr>
          <w:rFonts w:asciiTheme="minorHAnsi" w:hAnsiTheme="minorHAnsi" w:cstheme="minorHAnsi"/>
        </w:rPr>
        <w:t>s</w:t>
      </w:r>
      <w:r w:rsidR="00921EC0">
        <w:rPr>
          <w:rFonts w:asciiTheme="minorHAnsi" w:hAnsiTheme="minorHAnsi" w:cstheme="minorHAnsi"/>
        </w:rPr>
        <w:t>corecards will be affirmed or w</w:t>
      </w:r>
      <w:r>
        <w:rPr>
          <w:rFonts w:asciiTheme="minorHAnsi" w:hAnsiTheme="minorHAnsi" w:cstheme="minorHAnsi"/>
        </w:rPr>
        <w:t>here changes are agreed, the q</w:t>
      </w:r>
      <w:r w:rsidR="009A7D79">
        <w:rPr>
          <w:rFonts w:asciiTheme="minorHAnsi" w:hAnsiTheme="minorHAnsi" w:cstheme="minorHAnsi"/>
        </w:rPr>
        <w:t xml:space="preserve">uality </w:t>
      </w:r>
      <w:r>
        <w:rPr>
          <w:rFonts w:asciiTheme="minorHAnsi" w:hAnsiTheme="minorHAnsi" w:cstheme="minorHAnsi"/>
        </w:rPr>
        <w:t>r</w:t>
      </w:r>
      <w:r w:rsidR="009A7D79">
        <w:rPr>
          <w:rFonts w:asciiTheme="minorHAnsi" w:hAnsiTheme="minorHAnsi" w:cstheme="minorHAnsi"/>
        </w:rPr>
        <w:t xml:space="preserve">ating </w:t>
      </w:r>
      <w:r>
        <w:rPr>
          <w:rFonts w:asciiTheme="minorHAnsi" w:hAnsiTheme="minorHAnsi" w:cstheme="minorHAnsi"/>
        </w:rPr>
        <w:t>s</w:t>
      </w:r>
      <w:r w:rsidR="009A7D79">
        <w:rPr>
          <w:rFonts w:asciiTheme="minorHAnsi" w:hAnsiTheme="minorHAnsi" w:cstheme="minorHAnsi"/>
        </w:rPr>
        <w:t>corecard</w:t>
      </w:r>
      <w:r>
        <w:rPr>
          <w:rFonts w:asciiTheme="minorHAnsi" w:hAnsiTheme="minorHAnsi" w:cstheme="minorHAnsi"/>
        </w:rPr>
        <w:t xml:space="preserve"> </w:t>
      </w:r>
      <w:r w:rsidR="009A7D79">
        <w:rPr>
          <w:rFonts w:asciiTheme="minorHAnsi" w:hAnsiTheme="minorHAnsi" w:cstheme="minorHAnsi"/>
        </w:rPr>
        <w:t>will be reissued</w:t>
      </w:r>
      <w:r>
        <w:rPr>
          <w:rFonts w:asciiTheme="minorHAnsi" w:hAnsiTheme="minorHAnsi" w:cstheme="minorHAnsi"/>
        </w:rPr>
        <w:t>.</w:t>
      </w:r>
    </w:p>
    <w:p w14:paraId="22FFACAF" w14:textId="77777777" w:rsidR="00E60EB1" w:rsidRDefault="00E60EB1">
      <w:pPr>
        <w:spacing w:before="0" w:after="0"/>
        <w:rPr>
          <w:rFonts w:asciiTheme="minorHAnsi" w:hAnsiTheme="minorHAnsi" w:cstheme="minorHAnsi"/>
        </w:rPr>
      </w:pPr>
      <w:r>
        <w:rPr>
          <w:rFonts w:asciiTheme="minorHAnsi" w:hAnsiTheme="minorHAnsi" w:cstheme="minorHAnsi"/>
        </w:rPr>
        <w:br w:type="page"/>
      </w:r>
    </w:p>
    <w:p w14:paraId="2D14761C" w14:textId="0DBB3F49" w:rsidR="0026772F" w:rsidRPr="0026772F" w:rsidRDefault="0026772F" w:rsidP="0026772F">
      <w:pPr>
        <w:pStyle w:val="Heading2"/>
        <w:numPr>
          <w:ilvl w:val="1"/>
          <w:numId w:val="14"/>
        </w:numPr>
        <w:spacing w:before="120" w:after="120" w:line="276" w:lineRule="auto"/>
        <w:rPr>
          <w:rFonts w:asciiTheme="minorHAnsi" w:hAnsiTheme="minorHAnsi" w:cstheme="minorHAnsi"/>
        </w:rPr>
      </w:pPr>
      <w:bookmarkStart w:id="87" w:name="_Toc157587868"/>
      <w:r>
        <w:rPr>
          <w:rFonts w:asciiTheme="minorHAnsi" w:hAnsiTheme="minorHAnsi" w:cstheme="minorHAnsi"/>
        </w:rPr>
        <w:lastRenderedPageBreak/>
        <w:t>Release</w:t>
      </w:r>
      <w:r w:rsidRPr="00CA02CD">
        <w:rPr>
          <w:rFonts w:asciiTheme="minorHAnsi" w:hAnsiTheme="minorHAnsi" w:cstheme="minorHAnsi"/>
        </w:rPr>
        <w:t xml:space="preserve"> of Rating</w:t>
      </w:r>
      <w:bookmarkEnd w:id="87"/>
    </w:p>
    <w:p w14:paraId="0503C932" w14:textId="4F833B89" w:rsidR="0026772F" w:rsidRDefault="0026772F" w:rsidP="0026772F">
      <w:pPr>
        <w:spacing w:line="276" w:lineRule="auto"/>
      </w:pPr>
      <w:r w:rsidRPr="00820CD3">
        <w:rPr>
          <w:rFonts w:eastAsia="Calibri" w:cs="Arial"/>
          <w:lang w:val="en-US"/>
        </w:rPr>
        <w:t>Once finali</w:t>
      </w:r>
      <w:r>
        <w:rPr>
          <w:rFonts w:eastAsia="Calibri" w:cs="Arial"/>
          <w:lang w:val="en-US"/>
        </w:rPr>
        <w:t xml:space="preserve">sed, </w:t>
      </w:r>
      <w:r w:rsidRPr="00820CD3">
        <w:rPr>
          <w:rFonts w:eastAsia="Calibri" w:cs="Arial"/>
          <w:lang w:val="en-US"/>
        </w:rPr>
        <w:t>all providers’</w:t>
      </w:r>
      <w:r w:rsidR="00116FAB">
        <w:rPr>
          <w:rFonts w:eastAsia="Calibri" w:cs="Arial"/>
          <w:lang w:val="en-US"/>
        </w:rPr>
        <w:t xml:space="preserve"> </w:t>
      </w:r>
      <w:r w:rsidR="002317E5">
        <w:rPr>
          <w:rFonts w:eastAsia="Calibri" w:cs="Arial"/>
          <w:lang w:val="en-US"/>
        </w:rPr>
        <w:t>quality</w:t>
      </w:r>
      <w:r w:rsidRPr="00820CD3">
        <w:t xml:space="preserve"> </w:t>
      </w:r>
      <w:r w:rsidR="00116FAB">
        <w:t>r</w:t>
      </w:r>
      <w:r>
        <w:t>ating</w:t>
      </w:r>
      <w:r w:rsidR="00116FAB">
        <w:t xml:space="preserve">s </w:t>
      </w:r>
      <w:r w:rsidRPr="00990286">
        <w:t xml:space="preserve">will </w:t>
      </w:r>
      <w:r w:rsidRPr="00C11717">
        <w:t>be</w:t>
      </w:r>
      <w:r w:rsidR="009E1723" w:rsidRPr="00C11717">
        <w:t xml:space="preserve"> </w:t>
      </w:r>
      <w:r w:rsidR="00C11717" w:rsidRPr="00C11717">
        <w:t>publicly</w:t>
      </w:r>
      <w:r w:rsidR="00C11717" w:rsidRPr="00990286">
        <w:t xml:space="preserve"> </w:t>
      </w:r>
      <w:r w:rsidRPr="00990286">
        <w:t>released</w:t>
      </w:r>
      <w:r w:rsidR="00116FAB">
        <w:t xml:space="preserve"> on the Provider Portal and the department’s website</w:t>
      </w:r>
      <w:r>
        <w:t>.</w:t>
      </w:r>
      <w:r w:rsidR="00116FAB">
        <w:t xml:space="preserve"> The public release of quality ratings will include a rating against each </w:t>
      </w:r>
      <w:r w:rsidR="00DA2ABE">
        <w:t xml:space="preserve">quality </w:t>
      </w:r>
      <w:r w:rsidR="00116FAB">
        <w:t xml:space="preserve">element and </w:t>
      </w:r>
      <w:r w:rsidR="00183011">
        <w:t>the o</w:t>
      </w:r>
      <w:r w:rsidR="00116FAB">
        <w:t xml:space="preserve">verall </w:t>
      </w:r>
      <w:r w:rsidR="00183011">
        <w:t>q</w:t>
      </w:r>
      <w:r w:rsidR="00116FAB">
        <w:t xml:space="preserve">uality </w:t>
      </w:r>
      <w:r w:rsidR="00183011">
        <w:t>r</w:t>
      </w:r>
      <w:r w:rsidR="00116FAB">
        <w:t>ating.</w:t>
      </w:r>
    </w:p>
    <w:p w14:paraId="7E967466" w14:textId="77777777" w:rsidR="00C32128" w:rsidRPr="002325AF" w:rsidRDefault="00C32128" w:rsidP="00C32128">
      <w:pPr>
        <w:pStyle w:val="Heading2"/>
        <w:numPr>
          <w:ilvl w:val="1"/>
          <w:numId w:val="14"/>
        </w:numPr>
        <w:spacing w:before="120" w:after="120" w:line="276" w:lineRule="auto"/>
        <w:ind w:left="788" w:hanging="431"/>
        <w:rPr>
          <w:rFonts w:asciiTheme="minorHAnsi" w:hAnsiTheme="minorHAnsi" w:cstheme="minorHAnsi"/>
        </w:rPr>
      </w:pPr>
      <w:bookmarkStart w:id="88" w:name="_Toc157587869"/>
      <w:r w:rsidRPr="002325AF">
        <w:rPr>
          <w:rFonts w:asciiTheme="minorHAnsi" w:hAnsiTheme="minorHAnsi" w:cstheme="minorHAnsi"/>
        </w:rPr>
        <w:t>Frequency and Timing</w:t>
      </w:r>
      <w:bookmarkEnd w:id="88"/>
    </w:p>
    <w:p w14:paraId="6CFC628A" w14:textId="7CCB35B9" w:rsidR="00C32128" w:rsidRDefault="00274E4F" w:rsidP="00C32128">
      <w:pPr>
        <w:spacing w:line="276" w:lineRule="auto"/>
        <w:rPr>
          <w:rFonts w:eastAsia="Calibri" w:cs="Arial"/>
          <w:lang w:val="en-US"/>
        </w:rPr>
      </w:pPr>
      <w:r>
        <w:rPr>
          <w:rFonts w:eastAsia="Calibri" w:cs="Arial"/>
          <w:lang w:val="en-US"/>
        </w:rPr>
        <w:t>Quality</w:t>
      </w:r>
      <w:r w:rsidR="00C32128" w:rsidRPr="00456C24">
        <w:rPr>
          <w:rFonts w:eastAsia="Calibri" w:cs="Arial"/>
          <w:lang w:val="en-US"/>
        </w:rPr>
        <w:t xml:space="preserve"> rating</w:t>
      </w:r>
      <w:r w:rsidR="00C32128">
        <w:rPr>
          <w:rFonts w:eastAsia="Calibri" w:cs="Arial"/>
          <w:lang w:val="en-US"/>
        </w:rPr>
        <w:t>s</w:t>
      </w:r>
      <w:r w:rsidR="00C32128" w:rsidRPr="00456C24">
        <w:rPr>
          <w:rFonts w:eastAsia="Calibri" w:cs="Arial"/>
          <w:lang w:val="en-US"/>
        </w:rPr>
        <w:t xml:space="preserve"> </w:t>
      </w:r>
      <w:r>
        <w:rPr>
          <w:rFonts w:eastAsia="Calibri" w:cs="Arial"/>
          <w:lang w:val="en-US"/>
        </w:rPr>
        <w:t xml:space="preserve">will be released </w:t>
      </w:r>
      <w:r w:rsidR="00C32128" w:rsidRPr="00456C24">
        <w:rPr>
          <w:rFonts w:eastAsia="Calibri" w:cs="Arial"/>
          <w:lang w:val="en-US"/>
        </w:rPr>
        <w:t xml:space="preserve">at two points during </w:t>
      </w:r>
      <w:r w:rsidR="00C32128">
        <w:rPr>
          <w:rFonts w:eastAsia="Calibri" w:cs="Arial"/>
          <w:lang w:val="en-US"/>
        </w:rPr>
        <w:t>a</w:t>
      </w:r>
      <w:r w:rsidR="00C32128" w:rsidRPr="00456C24">
        <w:rPr>
          <w:rFonts w:eastAsia="Calibri" w:cs="Arial"/>
          <w:lang w:val="en-US"/>
        </w:rPr>
        <w:t xml:space="preserve"> </w:t>
      </w:r>
      <w:r w:rsidR="00C32128">
        <w:rPr>
          <w:rFonts w:eastAsia="Calibri" w:cs="Arial"/>
          <w:lang w:val="en-US"/>
        </w:rPr>
        <w:t xml:space="preserve">calendar </w:t>
      </w:r>
      <w:r w:rsidR="00C32128" w:rsidRPr="00456C24">
        <w:rPr>
          <w:rFonts w:eastAsia="Calibri" w:cs="Arial"/>
          <w:lang w:val="en-US"/>
        </w:rPr>
        <w:t>year</w:t>
      </w:r>
      <w:r w:rsidR="00C32128">
        <w:rPr>
          <w:rFonts w:eastAsia="Calibri" w:cs="Arial"/>
          <w:lang w:val="en-US"/>
        </w:rPr>
        <w:t xml:space="preserve">. </w:t>
      </w:r>
    </w:p>
    <w:p w14:paraId="63B54143" w14:textId="412B827E" w:rsidR="001C6A7B" w:rsidRPr="00CD2212" w:rsidRDefault="001C6A7B" w:rsidP="00CD2212">
      <w:pPr>
        <w:pStyle w:val="Caption"/>
        <w:keepNext/>
        <w:rPr>
          <w:sz w:val="20"/>
        </w:rPr>
      </w:pPr>
      <w:r w:rsidRPr="00CD2212">
        <w:rPr>
          <w:color w:val="auto"/>
          <w:sz w:val="20"/>
        </w:rPr>
        <w:t xml:space="preserve">Table </w:t>
      </w:r>
      <w:r w:rsidRPr="00CD2212">
        <w:rPr>
          <w:color w:val="auto"/>
          <w:sz w:val="20"/>
        </w:rPr>
        <w:fldChar w:fldCharType="begin"/>
      </w:r>
      <w:r w:rsidRPr="00CD2212">
        <w:rPr>
          <w:color w:val="auto"/>
          <w:sz w:val="20"/>
        </w:rPr>
        <w:instrText xml:space="preserve"> SEQ Table \* ARABIC </w:instrText>
      </w:r>
      <w:r w:rsidRPr="00CD2212">
        <w:rPr>
          <w:color w:val="auto"/>
          <w:sz w:val="20"/>
        </w:rPr>
        <w:fldChar w:fldCharType="separate"/>
      </w:r>
      <w:r w:rsidR="00510BB6">
        <w:rPr>
          <w:noProof/>
          <w:color w:val="auto"/>
          <w:sz w:val="20"/>
        </w:rPr>
        <w:t>2</w:t>
      </w:r>
      <w:r w:rsidRPr="00CD2212">
        <w:rPr>
          <w:color w:val="auto"/>
          <w:sz w:val="20"/>
        </w:rPr>
        <w:fldChar w:fldCharType="end"/>
      </w:r>
      <w:r w:rsidRPr="00CD2212">
        <w:rPr>
          <w:color w:val="auto"/>
          <w:sz w:val="20"/>
        </w:rPr>
        <w:t>: Rating Periods</w:t>
      </w:r>
    </w:p>
    <w:tbl>
      <w:tblPr>
        <w:tblStyle w:val="ListTable3-Accent11"/>
        <w:tblW w:w="5000" w:type="pct"/>
        <w:tblLook w:val="04A0" w:firstRow="1" w:lastRow="0" w:firstColumn="1" w:lastColumn="0" w:noHBand="0" w:noVBand="1"/>
        <w:tblCaption w:val="Rating Periods Timing"/>
        <w:tblDescription w:val="Specifies the start and end months of the assessed 12-month period and the data source used for each Quality Rating release. The release months for each assessment period is also listed."/>
      </w:tblPr>
      <w:tblGrid>
        <w:gridCol w:w="2523"/>
        <w:gridCol w:w="5374"/>
        <w:gridCol w:w="2155"/>
      </w:tblGrid>
      <w:tr w:rsidR="00C32128" w14:paraId="6722889F" w14:textId="77777777" w:rsidTr="00CD2212">
        <w:trPr>
          <w:cnfStyle w:val="100000000000" w:firstRow="1" w:lastRow="0" w:firstColumn="0" w:lastColumn="0" w:oddVBand="0" w:evenVBand="0" w:oddHBand="0" w:evenHBand="0" w:firstRowFirstColumn="0" w:firstRowLastColumn="0" w:lastRowFirstColumn="0" w:lastRowLastColumn="0"/>
          <w:trHeight w:val="699"/>
          <w:tblHeader/>
        </w:trPr>
        <w:tc>
          <w:tcPr>
            <w:cnfStyle w:val="001000000100" w:firstRow="0" w:lastRow="0" w:firstColumn="1" w:lastColumn="0" w:oddVBand="0" w:evenVBand="0" w:oddHBand="0" w:evenHBand="0" w:firstRowFirstColumn="1" w:firstRowLastColumn="0" w:lastRowFirstColumn="0" w:lastRowLastColumn="0"/>
            <w:tcW w:w="1255" w:type="pct"/>
          </w:tcPr>
          <w:p w14:paraId="7998E967" w14:textId="77777777" w:rsidR="00C32128" w:rsidRPr="00650B74" w:rsidRDefault="00C32128" w:rsidP="00AC5552">
            <w:pPr>
              <w:spacing w:line="276" w:lineRule="auto"/>
              <w:rPr>
                <w:iCs/>
                <w:color w:val="FFFFFF" w:themeColor="background1"/>
              </w:rPr>
            </w:pPr>
            <w:r w:rsidRPr="00650B74">
              <w:rPr>
                <w:iCs/>
                <w:color w:val="FFFFFF" w:themeColor="background1"/>
              </w:rPr>
              <w:t>Quality rating period:</w:t>
            </w:r>
          </w:p>
          <w:p w14:paraId="7A3F00C3" w14:textId="77777777" w:rsidR="00C32128" w:rsidRDefault="00C32128" w:rsidP="00AC5552">
            <w:pPr>
              <w:spacing w:line="276" w:lineRule="auto"/>
              <w:rPr>
                <w:i/>
                <w:iCs/>
                <w:color w:val="000000" w:themeColor="text1"/>
              </w:rPr>
            </w:pPr>
          </w:p>
        </w:tc>
        <w:tc>
          <w:tcPr>
            <w:tcW w:w="2673" w:type="pct"/>
          </w:tcPr>
          <w:p w14:paraId="5E0D2BDA" w14:textId="77777777" w:rsidR="00C32128" w:rsidRDefault="00C32128" w:rsidP="00AC5552">
            <w:pPr>
              <w:spacing w:line="276" w:lineRule="auto"/>
              <w:ind w:left="360"/>
              <w:cnfStyle w:val="100000000000" w:firstRow="1" w:lastRow="0" w:firstColumn="0" w:lastColumn="0" w:oddVBand="0" w:evenVBand="0" w:oddHBand="0" w:evenHBand="0" w:firstRowFirstColumn="0" w:firstRowLastColumn="0" w:lastRowFirstColumn="0" w:lastRowLastColumn="0"/>
            </w:pPr>
            <w:r>
              <w:t>Incorporates results from:</w:t>
            </w:r>
          </w:p>
        </w:tc>
        <w:tc>
          <w:tcPr>
            <w:tcW w:w="1072" w:type="pct"/>
          </w:tcPr>
          <w:p w14:paraId="3A584381" w14:textId="1338418E" w:rsidR="00C32128" w:rsidRDefault="00C32128" w:rsidP="00C11717">
            <w:pPr>
              <w:spacing w:line="276" w:lineRule="auto"/>
              <w:ind w:left="360"/>
              <w:cnfStyle w:val="100000000000" w:firstRow="1" w:lastRow="0" w:firstColumn="0" w:lastColumn="0" w:oddVBand="0" w:evenVBand="0" w:oddHBand="0" w:evenHBand="0" w:firstRowFirstColumn="0" w:firstRowLastColumn="0" w:lastRowFirstColumn="0" w:lastRowLastColumn="0"/>
            </w:pPr>
            <w:r>
              <w:t xml:space="preserve">Quality rating </w:t>
            </w:r>
            <w:r w:rsidR="00274E4F">
              <w:t>released</w:t>
            </w:r>
            <w:r>
              <w:t>:</w:t>
            </w:r>
          </w:p>
        </w:tc>
      </w:tr>
      <w:tr w:rsidR="00C32128" w14:paraId="2A4FB20B" w14:textId="77777777" w:rsidTr="00CD2212">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255" w:type="pct"/>
          </w:tcPr>
          <w:p w14:paraId="32E03705" w14:textId="77777777" w:rsidR="00C32128" w:rsidRPr="00650B74" w:rsidRDefault="00C32128" w:rsidP="00AC5552">
            <w:pPr>
              <w:spacing w:line="276" w:lineRule="auto"/>
              <w:rPr>
                <w:b w:val="0"/>
                <w:i/>
                <w:iCs/>
                <w:color w:val="000000" w:themeColor="text1"/>
              </w:rPr>
            </w:pPr>
            <w:r w:rsidRPr="00650B74">
              <w:rPr>
                <w:b w:val="0"/>
                <w:i/>
                <w:iCs/>
                <w:color w:val="000000" w:themeColor="text1"/>
              </w:rPr>
              <w:t xml:space="preserve">July 2023- June 2024 </w:t>
            </w:r>
          </w:p>
        </w:tc>
        <w:tc>
          <w:tcPr>
            <w:tcW w:w="2673" w:type="pct"/>
          </w:tcPr>
          <w:p w14:paraId="5EAB8CF0" w14:textId="7C5E8E55" w:rsidR="00C32128" w:rsidRPr="00A03019" w:rsidRDefault="00C32128" w:rsidP="00AC5552">
            <w:pPr>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t xml:space="preserve">NSDS audit report issued in the rating period and department data </w:t>
            </w:r>
            <w:r w:rsidR="006E28C4">
              <w:t xml:space="preserve">encompassing the period January 2024 </w:t>
            </w:r>
            <w:r>
              <w:t>to June 2024</w:t>
            </w:r>
          </w:p>
        </w:tc>
        <w:tc>
          <w:tcPr>
            <w:tcW w:w="1072" w:type="pct"/>
          </w:tcPr>
          <w:p w14:paraId="764AB005" w14:textId="0DFC5848" w:rsidR="00C32128" w:rsidRDefault="00274E4F" w:rsidP="00AC5552">
            <w:pPr>
              <w:spacing w:line="276" w:lineRule="auto"/>
              <w:ind w:left="360"/>
              <w:cnfStyle w:val="000000100000" w:firstRow="0" w:lastRow="0" w:firstColumn="0" w:lastColumn="0" w:oddVBand="0" w:evenVBand="0" w:oddHBand="1" w:evenHBand="0" w:firstRowFirstColumn="0" w:firstRowLastColumn="0" w:lastRowFirstColumn="0" w:lastRowLastColumn="0"/>
            </w:pPr>
            <w:r>
              <w:t>August</w:t>
            </w:r>
            <w:r w:rsidR="00C32128">
              <w:t xml:space="preserve"> 2024</w:t>
            </w:r>
          </w:p>
        </w:tc>
      </w:tr>
      <w:tr w:rsidR="00C32128" w14:paraId="6FE45D38" w14:textId="77777777" w:rsidTr="00CD2212">
        <w:tc>
          <w:tcPr>
            <w:cnfStyle w:val="001000000000" w:firstRow="0" w:lastRow="0" w:firstColumn="1" w:lastColumn="0" w:oddVBand="0" w:evenVBand="0" w:oddHBand="0" w:evenHBand="0" w:firstRowFirstColumn="0" w:firstRowLastColumn="0" w:lastRowFirstColumn="0" w:lastRowLastColumn="0"/>
            <w:tcW w:w="1255" w:type="pct"/>
          </w:tcPr>
          <w:p w14:paraId="4E6E1E25" w14:textId="77777777" w:rsidR="00C32128" w:rsidRPr="00650B74" w:rsidRDefault="00C32128" w:rsidP="00AC5552">
            <w:pPr>
              <w:spacing w:line="276" w:lineRule="auto"/>
              <w:rPr>
                <w:rFonts w:eastAsia="Calibri" w:cs="Arial"/>
                <w:b w:val="0"/>
                <w:i/>
                <w:iCs/>
                <w:color w:val="000000" w:themeColor="text1"/>
                <w:lang w:val="en-US"/>
              </w:rPr>
            </w:pPr>
            <w:r w:rsidRPr="00650B74">
              <w:rPr>
                <w:rFonts w:eastAsia="Calibri" w:cs="Arial"/>
                <w:b w:val="0"/>
                <w:i/>
                <w:iCs/>
                <w:color w:val="000000" w:themeColor="text1"/>
                <w:lang w:val="en-US"/>
              </w:rPr>
              <w:t>January 2024 – December 2024</w:t>
            </w:r>
          </w:p>
        </w:tc>
        <w:tc>
          <w:tcPr>
            <w:tcW w:w="2673" w:type="pct"/>
          </w:tcPr>
          <w:p w14:paraId="71875C96" w14:textId="4D6DE303" w:rsidR="00C32128" w:rsidRPr="00A03019" w:rsidRDefault="00C32128" w:rsidP="00AC5552">
            <w:pPr>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lang w:val="en-US"/>
              </w:rPr>
            </w:pPr>
            <w:r>
              <w:rPr>
                <w:rFonts w:eastAsia="Calibri" w:cs="Arial"/>
                <w:color w:val="000000" w:themeColor="text1"/>
                <w:lang w:val="en-US"/>
              </w:rPr>
              <w:t>NSDS audit report issued in the rating period and department data encompassing</w:t>
            </w:r>
            <w:r w:rsidR="006E28C4">
              <w:rPr>
                <w:rFonts w:eastAsia="Calibri" w:cs="Arial"/>
                <w:color w:val="000000" w:themeColor="text1"/>
                <w:lang w:val="en-US"/>
              </w:rPr>
              <w:t xml:space="preserve"> the period January </w:t>
            </w:r>
            <w:r>
              <w:rPr>
                <w:rFonts w:eastAsia="Calibri" w:cs="Arial"/>
                <w:color w:val="000000" w:themeColor="text1"/>
                <w:lang w:val="en-US"/>
              </w:rPr>
              <w:t>2024 to December 2024</w:t>
            </w:r>
          </w:p>
        </w:tc>
        <w:tc>
          <w:tcPr>
            <w:tcW w:w="1072" w:type="pct"/>
          </w:tcPr>
          <w:p w14:paraId="70F7DCF3" w14:textId="21554DD4" w:rsidR="00C32128" w:rsidRDefault="00274E4F" w:rsidP="00AC5552">
            <w:pPr>
              <w:spacing w:line="276" w:lineRule="auto"/>
              <w:ind w:left="360"/>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lang w:val="en-US"/>
              </w:rPr>
            </w:pPr>
            <w:r>
              <w:rPr>
                <w:rFonts w:eastAsia="Calibri" w:cs="Arial"/>
                <w:color w:val="000000" w:themeColor="text1"/>
                <w:lang w:val="en-US"/>
              </w:rPr>
              <w:t xml:space="preserve">February </w:t>
            </w:r>
            <w:r w:rsidR="00C32128">
              <w:rPr>
                <w:rFonts w:eastAsia="Calibri" w:cs="Arial"/>
                <w:color w:val="000000" w:themeColor="text1"/>
                <w:lang w:val="en-US"/>
              </w:rPr>
              <w:t>2025</w:t>
            </w:r>
          </w:p>
        </w:tc>
      </w:tr>
      <w:tr w:rsidR="00C32128" w14:paraId="3388D76B" w14:textId="77777777" w:rsidTr="00CD2212">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1255" w:type="pct"/>
          </w:tcPr>
          <w:p w14:paraId="26D932CB" w14:textId="77777777" w:rsidR="00C32128" w:rsidRPr="00650B74" w:rsidRDefault="00C32128" w:rsidP="00AC5552">
            <w:pPr>
              <w:spacing w:line="276" w:lineRule="auto"/>
              <w:rPr>
                <w:b w:val="0"/>
                <w:i/>
                <w:iCs/>
                <w:color w:val="000000" w:themeColor="text1"/>
              </w:rPr>
            </w:pPr>
            <w:r w:rsidRPr="00650B74">
              <w:rPr>
                <w:rFonts w:eastAsia="Calibri" w:cs="Arial"/>
                <w:b w:val="0"/>
                <w:i/>
                <w:iCs/>
                <w:color w:val="000000" w:themeColor="text1"/>
                <w:lang w:val="en-US"/>
              </w:rPr>
              <w:t>July 2024 – June 2025</w:t>
            </w:r>
          </w:p>
        </w:tc>
        <w:tc>
          <w:tcPr>
            <w:tcW w:w="2673" w:type="pct"/>
          </w:tcPr>
          <w:p w14:paraId="757E5C8D" w14:textId="77777777" w:rsidR="00C32128" w:rsidRPr="00A03019" w:rsidRDefault="00C32128" w:rsidP="00AC5552">
            <w:pPr>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Pr>
                <w:rFonts w:eastAsia="Calibri" w:cs="Arial"/>
                <w:color w:val="000000" w:themeColor="text1"/>
                <w:lang w:val="en-US"/>
              </w:rPr>
              <w:t>NSDS audit report issued in the rating period and department data encompassing the period July 2024 to June 2025.</w:t>
            </w:r>
          </w:p>
        </w:tc>
        <w:tc>
          <w:tcPr>
            <w:tcW w:w="1072" w:type="pct"/>
          </w:tcPr>
          <w:p w14:paraId="0BB18004" w14:textId="634BC605" w:rsidR="00C32128" w:rsidRDefault="00274E4F" w:rsidP="00AC5552">
            <w:pPr>
              <w:spacing w:line="276" w:lineRule="auto"/>
              <w:ind w:left="360"/>
              <w:cnfStyle w:val="000000100000" w:firstRow="0" w:lastRow="0" w:firstColumn="0" w:lastColumn="0" w:oddVBand="0" w:evenVBand="0" w:oddHBand="1" w:evenHBand="0" w:firstRowFirstColumn="0" w:firstRowLastColumn="0" w:lastRowFirstColumn="0" w:lastRowLastColumn="0"/>
              <w:rPr>
                <w:rFonts w:eastAsia="Calibri" w:cs="Arial"/>
                <w:color w:val="000000" w:themeColor="text1"/>
                <w:lang w:val="en-US"/>
              </w:rPr>
            </w:pPr>
            <w:r>
              <w:rPr>
                <w:rFonts w:eastAsia="Calibri" w:cs="Arial"/>
                <w:color w:val="000000" w:themeColor="text1"/>
                <w:lang w:val="en-US"/>
              </w:rPr>
              <w:t>August</w:t>
            </w:r>
            <w:r w:rsidR="00C32128">
              <w:rPr>
                <w:rFonts w:eastAsia="Calibri" w:cs="Arial"/>
                <w:color w:val="000000" w:themeColor="text1"/>
                <w:lang w:val="en-US"/>
              </w:rPr>
              <w:t xml:space="preserve"> 2025</w:t>
            </w:r>
          </w:p>
        </w:tc>
      </w:tr>
    </w:tbl>
    <w:p w14:paraId="0654BD33" w14:textId="64A33058" w:rsidR="00C1096F" w:rsidRPr="00314E60" w:rsidRDefault="00C1096F" w:rsidP="0026772F">
      <w:pPr>
        <w:pStyle w:val="Heading2"/>
        <w:numPr>
          <w:ilvl w:val="1"/>
          <w:numId w:val="14"/>
        </w:numPr>
        <w:spacing w:before="120" w:after="120" w:line="276" w:lineRule="auto"/>
        <w:rPr>
          <w:rFonts w:asciiTheme="minorHAnsi" w:hAnsiTheme="minorHAnsi" w:cstheme="minorHAnsi"/>
        </w:rPr>
      </w:pPr>
      <w:bookmarkStart w:id="89" w:name="_Toc157587870"/>
      <w:r>
        <w:rPr>
          <w:rFonts w:asciiTheme="minorHAnsi" w:hAnsiTheme="minorHAnsi" w:cstheme="minorHAnsi"/>
        </w:rPr>
        <w:t>Quality Improvement Plans</w:t>
      </w:r>
      <w:bookmarkEnd w:id="89"/>
      <w:r>
        <w:rPr>
          <w:rFonts w:asciiTheme="minorHAnsi" w:hAnsiTheme="minorHAnsi" w:cstheme="minorHAnsi"/>
        </w:rPr>
        <w:t xml:space="preserve"> </w:t>
      </w:r>
    </w:p>
    <w:p w14:paraId="7BEAF8E8" w14:textId="624C065C" w:rsidR="00C1096F" w:rsidRPr="00E96D28" w:rsidRDefault="007F0795" w:rsidP="0026772F">
      <w:pPr>
        <w:spacing w:line="276" w:lineRule="auto"/>
        <w:rPr>
          <w:rFonts w:eastAsia="Calibri"/>
          <w:lang w:eastAsia="en-US"/>
        </w:rPr>
      </w:pPr>
      <w:r>
        <w:t xml:space="preserve">Providers </w:t>
      </w:r>
      <w:r w:rsidR="007C5938">
        <w:t>receiving</w:t>
      </w:r>
      <w:r>
        <w:t xml:space="preserve"> a rating of Improvement Required will be required to develop an agreed Quality Improvement Plan (QIP) with the </w:t>
      </w:r>
      <w:r w:rsidR="00183011">
        <w:t>d</w:t>
      </w:r>
      <w:r>
        <w:t>epartment.</w:t>
      </w:r>
      <w:r w:rsidR="00C1096F" w:rsidRPr="00E96D28">
        <w:rPr>
          <w:rFonts w:eastAsia="Calibri"/>
          <w:lang w:eastAsia="en-US"/>
        </w:rPr>
        <w:t xml:space="preserve"> </w:t>
      </w:r>
      <w:r>
        <w:rPr>
          <w:rFonts w:eastAsia="Calibri"/>
          <w:lang w:eastAsia="en-US"/>
        </w:rPr>
        <w:t xml:space="preserve">The </w:t>
      </w:r>
      <w:r w:rsidR="00183011">
        <w:rPr>
          <w:rFonts w:eastAsia="Calibri"/>
          <w:lang w:eastAsia="en-US"/>
        </w:rPr>
        <w:t>d</w:t>
      </w:r>
      <w:r>
        <w:rPr>
          <w:rFonts w:eastAsia="Calibri"/>
          <w:lang w:eastAsia="en-US"/>
        </w:rPr>
        <w:t>epartment will notify providers of their requirement to complete a QIP and a timeframe for returning a QIP for review.</w:t>
      </w:r>
      <w:r w:rsidR="00EA1C74" w:rsidRPr="00EA1C74">
        <w:rPr>
          <w:rFonts w:eastAsia="Calibri"/>
          <w:lang w:eastAsia="en-US"/>
        </w:rPr>
        <w:t xml:space="preserve"> </w:t>
      </w:r>
      <w:r w:rsidR="00EA1C74">
        <w:rPr>
          <w:rFonts w:eastAsia="Calibri"/>
          <w:lang w:eastAsia="en-US"/>
        </w:rPr>
        <w:t xml:space="preserve">The </w:t>
      </w:r>
      <w:r w:rsidR="00183011">
        <w:rPr>
          <w:rFonts w:eastAsia="Calibri"/>
          <w:lang w:eastAsia="en-US"/>
        </w:rPr>
        <w:t>d</w:t>
      </w:r>
      <w:r w:rsidR="00EA1C74">
        <w:rPr>
          <w:rFonts w:eastAsia="Calibri"/>
          <w:lang w:eastAsia="en-US"/>
        </w:rPr>
        <w:t xml:space="preserve">epartment </w:t>
      </w:r>
      <w:r w:rsidR="0090084B">
        <w:rPr>
          <w:rFonts w:eastAsia="Calibri"/>
          <w:lang w:eastAsia="en-US"/>
        </w:rPr>
        <w:t xml:space="preserve">has </w:t>
      </w:r>
      <w:r w:rsidR="00EA1C74">
        <w:rPr>
          <w:rFonts w:eastAsia="Calibri"/>
          <w:lang w:eastAsia="en-US"/>
        </w:rPr>
        <w:t>discretion to ask providers to amend QIPs as appropriate.</w:t>
      </w:r>
    </w:p>
    <w:p w14:paraId="21E98DD5" w14:textId="10BB36EE" w:rsidR="00C1096F" w:rsidRDefault="00C1096F" w:rsidP="0026772F">
      <w:pPr>
        <w:spacing w:line="276" w:lineRule="auto"/>
        <w:rPr>
          <w:rFonts w:eastAsia="Calibri"/>
          <w:lang w:eastAsia="en-US"/>
        </w:rPr>
      </w:pPr>
      <w:r w:rsidRPr="00E210A1">
        <w:rPr>
          <w:rFonts w:eastAsia="Calibri"/>
          <w:lang w:eastAsia="en-US"/>
        </w:rPr>
        <w:t xml:space="preserve">QIPs </w:t>
      </w:r>
      <w:r w:rsidR="007F0795">
        <w:rPr>
          <w:rFonts w:eastAsia="Calibri"/>
          <w:lang w:eastAsia="en-US"/>
        </w:rPr>
        <w:t xml:space="preserve">must </w:t>
      </w:r>
      <w:r w:rsidRPr="00E210A1">
        <w:rPr>
          <w:rFonts w:eastAsia="Calibri"/>
          <w:lang w:eastAsia="en-US"/>
        </w:rPr>
        <w:t xml:space="preserve">describe the actions providers will implement to improve the quality of </w:t>
      </w:r>
      <w:r w:rsidR="007F0795">
        <w:rPr>
          <w:rFonts w:eastAsia="Calibri"/>
          <w:lang w:eastAsia="en-US"/>
        </w:rPr>
        <w:t xml:space="preserve">their servicing for the </w:t>
      </w:r>
      <w:r w:rsidR="00DA2ABE">
        <w:rPr>
          <w:rFonts w:eastAsia="Calibri"/>
          <w:lang w:eastAsia="en-US"/>
        </w:rPr>
        <w:t xml:space="preserve">quality </w:t>
      </w:r>
      <w:r w:rsidR="007F0795">
        <w:rPr>
          <w:rFonts w:eastAsia="Calibri"/>
          <w:lang w:eastAsia="en-US"/>
        </w:rPr>
        <w:t>element(s) for which they have a rating of Improvement Required.</w:t>
      </w:r>
      <w:r w:rsidR="00EA1C74">
        <w:rPr>
          <w:rFonts w:eastAsia="Calibri"/>
          <w:lang w:eastAsia="en-US"/>
        </w:rPr>
        <w:t xml:space="preserve"> </w:t>
      </w:r>
      <w:r>
        <w:rPr>
          <w:rFonts w:eastAsia="Calibri"/>
          <w:lang w:eastAsia="en-US"/>
        </w:rPr>
        <w:t xml:space="preserve">At a minimum QIPs </w:t>
      </w:r>
      <w:r w:rsidR="00EA1C74">
        <w:rPr>
          <w:rFonts w:eastAsia="Calibri"/>
          <w:lang w:eastAsia="en-US"/>
        </w:rPr>
        <w:t>must</w:t>
      </w:r>
      <w:r>
        <w:rPr>
          <w:rFonts w:eastAsia="Calibri"/>
          <w:lang w:eastAsia="en-US"/>
        </w:rPr>
        <w:t xml:space="preserve"> </w:t>
      </w:r>
      <w:r w:rsidR="007F0795">
        <w:rPr>
          <w:rFonts w:eastAsia="Calibri"/>
          <w:lang w:eastAsia="en-US"/>
        </w:rPr>
        <w:t>outline</w:t>
      </w:r>
      <w:r>
        <w:rPr>
          <w:rFonts w:eastAsia="Calibri"/>
          <w:lang w:eastAsia="en-US"/>
        </w:rPr>
        <w:t>:</w:t>
      </w:r>
    </w:p>
    <w:p w14:paraId="2826F77E" w14:textId="7493A5AB" w:rsidR="00C1096F" w:rsidRPr="00BF6DE4" w:rsidRDefault="00183011" w:rsidP="0026772F">
      <w:pPr>
        <w:pStyle w:val="BodyText"/>
        <w:widowControl/>
        <w:numPr>
          <w:ilvl w:val="0"/>
          <w:numId w:val="17"/>
        </w:numPr>
        <w:autoSpaceDE/>
        <w:autoSpaceDN/>
        <w:spacing w:before="120" w:after="120" w:line="276" w:lineRule="auto"/>
        <w:rPr>
          <w:rFonts w:asciiTheme="minorHAnsi" w:hAnsiTheme="minorHAnsi" w:cstheme="minorHAnsi"/>
          <w:sz w:val="22"/>
        </w:rPr>
      </w:pPr>
      <w:r>
        <w:rPr>
          <w:rFonts w:asciiTheme="minorHAnsi" w:hAnsiTheme="minorHAnsi" w:cstheme="minorHAnsi"/>
          <w:sz w:val="22"/>
        </w:rPr>
        <w:t xml:space="preserve">The </w:t>
      </w:r>
      <w:r w:rsidR="00DA2ABE">
        <w:rPr>
          <w:rFonts w:asciiTheme="minorHAnsi" w:hAnsiTheme="minorHAnsi" w:cstheme="minorHAnsi"/>
          <w:sz w:val="22"/>
        </w:rPr>
        <w:t xml:space="preserve">quality </w:t>
      </w:r>
      <w:r>
        <w:rPr>
          <w:rFonts w:asciiTheme="minorHAnsi" w:hAnsiTheme="minorHAnsi" w:cstheme="minorHAnsi"/>
          <w:sz w:val="22"/>
        </w:rPr>
        <w:t>e</w:t>
      </w:r>
      <w:r w:rsidR="00C1096F" w:rsidRPr="00BF6DE4">
        <w:rPr>
          <w:rFonts w:asciiTheme="minorHAnsi" w:hAnsiTheme="minorHAnsi" w:cstheme="minorHAnsi"/>
          <w:sz w:val="22"/>
        </w:rPr>
        <w:t>lement, outcome(s) and elements of good practice (if applicable) which require improvement</w:t>
      </w:r>
    </w:p>
    <w:p w14:paraId="79F172F0" w14:textId="41B0562A" w:rsidR="00C1096F" w:rsidRPr="00BF6DE4" w:rsidRDefault="00C1096F" w:rsidP="0026772F">
      <w:pPr>
        <w:pStyle w:val="BodyText"/>
        <w:widowControl/>
        <w:numPr>
          <w:ilvl w:val="0"/>
          <w:numId w:val="17"/>
        </w:numPr>
        <w:autoSpaceDE/>
        <w:autoSpaceDN/>
        <w:spacing w:before="120" w:after="120" w:line="276" w:lineRule="auto"/>
        <w:rPr>
          <w:rFonts w:asciiTheme="minorHAnsi" w:hAnsiTheme="minorHAnsi" w:cstheme="minorHAnsi"/>
          <w:sz w:val="22"/>
        </w:rPr>
      </w:pPr>
      <w:r w:rsidRPr="00BF6DE4">
        <w:rPr>
          <w:rFonts w:asciiTheme="minorHAnsi" w:hAnsiTheme="minorHAnsi" w:cstheme="minorHAnsi"/>
          <w:sz w:val="22"/>
        </w:rPr>
        <w:t xml:space="preserve">A description of current </w:t>
      </w:r>
      <w:r>
        <w:rPr>
          <w:rFonts w:asciiTheme="minorHAnsi" w:hAnsiTheme="minorHAnsi" w:cstheme="minorHAnsi"/>
          <w:sz w:val="22"/>
        </w:rPr>
        <w:t>areas for improvement</w:t>
      </w:r>
    </w:p>
    <w:p w14:paraId="3ED35D0B" w14:textId="10BEFE64" w:rsidR="00C1096F" w:rsidRPr="00BF6DE4" w:rsidRDefault="00C1096F" w:rsidP="0026772F">
      <w:pPr>
        <w:pStyle w:val="BodyText"/>
        <w:widowControl/>
        <w:numPr>
          <w:ilvl w:val="0"/>
          <w:numId w:val="17"/>
        </w:numPr>
        <w:autoSpaceDE/>
        <w:autoSpaceDN/>
        <w:spacing w:before="120" w:after="120" w:line="276" w:lineRule="auto"/>
        <w:rPr>
          <w:rFonts w:asciiTheme="minorHAnsi" w:hAnsiTheme="minorHAnsi" w:cstheme="minorHAnsi"/>
          <w:sz w:val="22"/>
        </w:rPr>
      </w:pPr>
      <w:r w:rsidRPr="00BF6DE4">
        <w:rPr>
          <w:rFonts w:asciiTheme="minorHAnsi" w:hAnsiTheme="minorHAnsi" w:cstheme="minorHAnsi"/>
          <w:sz w:val="22"/>
        </w:rPr>
        <w:t xml:space="preserve">Actions to address the </w:t>
      </w:r>
      <w:r>
        <w:rPr>
          <w:rFonts w:asciiTheme="minorHAnsi" w:hAnsiTheme="minorHAnsi" w:cstheme="minorHAnsi"/>
          <w:sz w:val="22"/>
        </w:rPr>
        <w:t xml:space="preserve">areas to </w:t>
      </w:r>
      <w:r w:rsidRPr="00BF6DE4">
        <w:rPr>
          <w:rFonts w:asciiTheme="minorHAnsi" w:hAnsiTheme="minorHAnsi" w:cstheme="minorHAnsi"/>
          <w:sz w:val="22"/>
        </w:rPr>
        <w:t xml:space="preserve">improve quality </w:t>
      </w:r>
    </w:p>
    <w:p w14:paraId="4DA55293" w14:textId="0A31FF53" w:rsidR="00C1096F" w:rsidRPr="00BF6DE4" w:rsidRDefault="00C1096F" w:rsidP="0026772F">
      <w:pPr>
        <w:pStyle w:val="BodyText"/>
        <w:widowControl/>
        <w:numPr>
          <w:ilvl w:val="0"/>
          <w:numId w:val="17"/>
        </w:numPr>
        <w:autoSpaceDE/>
        <w:autoSpaceDN/>
        <w:spacing w:before="120" w:after="120" w:line="276" w:lineRule="auto"/>
        <w:rPr>
          <w:rFonts w:asciiTheme="minorHAnsi" w:hAnsiTheme="minorHAnsi" w:cstheme="minorHAnsi"/>
          <w:sz w:val="22"/>
        </w:rPr>
      </w:pPr>
      <w:r w:rsidRPr="00BF6DE4">
        <w:rPr>
          <w:rFonts w:asciiTheme="minorHAnsi" w:hAnsiTheme="minorHAnsi" w:cstheme="minorHAnsi"/>
          <w:sz w:val="22"/>
        </w:rPr>
        <w:t>Who is responsible</w:t>
      </w:r>
    </w:p>
    <w:p w14:paraId="1FDE3A29" w14:textId="2DC27CB9" w:rsidR="00A325B5" w:rsidRPr="00BF6DE4" w:rsidRDefault="00C1096F" w:rsidP="0026772F">
      <w:pPr>
        <w:pStyle w:val="BodyText"/>
        <w:widowControl/>
        <w:numPr>
          <w:ilvl w:val="0"/>
          <w:numId w:val="17"/>
        </w:numPr>
        <w:autoSpaceDE/>
        <w:autoSpaceDN/>
        <w:spacing w:before="120" w:after="120" w:line="276" w:lineRule="auto"/>
        <w:rPr>
          <w:rFonts w:asciiTheme="minorHAnsi" w:hAnsiTheme="minorHAnsi" w:cstheme="minorHAnsi"/>
          <w:sz w:val="22"/>
        </w:rPr>
      </w:pPr>
      <w:r w:rsidRPr="00BF6DE4">
        <w:rPr>
          <w:rFonts w:asciiTheme="minorHAnsi" w:hAnsiTheme="minorHAnsi" w:cstheme="minorHAnsi"/>
          <w:sz w:val="22"/>
        </w:rPr>
        <w:t>Due date</w:t>
      </w:r>
    </w:p>
    <w:p w14:paraId="38719224" w14:textId="4399366F" w:rsidR="00C1096F" w:rsidRDefault="00C1096F" w:rsidP="0026772F">
      <w:pPr>
        <w:spacing w:line="276" w:lineRule="auto"/>
        <w:rPr>
          <w:rFonts w:eastAsia="Calibri"/>
          <w:lang w:eastAsia="en-US"/>
        </w:rPr>
      </w:pPr>
      <w:r w:rsidRPr="00EA1C74">
        <w:rPr>
          <w:rFonts w:eastAsia="Calibri"/>
          <w:lang w:eastAsia="en-US"/>
        </w:rPr>
        <w:t>In some circumstances</w:t>
      </w:r>
      <w:r w:rsidR="00B473FA">
        <w:rPr>
          <w:rFonts w:eastAsia="Calibri"/>
          <w:lang w:eastAsia="en-US"/>
        </w:rPr>
        <w:t>,</w:t>
      </w:r>
      <w:r w:rsidR="00EA1C74" w:rsidRPr="00EA1C74">
        <w:rPr>
          <w:rFonts w:eastAsia="Calibri"/>
          <w:lang w:eastAsia="en-US"/>
        </w:rPr>
        <w:t xml:space="preserve"> </w:t>
      </w:r>
      <w:r w:rsidR="00CB6936">
        <w:rPr>
          <w:rFonts w:eastAsia="Calibri"/>
          <w:lang w:eastAsia="en-US"/>
        </w:rPr>
        <w:t xml:space="preserve">the department may accept an </w:t>
      </w:r>
      <w:r w:rsidR="00867161">
        <w:rPr>
          <w:rFonts w:eastAsia="Calibri"/>
          <w:lang w:eastAsia="en-US"/>
        </w:rPr>
        <w:t>existing</w:t>
      </w:r>
      <w:r w:rsidRPr="00EA1C74">
        <w:rPr>
          <w:rFonts w:asciiTheme="minorHAnsi" w:hAnsiTheme="minorHAnsi" w:cstheme="minorHAnsi"/>
        </w:rPr>
        <w:t xml:space="preserve"> comprehensive plan </w:t>
      </w:r>
      <w:r w:rsidR="00CB6936">
        <w:rPr>
          <w:rFonts w:asciiTheme="minorHAnsi" w:hAnsiTheme="minorHAnsi" w:cstheme="minorHAnsi"/>
        </w:rPr>
        <w:t xml:space="preserve">in lieu of a QIP. Where required the department may request this plan </w:t>
      </w:r>
      <w:r w:rsidR="005E2D96">
        <w:rPr>
          <w:rFonts w:asciiTheme="minorHAnsi" w:hAnsiTheme="minorHAnsi" w:cstheme="minorHAnsi"/>
        </w:rPr>
        <w:t>be</w:t>
      </w:r>
      <w:r w:rsidR="00CB6936">
        <w:rPr>
          <w:rFonts w:asciiTheme="minorHAnsi" w:hAnsiTheme="minorHAnsi" w:cstheme="minorHAnsi"/>
        </w:rPr>
        <w:t xml:space="preserve"> updated to ensure it </w:t>
      </w:r>
      <w:r w:rsidRPr="00EA1C74">
        <w:rPr>
          <w:rFonts w:asciiTheme="minorHAnsi" w:hAnsiTheme="minorHAnsi" w:cstheme="minorHAnsi"/>
        </w:rPr>
        <w:t>contains a</w:t>
      </w:r>
      <w:r w:rsidR="00CB6936">
        <w:rPr>
          <w:rFonts w:asciiTheme="minorHAnsi" w:hAnsiTheme="minorHAnsi" w:cstheme="minorHAnsi"/>
        </w:rPr>
        <w:t xml:space="preserve">ll relevant </w:t>
      </w:r>
      <w:r w:rsidRPr="00EA1C74">
        <w:rPr>
          <w:rFonts w:asciiTheme="minorHAnsi" w:hAnsiTheme="minorHAnsi" w:cstheme="minorHAnsi"/>
        </w:rPr>
        <w:t xml:space="preserve">actions and </w:t>
      </w:r>
      <w:r w:rsidR="007C5938" w:rsidRPr="00EA1C74">
        <w:rPr>
          <w:rFonts w:asciiTheme="minorHAnsi" w:hAnsiTheme="minorHAnsi" w:cstheme="minorHAnsi"/>
        </w:rPr>
        <w:t>strategies that</w:t>
      </w:r>
      <w:r w:rsidRPr="00EA1C74">
        <w:rPr>
          <w:rFonts w:asciiTheme="minorHAnsi" w:hAnsiTheme="minorHAnsi" w:cstheme="minorHAnsi"/>
        </w:rPr>
        <w:t xml:space="preserve"> contribute to quality improvement</w:t>
      </w:r>
      <w:r w:rsidR="00CB6936">
        <w:rPr>
          <w:rFonts w:asciiTheme="minorHAnsi" w:hAnsiTheme="minorHAnsi" w:cstheme="minorHAnsi"/>
        </w:rPr>
        <w:t xml:space="preserve">s </w:t>
      </w:r>
      <w:r w:rsidRPr="00EA1C74">
        <w:rPr>
          <w:rFonts w:asciiTheme="minorHAnsi" w:hAnsiTheme="minorHAnsi" w:cstheme="minorHAnsi"/>
        </w:rPr>
        <w:t xml:space="preserve">for the </w:t>
      </w:r>
      <w:r w:rsidR="00DA2ABE">
        <w:rPr>
          <w:rFonts w:asciiTheme="minorHAnsi" w:hAnsiTheme="minorHAnsi" w:cstheme="minorHAnsi"/>
        </w:rPr>
        <w:t xml:space="preserve">quality </w:t>
      </w:r>
      <w:r w:rsidRPr="00EA1C74">
        <w:rPr>
          <w:rFonts w:asciiTheme="minorHAnsi" w:hAnsiTheme="minorHAnsi" w:cstheme="minorHAnsi"/>
        </w:rPr>
        <w:t>element(s)</w:t>
      </w:r>
      <w:r w:rsidR="00CB6936">
        <w:rPr>
          <w:rFonts w:asciiTheme="minorHAnsi" w:hAnsiTheme="minorHAnsi" w:cstheme="minorHAnsi"/>
        </w:rPr>
        <w:t xml:space="preserve">. </w:t>
      </w:r>
    </w:p>
    <w:p w14:paraId="4DFFDB4B" w14:textId="48419398" w:rsidR="00C1096F" w:rsidRPr="00067E57" w:rsidRDefault="006B5069" w:rsidP="0026772F">
      <w:pPr>
        <w:pStyle w:val="Heading1"/>
        <w:numPr>
          <w:ilvl w:val="0"/>
          <w:numId w:val="14"/>
        </w:numPr>
        <w:spacing w:line="276" w:lineRule="auto"/>
        <w:jc w:val="left"/>
        <w:rPr>
          <w:rFonts w:asciiTheme="minorHAnsi" w:hAnsiTheme="minorHAnsi" w:cstheme="minorHAnsi"/>
          <w:sz w:val="36"/>
        </w:rPr>
      </w:pPr>
      <w:bookmarkStart w:id="90" w:name="_Toc157587871"/>
      <w:r>
        <w:rPr>
          <w:rFonts w:asciiTheme="minorHAnsi" w:hAnsiTheme="minorHAnsi" w:cstheme="minorHAnsi"/>
          <w:sz w:val="36"/>
        </w:rPr>
        <w:lastRenderedPageBreak/>
        <w:t>Evidence and Data</w:t>
      </w:r>
      <w:bookmarkEnd w:id="90"/>
    </w:p>
    <w:p w14:paraId="1B6D03A4" w14:textId="374EF299" w:rsidR="00183011" w:rsidRPr="0007310F" w:rsidRDefault="00F80610" w:rsidP="00183011">
      <w:pPr>
        <w:pStyle w:val="Heading2"/>
        <w:numPr>
          <w:ilvl w:val="0"/>
          <w:numId w:val="0"/>
        </w:numPr>
        <w:spacing w:before="120" w:after="120" w:line="276" w:lineRule="auto"/>
        <w:rPr>
          <w:rFonts w:asciiTheme="minorHAnsi" w:hAnsiTheme="minorHAnsi" w:cstheme="minorHAnsi"/>
        </w:rPr>
      </w:pPr>
      <w:bookmarkStart w:id="91" w:name="_Toc157587872"/>
      <w:r w:rsidRPr="0007310F">
        <w:t>All</w:t>
      </w:r>
      <w:r w:rsidR="00DA2ABE" w:rsidRPr="0007310F">
        <w:t xml:space="preserve"> Quality</w:t>
      </w:r>
      <w:r w:rsidRPr="0007310F">
        <w:t xml:space="preserve"> </w:t>
      </w:r>
      <w:r w:rsidR="00183011" w:rsidRPr="0007310F">
        <w:t>Element</w:t>
      </w:r>
      <w:r w:rsidRPr="0007310F">
        <w:t>s</w:t>
      </w:r>
      <w:bookmarkEnd w:id="91"/>
      <w:r w:rsidR="00183011" w:rsidRPr="0007310F">
        <w:t xml:space="preserve"> </w:t>
      </w:r>
    </w:p>
    <w:p w14:paraId="105A71C9" w14:textId="24586B5B" w:rsidR="001F72FF" w:rsidRPr="005E4DE9" w:rsidRDefault="001F72FF" w:rsidP="0026772F">
      <w:pPr>
        <w:pStyle w:val="Heading2"/>
        <w:numPr>
          <w:ilvl w:val="1"/>
          <w:numId w:val="14"/>
        </w:numPr>
        <w:spacing w:before="120" w:after="120" w:line="276" w:lineRule="auto"/>
        <w:rPr>
          <w:rFonts w:asciiTheme="minorHAnsi" w:hAnsiTheme="minorHAnsi" w:cstheme="minorHAnsi"/>
        </w:rPr>
      </w:pPr>
      <w:bookmarkStart w:id="92" w:name="_Toc157587873"/>
      <w:r w:rsidRPr="005E4DE9">
        <w:rPr>
          <w:rFonts w:asciiTheme="minorHAnsi" w:hAnsiTheme="minorHAnsi" w:cstheme="minorHAnsi"/>
        </w:rPr>
        <w:t>National Standards for Disability Services (NSDS)</w:t>
      </w:r>
      <w:bookmarkEnd w:id="92"/>
    </w:p>
    <w:p w14:paraId="78CBF0E0" w14:textId="435F11E9" w:rsidR="001F72FF" w:rsidRPr="00A65595" w:rsidRDefault="001F72FF" w:rsidP="00055246">
      <w:pPr>
        <w:spacing w:line="276" w:lineRule="auto"/>
        <w:rPr>
          <w:rFonts w:asciiTheme="minorHAnsi" w:hAnsiTheme="minorHAnsi" w:cstheme="minorHAnsi"/>
        </w:rPr>
      </w:pPr>
      <w:r w:rsidRPr="00A65595">
        <w:rPr>
          <w:rFonts w:asciiTheme="minorHAnsi" w:hAnsiTheme="minorHAnsi" w:cstheme="minorHAnsi"/>
        </w:rPr>
        <w:t>The DES Grant Agreement</w:t>
      </w:r>
      <w:r>
        <w:rPr>
          <w:rFonts w:asciiTheme="minorHAnsi" w:hAnsiTheme="minorHAnsi" w:cstheme="minorHAnsi"/>
        </w:rPr>
        <w:t xml:space="preserve">, Service </w:t>
      </w:r>
      <w:r w:rsidR="007C5938">
        <w:rPr>
          <w:rFonts w:asciiTheme="minorHAnsi" w:hAnsiTheme="minorHAnsi" w:cstheme="minorHAnsi"/>
        </w:rPr>
        <w:t>Guarantee,</w:t>
      </w:r>
      <w:r>
        <w:rPr>
          <w:rFonts w:asciiTheme="minorHAnsi" w:hAnsiTheme="minorHAnsi" w:cstheme="minorHAnsi"/>
        </w:rPr>
        <w:t xml:space="preserve"> and Code of Practice </w:t>
      </w:r>
      <w:r w:rsidRPr="00A65595">
        <w:rPr>
          <w:rFonts w:asciiTheme="minorHAnsi" w:hAnsiTheme="minorHAnsi" w:cstheme="minorHAnsi"/>
        </w:rPr>
        <w:t>ou</w:t>
      </w:r>
      <w:r w:rsidR="00EA1C74">
        <w:rPr>
          <w:rFonts w:asciiTheme="minorHAnsi" w:hAnsiTheme="minorHAnsi" w:cstheme="minorHAnsi"/>
        </w:rPr>
        <w:t>tline the service requirements that </w:t>
      </w:r>
      <w:r w:rsidRPr="00A65595">
        <w:rPr>
          <w:rFonts w:asciiTheme="minorHAnsi" w:hAnsiTheme="minorHAnsi" w:cstheme="minorHAnsi"/>
        </w:rPr>
        <w:t>providers need to meet</w:t>
      </w:r>
      <w:r w:rsidR="00771756">
        <w:rPr>
          <w:rFonts w:asciiTheme="minorHAnsi" w:hAnsiTheme="minorHAnsi" w:cstheme="minorHAnsi"/>
        </w:rPr>
        <w:t>,</w:t>
      </w:r>
      <w:r w:rsidRPr="00A65595">
        <w:rPr>
          <w:rFonts w:asciiTheme="minorHAnsi" w:hAnsiTheme="minorHAnsi" w:cstheme="minorHAnsi"/>
        </w:rPr>
        <w:t xml:space="preserve"> including certification against the NSDS. </w:t>
      </w:r>
    </w:p>
    <w:p w14:paraId="6CDB9ABA" w14:textId="59B8FAC7" w:rsidR="00D14C84" w:rsidRDefault="001F72FF" w:rsidP="00055246">
      <w:pPr>
        <w:spacing w:line="276" w:lineRule="auto"/>
        <w:rPr>
          <w:rFonts w:asciiTheme="minorHAnsi" w:hAnsiTheme="minorHAnsi" w:cstheme="minorHAnsi"/>
        </w:rPr>
      </w:pPr>
      <w:r>
        <w:rPr>
          <w:rFonts w:asciiTheme="minorHAnsi" w:hAnsiTheme="minorHAnsi" w:cstheme="minorHAnsi"/>
        </w:rPr>
        <w:t>The q</w:t>
      </w:r>
      <w:r w:rsidRPr="00A65595">
        <w:rPr>
          <w:rFonts w:asciiTheme="minorHAnsi" w:hAnsiTheme="minorHAnsi" w:cstheme="minorHAnsi"/>
        </w:rPr>
        <w:t xml:space="preserve">uality </w:t>
      </w:r>
      <w:r>
        <w:rPr>
          <w:rFonts w:asciiTheme="minorHAnsi" w:hAnsiTheme="minorHAnsi" w:cstheme="minorHAnsi"/>
        </w:rPr>
        <w:t>e</w:t>
      </w:r>
      <w:r w:rsidRPr="00A65595">
        <w:rPr>
          <w:rFonts w:asciiTheme="minorHAnsi" w:hAnsiTheme="minorHAnsi" w:cstheme="minorHAnsi"/>
        </w:rPr>
        <w:t xml:space="preserve">lements </w:t>
      </w:r>
      <w:r w:rsidR="00EA1C74">
        <w:rPr>
          <w:rFonts w:asciiTheme="minorHAnsi" w:hAnsiTheme="minorHAnsi" w:cstheme="minorHAnsi"/>
        </w:rPr>
        <w:t xml:space="preserve">in the Framework </w:t>
      </w:r>
      <w:r w:rsidRPr="00A65595">
        <w:rPr>
          <w:rFonts w:asciiTheme="minorHAnsi" w:hAnsiTheme="minorHAnsi" w:cstheme="minorHAnsi"/>
        </w:rPr>
        <w:t>align to each NSDS standard providing a level of flexibility and ensuring providers</w:t>
      </w:r>
      <w:r>
        <w:rPr>
          <w:rFonts w:asciiTheme="minorHAnsi" w:hAnsiTheme="minorHAnsi" w:cstheme="minorHAnsi"/>
        </w:rPr>
        <w:t xml:space="preserve"> </w:t>
      </w:r>
      <w:r w:rsidRPr="00A65595">
        <w:rPr>
          <w:rFonts w:asciiTheme="minorHAnsi" w:hAnsiTheme="minorHAnsi" w:cstheme="minorHAnsi"/>
        </w:rPr>
        <w:t>have the opportunity to continually improve and innovate over time, and to go beyond minimum standards to meet the needs of participants</w:t>
      </w:r>
      <w:r w:rsidR="007C5938" w:rsidRPr="00A65595">
        <w:rPr>
          <w:rFonts w:asciiTheme="minorHAnsi" w:hAnsiTheme="minorHAnsi" w:cstheme="minorHAnsi"/>
        </w:rPr>
        <w:t xml:space="preserve">. </w:t>
      </w:r>
      <w:r w:rsidR="00EA1C74">
        <w:rPr>
          <w:rFonts w:asciiTheme="minorHAnsi" w:hAnsiTheme="minorHAnsi" w:cstheme="minorHAnsi"/>
        </w:rPr>
        <w:t>In recognising this</w:t>
      </w:r>
      <w:r w:rsidR="00835665">
        <w:rPr>
          <w:rFonts w:asciiTheme="minorHAnsi" w:hAnsiTheme="minorHAnsi" w:cstheme="minorHAnsi"/>
        </w:rPr>
        <w:t>,</w:t>
      </w:r>
      <w:r w:rsidR="00EA1C74">
        <w:rPr>
          <w:rFonts w:asciiTheme="minorHAnsi" w:hAnsiTheme="minorHAnsi" w:cstheme="minorHAnsi"/>
        </w:rPr>
        <w:t xml:space="preserve"> audit results against the NSDS will be a primary source of data for determining a rating against each </w:t>
      </w:r>
      <w:r w:rsidR="00DA2ABE">
        <w:rPr>
          <w:rFonts w:asciiTheme="minorHAnsi" w:hAnsiTheme="minorHAnsi" w:cstheme="minorHAnsi"/>
        </w:rPr>
        <w:t xml:space="preserve">quality </w:t>
      </w:r>
      <w:r w:rsidR="00EA1C74">
        <w:rPr>
          <w:rFonts w:asciiTheme="minorHAnsi" w:hAnsiTheme="minorHAnsi" w:cstheme="minorHAnsi"/>
        </w:rPr>
        <w:t>element as detailed in Table </w:t>
      </w:r>
      <w:r w:rsidR="00F80610">
        <w:rPr>
          <w:rFonts w:asciiTheme="minorHAnsi" w:hAnsiTheme="minorHAnsi" w:cstheme="minorHAnsi"/>
        </w:rPr>
        <w:t>3</w:t>
      </w:r>
      <w:r w:rsidR="00EA1C74">
        <w:rPr>
          <w:rFonts w:asciiTheme="minorHAnsi" w:hAnsiTheme="minorHAnsi" w:cstheme="minorHAnsi"/>
        </w:rPr>
        <w:t>.</w:t>
      </w:r>
    </w:p>
    <w:p w14:paraId="5A757AD2" w14:textId="2511F7CC" w:rsidR="00984218" w:rsidRPr="00CD2212" w:rsidRDefault="00984218" w:rsidP="00CD2212">
      <w:pPr>
        <w:pStyle w:val="Caption"/>
        <w:keepNext/>
        <w:rPr>
          <w:sz w:val="20"/>
        </w:rPr>
      </w:pPr>
      <w:r w:rsidRPr="00CD2212">
        <w:rPr>
          <w:color w:val="auto"/>
          <w:sz w:val="20"/>
        </w:rPr>
        <w:t xml:space="preserve">Table </w:t>
      </w:r>
      <w:r w:rsidRPr="00CD2212">
        <w:rPr>
          <w:color w:val="auto"/>
          <w:sz w:val="20"/>
        </w:rPr>
        <w:fldChar w:fldCharType="begin"/>
      </w:r>
      <w:r w:rsidRPr="00CD2212">
        <w:rPr>
          <w:color w:val="auto"/>
          <w:sz w:val="20"/>
        </w:rPr>
        <w:instrText xml:space="preserve"> SEQ Table \* ARABIC </w:instrText>
      </w:r>
      <w:r w:rsidRPr="00CD2212">
        <w:rPr>
          <w:color w:val="auto"/>
          <w:sz w:val="20"/>
        </w:rPr>
        <w:fldChar w:fldCharType="separate"/>
      </w:r>
      <w:r w:rsidR="00510BB6">
        <w:rPr>
          <w:noProof/>
          <w:color w:val="auto"/>
          <w:sz w:val="20"/>
        </w:rPr>
        <w:t>3</w:t>
      </w:r>
      <w:r w:rsidRPr="00CD2212">
        <w:rPr>
          <w:color w:val="auto"/>
          <w:sz w:val="20"/>
        </w:rPr>
        <w:fldChar w:fldCharType="end"/>
      </w:r>
      <w:r w:rsidRPr="00CD2212">
        <w:rPr>
          <w:color w:val="auto"/>
          <w:sz w:val="20"/>
        </w:rPr>
        <w:t>: Quality Elements Mapped to NSDS Standards</w:t>
      </w:r>
    </w:p>
    <w:tbl>
      <w:tblPr>
        <w:tblStyle w:val="MACtable"/>
        <w:tblW w:w="9351" w:type="dxa"/>
        <w:tblLook w:val="04A0" w:firstRow="1" w:lastRow="0" w:firstColumn="1" w:lastColumn="0" w:noHBand="0" w:noVBand="1"/>
        <w:tblCaption w:val="How the Quality Elements relate to NSDS Standards"/>
        <w:tblDescription w:val="Each of the NSDS Standards are individually listed next to the Quality Element that they relate to."/>
      </w:tblPr>
      <w:tblGrid>
        <w:gridCol w:w="4673"/>
        <w:gridCol w:w="4678"/>
      </w:tblGrid>
      <w:tr w:rsidR="001F72FF" w:rsidRPr="00314E60" w14:paraId="34D26448" w14:textId="77777777" w:rsidTr="00CD2212">
        <w:trPr>
          <w:cnfStyle w:val="100000000000" w:firstRow="1" w:lastRow="0" w:firstColumn="0" w:lastColumn="0" w:oddVBand="0" w:evenVBand="0" w:oddHBand="0" w:evenHBand="0" w:firstRowFirstColumn="0" w:firstRowLastColumn="0" w:lastRowFirstColumn="0" w:lastRowLastColumn="0"/>
          <w:trHeight w:val="248"/>
          <w:tblHeader/>
        </w:trPr>
        <w:tc>
          <w:tcPr>
            <w:tcW w:w="4673" w:type="dxa"/>
            <w:shd w:val="clear" w:color="auto" w:fill="215868" w:themeFill="accent5" w:themeFillShade="80"/>
            <w:vAlign w:val="center"/>
          </w:tcPr>
          <w:p w14:paraId="1F9F3FDE" w14:textId="77777777" w:rsidR="001F72FF" w:rsidRPr="00314E60" w:rsidRDefault="001F72FF" w:rsidP="00055246">
            <w:pPr>
              <w:spacing w:line="276" w:lineRule="auto"/>
            </w:pPr>
            <w:r w:rsidRPr="00314E60">
              <w:t xml:space="preserve">Quality Element </w:t>
            </w:r>
          </w:p>
        </w:tc>
        <w:tc>
          <w:tcPr>
            <w:tcW w:w="4678" w:type="dxa"/>
            <w:shd w:val="clear" w:color="auto" w:fill="215868" w:themeFill="accent5" w:themeFillShade="80"/>
            <w:vAlign w:val="center"/>
          </w:tcPr>
          <w:p w14:paraId="3B61DFC5" w14:textId="77777777" w:rsidR="001F72FF" w:rsidRPr="00314E60" w:rsidRDefault="001F72FF" w:rsidP="00055246">
            <w:pPr>
              <w:spacing w:line="276" w:lineRule="auto"/>
            </w:pPr>
            <w:r w:rsidRPr="00314E60">
              <w:t xml:space="preserve">NSDS Standard </w:t>
            </w:r>
          </w:p>
        </w:tc>
      </w:tr>
      <w:tr w:rsidR="001F72FF" w:rsidRPr="00314E60" w14:paraId="09563CB4" w14:textId="77777777" w:rsidTr="008A1F7B">
        <w:trPr>
          <w:trHeight w:val="492"/>
        </w:trPr>
        <w:tc>
          <w:tcPr>
            <w:tcW w:w="4673" w:type="dxa"/>
          </w:tcPr>
          <w:p w14:paraId="065DDE39" w14:textId="4AA315D1" w:rsidR="001F72FF" w:rsidRPr="00314E60" w:rsidRDefault="00650B74" w:rsidP="00F65CA5">
            <w:pPr>
              <w:spacing w:line="276" w:lineRule="auto"/>
              <w:rPr>
                <w:rFonts w:eastAsia="Calibri"/>
              </w:rPr>
            </w:pPr>
            <w:r>
              <w:rPr>
                <w:rFonts w:eastAsia="Calibri"/>
              </w:rPr>
              <w:t>Element 1: Participant R</w:t>
            </w:r>
            <w:r w:rsidR="001F72FF" w:rsidRPr="00314E60">
              <w:rPr>
                <w:rFonts w:eastAsia="Calibri"/>
              </w:rPr>
              <w:t xml:space="preserve">ights </w:t>
            </w:r>
          </w:p>
        </w:tc>
        <w:tc>
          <w:tcPr>
            <w:tcW w:w="4678" w:type="dxa"/>
          </w:tcPr>
          <w:p w14:paraId="5A22EFCC" w14:textId="77777777" w:rsidR="001F72FF" w:rsidRPr="00314E60" w:rsidRDefault="001F72FF" w:rsidP="00055246">
            <w:pPr>
              <w:spacing w:line="276" w:lineRule="auto"/>
              <w:rPr>
                <w:rFonts w:eastAsia="Calibri"/>
              </w:rPr>
            </w:pPr>
            <w:r w:rsidRPr="00314E60">
              <w:rPr>
                <w:rFonts w:eastAsia="Calibri"/>
              </w:rPr>
              <w:t>Standard 1: Rights</w:t>
            </w:r>
          </w:p>
        </w:tc>
      </w:tr>
      <w:tr w:rsidR="001F72FF" w:rsidRPr="00314E60" w14:paraId="4C183B04" w14:textId="77777777" w:rsidTr="008A1F7B">
        <w:trPr>
          <w:trHeight w:val="827"/>
        </w:trPr>
        <w:tc>
          <w:tcPr>
            <w:tcW w:w="4673" w:type="dxa"/>
          </w:tcPr>
          <w:p w14:paraId="4C6385D4" w14:textId="3BE91761" w:rsidR="001F72FF" w:rsidRPr="00314E60" w:rsidRDefault="00650B74" w:rsidP="00337267">
            <w:pPr>
              <w:spacing w:line="276" w:lineRule="auto"/>
              <w:rPr>
                <w:rFonts w:eastAsia="Calibri"/>
              </w:rPr>
            </w:pPr>
            <w:r>
              <w:rPr>
                <w:rFonts w:eastAsia="Calibri"/>
              </w:rPr>
              <w:t>Element 2: Understanding Q</w:t>
            </w:r>
            <w:r w:rsidR="001F72FF" w:rsidRPr="00314E60">
              <w:rPr>
                <w:rFonts w:eastAsia="Calibri"/>
              </w:rPr>
              <w:t>uality</w:t>
            </w:r>
          </w:p>
        </w:tc>
        <w:tc>
          <w:tcPr>
            <w:tcW w:w="4678" w:type="dxa"/>
          </w:tcPr>
          <w:p w14:paraId="035E9538" w14:textId="10D8CAB9" w:rsidR="009A59BC" w:rsidRDefault="009A59BC" w:rsidP="00055246">
            <w:pPr>
              <w:spacing w:line="276" w:lineRule="auto"/>
              <w:rPr>
                <w:rFonts w:eastAsia="Calibri"/>
              </w:rPr>
            </w:pPr>
            <w:r w:rsidRPr="00314E60">
              <w:rPr>
                <w:rFonts w:eastAsia="Calibri"/>
              </w:rPr>
              <w:t>Standard</w:t>
            </w:r>
            <w:r w:rsidR="00771756">
              <w:rPr>
                <w:rFonts w:eastAsia="Calibri"/>
              </w:rPr>
              <w:t xml:space="preserve"> 2: Participation and Inclusion</w:t>
            </w:r>
          </w:p>
          <w:p w14:paraId="2111F7F3" w14:textId="3E2BD50A" w:rsidR="001F72FF" w:rsidRDefault="001F72FF" w:rsidP="00055246">
            <w:pPr>
              <w:spacing w:line="276" w:lineRule="auto"/>
              <w:rPr>
                <w:rFonts w:eastAsia="Calibri"/>
              </w:rPr>
            </w:pPr>
            <w:r w:rsidRPr="00314E60">
              <w:rPr>
                <w:rFonts w:eastAsia="Calibri"/>
              </w:rPr>
              <w:t>Standard 3: Individual Outcomes</w:t>
            </w:r>
          </w:p>
          <w:p w14:paraId="4961E843" w14:textId="77777777" w:rsidR="001F72FF" w:rsidRPr="00314E60" w:rsidRDefault="001F72FF" w:rsidP="00055246">
            <w:pPr>
              <w:spacing w:line="276" w:lineRule="auto"/>
              <w:rPr>
                <w:rFonts w:eastAsia="Calibri"/>
              </w:rPr>
            </w:pPr>
            <w:r w:rsidRPr="00314E60">
              <w:rPr>
                <w:rFonts w:eastAsia="Calibri"/>
              </w:rPr>
              <w:t>Standard 5: Service Access</w:t>
            </w:r>
          </w:p>
        </w:tc>
      </w:tr>
      <w:tr w:rsidR="001F72FF" w:rsidRPr="00314E60" w14:paraId="541A10A5" w14:textId="77777777" w:rsidTr="008A1F7B">
        <w:trPr>
          <w:trHeight w:val="492"/>
        </w:trPr>
        <w:tc>
          <w:tcPr>
            <w:tcW w:w="4673" w:type="dxa"/>
          </w:tcPr>
          <w:p w14:paraId="589CD8C6" w14:textId="1C17D3C2" w:rsidR="001F72FF" w:rsidRPr="00314E60" w:rsidRDefault="00650B74" w:rsidP="00055246">
            <w:pPr>
              <w:spacing w:line="276" w:lineRule="auto"/>
              <w:rPr>
                <w:rFonts w:eastAsia="Calibri"/>
              </w:rPr>
            </w:pPr>
            <w:r>
              <w:rPr>
                <w:rFonts w:eastAsia="Calibri"/>
              </w:rPr>
              <w:t>Element 3: Provider C</w:t>
            </w:r>
            <w:r w:rsidR="001F72FF" w:rsidRPr="00314E60">
              <w:rPr>
                <w:rFonts w:eastAsia="Calibri"/>
              </w:rPr>
              <w:t xml:space="preserve">apability </w:t>
            </w:r>
          </w:p>
        </w:tc>
        <w:tc>
          <w:tcPr>
            <w:tcW w:w="4678" w:type="dxa"/>
          </w:tcPr>
          <w:p w14:paraId="14351958" w14:textId="1EA302F3" w:rsidR="001F72FF" w:rsidRPr="00314E60" w:rsidRDefault="009A59BC" w:rsidP="00055246">
            <w:pPr>
              <w:spacing w:line="276" w:lineRule="auto"/>
              <w:rPr>
                <w:rFonts w:eastAsia="Calibri"/>
              </w:rPr>
            </w:pPr>
            <w:r w:rsidRPr="00314E60">
              <w:rPr>
                <w:rFonts w:eastAsia="Calibri"/>
              </w:rPr>
              <w:t xml:space="preserve">Standard 6: Service management </w:t>
            </w:r>
          </w:p>
        </w:tc>
      </w:tr>
      <w:tr w:rsidR="001F72FF" w:rsidRPr="00314E60" w14:paraId="0C075753" w14:textId="77777777" w:rsidTr="008A1F7B">
        <w:trPr>
          <w:trHeight w:val="326"/>
        </w:trPr>
        <w:tc>
          <w:tcPr>
            <w:tcW w:w="4673" w:type="dxa"/>
          </w:tcPr>
          <w:p w14:paraId="06FD7551" w14:textId="77777777" w:rsidR="001F72FF" w:rsidRPr="00314E60" w:rsidRDefault="001F72FF" w:rsidP="00055246">
            <w:pPr>
              <w:spacing w:line="276" w:lineRule="auto"/>
              <w:rPr>
                <w:rFonts w:eastAsia="Calibri"/>
              </w:rPr>
            </w:pPr>
            <w:r w:rsidRPr="00314E60">
              <w:rPr>
                <w:rFonts w:eastAsia="Calibri"/>
              </w:rPr>
              <w:t xml:space="preserve">Element 4: Compliance </w:t>
            </w:r>
          </w:p>
        </w:tc>
        <w:tc>
          <w:tcPr>
            <w:tcW w:w="4678" w:type="dxa"/>
          </w:tcPr>
          <w:p w14:paraId="448A6311" w14:textId="6507086D" w:rsidR="001F72FF" w:rsidRPr="00314E60" w:rsidRDefault="009A59BC" w:rsidP="00055246">
            <w:pPr>
              <w:spacing w:line="276" w:lineRule="auto"/>
              <w:rPr>
                <w:rFonts w:eastAsia="Calibri"/>
              </w:rPr>
            </w:pPr>
            <w:r>
              <w:rPr>
                <w:rFonts w:eastAsia="Calibri"/>
              </w:rPr>
              <w:t>Standard 4: Feedback and Complaints</w:t>
            </w:r>
          </w:p>
        </w:tc>
      </w:tr>
    </w:tbl>
    <w:p w14:paraId="26842A3B" w14:textId="277C3F66" w:rsidR="00A20595" w:rsidRPr="0007310F" w:rsidRDefault="00AA43AF" w:rsidP="0026772F">
      <w:pPr>
        <w:spacing w:line="276" w:lineRule="auto"/>
        <w:rPr>
          <w:b/>
          <w:spacing w:val="4"/>
        </w:rPr>
      </w:pPr>
      <w:r w:rsidRPr="0007310F">
        <w:rPr>
          <w:b/>
          <w:sz w:val="28"/>
          <w:szCs w:val="28"/>
        </w:rPr>
        <w:t xml:space="preserve">Element </w:t>
      </w:r>
      <w:r w:rsidR="00A20595" w:rsidRPr="0007310F">
        <w:rPr>
          <w:b/>
          <w:sz w:val="28"/>
          <w:szCs w:val="28"/>
        </w:rPr>
        <w:t>2: Understanding Quality</w:t>
      </w:r>
      <w:r w:rsidR="00A20595" w:rsidRPr="0007310F">
        <w:rPr>
          <w:b/>
          <w:spacing w:val="4"/>
        </w:rPr>
        <w:t xml:space="preserve"> </w:t>
      </w:r>
    </w:p>
    <w:p w14:paraId="33A91B77" w14:textId="4AD6F237" w:rsidR="001F72FF" w:rsidRPr="00314E60" w:rsidRDefault="001F72FF" w:rsidP="0026772F">
      <w:pPr>
        <w:pStyle w:val="Heading2"/>
        <w:numPr>
          <w:ilvl w:val="1"/>
          <w:numId w:val="14"/>
        </w:numPr>
        <w:spacing w:before="120" w:after="120" w:line="276" w:lineRule="auto"/>
        <w:rPr>
          <w:rFonts w:asciiTheme="minorHAnsi" w:hAnsiTheme="minorHAnsi" w:cstheme="minorHAnsi"/>
        </w:rPr>
      </w:pPr>
      <w:bookmarkStart w:id="93" w:name="_Toc157587874"/>
      <w:r w:rsidRPr="00314E60">
        <w:rPr>
          <w:rFonts w:asciiTheme="minorHAnsi" w:hAnsiTheme="minorHAnsi" w:cstheme="minorHAnsi"/>
        </w:rPr>
        <w:t>Understand</w:t>
      </w:r>
      <w:r>
        <w:rPr>
          <w:rFonts w:asciiTheme="minorHAnsi" w:hAnsiTheme="minorHAnsi" w:cstheme="minorHAnsi"/>
        </w:rPr>
        <w:t>ing</w:t>
      </w:r>
      <w:r w:rsidRPr="00314E60">
        <w:rPr>
          <w:rFonts w:asciiTheme="minorHAnsi" w:hAnsiTheme="minorHAnsi" w:cstheme="minorHAnsi"/>
        </w:rPr>
        <w:t xml:space="preserve"> Quality </w:t>
      </w:r>
      <w:r>
        <w:rPr>
          <w:rFonts w:asciiTheme="minorHAnsi" w:hAnsiTheme="minorHAnsi" w:cstheme="minorHAnsi"/>
        </w:rPr>
        <w:t>A</w:t>
      </w:r>
      <w:r w:rsidRPr="00314E60">
        <w:rPr>
          <w:rFonts w:asciiTheme="minorHAnsi" w:hAnsiTheme="minorHAnsi" w:cstheme="minorHAnsi"/>
        </w:rPr>
        <w:t>ssessment</w:t>
      </w:r>
      <w:bookmarkEnd w:id="93"/>
    </w:p>
    <w:p w14:paraId="7739E916" w14:textId="336487A3" w:rsidR="00EA1C74" w:rsidRDefault="00BF04A9" w:rsidP="00055246">
      <w:pPr>
        <w:spacing w:line="276" w:lineRule="auto"/>
        <w:rPr>
          <w:spacing w:val="4"/>
        </w:rPr>
      </w:pPr>
      <w:r>
        <w:rPr>
          <w:spacing w:val="4"/>
        </w:rPr>
        <w:t>The Understanding Qu</w:t>
      </w:r>
      <w:r w:rsidR="0026772F">
        <w:rPr>
          <w:spacing w:val="4"/>
        </w:rPr>
        <w:t>ality Assessment includes 14 </w:t>
      </w:r>
      <w:r>
        <w:rPr>
          <w:spacing w:val="4"/>
        </w:rPr>
        <w:t>indicators for Element 2 (seven for each outcome).</w:t>
      </w:r>
      <w:r w:rsidR="00FD2787" w:rsidRPr="00FD2787">
        <w:t xml:space="preserve"> </w:t>
      </w:r>
      <w:r w:rsidR="00FD2787">
        <w:t xml:space="preserve">The indicators and approach to determine the rating is outlined </w:t>
      </w:r>
      <w:r w:rsidR="00FD2787">
        <w:rPr>
          <w:rFonts w:eastAsia="Calibri" w:cs="Arial"/>
          <w:lang w:val="en-US"/>
        </w:rPr>
        <w:t xml:space="preserve">in </w:t>
      </w:r>
      <w:r w:rsidR="00FD2787" w:rsidRPr="006E28C4">
        <w:rPr>
          <w:rFonts w:eastAsia="Calibri" w:cs="Arial"/>
          <w:b/>
          <w:lang w:val="en-US"/>
        </w:rPr>
        <w:t xml:space="preserve">Attachment </w:t>
      </w:r>
      <w:r w:rsidR="00FD2787">
        <w:rPr>
          <w:rFonts w:eastAsia="Calibri" w:cs="Arial"/>
          <w:b/>
          <w:lang w:val="en-US"/>
        </w:rPr>
        <w:t>B</w:t>
      </w:r>
      <w:r w:rsidR="00FD2787" w:rsidRPr="006E28C4">
        <w:rPr>
          <w:rFonts w:eastAsia="Calibri" w:cs="Arial"/>
          <w:b/>
          <w:lang w:val="en-US"/>
        </w:rPr>
        <w:t xml:space="preserve">: </w:t>
      </w:r>
      <w:r w:rsidR="00FD2787" w:rsidRPr="00FD2787">
        <w:rPr>
          <w:rFonts w:eastAsia="Calibri" w:cs="Arial"/>
          <w:b/>
        </w:rPr>
        <w:t>DES Quality Framework – Understanding Quality Assessment – (Element 2)</w:t>
      </w:r>
    </w:p>
    <w:p w14:paraId="58187534" w14:textId="15488431" w:rsidR="00CA02CD" w:rsidRDefault="005E7EDC" w:rsidP="00055246">
      <w:pPr>
        <w:spacing w:line="276" w:lineRule="auto"/>
        <w:rPr>
          <w:spacing w:val="4"/>
        </w:rPr>
      </w:pPr>
      <w:r>
        <w:rPr>
          <w:spacing w:val="4"/>
        </w:rPr>
        <w:t xml:space="preserve">Providers must complete </w:t>
      </w:r>
      <w:r w:rsidR="00FD2787">
        <w:rPr>
          <w:spacing w:val="4"/>
        </w:rPr>
        <w:t>an</w:t>
      </w:r>
      <w:r w:rsidRPr="008044C4">
        <w:rPr>
          <w:spacing w:val="4"/>
        </w:rPr>
        <w:t xml:space="preserve"> </w:t>
      </w:r>
      <w:r w:rsidR="00096A0A" w:rsidRPr="008044C4">
        <w:rPr>
          <w:spacing w:val="4"/>
        </w:rPr>
        <w:t xml:space="preserve">Understanding Quality </w:t>
      </w:r>
      <w:r w:rsidR="00447B89" w:rsidRPr="008044C4">
        <w:rPr>
          <w:spacing w:val="4"/>
        </w:rPr>
        <w:t>Self-</w:t>
      </w:r>
      <w:r w:rsidRPr="008044C4">
        <w:rPr>
          <w:spacing w:val="4"/>
        </w:rPr>
        <w:t>A</w:t>
      </w:r>
      <w:r w:rsidR="00096A0A" w:rsidRPr="008044C4">
        <w:rPr>
          <w:spacing w:val="4"/>
        </w:rPr>
        <w:t xml:space="preserve">ssessment </w:t>
      </w:r>
      <w:r w:rsidRPr="008044C4">
        <w:rPr>
          <w:spacing w:val="4"/>
        </w:rPr>
        <w:t>tool</w:t>
      </w:r>
      <w:r>
        <w:rPr>
          <w:spacing w:val="4"/>
        </w:rPr>
        <w:t xml:space="preserve"> every six months and return the results to the </w:t>
      </w:r>
      <w:r w:rsidR="00200ACD">
        <w:rPr>
          <w:spacing w:val="4"/>
        </w:rPr>
        <w:t>d</w:t>
      </w:r>
      <w:r>
        <w:rPr>
          <w:spacing w:val="4"/>
        </w:rPr>
        <w:t xml:space="preserve">epartment prior </w:t>
      </w:r>
      <w:r w:rsidR="00BF04A9">
        <w:rPr>
          <w:spacing w:val="4"/>
        </w:rPr>
        <w:t>to the end of each rating period</w:t>
      </w:r>
      <w:r w:rsidR="00CA02CD">
        <w:rPr>
          <w:spacing w:val="4"/>
        </w:rPr>
        <w:t xml:space="preserve"> (rating period</w:t>
      </w:r>
      <w:r w:rsidR="000C4F01">
        <w:rPr>
          <w:spacing w:val="4"/>
        </w:rPr>
        <w:t xml:space="preserve"> dates</w:t>
      </w:r>
      <w:r w:rsidR="00CA02CD">
        <w:rPr>
          <w:spacing w:val="4"/>
        </w:rPr>
        <w:t xml:space="preserve"> are set out in </w:t>
      </w:r>
      <w:r w:rsidR="00650652">
        <w:rPr>
          <w:spacing w:val="4"/>
        </w:rPr>
        <w:t xml:space="preserve"> </w:t>
      </w:r>
      <w:r w:rsidR="00F80610">
        <w:rPr>
          <w:spacing w:val="4"/>
        </w:rPr>
        <w:t>T</w:t>
      </w:r>
      <w:r w:rsidR="00CA02CD">
        <w:rPr>
          <w:spacing w:val="4"/>
        </w:rPr>
        <w:t xml:space="preserve">able </w:t>
      </w:r>
      <w:r w:rsidR="00EC0D92">
        <w:rPr>
          <w:spacing w:val="4"/>
        </w:rPr>
        <w:t>2</w:t>
      </w:r>
      <w:r w:rsidR="006D229E">
        <w:rPr>
          <w:spacing w:val="4"/>
        </w:rPr>
        <w:t xml:space="preserve"> </w:t>
      </w:r>
      <w:r w:rsidR="000C4F01">
        <w:rPr>
          <w:spacing w:val="4"/>
        </w:rPr>
        <w:t>in</w:t>
      </w:r>
      <w:r w:rsidR="00CA02CD">
        <w:rPr>
          <w:spacing w:val="4"/>
        </w:rPr>
        <w:t xml:space="preserve"> Section </w:t>
      </w:r>
      <w:r w:rsidR="00742879">
        <w:rPr>
          <w:spacing w:val="4"/>
        </w:rPr>
        <w:t>3</w:t>
      </w:r>
      <w:r w:rsidR="00CA02CD">
        <w:rPr>
          <w:spacing w:val="4"/>
        </w:rPr>
        <w:t>.</w:t>
      </w:r>
      <w:r w:rsidR="00650652">
        <w:rPr>
          <w:spacing w:val="4"/>
        </w:rPr>
        <w:t>5</w:t>
      </w:r>
      <w:r w:rsidR="00CA02CD">
        <w:rPr>
          <w:spacing w:val="4"/>
        </w:rPr>
        <w:t>)</w:t>
      </w:r>
      <w:r w:rsidR="00BF04A9">
        <w:rPr>
          <w:spacing w:val="4"/>
        </w:rPr>
        <w:t>.</w:t>
      </w:r>
    </w:p>
    <w:p w14:paraId="529A86D6" w14:textId="1AF70BB1" w:rsidR="00096A0A" w:rsidRPr="005E7EDC" w:rsidRDefault="00BF04A9" w:rsidP="00055246">
      <w:pPr>
        <w:spacing w:line="276" w:lineRule="auto"/>
        <w:rPr>
          <w:spacing w:val="4"/>
        </w:rPr>
      </w:pPr>
      <w:r>
        <w:rPr>
          <w:spacing w:val="4"/>
        </w:rPr>
        <w:t xml:space="preserve">The Understanding Quality </w:t>
      </w:r>
      <w:r w:rsidR="00771756">
        <w:rPr>
          <w:spacing w:val="4"/>
        </w:rPr>
        <w:t>Self-</w:t>
      </w:r>
      <w:r>
        <w:rPr>
          <w:spacing w:val="4"/>
        </w:rPr>
        <w:t>Assessment</w:t>
      </w:r>
      <w:r w:rsidR="00CA02CD">
        <w:rPr>
          <w:spacing w:val="4"/>
        </w:rPr>
        <w:t xml:space="preserve"> </w:t>
      </w:r>
      <w:r>
        <w:rPr>
          <w:spacing w:val="4"/>
        </w:rPr>
        <w:t>tool requires providers to detail:</w:t>
      </w:r>
    </w:p>
    <w:p w14:paraId="6019922E" w14:textId="3B2E488E" w:rsidR="00BF04A9" w:rsidRDefault="00BF04A9" w:rsidP="00055246">
      <w:pPr>
        <w:pStyle w:val="ListParagraph"/>
        <w:numPr>
          <w:ilvl w:val="0"/>
          <w:numId w:val="16"/>
        </w:numPr>
        <w:spacing w:line="276" w:lineRule="auto"/>
        <w:contextualSpacing w:val="0"/>
        <w:rPr>
          <w:spacing w:val="4"/>
        </w:rPr>
      </w:pPr>
      <w:r w:rsidRPr="00601C34">
        <w:rPr>
          <w:spacing w:val="4"/>
        </w:rPr>
        <w:t xml:space="preserve">a short qualitative description of their evidence </w:t>
      </w:r>
    </w:p>
    <w:p w14:paraId="5009CE52" w14:textId="44B7D9C2" w:rsidR="00BF04A9" w:rsidRDefault="00BF3FCD" w:rsidP="00055246">
      <w:pPr>
        <w:pStyle w:val="ListParagraph"/>
        <w:numPr>
          <w:ilvl w:val="0"/>
          <w:numId w:val="16"/>
        </w:numPr>
        <w:spacing w:line="276" w:lineRule="auto"/>
        <w:contextualSpacing w:val="0"/>
        <w:rPr>
          <w:spacing w:val="4"/>
        </w:rPr>
      </w:pPr>
      <w:r>
        <w:rPr>
          <w:spacing w:val="4"/>
        </w:rPr>
        <w:t>any planned improvement actions</w:t>
      </w:r>
      <w:r w:rsidR="00BF04A9" w:rsidRPr="00601C34">
        <w:rPr>
          <w:spacing w:val="4"/>
        </w:rPr>
        <w:t xml:space="preserve"> </w:t>
      </w:r>
    </w:p>
    <w:p w14:paraId="42682D64" w14:textId="77777777" w:rsidR="00BF04A9" w:rsidRDefault="00BF04A9" w:rsidP="00055246">
      <w:pPr>
        <w:pStyle w:val="ListParagraph"/>
        <w:numPr>
          <w:ilvl w:val="0"/>
          <w:numId w:val="16"/>
        </w:numPr>
        <w:spacing w:line="276" w:lineRule="auto"/>
        <w:contextualSpacing w:val="0"/>
        <w:rPr>
          <w:spacing w:val="4"/>
        </w:rPr>
      </w:pPr>
      <w:r w:rsidRPr="00601C34">
        <w:rPr>
          <w:spacing w:val="4"/>
        </w:rPr>
        <w:t>their self-rating for that indicator</w:t>
      </w:r>
      <w:r>
        <w:rPr>
          <w:spacing w:val="4"/>
        </w:rPr>
        <w:t xml:space="preserve"> </w:t>
      </w:r>
    </w:p>
    <w:p w14:paraId="19EB8BE8" w14:textId="75D91C8A" w:rsidR="00BF04A9" w:rsidRPr="00BF04A9" w:rsidRDefault="00BF04A9" w:rsidP="00055246">
      <w:pPr>
        <w:spacing w:line="276" w:lineRule="auto"/>
        <w:rPr>
          <w:spacing w:val="4"/>
        </w:rPr>
      </w:pPr>
      <w:r w:rsidRPr="00BF04A9">
        <w:rPr>
          <w:spacing w:val="4"/>
        </w:rPr>
        <w:t>This enables providers to:</w:t>
      </w:r>
    </w:p>
    <w:p w14:paraId="7C630870" w14:textId="77777777" w:rsidR="00BF04A9" w:rsidRDefault="00BF04A9" w:rsidP="00055246">
      <w:pPr>
        <w:pStyle w:val="BodyText"/>
        <w:widowControl/>
        <w:numPr>
          <w:ilvl w:val="0"/>
          <w:numId w:val="17"/>
        </w:numPr>
        <w:autoSpaceDE/>
        <w:autoSpaceDN/>
        <w:spacing w:before="120" w:after="120" w:line="276" w:lineRule="auto"/>
        <w:rPr>
          <w:rFonts w:ascii="Calibri" w:eastAsia="Times New Roman" w:hAnsi="Calibri" w:cs="Times New Roman"/>
          <w:spacing w:val="4"/>
          <w:sz w:val="22"/>
          <w:szCs w:val="24"/>
          <w:lang w:val="en-AU" w:eastAsia="en-AU"/>
        </w:rPr>
      </w:pPr>
      <w:r w:rsidRPr="005E7EDC">
        <w:rPr>
          <w:rFonts w:ascii="Calibri" w:eastAsia="Times New Roman" w:hAnsi="Calibri" w:cs="Times New Roman"/>
          <w:spacing w:val="4"/>
          <w:sz w:val="22"/>
          <w:szCs w:val="24"/>
          <w:lang w:val="en-AU" w:eastAsia="en-AU"/>
        </w:rPr>
        <w:t xml:space="preserve">examine and reflect on the quality of their services </w:t>
      </w:r>
    </w:p>
    <w:p w14:paraId="7E47A3A0" w14:textId="1218B107" w:rsidR="00BF04A9" w:rsidRPr="005E7EDC" w:rsidRDefault="00BF04A9" w:rsidP="00055246">
      <w:pPr>
        <w:pStyle w:val="BodyText"/>
        <w:widowControl/>
        <w:numPr>
          <w:ilvl w:val="0"/>
          <w:numId w:val="17"/>
        </w:numPr>
        <w:autoSpaceDE/>
        <w:autoSpaceDN/>
        <w:spacing w:before="120" w:after="120" w:line="276" w:lineRule="auto"/>
        <w:rPr>
          <w:rFonts w:ascii="Calibri" w:eastAsia="Times New Roman" w:hAnsi="Calibri" w:cs="Times New Roman"/>
          <w:spacing w:val="4"/>
          <w:sz w:val="22"/>
          <w:szCs w:val="24"/>
          <w:lang w:val="en-AU" w:eastAsia="en-AU"/>
        </w:rPr>
      </w:pPr>
      <w:r w:rsidRPr="005E7EDC">
        <w:rPr>
          <w:rFonts w:ascii="Calibri" w:eastAsia="Times New Roman" w:hAnsi="Calibri" w:cs="Times New Roman"/>
          <w:spacing w:val="4"/>
          <w:sz w:val="22"/>
          <w:szCs w:val="24"/>
          <w:lang w:val="en-AU" w:eastAsia="en-AU"/>
        </w:rPr>
        <w:lastRenderedPageBreak/>
        <w:t xml:space="preserve">share information about the quality of service delivery to inform the </w:t>
      </w:r>
      <w:r w:rsidR="00200ACD">
        <w:rPr>
          <w:rFonts w:ascii="Calibri" w:eastAsia="Times New Roman" w:hAnsi="Calibri" w:cs="Times New Roman"/>
          <w:spacing w:val="4"/>
          <w:sz w:val="22"/>
          <w:szCs w:val="24"/>
          <w:lang w:val="en-AU" w:eastAsia="en-AU"/>
        </w:rPr>
        <w:t>d</w:t>
      </w:r>
      <w:r w:rsidRPr="005E7EDC">
        <w:rPr>
          <w:rFonts w:ascii="Calibri" w:eastAsia="Times New Roman" w:hAnsi="Calibri" w:cs="Times New Roman"/>
          <w:spacing w:val="4"/>
          <w:sz w:val="22"/>
          <w:szCs w:val="24"/>
          <w:lang w:val="en-AU" w:eastAsia="en-AU"/>
        </w:rPr>
        <w:t>epartment’s assessment.</w:t>
      </w:r>
    </w:p>
    <w:p w14:paraId="3383FA76" w14:textId="3BAC23DB" w:rsidR="00C1096F" w:rsidRDefault="00A450F9" w:rsidP="00055246">
      <w:pPr>
        <w:spacing w:line="276" w:lineRule="auto"/>
        <w:rPr>
          <w:spacing w:val="4"/>
        </w:rPr>
      </w:pPr>
      <w:r>
        <w:rPr>
          <w:spacing w:val="4"/>
        </w:rPr>
        <w:t xml:space="preserve">By looking at systems, </w:t>
      </w:r>
      <w:r w:rsidR="00BF04A9">
        <w:rPr>
          <w:spacing w:val="4"/>
        </w:rPr>
        <w:t xml:space="preserve">practices, </w:t>
      </w:r>
      <w:r>
        <w:rPr>
          <w:spacing w:val="4"/>
        </w:rPr>
        <w:t xml:space="preserve">policies and procedures the self-assessment is an opportunity </w:t>
      </w:r>
      <w:r w:rsidR="00096A0A">
        <w:rPr>
          <w:spacing w:val="4"/>
        </w:rPr>
        <w:t xml:space="preserve">for providers </w:t>
      </w:r>
      <w:r>
        <w:rPr>
          <w:spacing w:val="4"/>
        </w:rPr>
        <w:t>to:</w:t>
      </w:r>
    </w:p>
    <w:p w14:paraId="6B83AC2A" w14:textId="77777777" w:rsidR="00A450F9" w:rsidRPr="00F80610" w:rsidRDefault="00A450F9" w:rsidP="00055246">
      <w:pPr>
        <w:pStyle w:val="ListParagraph"/>
        <w:numPr>
          <w:ilvl w:val="0"/>
          <w:numId w:val="16"/>
        </w:numPr>
        <w:spacing w:line="276" w:lineRule="auto"/>
        <w:contextualSpacing w:val="0"/>
        <w:rPr>
          <w:spacing w:val="4"/>
        </w:rPr>
      </w:pPr>
      <w:r w:rsidRPr="00A450F9">
        <w:rPr>
          <w:spacing w:val="4"/>
        </w:rPr>
        <w:t xml:space="preserve">confirm areas </w:t>
      </w:r>
      <w:r w:rsidRPr="00F80610">
        <w:rPr>
          <w:spacing w:val="4"/>
        </w:rPr>
        <w:t xml:space="preserve">where their service reflects elements of good practice </w:t>
      </w:r>
    </w:p>
    <w:p w14:paraId="3570CA4F" w14:textId="3F0F43F3" w:rsidR="00A450F9" w:rsidRPr="00F80610" w:rsidRDefault="00A450F9" w:rsidP="00055246">
      <w:pPr>
        <w:pStyle w:val="ListParagraph"/>
        <w:numPr>
          <w:ilvl w:val="0"/>
          <w:numId w:val="16"/>
        </w:numPr>
        <w:spacing w:line="276" w:lineRule="auto"/>
        <w:contextualSpacing w:val="0"/>
        <w:rPr>
          <w:spacing w:val="4"/>
        </w:rPr>
      </w:pPr>
      <w:r w:rsidRPr="00F80610">
        <w:rPr>
          <w:spacing w:val="4"/>
        </w:rPr>
        <w:t xml:space="preserve">identify gaps in current systems, policies and procedures, practices and capability that </w:t>
      </w:r>
      <w:r w:rsidR="00AA473B">
        <w:rPr>
          <w:spacing w:val="4"/>
        </w:rPr>
        <w:t>could improve</w:t>
      </w:r>
      <w:r w:rsidRPr="00F80610">
        <w:rPr>
          <w:spacing w:val="4"/>
        </w:rPr>
        <w:t xml:space="preserve"> </w:t>
      </w:r>
      <w:r w:rsidR="00F80610" w:rsidRPr="00F80610">
        <w:rPr>
          <w:spacing w:val="4"/>
        </w:rPr>
        <w:t>high quality employment service</w:t>
      </w:r>
      <w:r w:rsidR="00B473FA">
        <w:rPr>
          <w:spacing w:val="4"/>
        </w:rPr>
        <w:t xml:space="preserve"> delivery</w:t>
      </w:r>
    </w:p>
    <w:p w14:paraId="430E06B3" w14:textId="5796E1B1" w:rsidR="00A450F9" w:rsidRPr="00A450F9" w:rsidRDefault="00A450F9" w:rsidP="00055246">
      <w:pPr>
        <w:pStyle w:val="ListParagraph"/>
        <w:numPr>
          <w:ilvl w:val="0"/>
          <w:numId w:val="16"/>
        </w:numPr>
        <w:spacing w:line="276" w:lineRule="auto"/>
        <w:contextualSpacing w:val="0"/>
        <w:rPr>
          <w:spacing w:val="4"/>
        </w:rPr>
      </w:pPr>
      <w:r w:rsidRPr="00F80610">
        <w:rPr>
          <w:spacing w:val="4"/>
        </w:rPr>
        <w:t>plan immediate actions to address any identified gaps and make improvements to systems, policies and procedures, practices and</w:t>
      </w:r>
      <w:r w:rsidRPr="00A450F9">
        <w:rPr>
          <w:spacing w:val="4"/>
        </w:rPr>
        <w:t xml:space="preserve"> capability</w:t>
      </w:r>
      <w:r w:rsidR="00AA473B">
        <w:rPr>
          <w:spacing w:val="4"/>
        </w:rPr>
        <w:t>.</w:t>
      </w:r>
    </w:p>
    <w:p w14:paraId="6D10BC93" w14:textId="02D510F5" w:rsidR="00921EC0" w:rsidRPr="005E7EDC" w:rsidRDefault="00921EC0" w:rsidP="00921EC0">
      <w:pPr>
        <w:spacing w:line="276" w:lineRule="auto"/>
        <w:rPr>
          <w:spacing w:val="4"/>
        </w:rPr>
      </w:pPr>
      <w:r w:rsidRPr="006B5069">
        <w:rPr>
          <w:spacing w:val="4"/>
        </w:rPr>
        <w:t xml:space="preserve">The </w:t>
      </w:r>
      <w:r>
        <w:rPr>
          <w:spacing w:val="4"/>
        </w:rPr>
        <w:t>d</w:t>
      </w:r>
      <w:r w:rsidRPr="006B5069">
        <w:rPr>
          <w:spacing w:val="4"/>
        </w:rPr>
        <w:t>epartment will</w:t>
      </w:r>
      <w:r>
        <w:rPr>
          <w:spacing w:val="4"/>
        </w:rPr>
        <w:t xml:space="preserve"> then undertake an assessment against the </w:t>
      </w:r>
      <w:r>
        <w:rPr>
          <w:rFonts w:asciiTheme="minorHAnsi" w:hAnsiTheme="minorHAnsi" w:cstheme="minorHAnsi"/>
        </w:rPr>
        <w:t>indicators</w:t>
      </w:r>
      <w:r w:rsidRPr="008164FA">
        <w:rPr>
          <w:rFonts w:asciiTheme="minorHAnsi" w:hAnsiTheme="minorHAnsi" w:cstheme="minorHAnsi"/>
        </w:rPr>
        <w:t xml:space="preserve"> in the Understanding Quality</w:t>
      </w:r>
      <w:r w:rsidRPr="006B5069">
        <w:rPr>
          <w:spacing w:val="4"/>
        </w:rPr>
        <w:t xml:space="preserve"> </w:t>
      </w:r>
      <w:r>
        <w:rPr>
          <w:spacing w:val="4"/>
        </w:rPr>
        <w:t>Assessment</w:t>
      </w:r>
      <w:r w:rsidRPr="005E7EDC">
        <w:rPr>
          <w:spacing w:val="4"/>
        </w:rPr>
        <w:t>. This will consider data from the following sources:</w:t>
      </w:r>
    </w:p>
    <w:p w14:paraId="5CDE4151" w14:textId="2D87F892" w:rsidR="00921EC0" w:rsidRDefault="00771756" w:rsidP="00921EC0">
      <w:pPr>
        <w:pStyle w:val="BodyText"/>
        <w:widowControl/>
        <w:numPr>
          <w:ilvl w:val="0"/>
          <w:numId w:val="17"/>
        </w:numPr>
        <w:autoSpaceDE/>
        <w:autoSpaceDN/>
        <w:spacing w:before="120" w:after="120" w:line="276" w:lineRule="auto"/>
        <w:rPr>
          <w:rFonts w:ascii="Calibri" w:eastAsia="Times New Roman" w:hAnsi="Calibri" w:cs="Times New Roman"/>
          <w:spacing w:val="4"/>
          <w:sz w:val="22"/>
          <w:szCs w:val="24"/>
          <w:lang w:val="en-AU" w:eastAsia="en-AU"/>
        </w:rPr>
      </w:pPr>
      <w:r>
        <w:rPr>
          <w:rFonts w:ascii="Calibri" w:eastAsia="Times New Roman" w:hAnsi="Calibri" w:cs="Times New Roman"/>
          <w:spacing w:val="4"/>
          <w:sz w:val="22"/>
          <w:szCs w:val="24"/>
          <w:lang w:val="en-AU" w:eastAsia="en-AU"/>
        </w:rPr>
        <w:t>A p</w:t>
      </w:r>
      <w:r w:rsidR="00921EC0" w:rsidRPr="005E7EDC" w:rsidDel="00B473FA">
        <w:rPr>
          <w:rFonts w:ascii="Calibri" w:eastAsia="Times New Roman" w:hAnsi="Calibri" w:cs="Times New Roman"/>
          <w:spacing w:val="4"/>
          <w:sz w:val="22"/>
          <w:szCs w:val="24"/>
          <w:lang w:val="en-AU" w:eastAsia="en-AU"/>
        </w:rPr>
        <w:t>rov</w:t>
      </w:r>
      <w:r>
        <w:rPr>
          <w:rFonts w:ascii="Calibri" w:eastAsia="Times New Roman" w:hAnsi="Calibri" w:cs="Times New Roman"/>
          <w:spacing w:val="4"/>
          <w:sz w:val="22"/>
          <w:szCs w:val="24"/>
          <w:lang w:val="en-AU" w:eastAsia="en-AU"/>
        </w:rPr>
        <w:t xml:space="preserve">ider’s </w:t>
      </w:r>
      <w:r w:rsidR="00921EC0">
        <w:rPr>
          <w:rFonts w:ascii="Calibri" w:eastAsia="Times New Roman" w:hAnsi="Calibri" w:cs="Times New Roman"/>
          <w:spacing w:val="4"/>
          <w:sz w:val="22"/>
          <w:szCs w:val="24"/>
          <w:lang w:val="en-AU" w:eastAsia="en-AU"/>
        </w:rPr>
        <w:t>Understanding Quality Self-Assessment Tool</w:t>
      </w:r>
    </w:p>
    <w:p w14:paraId="361F32C9" w14:textId="1550EE9A" w:rsidR="00921EC0" w:rsidRPr="00F80610" w:rsidRDefault="00921EC0" w:rsidP="00921EC0">
      <w:pPr>
        <w:pStyle w:val="BodyText"/>
        <w:widowControl/>
        <w:numPr>
          <w:ilvl w:val="0"/>
          <w:numId w:val="17"/>
        </w:numPr>
        <w:autoSpaceDE/>
        <w:autoSpaceDN/>
        <w:spacing w:before="120" w:after="120" w:line="276" w:lineRule="auto"/>
        <w:rPr>
          <w:rFonts w:ascii="Calibri" w:eastAsia="Times New Roman" w:hAnsi="Calibri" w:cs="Times New Roman"/>
          <w:spacing w:val="4"/>
          <w:sz w:val="22"/>
          <w:szCs w:val="24"/>
          <w:lang w:val="en-AU" w:eastAsia="en-AU"/>
        </w:rPr>
      </w:pPr>
      <w:r w:rsidRPr="00F80610">
        <w:rPr>
          <w:rFonts w:ascii="Calibri" w:eastAsia="Times New Roman" w:hAnsi="Calibri" w:cs="Times New Roman"/>
          <w:spacing w:val="4"/>
          <w:sz w:val="22"/>
          <w:szCs w:val="24"/>
          <w:lang w:val="en-AU" w:eastAsia="en-AU"/>
        </w:rPr>
        <w:t>Departmental data and information gathered during provider engagements, including threshold and site visits</w:t>
      </w:r>
    </w:p>
    <w:p w14:paraId="65EC2BB3" w14:textId="7BCD1F37" w:rsidR="00921EC0" w:rsidRPr="00F80610" w:rsidRDefault="00921EC0" w:rsidP="00921EC0">
      <w:pPr>
        <w:pStyle w:val="BodyText"/>
        <w:widowControl/>
        <w:numPr>
          <w:ilvl w:val="0"/>
          <w:numId w:val="17"/>
        </w:numPr>
        <w:autoSpaceDE/>
        <w:autoSpaceDN/>
        <w:spacing w:before="120" w:after="120" w:line="276" w:lineRule="auto"/>
        <w:rPr>
          <w:rFonts w:ascii="Calibri" w:eastAsia="Times New Roman" w:hAnsi="Calibri" w:cs="Times New Roman"/>
          <w:spacing w:val="4"/>
          <w:sz w:val="22"/>
          <w:szCs w:val="24"/>
          <w:lang w:val="en-AU" w:eastAsia="en-AU"/>
        </w:rPr>
      </w:pPr>
      <w:r w:rsidRPr="00F80610">
        <w:rPr>
          <w:rFonts w:ascii="Calibri" w:eastAsia="Times New Roman" w:hAnsi="Calibri" w:cs="Times New Roman"/>
          <w:spacing w:val="4"/>
          <w:sz w:val="22"/>
          <w:szCs w:val="24"/>
          <w:lang w:val="en-AU" w:eastAsia="en-AU"/>
        </w:rPr>
        <w:t>Analysis of relevant data sources</w:t>
      </w:r>
      <w:r w:rsidR="00A17AA5">
        <w:rPr>
          <w:rFonts w:ascii="Calibri" w:eastAsia="Times New Roman" w:hAnsi="Calibri" w:cs="Times New Roman"/>
          <w:spacing w:val="4"/>
          <w:sz w:val="22"/>
          <w:szCs w:val="24"/>
          <w:lang w:val="en-AU" w:eastAsia="en-AU"/>
        </w:rPr>
        <w:t>.</w:t>
      </w:r>
    </w:p>
    <w:p w14:paraId="4A29B0FC" w14:textId="7B8AC676" w:rsidR="000568F0" w:rsidRPr="0007310F" w:rsidRDefault="00AA0F15" w:rsidP="00302D1C">
      <w:pPr>
        <w:spacing w:line="276" w:lineRule="auto"/>
        <w:rPr>
          <w:b/>
          <w:spacing w:val="4"/>
        </w:rPr>
      </w:pPr>
      <w:r w:rsidRPr="0007310F">
        <w:rPr>
          <w:b/>
          <w:sz w:val="28"/>
          <w:szCs w:val="28"/>
        </w:rPr>
        <w:t>Element</w:t>
      </w:r>
      <w:r w:rsidR="000568F0" w:rsidRPr="0007310F">
        <w:rPr>
          <w:b/>
          <w:sz w:val="28"/>
          <w:szCs w:val="28"/>
        </w:rPr>
        <w:t xml:space="preserve"> 4: Compliance</w:t>
      </w:r>
      <w:r w:rsidR="000568F0" w:rsidRPr="0007310F">
        <w:rPr>
          <w:b/>
          <w:spacing w:val="4"/>
        </w:rPr>
        <w:t xml:space="preserve">   </w:t>
      </w:r>
    </w:p>
    <w:p w14:paraId="2D33CB6B" w14:textId="2A78E7D5" w:rsidR="007C13A5" w:rsidRDefault="008D4A39" w:rsidP="006D229E">
      <w:pPr>
        <w:spacing w:line="276" w:lineRule="auto"/>
        <w:rPr>
          <w:spacing w:val="4"/>
        </w:rPr>
      </w:pPr>
      <w:r>
        <w:rPr>
          <w:spacing w:val="4"/>
        </w:rPr>
        <w:t xml:space="preserve">Under </w:t>
      </w:r>
      <w:r w:rsidR="00DA2ABE">
        <w:rPr>
          <w:spacing w:val="4"/>
        </w:rPr>
        <w:t>E</w:t>
      </w:r>
      <w:r w:rsidR="007C13A5" w:rsidRPr="006D229E">
        <w:rPr>
          <w:spacing w:val="4"/>
        </w:rPr>
        <w:t xml:space="preserve">lement 4, Funding Arrangement </w:t>
      </w:r>
      <w:r w:rsidR="00771756">
        <w:rPr>
          <w:spacing w:val="4"/>
        </w:rPr>
        <w:t xml:space="preserve">Managers </w:t>
      </w:r>
      <w:r w:rsidR="007C13A5" w:rsidRPr="006D229E">
        <w:rPr>
          <w:spacing w:val="4"/>
        </w:rPr>
        <w:t xml:space="preserve">and Relationship Managers also consider a range of information and data on DES </w:t>
      </w:r>
      <w:r w:rsidR="0037489F">
        <w:rPr>
          <w:spacing w:val="4"/>
        </w:rPr>
        <w:t xml:space="preserve">Payment </w:t>
      </w:r>
      <w:r w:rsidR="007C13A5" w:rsidRPr="006D229E">
        <w:rPr>
          <w:spacing w:val="4"/>
        </w:rPr>
        <w:t xml:space="preserve">Assurance Program </w:t>
      </w:r>
      <w:r w:rsidR="0037489F">
        <w:rPr>
          <w:spacing w:val="4"/>
        </w:rPr>
        <w:t xml:space="preserve">(PAP) </w:t>
      </w:r>
      <w:r w:rsidR="007C13A5" w:rsidRPr="006D229E">
        <w:rPr>
          <w:spacing w:val="4"/>
        </w:rPr>
        <w:t xml:space="preserve">results, </w:t>
      </w:r>
      <w:r w:rsidR="0037489F">
        <w:rPr>
          <w:spacing w:val="4"/>
        </w:rPr>
        <w:t xml:space="preserve">complaints, and breaches of the </w:t>
      </w:r>
      <w:r w:rsidR="001C0BED">
        <w:rPr>
          <w:spacing w:val="4"/>
        </w:rPr>
        <w:t>DES Grant A</w:t>
      </w:r>
      <w:r w:rsidR="0037489F">
        <w:rPr>
          <w:spacing w:val="4"/>
        </w:rPr>
        <w:t>greement</w:t>
      </w:r>
      <w:r w:rsidR="007C13A5" w:rsidRPr="006D229E">
        <w:rPr>
          <w:spacing w:val="4"/>
        </w:rPr>
        <w:t xml:space="preserve">. </w:t>
      </w:r>
    </w:p>
    <w:p w14:paraId="259024AE" w14:textId="4E2F9145" w:rsidR="009A59BC" w:rsidRPr="00314E60" w:rsidRDefault="00B7404F" w:rsidP="006D229E">
      <w:pPr>
        <w:pStyle w:val="Heading2"/>
        <w:numPr>
          <w:ilvl w:val="1"/>
          <w:numId w:val="14"/>
        </w:numPr>
        <w:spacing w:before="120" w:after="120" w:line="276" w:lineRule="auto"/>
        <w:rPr>
          <w:rFonts w:asciiTheme="minorHAnsi" w:hAnsiTheme="minorHAnsi" w:cstheme="minorHAnsi"/>
        </w:rPr>
      </w:pPr>
      <w:bookmarkStart w:id="94" w:name="_Toc157587875"/>
      <w:r>
        <w:rPr>
          <w:rFonts w:asciiTheme="minorHAnsi" w:hAnsiTheme="minorHAnsi" w:cstheme="minorHAnsi"/>
        </w:rPr>
        <w:t>Breach</w:t>
      </w:r>
      <w:r w:rsidR="00D14C84">
        <w:rPr>
          <w:rFonts w:asciiTheme="minorHAnsi" w:hAnsiTheme="minorHAnsi" w:cstheme="minorHAnsi"/>
        </w:rPr>
        <w:t>es</w:t>
      </w:r>
      <w:bookmarkEnd w:id="94"/>
      <w:r>
        <w:rPr>
          <w:rFonts w:asciiTheme="minorHAnsi" w:hAnsiTheme="minorHAnsi" w:cstheme="minorHAnsi"/>
        </w:rPr>
        <w:t xml:space="preserve"> </w:t>
      </w:r>
    </w:p>
    <w:p w14:paraId="16ED506B" w14:textId="0D2181E2" w:rsidR="00B7404F" w:rsidRPr="00B7404F" w:rsidRDefault="00B7404F" w:rsidP="006D229E">
      <w:pPr>
        <w:spacing w:line="276" w:lineRule="auto"/>
        <w:rPr>
          <w:spacing w:val="4"/>
        </w:rPr>
      </w:pPr>
      <w:r>
        <w:rPr>
          <w:spacing w:val="4"/>
        </w:rPr>
        <w:t xml:space="preserve">The </w:t>
      </w:r>
      <w:r w:rsidR="00200ACD">
        <w:rPr>
          <w:spacing w:val="4"/>
        </w:rPr>
        <w:t>d</w:t>
      </w:r>
      <w:r>
        <w:rPr>
          <w:spacing w:val="4"/>
        </w:rPr>
        <w:t>epartment will consider</w:t>
      </w:r>
      <w:r w:rsidR="00107D34">
        <w:rPr>
          <w:spacing w:val="4"/>
        </w:rPr>
        <w:t xml:space="preserve"> all </w:t>
      </w:r>
      <w:r>
        <w:rPr>
          <w:spacing w:val="4"/>
        </w:rPr>
        <w:t>breach</w:t>
      </w:r>
      <w:r w:rsidR="00D14C84">
        <w:rPr>
          <w:spacing w:val="4"/>
        </w:rPr>
        <w:t>e</w:t>
      </w:r>
      <w:r w:rsidR="00625723">
        <w:rPr>
          <w:spacing w:val="4"/>
        </w:rPr>
        <w:t>s</w:t>
      </w:r>
      <w:r w:rsidR="00107D34">
        <w:rPr>
          <w:spacing w:val="4"/>
        </w:rPr>
        <w:t>, including privacy breaches</w:t>
      </w:r>
      <w:r w:rsidR="00867161">
        <w:rPr>
          <w:spacing w:val="4"/>
        </w:rPr>
        <w:t>, when</w:t>
      </w:r>
      <w:r>
        <w:rPr>
          <w:spacing w:val="4"/>
        </w:rPr>
        <w:t xml:space="preserve"> determ</w:t>
      </w:r>
      <w:r w:rsidR="00302D1C">
        <w:rPr>
          <w:spacing w:val="4"/>
        </w:rPr>
        <w:t>in</w:t>
      </w:r>
      <w:r>
        <w:rPr>
          <w:spacing w:val="4"/>
        </w:rPr>
        <w:t xml:space="preserve">ing </w:t>
      </w:r>
      <w:r w:rsidR="009B42CF">
        <w:rPr>
          <w:spacing w:val="4"/>
        </w:rPr>
        <w:t>a r</w:t>
      </w:r>
      <w:r w:rsidR="009B42CF" w:rsidRPr="009A59BC">
        <w:rPr>
          <w:spacing w:val="4"/>
        </w:rPr>
        <w:t>ating</w:t>
      </w:r>
      <w:r w:rsidR="009A59BC" w:rsidRPr="009A59BC">
        <w:rPr>
          <w:spacing w:val="4"/>
        </w:rPr>
        <w:t xml:space="preserve"> for Element 4</w:t>
      </w:r>
      <w:r>
        <w:rPr>
          <w:spacing w:val="4"/>
        </w:rPr>
        <w:t xml:space="preserve">: Compliance. </w:t>
      </w:r>
      <w:r w:rsidRPr="00B7404F">
        <w:rPr>
          <w:spacing w:val="4"/>
        </w:rPr>
        <w:t xml:space="preserve">The </w:t>
      </w:r>
      <w:r w:rsidR="00200ACD">
        <w:rPr>
          <w:spacing w:val="4"/>
        </w:rPr>
        <w:t>d</w:t>
      </w:r>
      <w:r w:rsidRPr="00B7404F">
        <w:rPr>
          <w:spacing w:val="4"/>
        </w:rPr>
        <w:t>epar</w:t>
      </w:r>
      <w:r w:rsidR="00771756">
        <w:rPr>
          <w:spacing w:val="4"/>
        </w:rPr>
        <w:t>tment will determine whether a b</w:t>
      </w:r>
      <w:r w:rsidRPr="00B7404F">
        <w:rPr>
          <w:spacing w:val="4"/>
        </w:rPr>
        <w:t xml:space="preserve">reach will </w:t>
      </w:r>
      <w:r w:rsidR="009B42CF" w:rsidRPr="00B7404F">
        <w:rPr>
          <w:spacing w:val="4"/>
        </w:rPr>
        <w:t>affect</w:t>
      </w:r>
      <w:r w:rsidRPr="00B7404F">
        <w:rPr>
          <w:spacing w:val="4"/>
        </w:rPr>
        <w:t xml:space="preserve"> a provider’s quality ratings based on the severity of impact and consequence. </w:t>
      </w:r>
    </w:p>
    <w:p w14:paraId="2932D664" w14:textId="0A6D4405" w:rsidR="00B7404F" w:rsidRDefault="00B7404F" w:rsidP="006D229E">
      <w:pPr>
        <w:pStyle w:val="Default"/>
        <w:spacing w:before="120" w:after="120" w:line="276" w:lineRule="auto"/>
        <w:rPr>
          <w:rFonts w:cs="Times New Roman"/>
          <w:color w:val="auto"/>
          <w:spacing w:val="4"/>
          <w:sz w:val="22"/>
        </w:rPr>
      </w:pPr>
      <w:r w:rsidRPr="00B7404F">
        <w:rPr>
          <w:rFonts w:cs="Times New Roman"/>
          <w:color w:val="auto"/>
          <w:spacing w:val="4"/>
          <w:sz w:val="22"/>
        </w:rPr>
        <w:t>Breaches</w:t>
      </w:r>
      <w:r w:rsidR="004D31AE" w:rsidRPr="004D31AE">
        <w:rPr>
          <w:rFonts w:cs="Times New Roman"/>
          <w:color w:val="auto"/>
          <w:spacing w:val="4"/>
          <w:sz w:val="22"/>
        </w:rPr>
        <w:t xml:space="preserve"> </w:t>
      </w:r>
      <w:r w:rsidR="004D31AE" w:rsidRPr="00B7404F">
        <w:rPr>
          <w:rFonts w:cs="Times New Roman"/>
          <w:color w:val="auto"/>
          <w:spacing w:val="4"/>
          <w:sz w:val="22"/>
        </w:rPr>
        <w:t xml:space="preserve">may </w:t>
      </w:r>
      <w:r w:rsidR="009B42CF" w:rsidRPr="00B7404F">
        <w:rPr>
          <w:rFonts w:cs="Times New Roman"/>
          <w:color w:val="auto"/>
          <w:spacing w:val="4"/>
          <w:sz w:val="22"/>
        </w:rPr>
        <w:t>affect</w:t>
      </w:r>
      <w:r w:rsidR="004D31AE" w:rsidRPr="00B7404F">
        <w:rPr>
          <w:rFonts w:cs="Times New Roman"/>
          <w:color w:val="auto"/>
          <w:spacing w:val="4"/>
          <w:sz w:val="22"/>
        </w:rPr>
        <w:t xml:space="preserve"> a provider’s quality rating</w:t>
      </w:r>
      <w:r w:rsidRPr="00B7404F">
        <w:rPr>
          <w:rFonts w:cs="Times New Roman"/>
          <w:color w:val="auto"/>
          <w:spacing w:val="4"/>
          <w:sz w:val="22"/>
        </w:rPr>
        <w:t xml:space="preserve"> where a provider’s failure to comply with the </w:t>
      </w:r>
      <w:r w:rsidR="00D22DF9">
        <w:rPr>
          <w:rFonts w:cs="Times New Roman"/>
          <w:color w:val="auto"/>
          <w:spacing w:val="4"/>
          <w:sz w:val="22"/>
        </w:rPr>
        <w:t>DES Grant</w:t>
      </w:r>
      <w:r w:rsidRPr="00B7404F">
        <w:rPr>
          <w:rFonts w:cs="Times New Roman"/>
          <w:color w:val="auto"/>
          <w:spacing w:val="4"/>
          <w:sz w:val="22"/>
        </w:rPr>
        <w:t xml:space="preserve"> Agreement (including Guidelines) has had a </w:t>
      </w:r>
      <w:r w:rsidR="00304B39">
        <w:rPr>
          <w:rFonts w:cs="Times New Roman"/>
          <w:color w:val="auto"/>
          <w:spacing w:val="4"/>
          <w:sz w:val="22"/>
        </w:rPr>
        <w:t xml:space="preserve">potential </w:t>
      </w:r>
      <w:r w:rsidRPr="00B7404F">
        <w:rPr>
          <w:rFonts w:cs="Times New Roman"/>
          <w:color w:val="auto"/>
          <w:spacing w:val="4"/>
          <w:sz w:val="22"/>
        </w:rPr>
        <w:t>significant impact or consequence</w:t>
      </w:r>
      <w:r w:rsidR="0016134C">
        <w:rPr>
          <w:rFonts w:cs="Times New Roman"/>
          <w:color w:val="auto"/>
          <w:spacing w:val="4"/>
          <w:sz w:val="22"/>
        </w:rPr>
        <w:t xml:space="preserve"> </w:t>
      </w:r>
      <w:r w:rsidRPr="00B7404F">
        <w:rPr>
          <w:rFonts w:cs="Times New Roman"/>
          <w:color w:val="auto"/>
          <w:spacing w:val="4"/>
          <w:sz w:val="22"/>
        </w:rPr>
        <w:t xml:space="preserve">for participants, other parties, the </w:t>
      </w:r>
      <w:r w:rsidR="00200ACD">
        <w:rPr>
          <w:rFonts w:cs="Times New Roman"/>
          <w:color w:val="auto"/>
          <w:spacing w:val="4"/>
          <w:sz w:val="22"/>
        </w:rPr>
        <w:t>d</w:t>
      </w:r>
      <w:r w:rsidRPr="00B7404F">
        <w:rPr>
          <w:rFonts w:cs="Times New Roman"/>
          <w:color w:val="auto"/>
          <w:spacing w:val="4"/>
          <w:sz w:val="22"/>
        </w:rPr>
        <w:t>epartment or the reputation of the DES program</w:t>
      </w:r>
      <w:r w:rsidR="004D31AE">
        <w:rPr>
          <w:rFonts w:cs="Times New Roman"/>
          <w:color w:val="auto"/>
          <w:spacing w:val="4"/>
          <w:sz w:val="22"/>
        </w:rPr>
        <w:t>.</w:t>
      </w:r>
    </w:p>
    <w:p w14:paraId="4FB700F2" w14:textId="252B477B" w:rsidR="00B7404F" w:rsidRPr="00B7404F" w:rsidRDefault="00B7404F" w:rsidP="00F80610">
      <w:pPr>
        <w:pStyle w:val="Default"/>
        <w:rPr>
          <w:spacing w:val="4"/>
        </w:rPr>
      </w:pPr>
      <w:r w:rsidRPr="00B7404F">
        <w:rPr>
          <w:rFonts w:cs="Times New Roman"/>
          <w:color w:val="auto"/>
          <w:spacing w:val="4"/>
          <w:sz w:val="22"/>
        </w:rPr>
        <w:t xml:space="preserve">In determining </w:t>
      </w:r>
      <w:r w:rsidRPr="006D229E">
        <w:rPr>
          <w:rFonts w:cs="Times New Roman"/>
          <w:color w:val="auto"/>
          <w:spacing w:val="4"/>
          <w:sz w:val="22"/>
        </w:rPr>
        <w:t xml:space="preserve">whether a breach will </w:t>
      </w:r>
      <w:r w:rsidR="009B42CF" w:rsidRPr="006D229E">
        <w:rPr>
          <w:rFonts w:cs="Times New Roman"/>
          <w:color w:val="auto"/>
          <w:spacing w:val="4"/>
          <w:sz w:val="22"/>
        </w:rPr>
        <w:t>affect</w:t>
      </w:r>
      <w:r w:rsidRPr="006D229E">
        <w:rPr>
          <w:rFonts w:cs="Times New Roman"/>
          <w:color w:val="auto"/>
          <w:spacing w:val="4"/>
          <w:sz w:val="22"/>
        </w:rPr>
        <w:t xml:space="preserve"> a</w:t>
      </w:r>
      <w:r w:rsidR="008E6482" w:rsidRPr="006D229E">
        <w:rPr>
          <w:rFonts w:cs="Times New Roman"/>
          <w:color w:val="auto"/>
          <w:spacing w:val="4"/>
          <w:sz w:val="22"/>
        </w:rPr>
        <w:t xml:space="preserve"> provider’s quality rating</w:t>
      </w:r>
      <w:r w:rsidR="00D10394">
        <w:rPr>
          <w:rFonts w:cs="Times New Roman"/>
          <w:color w:val="auto"/>
          <w:spacing w:val="4"/>
          <w:sz w:val="22"/>
        </w:rPr>
        <w:t>,</w:t>
      </w:r>
      <w:r w:rsidR="008E6482" w:rsidRPr="006D229E">
        <w:rPr>
          <w:rFonts w:cs="Times New Roman"/>
          <w:color w:val="auto"/>
          <w:spacing w:val="4"/>
          <w:sz w:val="22"/>
        </w:rPr>
        <w:t xml:space="preserve"> the </w:t>
      </w:r>
      <w:r w:rsidR="00200ACD" w:rsidRPr="006D229E">
        <w:rPr>
          <w:rFonts w:cs="Times New Roman"/>
          <w:color w:val="auto"/>
          <w:spacing w:val="4"/>
          <w:sz w:val="22"/>
        </w:rPr>
        <w:t>d</w:t>
      </w:r>
      <w:r w:rsidRPr="006D229E">
        <w:rPr>
          <w:rFonts w:cs="Times New Roman"/>
          <w:color w:val="auto"/>
          <w:spacing w:val="4"/>
          <w:sz w:val="22"/>
        </w:rPr>
        <w:t xml:space="preserve">epartment </w:t>
      </w:r>
      <w:r w:rsidR="00D10394">
        <w:rPr>
          <w:rFonts w:cs="Times New Roman"/>
          <w:color w:val="auto"/>
          <w:spacing w:val="4"/>
          <w:sz w:val="22"/>
        </w:rPr>
        <w:t>may</w:t>
      </w:r>
      <w:r w:rsidR="00D10394" w:rsidRPr="006D229E">
        <w:rPr>
          <w:rFonts w:cs="Times New Roman"/>
          <w:color w:val="auto"/>
          <w:spacing w:val="4"/>
          <w:sz w:val="22"/>
        </w:rPr>
        <w:t xml:space="preserve"> </w:t>
      </w:r>
      <w:r w:rsidRPr="006D229E">
        <w:rPr>
          <w:rFonts w:cs="Times New Roman"/>
          <w:color w:val="auto"/>
          <w:spacing w:val="4"/>
          <w:sz w:val="22"/>
        </w:rPr>
        <w:t xml:space="preserve">consider </w:t>
      </w:r>
      <w:r w:rsidR="00D10394">
        <w:rPr>
          <w:rFonts w:cs="Times New Roman"/>
          <w:color w:val="auto"/>
          <w:spacing w:val="4"/>
          <w:sz w:val="22"/>
        </w:rPr>
        <w:t>any</w:t>
      </w:r>
      <w:r w:rsidR="00D10394" w:rsidRPr="006D229E">
        <w:rPr>
          <w:rFonts w:cs="Times New Roman"/>
          <w:color w:val="auto"/>
          <w:spacing w:val="4"/>
          <w:sz w:val="22"/>
        </w:rPr>
        <w:t xml:space="preserve"> </w:t>
      </w:r>
      <w:r w:rsidRPr="006D229E">
        <w:rPr>
          <w:rFonts w:cs="Times New Roman"/>
          <w:color w:val="auto"/>
          <w:spacing w:val="4"/>
          <w:sz w:val="22"/>
        </w:rPr>
        <w:t>relevant circumstances of the provider’s non</w:t>
      </w:r>
      <w:r w:rsidR="00BC5329" w:rsidRPr="006D229E">
        <w:rPr>
          <w:rFonts w:cs="Times New Roman"/>
          <w:color w:val="auto"/>
          <w:spacing w:val="4"/>
          <w:sz w:val="22"/>
        </w:rPr>
        <w:t>-</w:t>
      </w:r>
      <w:r w:rsidRPr="006D229E">
        <w:rPr>
          <w:rFonts w:cs="Times New Roman"/>
          <w:color w:val="auto"/>
          <w:spacing w:val="4"/>
          <w:sz w:val="22"/>
        </w:rPr>
        <w:softHyphen/>
        <w:t>compliance</w:t>
      </w:r>
      <w:r w:rsidR="00625723">
        <w:rPr>
          <w:rFonts w:cs="Times New Roman"/>
          <w:color w:val="auto"/>
          <w:spacing w:val="4"/>
          <w:sz w:val="22"/>
        </w:rPr>
        <w:t>.</w:t>
      </w:r>
    </w:p>
    <w:p w14:paraId="27249A4C" w14:textId="0C839C74" w:rsidR="00254FAE" w:rsidRDefault="00D10394" w:rsidP="006D229E">
      <w:pPr>
        <w:spacing w:line="276" w:lineRule="auto"/>
        <w:jc w:val="both"/>
        <w:rPr>
          <w:spacing w:val="4"/>
        </w:rPr>
      </w:pPr>
      <w:r>
        <w:rPr>
          <w:spacing w:val="4"/>
        </w:rPr>
        <w:t>It m</w:t>
      </w:r>
      <w:r w:rsidR="00D50460">
        <w:rPr>
          <w:spacing w:val="4"/>
        </w:rPr>
        <w:t xml:space="preserve">ay be reasonable for the </w:t>
      </w:r>
      <w:r w:rsidR="00D14C84">
        <w:rPr>
          <w:spacing w:val="4"/>
        </w:rPr>
        <w:t>d</w:t>
      </w:r>
      <w:r w:rsidR="00D50460">
        <w:rPr>
          <w:spacing w:val="4"/>
        </w:rPr>
        <w:t>epart</w:t>
      </w:r>
      <w:r>
        <w:rPr>
          <w:spacing w:val="4"/>
        </w:rPr>
        <w:t xml:space="preserve">ment to consider </w:t>
      </w:r>
      <w:r w:rsidR="00D50460">
        <w:rPr>
          <w:spacing w:val="4"/>
        </w:rPr>
        <w:t>mitigating or</w:t>
      </w:r>
      <w:r w:rsidR="00254FAE">
        <w:rPr>
          <w:spacing w:val="4"/>
        </w:rPr>
        <w:t xml:space="preserve"> </w:t>
      </w:r>
      <w:r w:rsidR="00D50460">
        <w:rPr>
          <w:spacing w:val="4"/>
        </w:rPr>
        <w:t>aggravating</w:t>
      </w:r>
      <w:r w:rsidR="00254FAE">
        <w:rPr>
          <w:spacing w:val="4"/>
        </w:rPr>
        <w:t xml:space="preserve"> </w:t>
      </w:r>
      <w:r>
        <w:rPr>
          <w:spacing w:val="4"/>
        </w:rPr>
        <w:t xml:space="preserve">factors when considering whether a breach has a significant impact and should </w:t>
      </w:r>
      <w:r w:rsidR="00254FAE">
        <w:rPr>
          <w:spacing w:val="4"/>
        </w:rPr>
        <w:t>contribute to</w:t>
      </w:r>
      <w:r>
        <w:rPr>
          <w:spacing w:val="4"/>
        </w:rPr>
        <w:t xml:space="preserve"> a </w:t>
      </w:r>
      <w:r w:rsidR="00D14C84">
        <w:rPr>
          <w:spacing w:val="4"/>
        </w:rPr>
        <w:t>p</w:t>
      </w:r>
      <w:r>
        <w:rPr>
          <w:spacing w:val="4"/>
        </w:rPr>
        <w:t xml:space="preserve">rovider’s quality rating. </w:t>
      </w:r>
    </w:p>
    <w:p w14:paraId="25FE6510" w14:textId="26BF4F57" w:rsidR="00B7404F" w:rsidRDefault="00B7404F" w:rsidP="006D229E">
      <w:pPr>
        <w:spacing w:line="276" w:lineRule="auto"/>
        <w:rPr>
          <w:spacing w:val="4"/>
        </w:rPr>
      </w:pPr>
      <w:r w:rsidRPr="00B7404F">
        <w:rPr>
          <w:spacing w:val="4"/>
        </w:rPr>
        <w:t xml:space="preserve">If the </w:t>
      </w:r>
      <w:r w:rsidR="00200ACD">
        <w:rPr>
          <w:spacing w:val="4"/>
        </w:rPr>
        <w:t>d</w:t>
      </w:r>
      <w:r w:rsidR="009E4F39">
        <w:rPr>
          <w:spacing w:val="4"/>
        </w:rPr>
        <w:t>epartment determines a b</w:t>
      </w:r>
      <w:r w:rsidRPr="00B7404F">
        <w:rPr>
          <w:spacing w:val="4"/>
        </w:rPr>
        <w:t xml:space="preserve">reach will </w:t>
      </w:r>
      <w:r w:rsidR="009B42CF" w:rsidRPr="00B7404F">
        <w:rPr>
          <w:spacing w:val="4"/>
        </w:rPr>
        <w:t>affect</w:t>
      </w:r>
      <w:r w:rsidRPr="00B7404F">
        <w:rPr>
          <w:spacing w:val="4"/>
        </w:rPr>
        <w:t xml:space="preserve"> a provider’s quality ratings, </w:t>
      </w:r>
      <w:r w:rsidR="00D14C84">
        <w:rPr>
          <w:spacing w:val="4"/>
        </w:rPr>
        <w:t>providers will be advised</w:t>
      </w:r>
      <w:r w:rsidRPr="00B7404F">
        <w:rPr>
          <w:spacing w:val="4"/>
        </w:rPr>
        <w:t xml:space="preserve"> to this effect </w:t>
      </w:r>
      <w:r w:rsidR="009E4F39">
        <w:rPr>
          <w:spacing w:val="4"/>
        </w:rPr>
        <w:t>when formally notified of the b</w:t>
      </w:r>
      <w:r w:rsidR="00D14C84">
        <w:rPr>
          <w:spacing w:val="4"/>
        </w:rPr>
        <w:t>reach</w:t>
      </w:r>
      <w:r w:rsidRPr="00B7404F">
        <w:rPr>
          <w:spacing w:val="4"/>
        </w:rPr>
        <w:t>.</w:t>
      </w:r>
      <w:r w:rsidR="00D50460">
        <w:rPr>
          <w:spacing w:val="4"/>
        </w:rPr>
        <w:t xml:space="preserve"> </w:t>
      </w:r>
    </w:p>
    <w:p w14:paraId="14645A74" w14:textId="7CD43A56" w:rsidR="00B7404F" w:rsidRDefault="00B7404F" w:rsidP="006D229E">
      <w:pPr>
        <w:pStyle w:val="Heading2"/>
        <w:numPr>
          <w:ilvl w:val="1"/>
          <w:numId w:val="14"/>
        </w:numPr>
        <w:spacing w:before="120" w:after="120" w:line="276" w:lineRule="auto"/>
        <w:rPr>
          <w:rFonts w:asciiTheme="minorHAnsi" w:hAnsiTheme="minorHAnsi" w:cstheme="minorHAnsi"/>
        </w:rPr>
      </w:pPr>
      <w:bookmarkStart w:id="95" w:name="_Toc157587876"/>
      <w:r w:rsidRPr="00B7404F">
        <w:rPr>
          <w:rFonts w:asciiTheme="minorHAnsi" w:hAnsiTheme="minorHAnsi" w:cstheme="minorHAnsi"/>
        </w:rPr>
        <w:t>Compliance Improvement Plans</w:t>
      </w:r>
      <w:bookmarkEnd w:id="95"/>
    </w:p>
    <w:p w14:paraId="3FE712FB" w14:textId="21EB581E" w:rsidR="00E60EB1" w:rsidRDefault="004045DE" w:rsidP="00A17AA5">
      <w:pPr>
        <w:spacing w:line="276" w:lineRule="auto"/>
      </w:pPr>
      <w:r w:rsidRPr="004045DE">
        <w:t>Compliance Improvement Plans (CIPs) are strategic plans to improve</w:t>
      </w:r>
      <w:r w:rsidR="00795EC6">
        <w:t xml:space="preserve"> provider</w:t>
      </w:r>
      <w:r w:rsidR="00D45ABC">
        <w:t xml:space="preserve"> </w:t>
      </w:r>
      <w:r w:rsidRPr="004045DE">
        <w:t>compliance. Generally, CIPs are completed where a provider</w:t>
      </w:r>
      <w:r w:rsidR="001B25D3">
        <w:t>’s DES</w:t>
      </w:r>
      <w:r w:rsidR="00BB0A6F">
        <w:t xml:space="preserve"> Payment</w:t>
      </w:r>
      <w:r w:rsidR="001B25D3">
        <w:t xml:space="preserve"> Assurance Program </w:t>
      </w:r>
      <w:r w:rsidR="00D25BE7">
        <w:t>payment accuracy rate</w:t>
      </w:r>
      <w:r w:rsidR="001B25D3">
        <w:t xml:space="preserve"> is</w:t>
      </w:r>
      <w:r w:rsidRPr="004045DE">
        <w:t xml:space="preserve"> less than 85</w:t>
      </w:r>
      <w:r w:rsidR="00BB0A6F">
        <w:t>%</w:t>
      </w:r>
      <w:r w:rsidR="001254B0">
        <w:t xml:space="preserve"> </w:t>
      </w:r>
      <w:r w:rsidRPr="004045DE">
        <w:t>over four rolling quarters.</w:t>
      </w:r>
      <w:r w:rsidR="00795EC6">
        <w:t xml:space="preserve"> </w:t>
      </w:r>
      <w:r w:rsidR="00795EC6" w:rsidRPr="00795EC6">
        <w:t xml:space="preserve">The </w:t>
      </w:r>
      <w:r w:rsidR="00200ACD">
        <w:t>d</w:t>
      </w:r>
      <w:r w:rsidR="00795EC6" w:rsidRPr="00795EC6">
        <w:t>epartment will advise providers of their requirement to complete a CIP.</w:t>
      </w:r>
    </w:p>
    <w:p w14:paraId="22C1C66E" w14:textId="77777777" w:rsidR="00E60EB1" w:rsidRDefault="00E60EB1">
      <w:pPr>
        <w:spacing w:before="0" w:after="0"/>
      </w:pPr>
      <w:r>
        <w:br w:type="page"/>
      </w:r>
    </w:p>
    <w:p w14:paraId="38712B19" w14:textId="694CFED8" w:rsidR="004D07CA" w:rsidRPr="00D1383D" w:rsidRDefault="004D07CA" w:rsidP="006D229E">
      <w:pPr>
        <w:pStyle w:val="Heading2"/>
        <w:numPr>
          <w:ilvl w:val="1"/>
          <w:numId w:val="14"/>
        </w:numPr>
        <w:spacing w:before="120" w:after="120" w:line="276" w:lineRule="auto"/>
        <w:rPr>
          <w:rFonts w:asciiTheme="minorHAnsi" w:hAnsiTheme="minorHAnsi" w:cstheme="minorHAnsi"/>
        </w:rPr>
      </w:pPr>
      <w:bookmarkStart w:id="96" w:name="_Toc152075598"/>
      <w:bookmarkStart w:id="97" w:name="_Toc152076372"/>
      <w:bookmarkStart w:id="98" w:name="_Toc152078248"/>
      <w:bookmarkStart w:id="99" w:name="_Toc152078360"/>
      <w:bookmarkStart w:id="100" w:name="_Toc152078431"/>
      <w:bookmarkStart w:id="101" w:name="_Toc152339712"/>
      <w:bookmarkStart w:id="102" w:name="_Toc157587877"/>
      <w:bookmarkEnd w:id="96"/>
      <w:bookmarkEnd w:id="97"/>
      <w:bookmarkEnd w:id="98"/>
      <w:bookmarkEnd w:id="99"/>
      <w:bookmarkEnd w:id="100"/>
      <w:bookmarkEnd w:id="101"/>
      <w:r w:rsidRPr="00D1383D">
        <w:rPr>
          <w:rFonts w:asciiTheme="minorHAnsi" w:hAnsiTheme="minorHAnsi" w:cstheme="minorHAnsi"/>
        </w:rPr>
        <w:lastRenderedPageBreak/>
        <w:t xml:space="preserve">DES </w:t>
      </w:r>
      <w:r w:rsidR="004476A5" w:rsidRPr="00D1383D">
        <w:rPr>
          <w:rFonts w:asciiTheme="minorHAnsi" w:hAnsiTheme="minorHAnsi" w:cstheme="minorHAnsi"/>
        </w:rPr>
        <w:t xml:space="preserve">Payment </w:t>
      </w:r>
      <w:r w:rsidRPr="00D1383D">
        <w:rPr>
          <w:rFonts w:asciiTheme="minorHAnsi" w:hAnsiTheme="minorHAnsi" w:cstheme="minorHAnsi"/>
        </w:rPr>
        <w:t>A</w:t>
      </w:r>
      <w:r w:rsidR="0052575C" w:rsidRPr="00D1383D">
        <w:rPr>
          <w:rFonts w:asciiTheme="minorHAnsi" w:hAnsiTheme="minorHAnsi" w:cstheme="minorHAnsi"/>
        </w:rPr>
        <w:t xml:space="preserve">ssurance </w:t>
      </w:r>
      <w:r w:rsidRPr="00D1383D">
        <w:rPr>
          <w:rFonts w:asciiTheme="minorHAnsi" w:hAnsiTheme="minorHAnsi" w:cstheme="minorHAnsi"/>
        </w:rPr>
        <w:t>P</w:t>
      </w:r>
      <w:r w:rsidR="0052575C" w:rsidRPr="00D1383D">
        <w:rPr>
          <w:rFonts w:asciiTheme="minorHAnsi" w:hAnsiTheme="minorHAnsi" w:cstheme="minorHAnsi"/>
        </w:rPr>
        <w:t>rogram</w:t>
      </w:r>
      <w:r w:rsidRPr="00D1383D">
        <w:rPr>
          <w:rFonts w:asciiTheme="minorHAnsi" w:hAnsiTheme="minorHAnsi" w:cstheme="minorHAnsi"/>
        </w:rPr>
        <w:t xml:space="preserve"> results finalised in the rating period</w:t>
      </w:r>
      <w:bookmarkEnd w:id="102"/>
    </w:p>
    <w:p w14:paraId="4A020489" w14:textId="67E5F74C" w:rsidR="006F13B0" w:rsidRPr="00D1383D" w:rsidRDefault="006F13B0" w:rsidP="009713ED">
      <w:pPr>
        <w:spacing w:line="276" w:lineRule="auto"/>
      </w:pPr>
      <w:r w:rsidRPr="00D1383D">
        <w:t xml:space="preserve">The DES </w:t>
      </w:r>
      <w:r w:rsidR="006A166C" w:rsidRPr="00D1383D">
        <w:t xml:space="preserve">Payment </w:t>
      </w:r>
      <w:r w:rsidRPr="00D1383D">
        <w:t xml:space="preserve">Assurance Program (DES </w:t>
      </w:r>
      <w:r w:rsidR="006A166C" w:rsidRPr="00D1383D">
        <w:t>P</w:t>
      </w:r>
      <w:r w:rsidRPr="00D1383D">
        <w:t xml:space="preserve">AP) is one of the </w:t>
      </w:r>
      <w:r w:rsidR="00200ACD" w:rsidRPr="00D1383D">
        <w:t>d</w:t>
      </w:r>
      <w:r w:rsidRPr="00D1383D">
        <w:t>epartments’</w:t>
      </w:r>
      <w:r w:rsidR="00CA02CD" w:rsidRPr="00D1383D">
        <w:t xml:space="preserve"> quality</w:t>
      </w:r>
      <w:r w:rsidRPr="00D1383D">
        <w:t xml:space="preserve"> assurance activities undertaken to interrogate and retest claims to</w:t>
      </w:r>
      <w:r w:rsidR="001010DF" w:rsidRPr="00D1383D">
        <w:t xml:space="preserve"> ensure</w:t>
      </w:r>
      <w:r w:rsidR="00AB71AC" w:rsidRPr="00D1383D">
        <w:t xml:space="preserve"> payments were claimed in accordance with </w:t>
      </w:r>
      <w:r w:rsidRPr="00D1383D">
        <w:t>the DES Grant Agreement</w:t>
      </w:r>
      <w:r w:rsidR="00AB71AC" w:rsidRPr="00D1383D">
        <w:t xml:space="preserve">, relevant </w:t>
      </w:r>
      <w:r w:rsidR="009B42CF" w:rsidRPr="00D1383D">
        <w:t>guidelines</w:t>
      </w:r>
      <w:r w:rsidR="00AB71AC" w:rsidRPr="00D1383D">
        <w:t xml:space="preserve"> and documentary evidence requirements</w:t>
      </w:r>
      <w:r w:rsidRPr="00D1383D">
        <w:t>.</w:t>
      </w:r>
    </w:p>
    <w:p w14:paraId="01E8542E" w14:textId="63374A6B" w:rsidR="006F13B0" w:rsidRPr="00D1383D" w:rsidRDefault="006F13B0" w:rsidP="009713ED">
      <w:pPr>
        <w:spacing w:line="276" w:lineRule="auto"/>
      </w:pPr>
      <w:r w:rsidRPr="00D1383D">
        <w:t>Invalid</w:t>
      </w:r>
      <w:r w:rsidR="00D1383D">
        <w:t xml:space="preserve"> (B</w:t>
      </w:r>
      <w:r w:rsidR="00D1383D" w:rsidRPr="00D1383D">
        <w:t>reach)</w:t>
      </w:r>
      <w:r w:rsidRPr="00D1383D">
        <w:t xml:space="preserve"> </w:t>
      </w:r>
      <w:r w:rsidR="00587E8C" w:rsidRPr="00D1383D">
        <w:t xml:space="preserve">and </w:t>
      </w:r>
      <w:r w:rsidR="00D1383D">
        <w:t>I</w:t>
      </w:r>
      <w:r w:rsidR="00D1383D" w:rsidRPr="00D1383D">
        <w:t xml:space="preserve">nvalid </w:t>
      </w:r>
      <w:r w:rsidR="00D1383D">
        <w:t>(R</w:t>
      </w:r>
      <w:r w:rsidR="00D1383D" w:rsidRPr="00D1383D">
        <w:t>ecovery)</w:t>
      </w:r>
      <w:r w:rsidR="00587E8C" w:rsidRPr="00D1383D">
        <w:t xml:space="preserve"> claim </w:t>
      </w:r>
      <w:r w:rsidRPr="00D1383D">
        <w:t xml:space="preserve">results from the DES </w:t>
      </w:r>
      <w:r w:rsidR="006A166C" w:rsidRPr="00D1383D">
        <w:t>P</w:t>
      </w:r>
      <w:r w:rsidRPr="00D1383D">
        <w:t xml:space="preserve">AP demonstrate participant servicing that </w:t>
      </w:r>
      <w:r w:rsidR="00C93E86" w:rsidRPr="00D1383D">
        <w:t>may</w:t>
      </w:r>
      <w:r w:rsidRPr="00D1383D">
        <w:t xml:space="preserve"> not meet requirements, for example:</w:t>
      </w:r>
    </w:p>
    <w:p w14:paraId="48F22002" w14:textId="53F983C7" w:rsidR="006F13B0" w:rsidRPr="00D1383D" w:rsidRDefault="006F13B0" w:rsidP="009713ED">
      <w:pPr>
        <w:pStyle w:val="ListParagraph"/>
        <w:numPr>
          <w:ilvl w:val="0"/>
          <w:numId w:val="16"/>
        </w:numPr>
        <w:spacing w:line="276" w:lineRule="auto"/>
        <w:contextualSpacing w:val="0"/>
        <w:rPr>
          <w:spacing w:val="4"/>
        </w:rPr>
      </w:pPr>
      <w:r w:rsidRPr="00D1383D">
        <w:rPr>
          <w:spacing w:val="4"/>
        </w:rPr>
        <w:t>Service fee - the participant has not received the minimum service</w:t>
      </w:r>
      <w:r w:rsidR="00BB0A6F" w:rsidRPr="00D1383D">
        <w:rPr>
          <w:spacing w:val="4"/>
        </w:rPr>
        <w:t xml:space="preserve">, job plan is not current </w:t>
      </w:r>
      <w:r w:rsidRPr="00D1383D">
        <w:rPr>
          <w:spacing w:val="4"/>
        </w:rPr>
        <w:t>or the participant has not been assessed appropriately</w:t>
      </w:r>
    </w:p>
    <w:p w14:paraId="0BC2C885" w14:textId="595D2532" w:rsidR="006F13B0" w:rsidRPr="00D1383D" w:rsidRDefault="006F13B0" w:rsidP="009713ED">
      <w:pPr>
        <w:pStyle w:val="ListParagraph"/>
        <w:numPr>
          <w:ilvl w:val="0"/>
          <w:numId w:val="16"/>
        </w:numPr>
        <w:spacing w:line="276" w:lineRule="auto"/>
        <w:contextualSpacing w:val="0"/>
        <w:rPr>
          <w:spacing w:val="4"/>
        </w:rPr>
      </w:pPr>
      <w:r w:rsidRPr="00D1383D">
        <w:rPr>
          <w:spacing w:val="4"/>
        </w:rPr>
        <w:t>Outcome fee - the participant has not been supported to obtain and maintain employment that meets the requirements for an outcome</w:t>
      </w:r>
      <w:r w:rsidR="00786CE2" w:rsidRPr="00D1383D">
        <w:rPr>
          <w:spacing w:val="4"/>
        </w:rPr>
        <w:t>.</w:t>
      </w:r>
    </w:p>
    <w:p w14:paraId="5CF23BFD" w14:textId="4957C296" w:rsidR="00A312EF" w:rsidRPr="00D1383D" w:rsidRDefault="004045DE" w:rsidP="009713ED">
      <w:pPr>
        <w:spacing w:line="276" w:lineRule="auto"/>
      </w:pPr>
      <w:r w:rsidRPr="00D1383D">
        <w:t xml:space="preserve">DES </w:t>
      </w:r>
      <w:r w:rsidR="006A166C" w:rsidRPr="00D1383D">
        <w:t>P</w:t>
      </w:r>
      <w:r w:rsidRPr="00D1383D">
        <w:t>AP</w:t>
      </w:r>
      <w:r w:rsidR="00AC6562" w:rsidRPr="00D1383D">
        <w:t xml:space="preserve"> </w:t>
      </w:r>
      <w:r w:rsidRPr="00D1383D">
        <w:t xml:space="preserve">results finalised within </w:t>
      </w:r>
      <w:r w:rsidR="008D4A39" w:rsidRPr="00D1383D">
        <w:t>the</w:t>
      </w:r>
      <w:r w:rsidRPr="00D1383D">
        <w:t xml:space="preserve"> rating period are reviewed by the </w:t>
      </w:r>
      <w:r w:rsidR="00200ACD" w:rsidRPr="00D1383D">
        <w:t>d</w:t>
      </w:r>
      <w:r w:rsidRPr="00D1383D">
        <w:t>epartment</w:t>
      </w:r>
      <w:r w:rsidR="006B4FA3" w:rsidRPr="00D1383D">
        <w:t xml:space="preserve"> and</w:t>
      </w:r>
      <w:r w:rsidRPr="00D1383D">
        <w:t xml:space="preserve"> </w:t>
      </w:r>
      <w:r w:rsidR="006A166C" w:rsidRPr="00D1383D">
        <w:t xml:space="preserve">will be used in assessing </w:t>
      </w:r>
      <w:r w:rsidR="00DA2ABE" w:rsidRPr="00D1383D">
        <w:t>E</w:t>
      </w:r>
      <w:r w:rsidR="006A166C" w:rsidRPr="00D1383D">
        <w:t>lement 4</w:t>
      </w:r>
      <w:r w:rsidRPr="00D1383D">
        <w:t xml:space="preserve">. </w:t>
      </w:r>
      <w:r w:rsidR="009B42CF" w:rsidRPr="00D1383D">
        <w:t>F</w:t>
      </w:r>
      <w:r w:rsidR="00A312EF" w:rsidRPr="00D1383D">
        <w:t xml:space="preserve">or the quarterly/yearly DES </w:t>
      </w:r>
      <w:r w:rsidR="009B42CF" w:rsidRPr="00D1383D">
        <w:t>P</w:t>
      </w:r>
      <w:r w:rsidR="001B25D3" w:rsidRPr="00D1383D">
        <w:t>AP</w:t>
      </w:r>
      <w:r w:rsidR="00A312EF" w:rsidRPr="00D1383D">
        <w:t xml:space="preserve"> the number </w:t>
      </w:r>
      <w:r w:rsidR="004476A5" w:rsidRPr="00D1383D">
        <w:t xml:space="preserve">of </w:t>
      </w:r>
      <w:r w:rsidR="0066709A">
        <w:t xml:space="preserve">assessed </w:t>
      </w:r>
      <w:r w:rsidR="00A312EF" w:rsidRPr="00D1383D">
        <w:t xml:space="preserve">claims are reviewed </w:t>
      </w:r>
      <w:r w:rsidR="00FC6A10" w:rsidRPr="00D1383D">
        <w:t>to calculate</w:t>
      </w:r>
      <w:r w:rsidR="00A312EF" w:rsidRPr="00D1383D">
        <w:t xml:space="preserve"> the percentage of claims recovered </w:t>
      </w:r>
      <w:r w:rsidR="001B25D3" w:rsidRPr="00D1383D">
        <w:t xml:space="preserve">and </w:t>
      </w:r>
      <w:r w:rsidR="009B42CF" w:rsidRPr="00D1383D">
        <w:t xml:space="preserve">the </w:t>
      </w:r>
      <w:r w:rsidR="00D1383D">
        <w:t>percentage of I</w:t>
      </w:r>
      <w:r w:rsidR="001B25D3" w:rsidRPr="00D1383D">
        <w:t>nvalid</w:t>
      </w:r>
      <w:r w:rsidR="00D1383D">
        <w:t xml:space="preserve"> (Breach) and Invalid (Recovery)</w:t>
      </w:r>
      <w:r w:rsidR="001B25D3" w:rsidRPr="00D1383D">
        <w:t xml:space="preserve"> claims</w:t>
      </w:r>
      <w:r w:rsidR="00A312EF" w:rsidRPr="00D1383D">
        <w:t>.</w:t>
      </w:r>
    </w:p>
    <w:p w14:paraId="683AD6DD" w14:textId="77777777" w:rsidR="002F52F9" w:rsidRPr="00D1383D" w:rsidRDefault="002F52F9" w:rsidP="009713ED">
      <w:pPr>
        <w:spacing w:line="276" w:lineRule="auto"/>
      </w:pPr>
      <w:r w:rsidRPr="00D1383D">
        <w:t>To meet the quality standards for this indicator, providers:</w:t>
      </w:r>
    </w:p>
    <w:p w14:paraId="19B3ACDE" w14:textId="43AF7C11" w:rsidR="00587E8C" w:rsidRPr="00D1383D" w:rsidRDefault="00C90734" w:rsidP="009713ED">
      <w:pPr>
        <w:pStyle w:val="ListParagraph"/>
        <w:numPr>
          <w:ilvl w:val="0"/>
          <w:numId w:val="16"/>
        </w:numPr>
        <w:spacing w:line="276" w:lineRule="auto"/>
        <w:contextualSpacing w:val="0"/>
        <w:rPr>
          <w:spacing w:val="4"/>
        </w:rPr>
      </w:pPr>
      <w:r w:rsidRPr="00D1383D">
        <w:rPr>
          <w:spacing w:val="4"/>
        </w:rPr>
        <w:t>m</w:t>
      </w:r>
      <w:r w:rsidR="00587E8C" w:rsidRPr="00D1383D">
        <w:rPr>
          <w:spacing w:val="4"/>
        </w:rPr>
        <w:t xml:space="preserve">ust have less than 5% </w:t>
      </w:r>
      <w:r w:rsidR="002F52F9" w:rsidRPr="00D1383D">
        <w:rPr>
          <w:spacing w:val="4"/>
        </w:rPr>
        <w:t>of claims recove</w:t>
      </w:r>
      <w:r w:rsidR="00C93E86" w:rsidRPr="00D1383D">
        <w:rPr>
          <w:spacing w:val="4"/>
        </w:rPr>
        <w:t xml:space="preserve">red during </w:t>
      </w:r>
      <w:r w:rsidR="006B4FA3" w:rsidRPr="00D1383D">
        <w:rPr>
          <w:spacing w:val="4"/>
        </w:rPr>
        <w:t>a rating</w:t>
      </w:r>
      <w:r w:rsidR="00587E8C" w:rsidRPr="00D1383D">
        <w:rPr>
          <w:spacing w:val="4"/>
        </w:rPr>
        <w:t xml:space="preserve"> period</w:t>
      </w:r>
    </w:p>
    <w:p w14:paraId="3A43DFBE" w14:textId="589BD577" w:rsidR="002F52F9" w:rsidRPr="00D1383D" w:rsidRDefault="002F52F9" w:rsidP="00587E8C">
      <w:pPr>
        <w:pStyle w:val="ListParagraph"/>
        <w:spacing w:line="276" w:lineRule="auto"/>
        <w:contextualSpacing w:val="0"/>
        <w:rPr>
          <w:spacing w:val="4"/>
        </w:rPr>
      </w:pPr>
      <w:r w:rsidRPr="00D1383D">
        <w:rPr>
          <w:spacing w:val="4"/>
        </w:rPr>
        <w:t xml:space="preserve">AND </w:t>
      </w:r>
    </w:p>
    <w:p w14:paraId="7FAE1EA0" w14:textId="3B65D3DA" w:rsidR="002F52F9" w:rsidRPr="00D1383D" w:rsidRDefault="002F52F9" w:rsidP="009713ED">
      <w:pPr>
        <w:pStyle w:val="ListParagraph"/>
        <w:numPr>
          <w:ilvl w:val="0"/>
          <w:numId w:val="16"/>
        </w:numPr>
        <w:spacing w:line="276" w:lineRule="auto"/>
        <w:contextualSpacing w:val="0"/>
        <w:rPr>
          <w:spacing w:val="4"/>
        </w:rPr>
      </w:pPr>
      <w:r w:rsidRPr="00D1383D">
        <w:rPr>
          <w:spacing w:val="4"/>
        </w:rPr>
        <w:t xml:space="preserve">have less than 15% </w:t>
      </w:r>
      <w:r w:rsidR="00587E8C" w:rsidRPr="00D1383D">
        <w:rPr>
          <w:spacing w:val="4"/>
        </w:rPr>
        <w:t xml:space="preserve">total </w:t>
      </w:r>
      <w:r w:rsidR="00D1383D">
        <w:rPr>
          <w:spacing w:val="4"/>
        </w:rPr>
        <w:t>I</w:t>
      </w:r>
      <w:r w:rsidR="00867161" w:rsidRPr="00D1383D">
        <w:rPr>
          <w:spacing w:val="4"/>
        </w:rPr>
        <w:t>nvalid</w:t>
      </w:r>
      <w:r w:rsidR="00D1383D">
        <w:rPr>
          <w:spacing w:val="4"/>
        </w:rPr>
        <w:t xml:space="preserve"> (Breach)</w:t>
      </w:r>
      <w:r w:rsidR="00587E8C" w:rsidRPr="00D1383D">
        <w:rPr>
          <w:spacing w:val="4"/>
        </w:rPr>
        <w:t xml:space="preserve"> and</w:t>
      </w:r>
      <w:r w:rsidR="00D1383D">
        <w:rPr>
          <w:spacing w:val="4"/>
        </w:rPr>
        <w:t xml:space="preserve"> Invalid</w:t>
      </w:r>
      <w:r w:rsidR="00587E8C" w:rsidRPr="00D1383D">
        <w:rPr>
          <w:spacing w:val="4"/>
        </w:rPr>
        <w:t xml:space="preserve"> </w:t>
      </w:r>
      <w:r w:rsidR="00D1383D">
        <w:rPr>
          <w:spacing w:val="4"/>
        </w:rPr>
        <w:t>(R</w:t>
      </w:r>
      <w:r w:rsidR="00587E8C" w:rsidRPr="00D1383D">
        <w:rPr>
          <w:spacing w:val="4"/>
        </w:rPr>
        <w:t>ecovery</w:t>
      </w:r>
      <w:r w:rsidR="00D1383D">
        <w:rPr>
          <w:spacing w:val="4"/>
        </w:rPr>
        <w:t>)</w:t>
      </w:r>
      <w:r w:rsidR="00587E8C" w:rsidRPr="00D1383D">
        <w:rPr>
          <w:spacing w:val="4"/>
        </w:rPr>
        <w:t xml:space="preserve"> claims</w:t>
      </w:r>
      <w:r w:rsidRPr="00D1383D">
        <w:rPr>
          <w:spacing w:val="4"/>
        </w:rPr>
        <w:t>.</w:t>
      </w:r>
    </w:p>
    <w:p w14:paraId="3DAC4D24" w14:textId="1014B5C2" w:rsidR="00AC6562" w:rsidRDefault="0030563F" w:rsidP="009713ED">
      <w:pPr>
        <w:spacing w:line="276" w:lineRule="auto"/>
      </w:pPr>
      <w:r w:rsidRPr="00D1383D">
        <w:t xml:space="preserve">The intent of the DES </w:t>
      </w:r>
      <w:r w:rsidR="006A166C" w:rsidRPr="00D1383D">
        <w:t>P</w:t>
      </w:r>
      <w:r w:rsidRPr="00D1383D">
        <w:t>AP indicator is to ensure that providers are delivering all program requirements to participants. Payment a</w:t>
      </w:r>
      <w:r w:rsidR="00AC6562" w:rsidRPr="00D1383D">
        <w:t>ccuracy is not a considerati</w:t>
      </w:r>
      <w:r w:rsidRPr="00D1383D">
        <w:t>on for this indicator. Payment a</w:t>
      </w:r>
      <w:r w:rsidR="00AC6562" w:rsidRPr="00D1383D">
        <w:t>ccuracy is determined over a rolling period using different calculations on claim and recovery data.</w:t>
      </w:r>
      <w:r w:rsidR="00AC6562" w:rsidRPr="00AC6562">
        <w:t xml:space="preserve"> </w:t>
      </w:r>
    </w:p>
    <w:p w14:paraId="65D31660" w14:textId="53C4F7B4" w:rsidR="004D07CA" w:rsidRDefault="004D07CA" w:rsidP="006D229E">
      <w:pPr>
        <w:pStyle w:val="Heading2"/>
        <w:numPr>
          <w:ilvl w:val="1"/>
          <w:numId w:val="14"/>
        </w:numPr>
        <w:spacing w:before="120" w:after="120" w:line="276" w:lineRule="auto"/>
        <w:rPr>
          <w:rFonts w:asciiTheme="minorHAnsi" w:hAnsiTheme="minorHAnsi" w:cstheme="minorHAnsi"/>
        </w:rPr>
      </w:pPr>
      <w:bookmarkStart w:id="103" w:name="_Toc157587878"/>
      <w:r w:rsidRPr="00B7404F">
        <w:rPr>
          <w:rFonts w:asciiTheme="minorHAnsi" w:hAnsiTheme="minorHAnsi" w:cstheme="minorHAnsi"/>
        </w:rPr>
        <w:t>Incident reporting and management</w:t>
      </w:r>
      <w:bookmarkEnd w:id="103"/>
    </w:p>
    <w:p w14:paraId="362F522C" w14:textId="5C04B753" w:rsidR="002821D8" w:rsidRDefault="004045DE" w:rsidP="009713ED">
      <w:pPr>
        <w:spacing w:line="276" w:lineRule="auto"/>
      </w:pPr>
      <w:r>
        <w:t>Incidents</w:t>
      </w:r>
      <w:r w:rsidR="002821D8" w:rsidRPr="002821D8">
        <w:t xml:space="preserve"> </w:t>
      </w:r>
      <w:r w:rsidR="002821D8">
        <w:t>that could be damaging to t</w:t>
      </w:r>
      <w:r w:rsidR="00C90734">
        <w:t>he reputation of the provider,</w:t>
      </w:r>
      <w:r w:rsidR="002821D8">
        <w:t xml:space="preserve"> the </w:t>
      </w:r>
      <w:r w:rsidR="00200ACD">
        <w:t>d</w:t>
      </w:r>
      <w:r w:rsidR="002821D8">
        <w:t>epartment or the DES program</w:t>
      </w:r>
      <w:r>
        <w:t xml:space="preserve"> must be reported to the </w:t>
      </w:r>
      <w:r w:rsidR="00200ACD">
        <w:t>d</w:t>
      </w:r>
      <w:r>
        <w:t xml:space="preserve">epartment as per the </w:t>
      </w:r>
      <w:r w:rsidR="009B42CF">
        <w:t xml:space="preserve">DES </w:t>
      </w:r>
      <w:r>
        <w:t>Grant Agreement and related guidelines, fact sheets and forms</w:t>
      </w:r>
      <w:r w:rsidR="00BB0A6F">
        <w:t>, this includes self-reporting of breaches, including privacy breaches by providers</w:t>
      </w:r>
      <w:r>
        <w:t xml:space="preserve">. </w:t>
      </w:r>
    </w:p>
    <w:p w14:paraId="6E0E5AEE" w14:textId="6CB5579D" w:rsidR="004D07CA" w:rsidRDefault="004045DE" w:rsidP="009713ED">
      <w:pPr>
        <w:spacing w:line="276" w:lineRule="auto"/>
        <w:rPr>
          <w:rFonts w:asciiTheme="minorHAnsi" w:hAnsiTheme="minorHAnsi" w:cstheme="minorHAnsi"/>
        </w:rPr>
      </w:pPr>
      <w:r>
        <w:t>Incidents should be effectively managed</w:t>
      </w:r>
      <w:r w:rsidR="00304B39">
        <w:t>,</w:t>
      </w:r>
      <w:r>
        <w:t xml:space="preserve"> with staff and participant well-being a primary consideration. </w:t>
      </w:r>
      <w:r w:rsidRPr="004045DE">
        <w:t xml:space="preserve">Proactive monitoring and </w:t>
      </w:r>
      <w:r>
        <w:t>r</w:t>
      </w:r>
      <w:r w:rsidRPr="004045DE">
        <w:t xml:space="preserve">elevant follow-up </w:t>
      </w:r>
      <w:r w:rsidR="002821D8">
        <w:t xml:space="preserve">must be </w:t>
      </w:r>
      <w:r>
        <w:t>completed in a timely manner and improvements/preventative measures implemented and monitored as appropriate.</w:t>
      </w:r>
      <w:r w:rsidR="004D07CA" w:rsidRPr="00B7404F">
        <w:rPr>
          <w:rFonts w:asciiTheme="minorHAnsi" w:hAnsiTheme="minorHAnsi" w:cstheme="minorHAnsi"/>
        </w:rPr>
        <w:t xml:space="preserve"> </w:t>
      </w:r>
    </w:p>
    <w:p w14:paraId="19BE3AC7" w14:textId="32875EE1" w:rsidR="00F0303C" w:rsidRDefault="00F0303C" w:rsidP="009713ED">
      <w:pPr>
        <w:spacing w:line="276" w:lineRule="auto"/>
        <w:rPr>
          <w:rFonts w:asciiTheme="minorHAnsi" w:hAnsiTheme="minorHAnsi" w:cstheme="minorHAnsi"/>
        </w:rPr>
      </w:pPr>
      <w:r>
        <w:rPr>
          <w:rFonts w:asciiTheme="minorHAnsi" w:hAnsiTheme="minorHAnsi" w:cstheme="minorHAnsi"/>
        </w:rPr>
        <w:t xml:space="preserve">In determining how an incident </w:t>
      </w:r>
      <w:r w:rsidR="00D95E13">
        <w:rPr>
          <w:rFonts w:asciiTheme="minorHAnsi" w:hAnsiTheme="minorHAnsi" w:cstheme="minorHAnsi"/>
        </w:rPr>
        <w:t>may</w:t>
      </w:r>
      <w:r>
        <w:rPr>
          <w:rFonts w:asciiTheme="minorHAnsi" w:hAnsiTheme="minorHAnsi" w:cstheme="minorHAnsi"/>
        </w:rPr>
        <w:t xml:space="preserve"> </w:t>
      </w:r>
      <w:r w:rsidR="009B42CF">
        <w:rPr>
          <w:rFonts w:asciiTheme="minorHAnsi" w:hAnsiTheme="minorHAnsi" w:cstheme="minorHAnsi"/>
        </w:rPr>
        <w:t>affect</w:t>
      </w:r>
      <w:r>
        <w:rPr>
          <w:rFonts w:asciiTheme="minorHAnsi" w:hAnsiTheme="minorHAnsi" w:cstheme="minorHAnsi"/>
        </w:rPr>
        <w:t xml:space="preserve"> the rating </w:t>
      </w:r>
      <w:r w:rsidR="006A166C">
        <w:rPr>
          <w:rFonts w:asciiTheme="minorHAnsi" w:hAnsiTheme="minorHAnsi" w:cstheme="minorHAnsi"/>
        </w:rPr>
        <w:t xml:space="preserve">the </w:t>
      </w:r>
      <w:r w:rsidR="00200ACD">
        <w:rPr>
          <w:rFonts w:asciiTheme="minorHAnsi" w:hAnsiTheme="minorHAnsi" w:cstheme="minorHAnsi"/>
        </w:rPr>
        <w:t>d</w:t>
      </w:r>
      <w:r w:rsidR="006A166C">
        <w:rPr>
          <w:rFonts w:asciiTheme="minorHAnsi" w:hAnsiTheme="minorHAnsi" w:cstheme="minorHAnsi"/>
        </w:rPr>
        <w:t>epartment will consider</w:t>
      </w:r>
      <w:r>
        <w:rPr>
          <w:rFonts w:asciiTheme="minorHAnsi" w:hAnsiTheme="minorHAnsi" w:cstheme="minorHAnsi"/>
        </w:rPr>
        <w:t>:</w:t>
      </w:r>
    </w:p>
    <w:p w14:paraId="7E3A3FFD" w14:textId="7728E024" w:rsidR="00F0303C" w:rsidRPr="007A0AE8" w:rsidRDefault="00CA0B12" w:rsidP="009713ED">
      <w:pPr>
        <w:pStyle w:val="ListParagraph"/>
        <w:numPr>
          <w:ilvl w:val="0"/>
          <w:numId w:val="16"/>
        </w:numPr>
        <w:spacing w:line="276" w:lineRule="auto"/>
        <w:contextualSpacing w:val="0"/>
        <w:rPr>
          <w:spacing w:val="4"/>
        </w:rPr>
      </w:pPr>
      <w:r>
        <w:rPr>
          <w:spacing w:val="4"/>
        </w:rPr>
        <w:t>t</w:t>
      </w:r>
      <w:r w:rsidR="006A166C">
        <w:rPr>
          <w:spacing w:val="4"/>
        </w:rPr>
        <w:t xml:space="preserve">imeliness of notification </w:t>
      </w:r>
      <w:r w:rsidR="00AC6562" w:rsidRPr="007A0AE8">
        <w:rPr>
          <w:spacing w:val="4"/>
        </w:rPr>
        <w:t xml:space="preserve">of incidents that could be damaging to the </w:t>
      </w:r>
      <w:r w:rsidR="00200ACD">
        <w:rPr>
          <w:spacing w:val="4"/>
        </w:rPr>
        <w:t>d</w:t>
      </w:r>
      <w:r w:rsidR="00AC6562" w:rsidRPr="007A0AE8">
        <w:rPr>
          <w:spacing w:val="4"/>
        </w:rPr>
        <w:t xml:space="preserve">epartment or program </w:t>
      </w:r>
    </w:p>
    <w:p w14:paraId="0144F0AA" w14:textId="5891716D" w:rsidR="00F0303C" w:rsidRPr="007A0AE8" w:rsidRDefault="00CA0B12" w:rsidP="009713ED">
      <w:pPr>
        <w:pStyle w:val="ListParagraph"/>
        <w:numPr>
          <w:ilvl w:val="0"/>
          <w:numId w:val="16"/>
        </w:numPr>
        <w:spacing w:line="276" w:lineRule="auto"/>
        <w:contextualSpacing w:val="0"/>
        <w:rPr>
          <w:spacing w:val="4"/>
        </w:rPr>
      </w:pPr>
      <w:r>
        <w:rPr>
          <w:spacing w:val="4"/>
        </w:rPr>
        <w:t>w</w:t>
      </w:r>
      <w:r w:rsidR="006A166C">
        <w:rPr>
          <w:spacing w:val="4"/>
        </w:rPr>
        <w:t>hether providers have a</w:t>
      </w:r>
      <w:r w:rsidR="00AC6562" w:rsidRPr="007A0AE8">
        <w:rPr>
          <w:spacing w:val="4"/>
        </w:rPr>
        <w:t xml:space="preserve">ctively </w:t>
      </w:r>
      <w:r w:rsidR="009B42CF" w:rsidRPr="007A0AE8">
        <w:rPr>
          <w:spacing w:val="4"/>
        </w:rPr>
        <w:t>resolved</w:t>
      </w:r>
      <w:r w:rsidR="00AC6562" w:rsidRPr="007A0AE8">
        <w:rPr>
          <w:spacing w:val="4"/>
        </w:rPr>
        <w:t xml:space="preserve"> or attempted to resolve the matter and kept the </w:t>
      </w:r>
      <w:r w:rsidR="00200ACD">
        <w:rPr>
          <w:spacing w:val="4"/>
        </w:rPr>
        <w:t>d</w:t>
      </w:r>
      <w:r w:rsidR="00AC6562" w:rsidRPr="007A0AE8">
        <w:rPr>
          <w:spacing w:val="4"/>
        </w:rPr>
        <w:t>epartment updated</w:t>
      </w:r>
    </w:p>
    <w:p w14:paraId="0C0EFA00" w14:textId="01A8ECD5" w:rsidR="00AC6562" w:rsidRPr="007A0AE8" w:rsidRDefault="00CA0B12" w:rsidP="009713ED">
      <w:pPr>
        <w:pStyle w:val="ListParagraph"/>
        <w:numPr>
          <w:ilvl w:val="0"/>
          <w:numId w:val="16"/>
        </w:numPr>
        <w:spacing w:line="276" w:lineRule="auto"/>
        <w:contextualSpacing w:val="0"/>
        <w:rPr>
          <w:spacing w:val="4"/>
        </w:rPr>
      </w:pPr>
      <w:r>
        <w:rPr>
          <w:spacing w:val="4"/>
        </w:rPr>
        <w:t>w</w:t>
      </w:r>
      <w:r w:rsidR="00C90734">
        <w:rPr>
          <w:spacing w:val="4"/>
        </w:rPr>
        <w:t xml:space="preserve">hether </w:t>
      </w:r>
      <w:r w:rsidR="00AC6562" w:rsidRPr="007A0AE8">
        <w:rPr>
          <w:spacing w:val="4"/>
        </w:rPr>
        <w:t xml:space="preserve">similar incidents </w:t>
      </w:r>
      <w:r w:rsidR="00C90734">
        <w:rPr>
          <w:spacing w:val="4"/>
        </w:rPr>
        <w:t xml:space="preserve">have </w:t>
      </w:r>
      <w:r w:rsidR="00AC6562" w:rsidRPr="007A0AE8">
        <w:rPr>
          <w:spacing w:val="4"/>
        </w:rPr>
        <w:t>occurred previously with business and process improvements advised by providers not reducing the frequency or impact of incidents</w:t>
      </w:r>
    </w:p>
    <w:p w14:paraId="51777080" w14:textId="1803B158" w:rsidR="00E60EB1" w:rsidRDefault="00D1383D" w:rsidP="009713ED">
      <w:pPr>
        <w:pStyle w:val="ListParagraph"/>
        <w:numPr>
          <w:ilvl w:val="0"/>
          <w:numId w:val="16"/>
        </w:numPr>
        <w:spacing w:line="276" w:lineRule="auto"/>
        <w:contextualSpacing w:val="0"/>
        <w:rPr>
          <w:spacing w:val="4"/>
        </w:rPr>
      </w:pPr>
      <w:r>
        <w:rPr>
          <w:spacing w:val="4"/>
        </w:rPr>
        <w:t>w</w:t>
      </w:r>
      <w:r w:rsidR="00C90734">
        <w:rPr>
          <w:spacing w:val="4"/>
        </w:rPr>
        <w:t xml:space="preserve">hether </w:t>
      </w:r>
      <w:r w:rsidR="00D95E13">
        <w:rPr>
          <w:spacing w:val="4"/>
        </w:rPr>
        <w:t xml:space="preserve">improved </w:t>
      </w:r>
      <w:r w:rsidR="00F0303C" w:rsidRPr="007A0AE8">
        <w:rPr>
          <w:spacing w:val="4"/>
        </w:rPr>
        <w:t>processes</w:t>
      </w:r>
      <w:r w:rsidR="00D95E13">
        <w:rPr>
          <w:spacing w:val="4"/>
        </w:rPr>
        <w:t xml:space="preserve"> </w:t>
      </w:r>
      <w:r w:rsidR="00C90734">
        <w:rPr>
          <w:spacing w:val="4"/>
        </w:rPr>
        <w:t xml:space="preserve">have </w:t>
      </w:r>
      <w:r w:rsidR="00D95E13">
        <w:rPr>
          <w:spacing w:val="4"/>
        </w:rPr>
        <w:t>been developed</w:t>
      </w:r>
      <w:r w:rsidR="00F0303C" w:rsidRPr="007A0AE8">
        <w:rPr>
          <w:spacing w:val="4"/>
        </w:rPr>
        <w:t xml:space="preserve"> to minimise potential for future incidents</w:t>
      </w:r>
    </w:p>
    <w:p w14:paraId="16BBEF07" w14:textId="77777777" w:rsidR="00E60EB1" w:rsidRDefault="00E60EB1">
      <w:pPr>
        <w:spacing w:before="0" w:after="0"/>
        <w:rPr>
          <w:spacing w:val="4"/>
        </w:rPr>
      </w:pPr>
      <w:r>
        <w:rPr>
          <w:spacing w:val="4"/>
        </w:rPr>
        <w:br w:type="page"/>
      </w:r>
    </w:p>
    <w:p w14:paraId="2FBC2C97" w14:textId="07AD0183" w:rsidR="000568F0" w:rsidRDefault="000568F0" w:rsidP="006D229E">
      <w:pPr>
        <w:pStyle w:val="Heading2"/>
        <w:numPr>
          <w:ilvl w:val="1"/>
          <w:numId w:val="14"/>
        </w:numPr>
        <w:spacing w:before="120" w:after="120" w:line="276" w:lineRule="auto"/>
        <w:rPr>
          <w:rFonts w:asciiTheme="minorHAnsi" w:hAnsiTheme="minorHAnsi" w:cstheme="minorHAnsi"/>
        </w:rPr>
      </w:pPr>
      <w:bookmarkStart w:id="104" w:name="_Toc157587879"/>
      <w:r>
        <w:rPr>
          <w:rFonts w:asciiTheme="minorHAnsi" w:hAnsiTheme="minorHAnsi" w:cstheme="minorHAnsi"/>
        </w:rPr>
        <w:lastRenderedPageBreak/>
        <w:t>Complaints management</w:t>
      </w:r>
      <w:bookmarkEnd w:id="104"/>
    </w:p>
    <w:p w14:paraId="38BC0841" w14:textId="76562EF4" w:rsidR="00C128D9" w:rsidRDefault="00860D11" w:rsidP="009713ED">
      <w:pPr>
        <w:spacing w:line="276" w:lineRule="auto"/>
      </w:pPr>
      <w:r>
        <w:t xml:space="preserve">When determining Element 4: Compliance the </w:t>
      </w:r>
      <w:r w:rsidR="00200ACD">
        <w:t>d</w:t>
      </w:r>
      <w:r>
        <w:t xml:space="preserve">epartment will review </w:t>
      </w:r>
      <w:r w:rsidR="00C128D9">
        <w:t>complaints identified by them, submitted or escalated to them. In determining how complaint</w:t>
      </w:r>
      <w:r w:rsidR="00B65971">
        <w:t>s</w:t>
      </w:r>
      <w:r w:rsidR="00C128D9">
        <w:t xml:space="preserve"> may affect the rating, the department will consider:</w:t>
      </w:r>
    </w:p>
    <w:p w14:paraId="6121B94C" w14:textId="69F5FFF8" w:rsidR="00A17AA5" w:rsidRDefault="00A17AA5" w:rsidP="00C128D9">
      <w:pPr>
        <w:pStyle w:val="ListParagraph"/>
        <w:numPr>
          <w:ilvl w:val="0"/>
          <w:numId w:val="16"/>
        </w:numPr>
        <w:spacing w:line="276" w:lineRule="auto"/>
        <w:contextualSpacing w:val="0"/>
      </w:pPr>
      <w:r>
        <w:rPr>
          <w:rStyle w:val="ui-provider"/>
        </w:rPr>
        <w:t xml:space="preserve">the range and nature of complaints </w:t>
      </w:r>
      <w:r w:rsidR="003F57EF">
        <w:rPr>
          <w:rStyle w:val="ui-provider"/>
        </w:rPr>
        <w:t xml:space="preserve">received </w:t>
      </w:r>
      <w:r>
        <w:rPr>
          <w:rStyle w:val="ui-provider"/>
        </w:rPr>
        <w:t xml:space="preserve">and </w:t>
      </w:r>
      <w:r w:rsidR="003F57EF">
        <w:rPr>
          <w:rStyle w:val="ui-provider"/>
        </w:rPr>
        <w:t xml:space="preserve">whether there are </w:t>
      </w:r>
      <w:r>
        <w:rPr>
          <w:rStyle w:val="ui-provider"/>
        </w:rPr>
        <w:t>trends</w:t>
      </w:r>
      <w:r>
        <w:t xml:space="preserve"> </w:t>
      </w:r>
      <w:r w:rsidR="003F57EF">
        <w:t>that signify an issue with the quality of services</w:t>
      </w:r>
    </w:p>
    <w:p w14:paraId="6FE39FD7" w14:textId="3D4A9BCD" w:rsidR="00C128D9" w:rsidRDefault="00A17AA5" w:rsidP="00C128D9">
      <w:pPr>
        <w:pStyle w:val="ListParagraph"/>
        <w:numPr>
          <w:ilvl w:val="0"/>
          <w:numId w:val="16"/>
        </w:numPr>
        <w:spacing w:line="276" w:lineRule="auto"/>
        <w:contextualSpacing w:val="0"/>
      </w:pPr>
      <w:r>
        <w:t xml:space="preserve">whether </w:t>
      </w:r>
      <w:r w:rsidR="00C128D9">
        <w:t>providers are proactively monitoring and responding to complaints</w:t>
      </w:r>
    </w:p>
    <w:p w14:paraId="004C7E7C" w14:textId="6875559B" w:rsidR="00E12F0B" w:rsidRPr="007A0AE8" w:rsidRDefault="003F57EF" w:rsidP="00C128D9">
      <w:pPr>
        <w:pStyle w:val="ListParagraph"/>
        <w:numPr>
          <w:ilvl w:val="0"/>
          <w:numId w:val="16"/>
        </w:numPr>
        <w:spacing w:line="276" w:lineRule="auto"/>
        <w:contextualSpacing w:val="0"/>
        <w:rPr>
          <w:spacing w:val="4"/>
        </w:rPr>
      </w:pPr>
      <w:r>
        <w:t xml:space="preserve">whether </w:t>
      </w:r>
      <w:r w:rsidR="00C128D9">
        <w:t>relevant follow-up and improvement actions have been completed.</w:t>
      </w:r>
    </w:p>
    <w:p w14:paraId="6F327C3E" w14:textId="77777777" w:rsidR="00746A49" w:rsidRDefault="00746A49" w:rsidP="004A23B7">
      <w:pPr>
        <w:pStyle w:val="Heading2"/>
        <w:numPr>
          <w:ilvl w:val="0"/>
          <w:numId w:val="0"/>
        </w:numPr>
        <w:spacing w:before="120" w:after="120" w:line="276" w:lineRule="auto"/>
        <w:ind w:left="720" w:hanging="360"/>
        <w:rPr>
          <w:rFonts w:asciiTheme="minorHAnsi" w:hAnsiTheme="minorHAnsi" w:cstheme="minorHAnsi"/>
        </w:rPr>
        <w:sectPr w:rsidR="00746A49" w:rsidSect="00BD76B5">
          <w:headerReference w:type="even" r:id="rId11"/>
          <w:headerReference w:type="default" r:id="rId12"/>
          <w:footerReference w:type="even" r:id="rId13"/>
          <w:footerReference w:type="default" r:id="rId14"/>
          <w:headerReference w:type="first" r:id="rId15"/>
          <w:footerReference w:type="first" r:id="rId16"/>
          <w:pgSz w:w="11906" w:h="16838" w:code="9"/>
          <w:pgMar w:top="1440" w:right="851" w:bottom="851" w:left="993" w:header="708" w:footer="363" w:gutter="0"/>
          <w:cols w:space="708"/>
          <w:titlePg/>
          <w:docGrid w:linePitch="360"/>
        </w:sectPr>
      </w:pPr>
      <w:bookmarkStart w:id="105" w:name="_Toc150338591"/>
      <w:bookmarkStart w:id="106" w:name="_Toc150266150"/>
      <w:bookmarkStart w:id="107" w:name="_Toc150338593"/>
      <w:bookmarkStart w:id="108" w:name="_Toc150266151"/>
      <w:bookmarkStart w:id="109" w:name="_Toc150338594"/>
      <w:bookmarkEnd w:id="61"/>
      <w:bookmarkEnd w:id="105"/>
      <w:bookmarkEnd w:id="106"/>
      <w:bookmarkEnd w:id="107"/>
      <w:bookmarkEnd w:id="108"/>
      <w:bookmarkEnd w:id="109"/>
    </w:p>
    <w:p w14:paraId="78802BBD" w14:textId="5773812D" w:rsidR="00785A27" w:rsidRDefault="00785A27" w:rsidP="009713ED">
      <w:pPr>
        <w:spacing w:line="276" w:lineRule="auto"/>
        <w:rPr>
          <w:i/>
          <w:sz w:val="20"/>
          <w:szCs w:val="20"/>
        </w:rPr>
      </w:pPr>
      <w:bookmarkStart w:id="110" w:name="_Toc152075604"/>
      <w:bookmarkEnd w:id="110"/>
    </w:p>
    <w:p w14:paraId="3DD076D5" w14:textId="21584EDD" w:rsidR="007E602A" w:rsidRDefault="00E96D28" w:rsidP="00F25D96">
      <w:pPr>
        <w:pStyle w:val="Heading1"/>
        <w:spacing w:line="276" w:lineRule="auto"/>
        <w:jc w:val="left"/>
        <w:rPr>
          <w:sz w:val="36"/>
          <w:lang w:eastAsia="en-US"/>
        </w:rPr>
      </w:pPr>
      <w:bookmarkStart w:id="111" w:name="_Toc150338604"/>
      <w:bookmarkStart w:id="112" w:name="_Toc147255900"/>
      <w:bookmarkStart w:id="113" w:name="_Toc157587880"/>
      <w:bookmarkEnd w:id="111"/>
      <w:r w:rsidRPr="00067E57">
        <w:rPr>
          <w:sz w:val="36"/>
          <w:lang w:eastAsia="en-US"/>
        </w:rPr>
        <w:t>A</w:t>
      </w:r>
      <w:r>
        <w:rPr>
          <w:sz w:val="36"/>
          <w:lang w:eastAsia="en-US"/>
        </w:rPr>
        <w:t>ttachment</w:t>
      </w:r>
      <w:r w:rsidRPr="00067E57">
        <w:rPr>
          <w:sz w:val="36"/>
          <w:lang w:eastAsia="en-US"/>
        </w:rPr>
        <w:t xml:space="preserve"> </w:t>
      </w:r>
      <w:r w:rsidR="00A82065" w:rsidRPr="00067E57">
        <w:rPr>
          <w:sz w:val="36"/>
          <w:lang w:eastAsia="en-US"/>
        </w:rPr>
        <w:t xml:space="preserve">A: </w:t>
      </w:r>
      <w:bookmarkStart w:id="114" w:name="_Toc147255896"/>
      <w:bookmarkEnd w:id="112"/>
      <w:r>
        <w:rPr>
          <w:sz w:val="36"/>
          <w:lang w:eastAsia="en-US"/>
        </w:rPr>
        <w:t xml:space="preserve">DES Quality Framework </w:t>
      </w:r>
      <w:r w:rsidR="00C443B4">
        <w:rPr>
          <w:sz w:val="36"/>
          <w:lang w:eastAsia="en-US"/>
        </w:rPr>
        <w:t xml:space="preserve">- </w:t>
      </w:r>
      <w:r>
        <w:rPr>
          <w:sz w:val="36"/>
          <w:lang w:eastAsia="en-US"/>
        </w:rPr>
        <w:t>Assessment Rubric</w:t>
      </w:r>
      <w:bookmarkEnd w:id="113"/>
    </w:p>
    <w:p w14:paraId="0F22993B" w14:textId="77777777" w:rsidR="00DD1C93" w:rsidRDefault="00DD1C93" w:rsidP="00DD1C93">
      <w:r>
        <w:t>Providers receive a rating of Exceeds, Meets or Improvement Required for each quality element and the overall quality rating.</w:t>
      </w:r>
    </w:p>
    <w:p w14:paraId="1709DA70" w14:textId="77777777" w:rsidR="006E28C4" w:rsidRDefault="006E28C4" w:rsidP="006E28C4">
      <w:pPr>
        <w:pStyle w:val="ListParagraph"/>
        <w:numPr>
          <w:ilvl w:val="0"/>
          <w:numId w:val="42"/>
        </w:numPr>
        <w:spacing w:before="0" w:after="0"/>
        <w:contextualSpacing w:val="0"/>
        <w:rPr>
          <w:lang w:eastAsia="en-US"/>
        </w:rPr>
      </w:pPr>
      <w:r w:rsidRPr="00BD631A">
        <w:t xml:space="preserve">Exceeds means providers are exceeding the </w:t>
      </w:r>
      <w:r>
        <w:t>d</w:t>
      </w:r>
      <w:r w:rsidRPr="00BD631A">
        <w:t>epartment’s quality expectations</w:t>
      </w:r>
    </w:p>
    <w:p w14:paraId="6C7509D3" w14:textId="77777777" w:rsidR="006E28C4" w:rsidRDefault="00DD1C93" w:rsidP="004A23B7">
      <w:pPr>
        <w:pStyle w:val="ListParagraph"/>
        <w:numPr>
          <w:ilvl w:val="0"/>
          <w:numId w:val="42"/>
        </w:numPr>
        <w:spacing w:before="0" w:after="0"/>
        <w:contextualSpacing w:val="0"/>
        <w:rPr>
          <w:lang w:eastAsia="en-US"/>
        </w:rPr>
      </w:pPr>
      <w:r w:rsidRPr="00BD631A">
        <w:t xml:space="preserve">Meets means providers are meeting the </w:t>
      </w:r>
      <w:r w:rsidR="008D4A39">
        <w:t>d</w:t>
      </w:r>
      <w:r w:rsidRPr="00BD631A">
        <w:t>epartment’s quality expectations</w:t>
      </w:r>
    </w:p>
    <w:p w14:paraId="2E25226F" w14:textId="0E97B12F" w:rsidR="00DD1C93" w:rsidRDefault="006E28C4" w:rsidP="004A23B7">
      <w:pPr>
        <w:pStyle w:val="ListParagraph"/>
        <w:numPr>
          <w:ilvl w:val="0"/>
          <w:numId w:val="42"/>
        </w:numPr>
        <w:spacing w:before="0" w:after="0"/>
        <w:contextualSpacing w:val="0"/>
        <w:rPr>
          <w:lang w:eastAsia="en-US"/>
        </w:rPr>
      </w:pPr>
      <w:r w:rsidRPr="00BD631A">
        <w:t xml:space="preserve">Improvement Required means that providers </w:t>
      </w:r>
      <w:r>
        <w:t>have not fully met the d</w:t>
      </w:r>
      <w:r w:rsidRPr="00BD631A">
        <w:t>epartment’s quality expectations. Improvement actions are required or will continue</w:t>
      </w:r>
    </w:p>
    <w:p w14:paraId="2AD3F95D" w14:textId="2AB2536E" w:rsidR="00DD1C93" w:rsidRPr="004A23B7" w:rsidRDefault="00DD1C93" w:rsidP="004A23B7">
      <w:pPr>
        <w:pStyle w:val="ListParagraph"/>
        <w:spacing w:before="0" w:after="0"/>
        <w:contextualSpacing w:val="0"/>
        <w:rPr>
          <w:lang w:eastAsia="en-US"/>
        </w:rPr>
      </w:pPr>
    </w:p>
    <w:tbl>
      <w:tblPr>
        <w:tblStyle w:val="TableGrid"/>
        <w:tblW w:w="5000" w:type="pct"/>
        <w:shd w:val="clear" w:color="auto" w:fill="215868" w:themeFill="accent5" w:themeFillShade="80"/>
        <w:tblLook w:val="04A0" w:firstRow="1" w:lastRow="0" w:firstColumn="1" w:lastColumn="0" w:noHBand="0" w:noVBand="1"/>
        <w:tblCaption w:val="Overall Quality Rating rubric"/>
        <w:tblDescription w:val="Explains how the Overall Quality Rating is determined based on the Quality Ratings for the four elements."/>
      </w:tblPr>
      <w:tblGrid>
        <w:gridCol w:w="4959"/>
        <w:gridCol w:w="5950"/>
        <w:gridCol w:w="4962"/>
        <w:gridCol w:w="5050"/>
      </w:tblGrid>
      <w:tr w:rsidR="005718BB" w:rsidRPr="008E33C7" w14:paraId="26A53236" w14:textId="77777777" w:rsidTr="0007310F">
        <w:trPr>
          <w:trHeight w:val="416"/>
          <w:tblHeader/>
        </w:trPr>
        <w:tc>
          <w:tcPr>
            <w:tcW w:w="1185" w:type="pct"/>
            <w:vMerge w:val="restart"/>
            <w:shd w:val="clear" w:color="auto" w:fill="215868" w:themeFill="accent5" w:themeFillShade="80"/>
            <w:vAlign w:val="center"/>
          </w:tcPr>
          <w:p w14:paraId="75FFC136" w14:textId="77777777" w:rsidR="005718BB" w:rsidRPr="008E33C7" w:rsidRDefault="005718BB" w:rsidP="003945A5">
            <w:pPr>
              <w:rPr>
                <w:rFonts w:asciiTheme="minorHAnsi" w:hAnsiTheme="minorHAnsi" w:cstheme="minorHAnsi"/>
                <w:color w:val="FFFFFF" w:themeColor="background1"/>
              </w:rPr>
            </w:pPr>
            <w:bookmarkStart w:id="115" w:name="_Toc147255897"/>
            <w:bookmarkStart w:id="116" w:name="_Toc148975810"/>
            <w:bookmarkStart w:id="117" w:name="_Toc148977083"/>
            <w:r w:rsidRPr="008E33C7">
              <w:rPr>
                <w:rFonts w:asciiTheme="minorHAnsi" w:hAnsiTheme="minorHAnsi" w:cstheme="minorHAnsi"/>
                <w:b/>
                <w:bCs/>
                <w:color w:val="FFFFFF" w:themeColor="background1"/>
              </w:rPr>
              <w:t>Overall Quality Rating</w:t>
            </w:r>
          </w:p>
        </w:tc>
        <w:tc>
          <w:tcPr>
            <w:tcW w:w="1422" w:type="pct"/>
            <w:shd w:val="clear" w:color="auto" w:fill="215868" w:themeFill="accent5" w:themeFillShade="80"/>
            <w:vAlign w:val="center"/>
          </w:tcPr>
          <w:p w14:paraId="6FA41B44" w14:textId="77777777" w:rsidR="005718BB" w:rsidRPr="008E33C7" w:rsidRDefault="005718BB" w:rsidP="003945A5">
            <w:pPr>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Improvement Required </w:t>
            </w:r>
            <w:r w:rsidRPr="008E33C7">
              <w:rPr>
                <w:rFonts w:asciiTheme="minorHAnsi" w:hAnsiTheme="minorHAnsi" w:cstheme="minorHAnsi"/>
                <w:b/>
                <w:bCs/>
                <w:color w:val="FFFFFF" w:themeColor="background1"/>
              </w:rPr>
              <w:sym w:font="Wingdings" w:char="F0FC"/>
            </w:r>
          </w:p>
        </w:tc>
        <w:tc>
          <w:tcPr>
            <w:tcW w:w="1186" w:type="pct"/>
            <w:shd w:val="clear" w:color="auto" w:fill="215868" w:themeFill="accent5" w:themeFillShade="80"/>
            <w:vAlign w:val="center"/>
          </w:tcPr>
          <w:p w14:paraId="05B6FA37" w14:textId="77777777" w:rsidR="005718BB" w:rsidRPr="008E33C7" w:rsidRDefault="005718BB" w:rsidP="003945A5">
            <w:pPr>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Meets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c>
          <w:tcPr>
            <w:tcW w:w="1207" w:type="pct"/>
            <w:shd w:val="clear" w:color="auto" w:fill="215868" w:themeFill="accent5" w:themeFillShade="80"/>
            <w:vAlign w:val="center"/>
          </w:tcPr>
          <w:p w14:paraId="57A9C2DB" w14:textId="77777777" w:rsidR="005718BB" w:rsidRPr="008E33C7" w:rsidRDefault="005718BB" w:rsidP="003945A5">
            <w:pPr>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Exceeds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r>
      <w:tr w:rsidR="005718BB" w:rsidRPr="008E33C7" w14:paraId="050EEE48" w14:textId="77777777" w:rsidTr="0007310F">
        <w:trPr>
          <w:tblHeader/>
        </w:trPr>
        <w:tc>
          <w:tcPr>
            <w:tcW w:w="1185" w:type="pct"/>
            <w:vMerge/>
            <w:tcBorders>
              <w:bottom w:val="single" w:sz="4" w:space="0" w:color="auto"/>
            </w:tcBorders>
            <w:shd w:val="clear" w:color="auto" w:fill="215868" w:themeFill="accent5" w:themeFillShade="80"/>
            <w:vAlign w:val="center"/>
          </w:tcPr>
          <w:p w14:paraId="2A84159D" w14:textId="2AC22549" w:rsidR="005718BB" w:rsidRPr="008E33C7" w:rsidRDefault="005718BB" w:rsidP="00337267">
            <w:pPr>
              <w:rPr>
                <w:rFonts w:asciiTheme="minorHAnsi" w:hAnsiTheme="minorHAnsi" w:cstheme="minorHAnsi"/>
                <w:color w:val="FFFFFF" w:themeColor="background1"/>
              </w:rPr>
            </w:pPr>
          </w:p>
        </w:tc>
        <w:tc>
          <w:tcPr>
            <w:tcW w:w="1422" w:type="pct"/>
            <w:tcBorders>
              <w:bottom w:val="single" w:sz="4" w:space="0" w:color="auto"/>
            </w:tcBorders>
            <w:shd w:val="clear" w:color="auto" w:fill="215868" w:themeFill="accent5" w:themeFillShade="80"/>
            <w:vAlign w:val="center"/>
          </w:tcPr>
          <w:p w14:paraId="283DF344" w14:textId="77777777" w:rsidR="005718BB" w:rsidRPr="008E33C7" w:rsidRDefault="005718BB"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Improvement Required for ANY individual quality element</w:t>
            </w:r>
          </w:p>
        </w:tc>
        <w:tc>
          <w:tcPr>
            <w:tcW w:w="1186" w:type="pct"/>
            <w:tcBorders>
              <w:bottom w:val="single" w:sz="4" w:space="0" w:color="auto"/>
            </w:tcBorders>
            <w:shd w:val="clear" w:color="auto" w:fill="215868" w:themeFill="accent5" w:themeFillShade="80"/>
            <w:vAlign w:val="center"/>
          </w:tcPr>
          <w:p w14:paraId="6BAA3943" w14:textId="77777777" w:rsidR="005718BB" w:rsidRPr="008E33C7" w:rsidRDefault="005718BB"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Meets for ALL quality element ratings and </w:t>
            </w:r>
            <w:r w:rsidRPr="008E33C7">
              <w:rPr>
                <w:rFonts w:asciiTheme="minorHAnsi" w:hAnsiTheme="minorHAnsi" w:cstheme="minorHAnsi"/>
                <w:b/>
                <w:bCs/>
                <w:color w:val="FFFFFF" w:themeColor="background1"/>
              </w:rPr>
              <w:br/>
              <w:t>does not meet definition for Exceeds</w:t>
            </w:r>
          </w:p>
        </w:tc>
        <w:tc>
          <w:tcPr>
            <w:tcW w:w="1207" w:type="pct"/>
            <w:tcBorders>
              <w:bottom w:val="single" w:sz="4" w:space="0" w:color="auto"/>
            </w:tcBorders>
            <w:shd w:val="clear" w:color="auto" w:fill="215868" w:themeFill="accent5" w:themeFillShade="80"/>
            <w:vAlign w:val="center"/>
          </w:tcPr>
          <w:p w14:paraId="7C63BD11" w14:textId="77777777" w:rsidR="005718BB" w:rsidRPr="008E33C7" w:rsidRDefault="005718BB" w:rsidP="003945A5">
            <w:pPr>
              <w:spacing w:line="276" w:lineRule="auto"/>
              <w:jc w:val="center"/>
              <w:rPr>
                <w:rFonts w:asciiTheme="minorHAnsi" w:hAnsiTheme="minorHAnsi" w:cstheme="minorHAnsi"/>
                <w:b/>
                <w:bCs/>
                <w:color w:val="FFFFFF" w:themeColor="background1"/>
              </w:rPr>
            </w:pPr>
            <w:r w:rsidRPr="008E33C7">
              <w:rPr>
                <w:rFonts w:asciiTheme="minorHAnsi" w:hAnsiTheme="minorHAnsi" w:cstheme="minorHAnsi"/>
                <w:b/>
                <w:bCs/>
                <w:color w:val="FFFFFF" w:themeColor="background1"/>
              </w:rPr>
              <w:t>A rating of Exceeds for Element 2 and Element 4</w:t>
            </w:r>
          </w:p>
          <w:p w14:paraId="19592D97" w14:textId="77777777" w:rsidR="005718BB" w:rsidRPr="008E33C7" w:rsidRDefault="005718BB" w:rsidP="003945A5">
            <w:pPr>
              <w:spacing w:line="276" w:lineRule="auto"/>
              <w:jc w:val="center"/>
              <w:rPr>
                <w:rFonts w:asciiTheme="minorHAnsi" w:hAnsiTheme="minorHAnsi" w:cstheme="minorHAnsi"/>
                <w:b/>
                <w:bCs/>
                <w:color w:val="FFFFFF" w:themeColor="background1"/>
              </w:rPr>
            </w:pPr>
            <w:r w:rsidRPr="008E33C7">
              <w:rPr>
                <w:rFonts w:asciiTheme="minorHAnsi" w:hAnsiTheme="minorHAnsi" w:cstheme="minorHAnsi"/>
                <w:b/>
                <w:bCs/>
                <w:color w:val="FFFFFF" w:themeColor="background1"/>
              </w:rPr>
              <w:t>AND</w:t>
            </w:r>
          </w:p>
          <w:p w14:paraId="0D36A970" w14:textId="77777777" w:rsidR="005718BB" w:rsidRPr="008E33C7" w:rsidRDefault="005718BB"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A rating of Meets for all other quality elements</w:t>
            </w:r>
          </w:p>
        </w:tc>
      </w:tr>
    </w:tbl>
    <w:p w14:paraId="7D304E12" w14:textId="77777777" w:rsidR="00DD5D57" w:rsidRDefault="00DD5D57" w:rsidP="00DD5D57">
      <w:pPr>
        <w:spacing w:before="0" w:after="0"/>
      </w:pPr>
    </w:p>
    <w:tbl>
      <w:tblPr>
        <w:tblStyle w:val="TableGrid"/>
        <w:tblW w:w="5000" w:type="pct"/>
        <w:tblLook w:val="04A0" w:firstRow="1" w:lastRow="0" w:firstColumn="1" w:lastColumn="0" w:noHBand="0" w:noVBand="1"/>
        <w:tblCaption w:val="Overall Quality Rating rubric"/>
        <w:tblDescription w:val="Explains how the Overall Quality Rating is determined based on the Quality Ratings for the four elements."/>
      </w:tblPr>
      <w:tblGrid>
        <w:gridCol w:w="4185"/>
        <w:gridCol w:w="4184"/>
        <w:gridCol w:w="4184"/>
        <w:gridCol w:w="4184"/>
        <w:gridCol w:w="4184"/>
      </w:tblGrid>
      <w:tr w:rsidR="00515E12" w:rsidRPr="008E33C7" w14:paraId="0C7E17D1" w14:textId="77777777" w:rsidTr="00CD2212">
        <w:trPr>
          <w:tblHeader/>
        </w:trPr>
        <w:tc>
          <w:tcPr>
            <w:tcW w:w="1000" w:type="pct"/>
            <w:tcBorders>
              <w:top w:val="single" w:sz="4" w:space="0" w:color="auto"/>
            </w:tcBorders>
            <w:shd w:val="clear" w:color="auto" w:fill="215868" w:themeFill="accent5" w:themeFillShade="80"/>
          </w:tcPr>
          <w:p w14:paraId="0634E1E9" w14:textId="77777777" w:rsidR="00515E12" w:rsidRPr="008E33C7" w:rsidRDefault="00515E12" w:rsidP="003945A5">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Element</w:t>
            </w:r>
          </w:p>
        </w:tc>
        <w:tc>
          <w:tcPr>
            <w:tcW w:w="1000" w:type="pct"/>
            <w:tcBorders>
              <w:top w:val="single" w:sz="4" w:space="0" w:color="auto"/>
            </w:tcBorders>
            <w:shd w:val="clear" w:color="auto" w:fill="215868" w:themeFill="accent5" w:themeFillShade="80"/>
          </w:tcPr>
          <w:p w14:paraId="35CB5D85" w14:textId="77777777" w:rsidR="00515E12" w:rsidRPr="008E33C7" w:rsidRDefault="00515E12" w:rsidP="003945A5">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Indicator</w:t>
            </w:r>
          </w:p>
        </w:tc>
        <w:tc>
          <w:tcPr>
            <w:tcW w:w="1000" w:type="pct"/>
            <w:tcBorders>
              <w:top w:val="single" w:sz="4" w:space="0" w:color="auto"/>
            </w:tcBorders>
            <w:shd w:val="clear" w:color="auto" w:fill="215868" w:themeFill="accent5" w:themeFillShade="80"/>
          </w:tcPr>
          <w:p w14:paraId="55CF81CB"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Improvement Required </w:t>
            </w:r>
            <w:r w:rsidRPr="008E33C7">
              <w:rPr>
                <w:rFonts w:asciiTheme="minorHAnsi" w:hAnsiTheme="minorHAnsi" w:cstheme="minorHAnsi"/>
                <w:b/>
                <w:bCs/>
                <w:color w:val="FFFFFF" w:themeColor="background1"/>
              </w:rPr>
              <w:sym w:font="Wingdings" w:char="F0FC"/>
            </w:r>
          </w:p>
        </w:tc>
        <w:tc>
          <w:tcPr>
            <w:tcW w:w="1000" w:type="pct"/>
            <w:tcBorders>
              <w:top w:val="single" w:sz="4" w:space="0" w:color="auto"/>
            </w:tcBorders>
            <w:shd w:val="clear" w:color="auto" w:fill="215868" w:themeFill="accent5" w:themeFillShade="80"/>
          </w:tcPr>
          <w:p w14:paraId="14B337B8"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Meets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c>
          <w:tcPr>
            <w:tcW w:w="1000" w:type="pct"/>
            <w:tcBorders>
              <w:top w:val="single" w:sz="4" w:space="0" w:color="auto"/>
            </w:tcBorders>
            <w:shd w:val="clear" w:color="auto" w:fill="215868" w:themeFill="accent5" w:themeFillShade="80"/>
          </w:tcPr>
          <w:p w14:paraId="3A6D41B2"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Exceeds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r>
      <w:tr w:rsidR="00515E12" w:rsidRPr="008E33C7" w14:paraId="72DF43F9" w14:textId="77777777" w:rsidTr="003945A5">
        <w:tc>
          <w:tcPr>
            <w:tcW w:w="1000" w:type="pct"/>
          </w:tcPr>
          <w:p w14:paraId="5C6471B5" w14:textId="77777777" w:rsidR="00515E12" w:rsidRPr="008E33C7" w:rsidRDefault="00515E12" w:rsidP="00515E12">
            <w:pPr>
              <w:pStyle w:val="ListParagraph"/>
              <w:numPr>
                <w:ilvl w:val="0"/>
                <w:numId w:val="56"/>
              </w:numPr>
              <w:spacing w:before="0"/>
              <w:ind w:left="312" w:hanging="357"/>
              <w:contextualSpacing w:val="0"/>
              <w:rPr>
                <w:rFonts w:asciiTheme="minorHAnsi" w:hAnsiTheme="minorHAnsi" w:cstheme="minorHAnsi"/>
                <w:b/>
                <w:bCs/>
                <w:color w:val="000000"/>
              </w:rPr>
            </w:pPr>
            <w:r w:rsidRPr="008E33C7">
              <w:rPr>
                <w:rFonts w:asciiTheme="minorHAnsi" w:hAnsiTheme="minorHAnsi" w:cstheme="minorHAnsi"/>
                <w:b/>
                <w:bCs/>
                <w:color w:val="000000"/>
              </w:rPr>
              <w:t>Participant Rights</w:t>
            </w:r>
          </w:p>
          <w:p w14:paraId="146B2338" w14:textId="77777777" w:rsidR="00515E12" w:rsidRDefault="00515E12" w:rsidP="003945A5">
            <w:pPr>
              <w:spacing w:line="276" w:lineRule="auto"/>
              <w:rPr>
                <w:rFonts w:asciiTheme="minorHAnsi" w:hAnsiTheme="minorHAnsi" w:cstheme="minorHAnsi"/>
                <w:color w:val="000000"/>
              </w:rPr>
            </w:pPr>
            <w:r w:rsidRPr="008E33C7">
              <w:rPr>
                <w:rFonts w:asciiTheme="minorHAnsi" w:hAnsiTheme="minorHAnsi" w:cstheme="minorHAnsi"/>
                <w:color w:val="000000"/>
              </w:rPr>
              <w:t xml:space="preserve">Outcome 1.1:  Participants understand their rights and responsibilities as DES participants, and the role of DES providers in helping them access supports available to enable them to improve their employability and </w:t>
            </w:r>
            <w:r w:rsidRPr="006356F9">
              <w:rPr>
                <w:rFonts w:asciiTheme="minorHAnsi" w:hAnsiTheme="minorHAnsi" w:cstheme="minorHAnsi"/>
                <w:bCs/>
                <w:color w:val="000000"/>
              </w:rPr>
              <w:t>achieve</w:t>
            </w:r>
            <w:r w:rsidRPr="008E33C7">
              <w:rPr>
                <w:rFonts w:asciiTheme="minorHAnsi" w:hAnsiTheme="minorHAnsi" w:cstheme="minorHAnsi"/>
                <w:color w:val="000000"/>
              </w:rPr>
              <w:t xml:space="preserve"> positive employment outcomes</w:t>
            </w:r>
          </w:p>
          <w:p w14:paraId="6D32D57C" w14:textId="77777777" w:rsidR="00515E12" w:rsidRDefault="00515E12" w:rsidP="003945A5">
            <w:pPr>
              <w:rPr>
                <w:rFonts w:asciiTheme="minorHAnsi" w:hAnsiTheme="minorHAnsi" w:cstheme="minorHAnsi"/>
                <w:color w:val="000000"/>
              </w:rPr>
            </w:pPr>
          </w:p>
          <w:p w14:paraId="5234F473" w14:textId="77777777" w:rsidR="00515E12" w:rsidRPr="008E33C7" w:rsidRDefault="00515E12" w:rsidP="003945A5">
            <w:pPr>
              <w:rPr>
                <w:rFonts w:asciiTheme="minorHAnsi" w:hAnsiTheme="minorHAnsi" w:cstheme="minorHAnsi"/>
              </w:rPr>
            </w:pPr>
          </w:p>
        </w:tc>
        <w:tc>
          <w:tcPr>
            <w:tcW w:w="1000" w:type="pct"/>
          </w:tcPr>
          <w:p w14:paraId="5492CA1A" w14:textId="77777777" w:rsidR="00515E12" w:rsidRPr="008E33C7" w:rsidRDefault="00515E12" w:rsidP="003945A5">
            <w:pPr>
              <w:rPr>
                <w:rFonts w:asciiTheme="minorHAnsi" w:hAnsiTheme="minorHAnsi" w:cstheme="minorHAnsi"/>
              </w:rPr>
            </w:pPr>
            <w:r w:rsidRPr="008E33C7">
              <w:rPr>
                <w:rFonts w:asciiTheme="minorHAnsi" w:hAnsiTheme="minorHAnsi" w:cstheme="minorHAnsi"/>
                <w:color w:val="000000"/>
              </w:rPr>
              <w:t>NSDS Standard 1: Rights</w:t>
            </w:r>
          </w:p>
        </w:tc>
        <w:tc>
          <w:tcPr>
            <w:tcW w:w="1000" w:type="pct"/>
          </w:tcPr>
          <w:p w14:paraId="1E60179F"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6776EFDF" w14:textId="77777777" w:rsidR="00515E12" w:rsidRPr="005F551E" w:rsidRDefault="00515E12" w:rsidP="00515E12">
            <w:pPr>
              <w:pStyle w:val="ListParagraph"/>
              <w:numPr>
                <w:ilvl w:val="0"/>
                <w:numId w:val="62"/>
              </w:numPr>
              <w:spacing w:before="0"/>
              <w:rPr>
                <w:rFonts w:asciiTheme="minorHAnsi" w:hAnsiTheme="minorHAnsi" w:cstheme="minorHAnsi"/>
              </w:rPr>
            </w:pPr>
            <w:r w:rsidRPr="005F551E">
              <w:rPr>
                <w:rFonts w:asciiTheme="minorHAnsi" w:hAnsiTheme="minorHAnsi" w:cstheme="minorHAnsi"/>
              </w:rPr>
              <w:t>Not been previously reflected in a quality rating</w:t>
            </w:r>
          </w:p>
          <w:p w14:paraId="58DD384B"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OR</w:t>
            </w:r>
          </w:p>
          <w:p w14:paraId="39C57FDF" w14:textId="77777777" w:rsidR="00515E12" w:rsidRPr="005F551E" w:rsidRDefault="00515E12" w:rsidP="00515E12">
            <w:pPr>
              <w:pStyle w:val="ListParagraph"/>
              <w:numPr>
                <w:ilvl w:val="0"/>
                <w:numId w:val="62"/>
              </w:numPr>
              <w:spacing w:before="0"/>
              <w:rPr>
                <w:rFonts w:asciiTheme="minorHAnsi" w:hAnsiTheme="minorHAnsi" w:cstheme="minorHAnsi"/>
              </w:rPr>
            </w:pPr>
            <w:r w:rsidRPr="005F551E">
              <w:rPr>
                <w:rFonts w:asciiTheme="minorHAnsi" w:hAnsiTheme="minorHAnsi" w:cstheme="minorHAnsi"/>
              </w:rPr>
              <w:t>Has not been resolved by the end of the rating period.</w:t>
            </w:r>
          </w:p>
        </w:tc>
        <w:tc>
          <w:tcPr>
            <w:tcW w:w="1000" w:type="pct"/>
          </w:tcPr>
          <w:p w14:paraId="68C753B1" w14:textId="77777777" w:rsidR="00515E12" w:rsidRPr="008E33C7" w:rsidRDefault="00515E12" w:rsidP="00EC0D34">
            <w:pPr>
              <w:spacing w:after="0"/>
              <w:contextualSpacing/>
              <w:jc w:val="center"/>
              <w:rPr>
                <w:rFonts w:asciiTheme="minorHAnsi" w:hAnsiTheme="minorHAnsi" w:cstheme="minorHAnsi"/>
              </w:rPr>
            </w:pPr>
            <w:r w:rsidRPr="008E33C7">
              <w:rPr>
                <w:rFonts w:asciiTheme="minorHAnsi" w:hAnsiTheme="minorHAnsi" w:cstheme="minorHAnsi"/>
              </w:rPr>
              <w:t>NSDS audit result of conforms issued and submitted to the department in the rating period</w:t>
            </w:r>
          </w:p>
          <w:p w14:paraId="41E2AAA8" w14:textId="77777777" w:rsidR="00515E12" w:rsidRPr="008E33C7" w:rsidRDefault="00515E12" w:rsidP="00EC0D34">
            <w:pPr>
              <w:spacing w:after="0"/>
              <w:contextualSpacing/>
              <w:jc w:val="center"/>
              <w:rPr>
                <w:rFonts w:asciiTheme="minorHAnsi" w:hAnsiTheme="minorHAnsi" w:cstheme="minorHAnsi"/>
              </w:rPr>
            </w:pPr>
            <w:r w:rsidRPr="008E33C7">
              <w:rPr>
                <w:rFonts w:asciiTheme="minorHAnsi" w:hAnsiTheme="minorHAnsi" w:cstheme="minorHAnsi"/>
              </w:rPr>
              <w:t>OR</w:t>
            </w:r>
          </w:p>
          <w:p w14:paraId="2FB9C473" w14:textId="77777777" w:rsidR="00515E12" w:rsidRPr="008E33C7" w:rsidRDefault="00515E12" w:rsidP="00EC0D34">
            <w:pPr>
              <w:spacing w:after="0"/>
              <w:contextualSpacing/>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04B24C51" w14:textId="77777777" w:rsidR="00515E12" w:rsidRPr="005F551E" w:rsidRDefault="00515E12" w:rsidP="00EC0D34">
            <w:pPr>
              <w:pStyle w:val="ListParagraph"/>
              <w:numPr>
                <w:ilvl w:val="0"/>
                <w:numId w:val="61"/>
              </w:numPr>
              <w:spacing w:before="0" w:after="0"/>
              <w:rPr>
                <w:rFonts w:asciiTheme="minorHAnsi" w:hAnsiTheme="minorHAnsi" w:cstheme="minorHAnsi"/>
              </w:rPr>
            </w:pPr>
            <w:r w:rsidRPr="005F551E">
              <w:rPr>
                <w:rFonts w:asciiTheme="minorHAnsi" w:hAnsiTheme="minorHAnsi" w:cstheme="minorHAnsi"/>
              </w:rPr>
              <w:t xml:space="preserve">Previously been reflected in a quality rating </w:t>
            </w:r>
          </w:p>
          <w:p w14:paraId="47267F6A" w14:textId="77777777" w:rsidR="00515E12" w:rsidRPr="008E33C7" w:rsidRDefault="00515E12" w:rsidP="00EC0D34">
            <w:pPr>
              <w:pStyle w:val="ListParagraph"/>
              <w:spacing w:after="0"/>
              <w:jc w:val="center"/>
              <w:rPr>
                <w:rFonts w:asciiTheme="minorHAnsi" w:hAnsiTheme="minorHAnsi" w:cstheme="minorHAnsi"/>
              </w:rPr>
            </w:pPr>
            <w:r w:rsidRPr="008E33C7">
              <w:rPr>
                <w:rFonts w:asciiTheme="minorHAnsi" w:hAnsiTheme="minorHAnsi" w:cstheme="minorHAnsi"/>
              </w:rPr>
              <w:t>AND</w:t>
            </w:r>
          </w:p>
          <w:p w14:paraId="2AF2E3FE" w14:textId="77777777" w:rsidR="00515E12" w:rsidRPr="005F551E" w:rsidRDefault="00515E12" w:rsidP="00EC0D34">
            <w:pPr>
              <w:pStyle w:val="ListParagraph"/>
              <w:numPr>
                <w:ilvl w:val="0"/>
                <w:numId w:val="61"/>
              </w:numPr>
              <w:spacing w:before="0" w:after="0"/>
              <w:rPr>
                <w:rFonts w:asciiTheme="minorHAnsi" w:hAnsiTheme="minorHAnsi" w:cstheme="minorHAnsi"/>
              </w:rPr>
            </w:pPr>
            <w:r w:rsidRPr="005F551E">
              <w:rPr>
                <w:rFonts w:asciiTheme="minorHAnsi" w:hAnsiTheme="minorHAnsi" w:cstheme="minorHAnsi"/>
              </w:rPr>
              <w:t>Has been resolved by the end of the rating period</w:t>
            </w:r>
          </w:p>
        </w:tc>
        <w:tc>
          <w:tcPr>
            <w:tcW w:w="1000" w:type="pct"/>
            <w:shd w:val="clear" w:color="auto" w:fill="F2F2F2" w:themeFill="background1" w:themeFillShade="F2"/>
            <w:vAlign w:val="center"/>
          </w:tcPr>
          <w:p w14:paraId="432162FC" w14:textId="77777777" w:rsidR="00515E12" w:rsidRPr="0039770D" w:rsidRDefault="00515E12" w:rsidP="003945A5">
            <w:pPr>
              <w:jc w:val="center"/>
              <w:rPr>
                <w:rFonts w:asciiTheme="minorHAnsi" w:hAnsiTheme="minorHAnsi" w:cstheme="minorHAnsi"/>
              </w:rPr>
            </w:pPr>
            <w:r w:rsidRPr="0039770D">
              <w:rPr>
                <w:rFonts w:asciiTheme="minorHAnsi" w:hAnsiTheme="minorHAnsi" w:cstheme="minorHAnsi"/>
                <w:i/>
                <w:color w:val="000000"/>
              </w:rPr>
              <w:t>Not applicable</w:t>
            </w:r>
          </w:p>
        </w:tc>
      </w:tr>
      <w:tr w:rsidR="00515E12" w:rsidRPr="008E33C7" w14:paraId="62F6C22E" w14:textId="77777777" w:rsidTr="003945A5">
        <w:tc>
          <w:tcPr>
            <w:tcW w:w="2000" w:type="pct"/>
            <w:gridSpan w:val="2"/>
            <w:shd w:val="clear" w:color="auto" w:fill="4BACC6" w:themeFill="accent5"/>
            <w:vAlign w:val="center"/>
          </w:tcPr>
          <w:p w14:paraId="7A3F8CE8" w14:textId="77777777" w:rsidR="00515E12" w:rsidRPr="00BC2EB7" w:rsidRDefault="00515E12" w:rsidP="003945A5">
            <w:pPr>
              <w:spacing w:line="360" w:lineRule="auto"/>
              <w:jc w:val="center"/>
              <w:rPr>
                <w:rFonts w:asciiTheme="minorHAnsi" w:hAnsiTheme="minorHAnsi" w:cstheme="minorHAnsi"/>
                <w:b/>
              </w:rPr>
            </w:pPr>
            <w:r w:rsidRPr="00BC2EB7">
              <w:rPr>
                <w:rFonts w:asciiTheme="minorHAnsi" w:hAnsiTheme="minorHAnsi" w:cstheme="minorHAnsi"/>
                <w:b/>
              </w:rPr>
              <w:t>Element 1: Participant Rights Rating</w:t>
            </w:r>
          </w:p>
        </w:tc>
        <w:tc>
          <w:tcPr>
            <w:tcW w:w="1000" w:type="pct"/>
            <w:shd w:val="clear" w:color="auto" w:fill="4BACC6" w:themeFill="accent5"/>
            <w:vAlign w:val="bottom"/>
          </w:tcPr>
          <w:p w14:paraId="730D9E62" w14:textId="77777777" w:rsidR="00515E12" w:rsidRPr="008E33C7" w:rsidRDefault="00515E12" w:rsidP="003945A5">
            <w:pPr>
              <w:spacing w:line="360" w:lineRule="auto"/>
              <w:jc w:val="center"/>
              <w:rPr>
                <w:rFonts w:asciiTheme="minorHAnsi" w:hAnsiTheme="minorHAnsi" w:cstheme="minorHAnsi"/>
              </w:rPr>
            </w:pPr>
            <w:r>
              <w:rPr>
                <w:rFonts w:asciiTheme="minorHAnsi" w:hAnsiTheme="minorHAnsi" w:cstheme="minorHAnsi"/>
              </w:rPr>
              <w:t>NSDS Standard at Improvement Required</w:t>
            </w:r>
          </w:p>
        </w:tc>
        <w:tc>
          <w:tcPr>
            <w:tcW w:w="1000" w:type="pct"/>
            <w:shd w:val="clear" w:color="auto" w:fill="4BACC6" w:themeFill="accent5"/>
          </w:tcPr>
          <w:p w14:paraId="6C820A6A" w14:textId="77777777" w:rsidR="00515E12" w:rsidRPr="008E33C7" w:rsidRDefault="00515E12" w:rsidP="003945A5">
            <w:pPr>
              <w:spacing w:line="360" w:lineRule="auto"/>
              <w:jc w:val="center"/>
              <w:rPr>
                <w:rFonts w:asciiTheme="minorHAnsi" w:hAnsiTheme="minorHAnsi" w:cstheme="minorHAnsi"/>
              </w:rPr>
            </w:pPr>
            <w:r>
              <w:rPr>
                <w:rFonts w:asciiTheme="minorHAnsi" w:hAnsiTheme="minorHAnsi" w:cstheme="minorHAnsi"/>
              </w:rPr>
              <w:t>NSDS Standard at Meets</w:t>
            </w:r>
          </w:p>
        </w:tc>
        <w:tc>
          <w:tcPr>
            <w:tcW w:w="1000" w:type="pct"/>
            <w:shd w:val="clear" w:color="auto" w:fill="F2F2F2" w:themeFill="background1" w:themeFillShade="F2"/>
            <w:vAlign w:val="bottom"/>
          </w:tcPr>
          <w:p w14:paraId="53D6653D" w14:textId="77777777" w:rsidR="00515E12" w:rsidRPr="0039770D" w:rsidRDefault="00515E12" w:rsidP="003945A5">
            <w:pPr>
              <w:spacing w:line="360" w:lineRule="auto"/>
              <w:jc w:val="center"/>
              <w:rPr>
                <w:rFonts w:asciiTheme="minorHAnsi" w:hAnsiTheme="minorHAnsi" w:cstheme="minorHAnsi"/>
                <w:i/>
                <w:color w:val="000000"/>
              </w:rPr>
            </w:pPr>
            <w:r w:rsidRPr="0039770D">
              <w:rPr>
                <w:rFonts w:asciiTheme="minorHAnsi" w:hAnsiTheme="minorHAnsi" w:cstheme="minorHAnsi"/>
                <w:i/>
                <w:color w:val="000000"/>
              </w:rPr>
              <w:t>Exceeds rating not applicable to Element 1</w:t>
            </w:r>
          </w:p>
        </w:tc>
      </w:tr>
      <w:tr w:rsidR="00515E12" w:rsidRPr="008E33C7" w14:paraId="0C698158" w14:textId="77777777" w:rsidTr="00D542FC">
        <w:tc>
          <w:tcPr>
            <w:tcW w:w="1000" w:type="pct"/>
            <w:tcBorders>
              <w:top w:val="single" w:sz="4" w:space="0" w:color="auto"/>
            </w:tcBorders>
            <w:shd w:val="clear" w:color="auto" w:fill="215868" w:themeFill="accent5" w:themeFillShade="80"/>
          </w:tcPr>
          <w:p w14:paraId="7BAD7425" w14:textId="77777777" w:rsidR="00515E12" w:rsidRPr="008E33C7" w:rsidRDefault="00515E12" w:rsidP="003945A5">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Element</w:t>
            </w:r>
          </w:p>
        </w:tc>
        <w:tc>
          <w:tcPr>
            <w:tcW w:w="1000" w:type="pct"/>
            <w:tcBorders>
              <w:top w:val="single" w:sz="4" w:space="0" w:color="auto"/>
            </w:tcBorders>
            <w:shd w:val="clear" w:color="auto" w:fill="215868" w:themeFill="accent5" w:themeFillShade="80"/>
          </w:tcPr>
          <w:p w14:paraId="484DB51D" w14:textId="77777777" w:rsidR="00515E12" w:rsidRPr="008E33C7" w:rsidRDefault="00515E12" w:rsidP="003945A5">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Indicator</w:t>
            </w:r>
          </w:p>
        </w:tc>
        <w:tc>
          <w:tcPr>
            <w:tcW w:w="1000" w:type="pct"/>
            <w:tcBorders>
              <w:top w:val="single" w:sz="4" w:space="0" w:color="auto"/>
            </w:tcBorders>
            <w:shd w:val="clear" w:color="auto" w:fill="215868" w:themeFill="accent5" w:themeFillShade="80"/>
          </w:tcPr>
          <w:p w14:paraId="6829F52C"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Improvement Required </w:t>
            </w:r>
            <w:r w:rsidRPr="008E33C7">
              <w:rPr>
                <w:rFonts w:asciiTheme="minorHAnsi" w:hAnsiTheme="minorHAnsi" w:cstheme="minorHAnsi"/>
                <w:b/>
                <w:bCs/>
                <w:color w:val="FFFFFF" w:themeColor="background1"/>
              </w:rPr>
              <w:sym w:font="Wingdings" w:char="F0FC"/>
            </w:r>
          </w:p>
        </w:tc>
        <w:tc>
          <w:tcPr>
            <w:tcW w:w="1000" w:type="pct"/>
            <w:tcBorders>
              <w:top w:val="single" w:sz="4" w:space="0" w:color="auto"/>
            </w:tcBorders>
            <w:shd w:val="clear" w:color="auto" w:fill="215868" w:themeFill="accent5" w:themeFillShade="80"/>
          </w:tcPr>
          <w:p w14:paraId="2CAF7872"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Meets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c>
          <w:tcPr>
            <w:tcW w:w="1000" w:type="pct"/>
            <w:tcBorders>
              <w:top w:val="single" w:sz="4" w:space="0" w:color="auto"/>
            </w:tcBorders>
            <w:shd w:val="clear" w:color="auto" w:fill="215868" w:themeFill="accent5" w:themeFillShade="80"/>
          </w:tcPr>
          <w:p w14:paraId="62AC709F" w14:textId="77777777" w:rsidR="00515E12" w:rsidRPr="008E33C7" w:rsidRDefault="00515E12" w:rsidP="003945A5">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Exceeds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r>
      <w:tr w:rsidR="00515E12" w:rsidRPr="008E33C7" w14:paraId="70E4CC8C" w14:textId="77777777" w:rsidTr="00D542FC">
        <w:trPr>
          <w:trHeight w:val="636"/>
        </w:trPr>
        <w:tc>
          <w:tcPr>
            <w:tcW w:w="1000" w:type="pct"/>
            <w:vMerge w:val="restart"/>
            <w:shd w:val="clear" w:color="auto" w:fill="auto"/>
          </w:tcPr>
          <w:p w14:paraId="4693D0EE" w14:textId="77777777" w:rsidR="00515E12" w:rsidRDefault="00515E12" w:rsidP="00515E12">
            <w:pPr>
              <w:pStyle w:val="ListParagraph"/>
              <w:numPr>
                <w:ilvl w:val="0"/>
                <w:numId w:val="56"/>
              </w:numPr>
              <w:spacing w:before="0"/>
              <w:ind w:left="312" w:hanging="357"/>
              <w:contextualSpacing w:val="0"/>
              <w:rPr>
                <w:rFonts w:asciiTheme="minorHAnsi" w:hAnsiTheme="minorHAnsi" w:cstheme="minorHAnsi"/>
                <w:b/>
                <w:bCs/>
                <w:color w:val="000000"/>
              </w:rPr>
            </w:pPr>
            <w:r w:rsidRPr="00BC2EB7">
              <w:rPr>
                <w:rFonts w:asciiTheme="minorHAnsi" w:hAnsiTheme="minorHAnsi" w:cstheme="minorHAnsi"/>
                <w:b/>
                <w:bCs/>
                <w:color w:val="000000"/>
              </w:rPr>
              <w:t>Understanding Quality</w:t>
            </w:r>
          </w:p>
          <w:p w14:paraId="2FC30AA3" w14:textId="7ABE89DA" w:rsidR="00515E12" w:rsidRPr="00BC2EB7" w:rsidRDefault="00515E12" w:rsidP="00C90734">
            <w:pPr>
              <w:spacing w:line="276" w:lineRule="auto"/>
              <w:rPr>
                <w:rFonts w:asciiTheme="minorHAnsi" w:hAnsiTheme="minorHAnsi" w:cstheme="minorHAnsi"/>
                <w:bCs/>
                <w:color w:val="000000"/>
              </w:rPr>
            </w:pPr>
            <w:r w:rsidRPr="00BC2EB7">
              <w:rPr>
                <w:rFonts w:asciiTheme="minorHAnsi" w:hAnsiTheme="minorHAnsi" w:cstheme="minorHAnsi"/>
                <w:color w:val="000000"/>
              </w:rPr>
              <w:t>Outcome 2.1: DES providers understand participants’ needs and support participants to build capacity and achieve their employment goals and aspirations</w:t>
            </w:r>
            <w:r w:rsidRPr="00BC2EB7">
              <w:rPr>
                <w:rFonts w:asciiTheme="minorHAnsi" w:hAnsiTheme="minorHAnsi" w:cstheme="minorHAnsi"/>
                <w:color w:val="000000"/>
              </w:rPr>
              <w:br/>
            </w:r>
            <w:r w:rsidRPr="00BC2EB7">
              <w:rPr>
                <w:rFonts w:asciiTheme="minorHAnsi" w:hAnsiTheme="minorHAnsi" w:cstheme="minorHAnsi"/>
                <w:color w:val="000000"/>
              </w:rPr>
              <w:br/>
              <w:t>Outcome 2.2:</w:t>
            </w:r>
            <w:r>
              <w:rPr>
                <w:rFonts w:asciiTheme="minorHAnsi" w:hAnsiTheme="minorHAnsi" w:cstheme="minorHAnsi"/>
                <w:color w:val="000000"/>
              </w:rPr>
              <w:t xml:space="preserve"> </w:t>
            </w:r>
            <w:r w:rsidRPr="00BC2EB7">
              <w:rPr>
                <w:rFonts w:asciiTheme="minorHAnsi" w:hAnsiTheme="minorHAnsi" w:cstheme="minorHAnsi"/>
                <w:color w:val="000000"/>
              </w:rPr>
              <w:t>DES providers understand the local labour market and the needs and expectations of employers, and work with employers and community services to effectively support participants</w:t>
            </w:r>
          </w:p>
        </w:tc>
        <w:tc>
          <w:tcPr>
            <w:tcW w:w="1000" w:type="pct"/>
            <w:shd w:val="clear" w:color="auto" w:fill="auto"/>
          </w:tcPr>
          <w:p w14:paraId="687BD053" w14:textId="1D224167" w:rsidR="00515E12" w:rsidRDefault="00515E12" w:rsidP="003945A5">
            <w:pPr>
              <w:pStyle w:val="ListParagraph"/>
              <w:ind w:left="0"/>
              <w:contextualSpacing w:val="0"/>
              <w:rPr>
                <w:rFonts w:cs="Arial"/>
                <w:color w:val="000000"/>
              </w:rPr>
            </w:pPr>
            <w:r w:rsidRPr="00BC2EB7">
              <w:rPr>
                <w:rFonts w:cs="Arial"/>
                <w:color w:val="000000"/>
              </w:rPr>
              <w:t>N</w:t>
            </w:r>
            <w:r w:rsidR="00A35226">
              <w:rPr>
                <w:rFonts w:cs="Arial"/>
                <w:color w:val="000000"/>
              </w:rPr>
              <w:t xml:space="preserve">SDS Standard 2: </w:t>
            </w:r>
            <w:r w:rsidRPr="00BC2EB7">
              <w:rPr>
                <w:rFonts w:cs="Arial"/>
                <w:color w:val="000000"/>
              </w:rPr>
              <w:t>Participation and Inclusion</w:t>
            </w:r>
          </w:p>
          <w:p w14:paraId="70F3FA6F" w14:textId="77777777" w:rsidR="00515E12" w:rsidRPr="005325BF" w:rsidRDefault="00515E12" w:rsidP="003945A5">
            <w:pPr>
              <w:pStyle w:val="ListParagraph"/>
              <w:ind w:left="0"/>
              <w:contextualSpacing w:val="0"/>
              <w:rPr>
                <w:rFonts w:asciiTheme="minorHAnsi" w:hAnsiTheme="minorHAnsi" w:cstheme="minorHAnsi"/>
                <w:bCs/>
                <w:color w:val="000000"/>
              </w:rPr>
            </w:pPr>
            <w:r w:rsidRPr="005325BF">
              <w:rPr>
                <w:rFonts w:asciiTheme="minorHAnsi" w:hAnsiTheme="minorHAnsi" w:cstheme="minorHAnsi"/>
                <w:bCs/>
                <w:color w:val="000000"/>
              </w:rPr>
              <w:t>NSDS Standard 3: Individual Outcomes</w:t>
            </w:r>
          </w:p>
          <w:p w14:paraId="5ADB5EF2" w14:textId="77777777" w:rsidR="00515E12" w:rsidRPr="0039770D" w:rsidRDefault="00515E12" w:rsidP="003945A5">
            <w:pPr>
              <w:pStyle w:val="ListParagraph"/>
              <w:ind w:left="0"/>
              <w:contextualSpacing w:val="0"/>
              <w:rPr>
                <w:rFonts w:asciiTheme="minorHAnsi" w:hAnsiTheme="minorHAnsi" w:cstheme="minorHAnsi"/>
                <w:b/>
                <w:bCs/>
                <w:color w:val="000000"/>
              </w:rPr>
            </w:pPr>
            <w:r w:rsidRPr="005325BF">
              <w:rPr>
                <w:rFonts w:cs="Arial"/>
                <w:color w:val="000000"/>
              </w:rPr>
              <w:t>NSDS Standard 5: Service Access</w:t>
            </w:r>
          </w:p>
        </w:tc>
        <w:tc>
          <w:tcPr>
            <w:tcW w:w="1000" w:type="pct"/>
            <w:shd w:val="clear" w:color="auto" w:fill="auto"/>
          </w:tcPr>
          <w:p w14:paraId="2CD65609" w14:textId="77777777" w:rsidR="00515E12" w:rsidRPr="005325BF" w:rsidRDefault="00515E12" w:rsidP="003945A5">
            <w:pPr>
              <w:jc w:val="center"/>
              <w:rPr>
                <w:rFonts w:asciiTheme="minorHAnsi" w:hAnsiTheme="minorHAnsi" w:cstheme="minorHAnsi"/>
              </w:rPr>
            </w:pPr>
            <w:r w:rsidRPr="005325BF">
              <w:rPr>
                <w:rFonts w:asciiTheme="minorHAnsi" w:hAnsiTheme="minorHAnsi" w:cstheme="minorHAnsi"/>
              </w:rPr>
              <w:t>NSDS audit result of nonconformity issued and submitted to department in the rating period that has:</w:t>
            </w:r>
          </w:p>
          <w:p w14:paraId="35AF753B" w14:textId="77777777" w:rsidR="00515E12" w:rsidRPr="005F551E" w:rsidRDefault="00515E12" w:rsidP="00515E12">
            <w:pPr>
              <w:pStyle w:val="ListParagraph"/>
              <w:numPr>
                <w:ilvl w:val="0"/>
                <w:numId w:val="61"/>
              </w:numPr>
              <w:spacing w:before="0"/>
              <w:rPr>
                <w:rFonts w:asciiTheme="minorHAnsi" w:hAnsiTheme="minorHAnsi" w:cstheme="minorHAnsi"/>
              </w:rPr>
            </w:pPr>
            <w:r w:rsidRPr="005F551E">
              <w:rPr>
                <w:rFonts w:asciiTheme="minorHAnsi" w:hAnsiTheme="minorHAnsi" w:cstheme="minorHAnsi"/>
              </w:rPr>
              <w:t>Not been previously reflected in a quality rating</w:t>
            </w:r>
          </w:p>
          <w:p w14:paraId="273129BC" w14:textId="77777777" w:rsidR="00515E12" w:rsidRPr="005325BF" w:rsidRDefault="00515E12" w:rsidP="003945A5">
            <w:pPr>
              <w:jc w:val="center"/>
              <w:rPr>
                <w:rFonts w:asciiTheme="minorHAnsi" w:hAnsiTheme="minorHAnsi" w:cstheme="minorHAnsi"/>
              </w:rPr>
            </w:pPr>
            <w:r w:rsidRPr="005325BF">
              <w:rPr>
                <w:rFonts w:asciiTheme="minorHAnsi" w:hAnsiTheme="minorHAnsi" w:cstheme="minorHAnsi"/>
              </w:rPr>
              <w:t>OR</w:t>
            </w:r>
          </w:p>
          <w:p w14:paraId="241AC7D9" w14:textId="77777777" w:rsidR="00515E12" w:rsidRPr="005F551E" w:rsidRDefault="00515E12" w:rsidP="00515E12">
            <w:pPr>
              <w:pStyle w:val="ListParagraph"/>
              <w:numPr>
                <w:ilvl w:val="0"/>
                <w:numId w:val="61"/>
              </w:numPr>
              <w:spacing w:before="0"/>
              <w:rPr>
                <w:rFonts w:asciiTheme="minorHAnsi" w:hAnsiTheme="minorHAnsi" w:cstheme="minorHAnsi"/>
              </w:rPr>
            </w:pPr>
            <w:r w:rsidRPr="005F551E">
              <w:rPr>
                <w:rFonts w:asciiTheme="minorHAnsi" w:hAnsiTheme="minorHAnsi" w:cstheme="minorHAnsi"/>
              </w:rPr>
              <w:t>Has not been resolved by the end of the rating period.</w:t>
            </w:r>
          </w:p>
        </w:tc>
        <w:tc>
          <w:tcPr>
            <w:tcW w:w="1000" w:type="pct"/>
            <w:shd w:val="clear" w:color="auto" w:fill="auto"/>
          </w:tcPr>
          <w:p w14:paraId="32718C4D" w14:textId="77777777" w:rsidR="00515E12" w:rsidRPr="005325BF" w:rsidRDefault="00515E12" w:rsidP="00EC0D34">
            <w:pPr>
              <w:spacing w:before="0" w:after="0"/>
              <w:jc w:val="center"/>
              <w:rPr>
                <w:rFonts w:asciiTheme="minorHAnsi" w:hAnsiTheme="minorHAnsi" w:cstheme="minorHAnsi"/>
              </w:rPr>
            </w:pPr>
            <w:r w:rsidRPr="005325BF">
              <w:rPr>
                <w:rFonts w:asciiTheme="minorHAnsi" w:hAnsiTheme="minorHAnsi" w:cstheme="minorHAnsi"/>
              </w:rPr>
              <w:t>NSDS audit result of conforms issued and submitted to the department in the rating period</w:t>
            </w:r>
          </w:p>
          <w:p w14:paraId="49202FDA" w14:textId="77777777" w:rsidR="00515E12" w:rsidRPr="005325BF" w:rsidRDefault="00515E12" w:rsidP="00EC0D34">
            <w:pPr>
              <w:spacing w:before="0" w:after="0"/>
              <w:jc w:val="center"/>
              <w:rPr>
                <w:rFonts w:asciiTheme="minorHAnsi" w:hAnsiTheme="minorHAnsi" w:cstheme="minorHAnsi"/>
              </w:rPr>
            </w:pPr>
            <w:r w:rsidRPr="005325BF">
              <w:rPr>
                <w:rFonts w:asciiTheme="minorHAnsi" w:hAnsiTheme="minorHAnsi" w:cstheme="minorHAnsi"/>
              </w:rPr>
              <w:t>OR</w:t>
            </w:r>
          </w:p>
          <w:p w14:paraId="72D89BC7" w14:textId="77777777" w:rsidR="00515E12" w:rsidRPr="005325BF" w:rsidRDefault="00515E12" w:rsidP="00EC0D34">
            <w:pPr>
              <w:spacing w:before="0" w:after="0"/>
              <w:jc w:val="center"/>
              <w:rPr>
                <w:rFonts w:asciiTheme="minorHAnsi" w:hAnsiTheme="minorHAnsi" w:cstheme="minorHAnsi"/>
              </w:rPr>
            </w:pPr>
            <w:r w:rsidRPr="005325BF">
              <w:rPr>
                <w:rFonts w:asciiTheme="minorHAnsi" w:hAnsiTheme="minorHAnsi" w:cstheme="minorHAnsi"/>
              </w:rPr>
              <w:t>NSDS audit result of nonconformity issued and submitted to department in the rating period that has:</w:t>
            </w:r>
          </w:p>
          <w:p w14:paraId="7ADD1C79" w14:textId="77777777" w:rsidR="00515E12" w:rsidRPr="005F551E" w:rsidRDefault="00515E12" w:rsidP="00EC0D34">
            <w:pPr>
              <w:pStyle w:val="ListParagraph"/>
              <w:numPr>
                <w:ilvl w:val="0"/>
                <w:numId w:val="61"/>
              </w:numPr>
              <w:spacing w:before="0" w:after="0"/>
              <w:rPr>
                <w:rFonts w:asciiTheme="minorHAnsi" w:hAnsiTheme="minorHAnsi" w:cstheme="minorHAnsi"/>
              </w:rPr>
            </w:pPr>
            <w:r w:rsidRPr="005F551E">
              <w:rPr>
                <w:rFonts w:asciiTheme="minorHAnsi" w:hAnsiTheme="minorHAnsi" w:cstheme="minorHAnsi"/>
              </w:rPr>
              <w:t xml:space="preserve">Previously been reflected in a quality rating </w:t>
            </w:r>
          </w:p>
          <w:p w14:paraId="0F9A3F7A" w14:textId="77777777" w:rsidR="00515E12" w:rsidRPr="005325BF" w:rsidRDefault="00515E12" w:rsidP="00EC0D34">
            <w:pPr>
              <w:spacing w:before="0" w:after="0"/>
              <w:jc w:val="center"/>
              <w:rPr>
                <w:rFonts w:asciiTheme="minorHAnsi" w:hAnsiTheme="minorHAnsi" w:cstheme="minorHAnsi"/>
              </w:rPr>
            </w:pPr>
            <w:r w:rsidRPr="005325BF">
              <w:rPr>
                <w:rFonts w:asciiTheme="minorHAnsi" w:hAnsiTheme="minorHAnsi" w:cstheme="minorHAnsi"/>
              </w:rPr>
              <w:t>AND</w:t>
            </w:r>
          </w:p>
          <w:p w14:paraId="2B81E5FE" w14:textId="77777777" w:rsidR="00515E12" w:rsidRPr="005F551E" w:rsidRDefault="00515E12" w:rsidP="00EC0D34">
            <w:pPr>
              <w:pStyle w:val="ListParagraph"/>
              <w:numPr>
                <w:ilvl w:val="0"/>
                <w:numId w:val="61"/>
              </w:numPr>
              <w:spacing w:before="0" w:after="0"/>
              <w:rPr>
                <w:rFonts w:asciiTheme="minorHAnsi" w:hAnsiTheme="minorHAnsi" w:cstheme="minorHAnsi"/>
              </w:rPr>
            </w:pPr>
            <w:r w:rsidRPr="005F551E">
              <w:rPr>
                <w:rFonts w:asciiTheme="minorHAnsi" w:hAnsiTheme="minorHAnsi" w:cstheme="minorHAnsi"/>
              </w:rPr>
              <w:t>Has been resolved by the end of the rating period</w:t>
            </w:r>
          </w:p>
        </w:tc>
        <w:tc>
          <w:tcPr>
            <w:tcW w:w="1000" w:type="pct"/>
            <w:shd w:val="clear" w:color="auto" w:fill="F2F2F2" w:themeFill="background1" w:themeFillShade="F2"/>
            <w:vAlign w:val="center"/>
          </w:tcPr>
          <w:p w14:paraId="3160FD5E" w14:textId="77777777" w:rsidR="00515E12" w:rsidRDefault="00515E12" w:rsidP="003945A5">
            <w:pPr>
              <w:jc w:val="center"/>
            </w:pPr>
            <w:r w:rsidRPr="00327ED6">
              <w:rPr>
                <w:rFonts w:asciiTheme="minorHAnsi" w:hAnsiTheme="minorHAnsi" w:cstheme="minorHAnsi"/>
                <w:i/>
                <w:color w:val="000000"/>
              </w:rPr>
              <w:t>Not applicable</w:t>
            </w:r>
          </w:p>
        </w:tc>
      </w:tr>
      <w:tr w:rsidR="00515E12" w:rsidRPr="008E33C7" w14:paraId="4BC4B119" w14:textId="77777777" w:rsidTr="00D542FC">
        <w:trPr>
          <w:trHeight w:val="634"/>
        </w:trPr>
        <w:tc>
          <w:tcPr>
            <w:tcW w:w="1000" w:type="pct"/>
            <w:vMerge/>
            <w:shd w:val="clear" w:color="auto" w:fill="auto"/>
          </w:tcPr>
          <w:p w14:paraId="1488090E" w14:textId="77777777" w:rsidR="00515E12" w:rsidRPr="00BC2EB7" w:rsidRDefault="00515E12" w:rsidP="00515E12">
            <w:pPr>
              <w:pStyle w:val="ListParagraph"/>
              <w:numPr>
                <w:ilvl w:val="0"/>
                <w:numId w:val="56"/>
              </w:numPr>
              <w:spacing w:before="0"/>
              <w:ind w:left="312" w:hanging="357"/>
              <w:contextualSpacing w:val="0"/>
              <w:rPr>
                <w:rFonts w:asciiTheme="minorHAnsi" w:hAnsiTheme="minorHAnsi" w:cstheme="minorHAnsi"/>
                <w:b/>
                <w:bCs/>
                <w:color w:val="000000"/>
              </w:rPr>
            </w:pPr>
          </w:p>
        </w:tc>
        <w:tc>
          <w:tcPr>
            <w:tcW w:w="1000" w:type="pct"/>
            <w:shd w:val="clear" w:color="auto" w:fill="auto"/>
          </w:tcPr>
          <w:p w14:paraId="41D00AAB" w14:textId="77777777" w:rsidR="00515E12" w:rsidRPr="0039770D" w:rsidRDefault="00515E12" w:rsidP="00EC0D34">
            <w:pPr>
              <w:pStyle w:val="ListParagraph"/>
              <w:spacing w:before="0" w:after="0"/>
              <w:ind w:left="0"/>
              <w:contextualSpacing w:val="0"/>
              <w:rPr>
                <w:rFonts w:asciiTheme="minorHAnsi" w:hAnsiTheme="minorHAnsi" w:cstheme="minorHAnsi"/>
                <w:b/>
                <w:bCs/>
                <w:color w:val="000000"/>
              </w:rPr>
            </w:pPr>
            <w:r w:rsidRPr="005325BF">
              <w:rPr>
                <w:rFonts w:cs="Arial"/>
                <w:color w:val="000000"/>
              </w:rPr>
              <w:t>Outcome 2.1: Departmental Assessment</w:t>
            </w:r>
            <w:r w:rsidRPr="005325BF">
              <w:rPr>
                <w:rFonts w:cs="Arial"/>
                <w:color w:val="000000"/>
              </w:rPr>
              <w:br/>
            </w:r>
            <w:r w:rsidRPr="005325BF">
              <w:rPr>
                <w:rFonts w:cs="Arial"/>
                <w:i/>
                <w:color w:val="000000"/>
              </w:rPr>
              <w:t>For details see Attachment B.</w:t>
            </w:r>
          </w:p>
        </w:tc>
        <w:tc>
          <w:tcPr>
            <w:tcW w:w="1000" w:type="pct"/>
            <w:shd w:val="clear" w:color="auto" w:fill="auto"/>
          </w:tcPr>
          <w:p w14:paraId="65361EE1" w14:textId="77777777" w:rsidR="00515E12" w:rsidRDefault="00515E12" w:rsidP="00EC0D34">
            <w:pPr>
              <w:spacing w:before="0" w:after="0"/>
              <w:jc w:val="center"/>
              <w:rPr>
                <w:rFonts w:cs="Arial"/>
                <w:color w:val="000000"/>
              </w:rPr>
            </w:pPr>
            <w:r w:rsidRPr="005F551E">
              <w:rPr>
                <w:rFonts w:cs="Arial"/>
                <w:color w:val="000000"/>
              </w:rPr>
              <w:t xml:space="preserve">Does not meet definition of Meets or Exceeds </w:t>
            </w:r>
            <w:r w:rsidRPr="005F551E">
              <w:rPr>
                <w:rFonts w:cs="Arial"/>
                <w:color w:val="000000"/>
              </w:rPr>
              <w:br/>
              <w:t>(Total Weighting &lt;14)</w:t>
            </w:r>
          </w:p>
          <w:p w14:paraId="684B98FE" w14:textId="77777777" w:rsidR="00515E12" w:rsidRDefault="00515E12" w:rsidP="00EC0D34">
            <w:pPr>
              <w:spacing w:before="0" w:after="0"/>
              <w:jc w:val="center"/>
              <w:rPr>
                <w:rFonts w:asciiTheme="minorHAnsi" w:hAnsiTheme="minorHAnsi" w:cstheme="minorHAnsi"/>
              </w:rPr>
            </w:pPr>
          </w:p>
        </w:tc>
        <w:tc>
          <w:tcPr>
            <w:tcW w:w="1000" w:type="pct"/>
            <w:shd w:val="clear" w:color="auto" w:fill="auto"/>
          </w:tcPr>
          <w:p w14:paraId="373940C2" w14:textId="77777777" w:rsidR="00515E12" w:rsidRDefault="00515E12" w:rsidP="00EC0D34">
            <w:pPr>
              <w:spacing w:before="0" w:after="0"/>
              <w:jc w:val="center"/>
              <w:rPr>
                <w:rFonts w:cs="Arial"/>
                <w:color w:val="000000"/>
              </w:rPr>
            </w:pPr>
            <w:r w:rsidRPr="005F551E">
              <w:rPr>
                <w:rFonts w:cs="Arial"/>
                <w:color w:val="000000"/>
              </w:rPr>
              <w:t>Achieves at least an average of 'Meets' across the seven indicators</w:t>
            </w:r>
          </w:p>
          <w:p w14:paraId="2A762F50" w14:textId="77777777" w:rsidR="00515E12" w:rsidRDefault="00515E12" w:rsidP="00EC0D34">
            <w:pPr>
              <w:spacing w:before="0" w:after="0"/>
              <w:jc w:val="center"/>
              <w:rPr>
                <w:rFonts w:asciiTheme="minorHAnsi" w:hAnsiTheme="minorHAnsi" w:cstheme="minorHAnsi"/>
              </w:rPr>
            </w:pPr>
          </w:p>
        </w:tc>
        <w:tc>
          <w:tcPr>
            <w:tcW w:w="1000" w:type="pct"/>
            <w:shd w:val="clear" w:color="auto" w:fill="auto"/>
          </w:tcPr>
          <w:p w14:paraId="1301EBED" w14:textId="77777777" w:rsidR="00515E12" w:rsidRDefault="00515E12" w:rsidP="00EC0D34">
            <w:pPr>
              <w:spacing w:before="0" w:after="0"/>
              <w:jc w:val="center"/>
            </w:pPr>
            <w:r w:rsidRPr="005F551E">
              <w:rPr>
                <w:rFonts w:cs="Arial"/>
              </w:rPr>
              <w:t>Four or more Indicators at Exceeds and no indicators at Improvement Required</w:t>
            </w:r>
          </w:p>
        </w:tc>
      </w:tr>
      <w:tr w:rsidR="00515E12" w:rsidRPr="008E33C7" w14:paraId="49FB6D22" w14:textId="77777777" w:rsidTr="00D542FC">
        <w:trPr>
          <w:trHeight w:val="634"/>
        </w:trPr>
        <w:tc>
          <w:tcPr>
            <w:tcW w:w="1000" w:type="pct"/>
            <w:vMerge/>
            <w:shd w:val="clear" w:color="auto" w:fill="auto"/>
          </w:tcPr>
          <w:p w14:paraId="53CAE94B" w14:textId="77777777" w:rsidR="00515E12" w:rsidRPr="00BC2EB7" w:rsidRDefault="00515E12" w:rsidP="00515E12">
            <w:pPr>
              <w:pStyle w:val="ListParagraph"/>
              <w:numPr>
                <w:ilvl w:val="0"/>
                <w:numId w:val="56"/>
              </w:numPr>
              <w:spacing w:before="0"/>
              <w:ind w:left="312" w:hanging="357"/>
              <w:contextualSpacing w:val="0"/>
              <w:rPr>
                <w:rFonts w:asciiTheme="minorHAnsi" w:hAnsiTheme="minorHAnsi" w:cstheme="minorHAnsi"/>
                <w:b/>
                <w:bCs/>
                <w:color w:val="000000"/>
              </w:rPr>
            </w:pPr>
          </w:p>
        </w:tc>
        <w:tc>
          <w:tcPr>
            <w:tcW w:w="1000" w:type="pct"/>
            <w:shd w:val="clear" w:color="auto" w:fill="auto"/>
          </w:tcPr>
          <w:p w14:paraId="2A64BA97" w14:textId="77777777" w:rsidR="00515E12" w:rsidRPr="0039770D" w:rsidRDefault="00515E12" w:rsidP="00EC0D34">
            <w:pPr>
              <w:pStyle w:val="ListParagraph"/>
              <w:spacing w:before="0" w:after="0"/>
              <w:ind w:left="0"/>
              <w:contextualSpacing w:val="0"/>
              <w:rPr>
                <w:rFonts w:asciiTheme="minorHAnsi" w:hAnsiTheme="minorHAnsi" w:cstheme="minorHAnsi"/>
                <w:b/>
                <w:bCs/>
                <w:color w:val="000000"/>
              </w:rPr>
            </w:pPr>
            <w:r w:rsidRPr="005325BF">
              <w:rPr>
                <w:rFonts w:cs="Arial"/>
                <w:color w:val="000000"/>
              </w:rPr>
              <w:t>Outcome 2.2: Departmental Assessment</w:t>
            </w:r>
            <w:r w:rsidRPr="005325BF">
              <w:rPr>
                <w:rFonts w:cs="Arial"/>
                <w:color w:val="000000"/>
              </w:rPr>
              <w:br/>
              <w:t>For details see Attachment</w:t>
            </w:r>
            <w:r w:rsidRPr="005325BF">
              <w:rPr>
                <w:rFonts w:cs="Arial"/>
                <w:i/>
                <w:color w:val="000000"/>
              </w:rPr>
              <w:t xml:space="preserve"> B.</w:t>
            </w:r>
          </w:p>
        </w:tc>
        <w:tc>
          <w:tcPr>
            <w:tcW w:w="1000" w:type="pct"/>
            <w:shd w:val="clear" w:color="auto" w:fill="auto"/>
          </w:tcPr>
          <w:p w14:paraId="7556EC3F" w14:textId="77777777" w:rsidR="00515E12" w:rsidRDefault="00515E12" w:rsidP="00EC0D34">
            <w:pPr>
              <w:spacing w:before="0" w:after="0"/>
              <w:jc w:val="center"/>
              <w:rPr>
                <w:rFonts w:asciiTheme="minorHAnsi" w:hAnsiTheme="minorHAnsi" w:cstheme="minorHAnsi"/>
              </w:rPr>
            </w:pPr>
            <w:r w:rsidRPr="005F551E">
              <w:rPr>
                <w:rFonts w:cs="Arial"/>
                <w:color w:val="000000"/>
              </w:rPr>
              <w:t xml:space="preserve">Does not meet definition of Meets or Exceeds </w:t>
            </w:r>
            <w:r w:rsidRPr="005F551E">
              <w:rPr>
                <w:rFonts w:cs="Arial"/>
                <w:color w:val="000000"/>
              </w:rPr>
              <w:br/>
              <w:t>(Total Weighting &lt;14)</w:t>
            </w:r>
          </w:p>
        </w:tc>
        <w:tc>
          <w:tcPr>
            <w:tcW w:w="1000" w:type="pct"/>
            <w:shd w:val="clear" w:color="auto" w:fill="auto"/>
          </w:tcPr>
          <w:p w14:paraId="22B23256" w14:textId="77777777" w:rsidR="00515E12" w:rsidRDefault="00515E12" w:rsidP="00EC0D34">
            <w:pPr>
              <w:spacing w:before="0" w:after="0"/>
              <w:jc w:val="center"/>
              <w:rPr>
                <w:rFonts w:asciiTheme="minorHAnsi" w:hAnsiTheme="minorHAnsi" w:cstheme="minorHAnsi"/>
              </w:rPr>
            </w:pPr>
            <w:r w:rsidRPr="005F551E">
              <w:rPr>
                <w:rFonts w:cs="Arial"/>
                <w:color w:val="000000"/>
              </w:rPr>
              <w:t>Achieves at least an average of 'Meets' across the seven indicators</w:t>
            </w:r>
          </w:p>
        </w:tc>
        <w:tc>
          <w:tcPr>
            <w:tcW w:w="1000" w:type="pct"/>
            <w:shd w:val="clear" w:color="auto" w:fill="auto"/>
            <w:vAlign w:val="center"/>
          </w:tcPr>
          <w:p w14:paraId="2941D40D" w14:textId="77777777" w:rsidR="00515E12" w:rsidRDefault="00515E12" w:rsidP="00EC0D34">
            <w:pPr>
              <w:spacing w:before="0" w:after="0"/>
              <w:jc w:val="center"/>
              <w:rPr>
                <w:rFonts w:cs="Arial"/>
              </w:rPr>
            </w:pPr>
            <w:r w:rsidRPr="005F551E">
              <w:rPr>
                <w:rFonts w:cs="Arial"/>
              </w:rPr>
              <w:t>Four or more Indicators at Exceeds and no indicators at Improvement Required</w:t>
            </w:r>
          </w:p>
          <w:p w14:paraId="5D70C326" w14:textId="77777777" w:rsidR="00515E12" w:rsidRPr="0039770D" w:rsidRDefault="00515E12" w:rsidP="00EC0D34">
            <w:pPr>
              <w:spacing w:before="0" w:after="0"/>
              <w:jc w:val="center"/>
              <w:rPr>
                <w:rFonts w:asciiTheme="minorHAnsi" w:hAnsiTheme="minorHAnsi" w:cstheme="minorHAnsi"/>
                <w:i/>
                <w:color w:val="000000"/>
              </w:rPr>
            </w:pPr>
          </w:p>
        </w:tc>
      </w:tr>
      <w:tr w:rsidR="00515E12" w:rsidRPr="008E33C7" w14:paraId="2989BD65" w14:textId="77777777" w:rsidTr="00D542FC">
        <w:tc>
          <w:tcPr>
            <w:tcW w:w="2000" w:type="pct"/>
            <w:gridSpan w:val="2"/>
            <w:shd w:val="clear" w:color="auto" w:fill="4BACC6" w:themeFill="accent5"/>
            <w:vAlign w:val="center"/>
          </w:tcPr>
          <w:p w14:paraId="4D969382" w14:textId="77777777" w:rsidR="00515E12" w:rsidRPr="00BC2EB7" w:rsidRDefault="00515E12" w:rsidP="003945A5">
            <w:pPr>
              <w:spacing w:line="360" w:lineRule="auto"/>
              <w:jc w:val="center"/>
              <w:rPr>
                <w:rFonts w:asciiTheme="minorHAnsi" w:hAnsiTheme="minorHAnsi" w:cstheme="minorHAnsi"/>
                <w:b/>
              </w:rPr>
            </w:pPr>
            <w:r w:rsidRPr="00BC2EB7">
              <w:rPr>
                <w:rFonts w:asciiTheme="minorHAnsi" w:hAnsiTheme="minorHAnsi" w:cstheme="minorHAnsi"/>
                <w:b/>
              </w:rPr>
              <w:t xml:space="preserve">Element </w:t>
            </w:r>
            <w:r>
              <w:rPr>
                <w:rFonts w:asciiTheme="minorHAnsi" w:hAnsiTheme="minorHAnsi" w:cstheme="minorHAnsi"/>
                <w:b/>
              </w:rPr>
              <w:t>2</w:t>
            </w:r>
            <w:r w:rsidRPr="00BC2EB7">
              <w:rPr>
                <w:rFonts w:asciiTheme="minorHAnsi" w:hAnsiTheme="minorHAnsi" w:cstheme="minorHAnsi"/>
                <w:b/>
              </w:rPr>
              <w:t xml:space="preserve">: </w:t>
            </w:r>
            <w:r>
              <w:rPr>
                <w:rFonts w:asciiTheme="minorHAnsi" w:hAnsiTheme="minorHAnsi" w:cstheme="minorHAnsi"/>
                <w:b/>
              </w:rPr>
              <w:t>Understanding Quality Rating</w:t>
            </w:r>
          </w:p>
        </w:tc>
        <w:tc>
          <w:tcPr>
            <w:tcW w:w="1000" w:type="pct"/>
            <w:shd w:val="clear" w:color="auto" w:fill="4BACC6" w:themeFill="accent5"/>
            <w:vAlign w:val="center"/>
          </w:tcPr>
          <w:p w14:paraId="24A5BA1F" w14:textId="77777777" w:rsidR="00515E12" w:rsidRPr="008E33C7" w:rsidRDefault="00515E12" w:rsidP="003945A5">
            <w:pPr>
              <w:spacing w:line="360" w:lineRule="auto"/>
              <w:jc w:val="center"/>
              <w:rPr>
                <w:rFonts w:asciiTheme="minorHAnsi" w:hAnsiTheme="minorHAnsi" w:cstheme="minorHAnsi"/>
              </w:rPr>
            </w:pPr>
            <w:r w:rsidRPr="005F551E">
              <w:rPr>
                <w:rFonts w:cs="Arial"/>
                <w:color w:val="000000"/>
              </w:rPr>
              <w:t>Does not meet definition of Meets or Exceeds</w:t>
            </w:r>
          </w:p>
        </w:tc>
        <w:tc>
          <w:tcPr>
            <w:tcW w:w="1000" w:type="pct"/>
            <w:shd w:val="clear" w:color="auto" w:fill="4BACC6" w:themeFill="accent5"/>
            <w:vAlign w:val="center"/>
          </w:tcPr>
          <w:p w14:paraId="04E1ED37" w14:textId="77777777" w:rsidR="00515E12" w:rsidRPr="005F551E" w:rsidRDefault="00515E12" w:rsidP="003945A5">
            <w:pPr>
              <w:spacing w:before="60" w:after="60"/>
              <w:jc w:val="center"/>
              <w:rPr>
                <w:rFonts w:cs="Arial"/>
                <w:color w:val="000000"/>
              </w:rPr>
            </w:pPr>
            <w:r w:rsidRPr="005F551E">
              <w:rPr>
                <w:rFonts w:cs="Arial"/>
                <w:color w:val="000000"/>
              </w:rPr>
              <w:t>All NSDS Standards at Meets;</w:t>
            </w:r>
          </w:p>
          <w:p w14:paraId="009A0AAA" w14:textId="2090BD2B" w:rsidR="00515E12" w:rsidRPr="00A35226" w:rsidRDefault="00515E12" w:rsidP="00A35226">
            <w:pPr>
              <w:spacing w:before="60" w:after="60"/>
              <w:jc w:val="center"/>
              <w:rPr>
                <w:rFonts w:cs="Arial"/>
                <w:color w:val="000000"/>
              </w:rPr>
            </w:pPr>
            <w:r w:rsidRPr="005F551E">
              <w:rPr>
                <w:rFonts w:cs="Arial"/>
                <w:color w:val="000000"/>
              </w:rPr>
              <w:t>AND</w:t>
            </w:r>
            <w:r w:rsidRPr="005F551E">
              <w:rPr>
                <w:rFonts w:cs="Arial"/>
                <w:color w:val="000000"/>
              </w:rPr>
              <w:br/>
              <w:t>Departmental Assessment for both Outcome 2.1 and Outcome 2.2 at Meets</w:t>
            </w:r>
          </w:p>
        </w:tc>
        <w:tc>
          <w:tcPr>
            <w:tcW w:w="1000" w:type="pct"/>
            <w:shd w:val="clear" w:color="auto" w:fill="4BACC6" w:themeFill="accent5"/>
            <w:vAlign w:val="center"/>
          </w:tcPr>
          <w:p w14:paraId="3097CFFC" w14:textId="77777777" w:rsidR="00515E12" w:rsidRPr="005F551E" w:rsidRDefault="00515E12" w:rsidP="003945A5">
            <w:pPr>
              <w:spacing w:before="60" w:after="60"/>
              <w:jc w:val="center"/>
              <w:rPr>
                <w:rFonts w:cs="Arial"/>
                <w:color w:val="000000"/>
              </w:rPr>
            </w:pPr>
            <w:r w:rsidRPr="005F551E">
              <w:rPr>
                <w:rFonts w:cs="Arial"/>
                <w:color w:val="000000"/>
              </w:rPr>
              <w:t>All NSDS Standards at Meets;</w:t>
            </w:r>
          </w:p>
          <w:p w14:paraId="4B12C12D" w14:textId="14F7A836" w:rsidR="00515E12" w:rsidRPr="005F551E" w:rsidRDefault="00515E12" w:rsidP="00A35226">
            <w:pPr>
              <w:spacing w:before="0" w:after="0"/>
              <w:jc w:val="center"/>
              <w:rPr>
                <w:rFonts w:cs="Arial"/>
                <w:color w:val="000000"/>
              </w:rPr>
            </w:pPr>
            <w:r w:rsidRPr="005F551E">
              <w:rPr>
                <w:rFonts w:cs="Arial"/>
                <w:color w:val="000000"/>
              </w:rPr>
              <w:t>AND</w:t>
            </w:r>
            <w:r w:rsidRPr="005F551E">
              <w:rPr>
                <w:rFonts w:cs="Arial"/>
                <w:color w:val="000000"/>
              </w:rPr>
              <w:br/>
              <w:t xml:space="preserve">Departmental Assessment </w:t>
            </w:r>
            <w:r w:rsidR="00A35226">
              <w:rPr>
                <w:rFonts w:cs="Arial"/>
                <w:color w:val="000000"/>
              </w:rPr>
              <w:t xml:space="preserve">for both </w:t>
            </w:r>
            <w:r w:rsidRPr="005F551E">
              <w:rPr>
                <w:rFonts w:cs="Arial"/>
                <w:color w:val="000000"/>
              </w:rPr>
              <w:t xml:space="preserve">Outcome 2.1 and Outcome 2.2 at Exceeds </w:t>
            </w:r>
          </w:p>
        </w:tc>
      </w:tr>
      <w:tr w:rsidR="00515E12" w:rsidRPr="0039770D" w14:paraId="14234830" w14:textId="77777777" w:rsidTr="003945A5">
        <w:tc>
          <w:tcPr>
            <w:tcW w:w="1000" w:type="pct"/>
          </w:tcPr>
          <w:p w14:paraId="76BD37ED" w14:textId="77777777" w:rsidR="00515E12" w:rsidRPr="008E33C7" w:rsidRDefault="00515E12" w:rsidP="00515E12">
            <w:pPr>
              <w:pStyle w:val="ListParagraph"/>
              <w:numPr>
                <w:ilvl w:val="0"/>
                <w:numId w:val="56"/>
              </w:numPr>
              <w:spacing w:before="0"/>
              <w:ind w:left="312" w:hanging="357"/>
              <w:contextualSpacing w:val="0"/>
              <w:rPr>
                <w:rFonts w:asciiTheme="minorHAnsi" w:hAnsiTheme="minorHAnsi" w:cstheme="minorHAnsi"/>
                <w:b/>
                <w:bCs/>
                <w:color w:val="000000"/>
              </w:rPr>
            </w:pPr>
            <w:r>
              <w:rPr>
                <w:rFonts w:asciiTheme="minorHAnsi" w:hAnsiTheme="minorHAnsi" w:cstheme="minorHAnsi"/>
                <w:b/>
                <w:bCs/>
                <w:color w:val="000000"/>
              </w:rPr>
              <w:t>Provider Capability</w:t>
            </w:r>
          </w:p>
          <w:p w14:paraId="54177CD4" w14:textId="0F4BF373" w:rsidR="00515E12" w:rsidRDefault="00515E12" w:rsidP="003945A5">
            <w:pPr>
              <w:rPr>
                <w:rFonts w:asciiTheme="minorHAnsi" w:hAnsiTheme="minorHAnsi" w:cstheme="minorHAnsi"/>
                <w:color w:val="000000"/>
              </w:rPr>
            </w:pPr>
            <w:r w:rsidRPr="005F551E">
              <w:rPr>
                <w:rFonts w:cs="Arial"/>
                <w:color w:val="000000"/>
              </w:rPr>
              <w:t>Outcome 3.1: DES providers have a continuous improvement culture with appropriate policies, systems and processes, together with staff and management capabilities to deliver quality services and manage risk</w:t>
            </w:r>
          </w:p>
          <w:p w14:paraId="241CA310" w14:textId="77777777" w:rsidR="00515E12" w:rsidRPr="008E33C7" w:rsidRDefault="00515E12" w:rsidP="003945A5">
            <w:pPr>
              <w:rPr>
                <w:rFonts w:asciiTheme="minorHAnsi" w:hAnsiTheme="minorHAnsi" w:cstheme="minorHAnsi"/>
              </w:rPr>
            </w:pPr>
          </w:p>
        </w:tc>
        <w:tc>
          <w:tcPr>
            <w:tcW w:w="1000" w:type="pct"/>
          </w:tcPr>
          <w:p w14:paraId="79A872AD" w14:textId="4C62CE21" w:rsidR="00515E12" w:rsidRPr="008E33C7" w:rsidRDefault="00515E12" w:rsidP="003945A5">
            <w:pPr>
              <w:rPr>
                <w:rFonts w:asciiTheme="minorHAnsi" w:hAnsiTheme="minorHAnsi" w:cstheme="minorHAnsi"/>
              </w:rPr>
            </w:pPr>
            <w:r w:rsidRPr="005F551E">
              <w:rPr>
                <w:rFonts w:cs="Arial"/>
                <w:color w:val="000000"/>
              </w:rPr>
              <w:t>NSDS Standard 6: Service Management</w:t>
            </w:r>
          </w:p>
        </w:tc>
        <w:tc>
          <w:tcPr>
            <w:tcW w:w="1000" w:type="pct"/>
          </w:tcPr>
          <w:p w14:paraId="4E445D32"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2FB814DE" w14:textId="77777777" w:rsidR="00515E12" w:rsidRPr="005F551E" w:rsidRDefault="00515E12" w:rsidP="00515E12">
            <w:pPr>
              <w:pStyle w:val="ListParagraph"/>
              <w:numPr>
                <w:ilvl w:val="0"/>
                <w:numId w:val="62"/>
              </w:numPr>
              <w:spacing w:before="0"/>
              <w:jc w:val="center"/>
              <w:rPr>
                <w:rFonts w:asciiTheme="minorHAnsi" w:hAnsiTheme="minorHAnsi" w:cstheme="minorHAnsi"/>
              </w:rPr>
            </w:pPr>
            <w:r w:rsidRPr="005F551E">
              <w:rPr>
                <w:rFonts w:asciiTheme="minorHAnsi" w:hAnsiTheme="minorHAnsi" w:cstheme="minorHAnsi"/>
              </w:rPr>
              <w:t>Not been previously reflected in a quality rating</w:t>
            </w:r>
          </w:p>
          <w:p w14:paraId="440549FC"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OR</w:t>
            </w:r>
          </w:p>
          <w:p w14:paraId="19F43160" w14:textId="77777777" w:rsidR="00515E12" w:rsidRPr="005F551E" w:rsidRDefault="00515E12" w:rsidP="00515E12">
            <w:pPr>
              <w:pStyle w:val="ListParagraph"/>
              <w:numPr>
                <w:ilvl w:val="0"/>
                <w:numId w:val="62"/>
              </w:numPr>
              <w:spacing w:before="0"/>
              <w:jc w:val="center"/>
              <w:rPr>
                <w:rFonts w:asciiTheme="minorHAnsi" w:hAnsiTheme="minorHAnsi" w:cstheme="minorHAnsi"/>
              </w:rPr>
            </w:pPr>
            <w:r w:rsidRPr="005F551E">
              <w:rPr>
                <w:rFonts w:asciiTheme="minorHAnsi" w:hAnsiTheme="minorHAnsi" w:cstheme="minorHAnsi"/>
              </w:rPr>
              <w:t>Has not been resolved by the end of the rating period.</w:t>
            </w:r>
          </w:p>
        </w:tc>
        <w:tc>
          <w:tcPr>
            <w:tcW w:w="1000" w:type="pct"/>
          </w:tcPr>
          <w:p w14:paraId="4816E7C5"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NSDS audit result of conforms issued and submitted to the department in the rating period</w:t>
            </w:r>
          </w:p>
          <w:p w14:paraId="31C65DBD"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OR</w:t>
            </w:r>
          </w:p>
          <w:p w14:paraId="2206E817" w14:textId="77777777" w:rsidR="00515E12" w:rsidRPr="008E33C7" w:rsidRDefault="00515E12" w:rsidP="003945A5">
            <w:pPr>
              <w:spacing w:line="276" w:lineRule="auto"/>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7E027851" w14:textId="77777777" w:rsidR="00515E12" w:rsidRDefault="00515E12" w:rsidP="00515E12">
            <w:pPr>
              <w:pStyle w:val="ListParagraph"/>
              <w:numPr>
                <w:ilvl w:val="0"/>
                <w:numId w:val="61"/>
              </w:numPr>
              <w:spacing w:before="0"/>
              <w:contextualSpacing w:val="0"/>
              <w:jc w:val="center"/>
              <w:rPr>
                <w:rFonts w:asciiTheme="minorHAnsi" w:hAnsiTheme="minorHAnsi" w:cstheme="minorHAnsi"/>
              </w:rPr>
            </w:pPr>
            <w:r w:rsidRPr="007A7D1E">
              <w:rPr>
                <w:rFonts w:asciiTheme="minorHAnsi" w:hAnsiTheme="minorHAnsi" w:cstheme="minorHAnsi"/>
              </w:rPr>
              <w:t xml:space="preserve">Previously been reflected in a quality rating </w:t>
            </w:r>
          </w:p>
          <w:p w14:paraId="3FCEC3F2" w14:textId="77777777" w:rsidR="00515E12" w:rsidRPr="007A7D1E" w:rsidRDefault="00515E12" w:rsidP="003945A5">
            <w:pPr>
              <w:jc w:val="center"/>
              <w:rPr>
                <w:rFonts w:asciiTheme="minorHAnsi" w:hAnsiTheme="minorHAnsi" w:cstheme="minorHAnsi"/>
              </w:rPr>
            </w:pPr>
            <w:r w:rsidRPr="007A7D1E">
              <w:rPr>
                <w:rFonts w:asciiTheme="minorHAnsi" w:hAnsiTheme="minorHAnsi" w:cstheme="minorHAnsi"/>
              </w:rPr>
              <w:t>AND</w:t>
            </w:r>
          </w:p>
          <w:p w14:paraId="7A3FF2F4" w14:textId="77777777" w:rsidR="00515E12" w:rsidRPr="005F551E" w:rsidRDefault="00515E12" w:rsidP="00515E12">
            <w:pPr>
              <w:pStyle w:val="ListParagraph"/>
              <w:numPr>
                <w:ilvl w:val="0"/>
                <w:numId w:val="61"/>
              </w:numPr>
              <w:spacing w:before="0"/>
              <w:jc w:val="center"/>
              <w:rPr>
                <w:rFonts w:asciiTheme="minorHAnsi" w:hAnsiTheme="minorHAnsi" w:cstheme="minorHAnsi"/>
              </w:rPr>
            </w:pPr>
            <w:r w:rsidRPr="005F551E">
              <w:rPr>
                <w:rFonts w:asciiTheme="minorHAnsi" w:hAnsiTheme="minorHAnsi" w:cstheme="minorHAnsi"/>
              </w:rPr>
              <w:t>Has been resolved by the end of the rating period</w:t>
            </w:r>
          </w:p>
        </w:tc>
        <w:tc>
          <w:tcPr>
            <w:tcW w:w="1000" w:type="pct"/>
            <w:shd w:val="clear" w:color="auto" w:fill="F2F2F2" w:themeFill="background1" w:themeFillShade="F2"/>
            <w:vAlign w:val="center"/>
          </w:tcPr>
          <w:p w14:paraId="025864E5" w14:textId="77777777" w:rsidR="00515E12" w:rsidRPr="0039770D" w:rsidRDefault="00515E12" w:rsidP="003945A5">
            <w:pPr>
              <w:jc w:val="center"/>
              <w:rPr>
                <w:rFonts w:asciiTheme="minorHAnsi" w:hAnsiTheme="minorHAnsi" w:cstheme="minorHAnsi"/>
              </w:rPr>
            </w:pPr>
            <w:r w:rsidRPr="0039770D">
              <w:rPr>
                <w:rFonts w:asciiTheme="minorHAnsi" w:hAnsiTheme="minorHAnsi" w:cstheme="minorHAnsi"/>
                <w:i/>
                <w:color w:val="000000"/>
              </w:rPr>
              <w:t>Not applicable</w:t>
            </w:r>
          </w:p>
        </w:tc>
      </w:tr>
      <w:tr w:rsidR="00515E12" w:rsidRPr="008E33C7" w14:paraId="63122E04" w14:textId="77777777" w:rsidTr="003945A5">
        <w:tc>
          <w:tcPr>
            <w:tcW w:w="2000" w:type="pct"/>
            <w:gridSpan w:val="2"/>
            <w:shd w:val="clear" w:color="auto" w:fill="4BACC6" w:themeFill="accent5"/>
            <w:vAlign w:val="center"/>
          </w:tcPr>
          <w:p w14:paraId="28950640" w14:textId="77777777" w:rsidR="00515E12" w:rsidRPr="00BC2EB7" w:rsidRDefault="00515E12" w:rsidP="003945A5">
            <w:pPr>
              <w:spacing w:line="360" w:lineRule="auto"/>
              <w:jc w:val="center"/>
              <w:rPr>
                <w:rFonts w:asciiTheme="minorHAnsi" w:hAnsiTheme="minorHAnsi" w:cstheme="minorHAnsi"/>
                <w:b/>
              </w:rPr>
            </w:pPr>
            <w:r w:rsidRPr="00BC2EB7">
              <w:rPr>
                <w:rFonts w:asciiTheme="minorHAnsi" w:hAnsiTheme="minorHAnsi" w:cstheme="minorHAnsi"/>
                <w:b/>
              </w:rPr>
              <w:t xml:space="preserve">Element </w:t>
            </w:r>
            <w:r>
              <w:rPr>
                <w:rFonts w:asciiTheme="minorHAnsi" w:hAnsiTheme="minorHAnsi" w:cstheme="minorHAnsi"/>
                <w:b/>
              </w:rPr>
              <w:t>3</w:t>
            </w:r>
            <w:r w:rsidRPr="00BC2EB7">
              <w:rPr>
                <w:rFonts w:asciiTheme="minorHAnsi" w:hAnsiTheme="minorHAnsi" w:cstheme="minorHAnsi"/>
                <w:b/>
              </w:rPr>
              <w:t xml:space="preserve">: </w:t>
            </w:r>
            <w:r>
              <w:rPr>
                <w:rFonts w:asciiTheme="minorHAnsi" w:hAnsiTheme="minorHAnsi" w:cstheme="minorHAnsi"/>
                <w:b/>
              </w:rPr>
              <w:t>Provider Capability Rating</w:t>
            </w:r>
          </w:p>
        </w:tc>
        <w:tc>
          <w:tcPr>
            <w:tcW w:w="1000" w:type="pct"/>
            <w:shd w:val="clear" w:color="auto" w:fill="4BACC6" w:themeFill="accent5"/>
            <w:vAlign w:val="bottom"/>
          </w:tcPr>
          <w:p w14:paraId="781D8131" w14:textId="77777777" w:rsidR="00515E12" w:rsidRPr="008E33C7" w:rsidRDefault="00515E12" w:rsidP="003945A5">
            <w:pPr>
              <w:spacing w:line="360" w:lineRule="auto"/>
              <w:jc w:val="center"/>
              <w:rPr>
                <w:rFonts w:asciiTheme="minorHAnsi" w:hAnsiTheme="minorHAnsi" w:cstheme="minorHAnsi"/>
              </w:rPr>
            </w:pPr>
            <w:r>
              <w:rPr>
                <w:rFonts w:asciiTheme="minorHAnsi" w:hAnsiTheme="minorHAnsi" w:cstheme="minorHAnsi"/>
              </w:rPr>
              <w:t>NSDS Standard at Improvement Required</w:t>
            </w:r>
          </w:p>
        </w:tc>
        <w:tc>
          <w:tcPr>
            <w:tcW w:w="1000" w:type="pct"/>
            <w:shd w:val="clear" w:color="auto" w:fill="4BACC6" w:themeFill="accent5"/>
          </w:tcPr>
          <w:p w14:paraId="1EF21AA1" w14:textId="77777777" w:rsidR="00515E12" w:rsidRPr="008E33C7" w:rsidRDefault="00515E12" w:rsidP="003945A5">
            <w:pPr>
              <w:spacing w:line="360" w:lineRule="auto"/>
              <w:jc w:val="center"/>
              <w:rPr>
                <w:rFonts w:asciiTheme="minorHAnsi" w:hAnsiTheme="minorHAnsi" w:cstheme="minorHAnsi"/>
              </w:rPr>
            </w:pPr>
            <w:r>
              <w:rPr>
                <w:rFonts w:asciiTheme="minorHAnsi" w:hAnsiTheme="minorHAnsi" w:cstheme="minorHAnsi"/>
              </w:rPr>
              <w:t>NSDS Standard at Meets</w:t>
            </w:r>
          </w:p>
        </w:tc>
        <w:tc>
          <w:tcPr>
            <w:tcW w:w="1000" w:type="pct"/>
            <w:shd w:val="clear" w:color="auto" w:fill="F2F2F2" w:themeFill="background1" w:themeFillShade="F2"/>
            <w:vAlign w:val="bottom"/>
          </w:tcPr>
          <w:p w14:paraId="48F466A2" w14:textId="77777777" w:rsidR="00515E12" w:rsidRPr="0039770D" w:rsidRDefault="00515E12" w:rsidP="003945A5">
            <w:pPr>
              <w:spacing w:line="360" w:lineRule="auto"/>
              <w:jc w:val="center"/>
              <w:rPr>
                <w:rFonts w:asciiTheme="minorHAnsi" w:hAnsiTheme="minorHAnsi" w:cstheme="minorHAnsi"/>
                <w:i/>
                <w:color w:val="000000"/>
              </w:rPr>
            </w:pPr>
            <w:r w:rsidRPr="0039770D">
              <w:rPr>
                <w:rFonts w:asciiTheme="minorHAnsi" w:hAnsiTheme="minorHAnsi" w:cstheme="minorHAnsi"/>
                <w:i/>
                <w:color w:val="000000"/>
              </w:rPr>
              <w:t xml:space="preserve">Exceeds rating not applicable to Element </w:t>
            </w:r>
            <w:r>
              <w:rPr>
                <w:rFonts w:asciiTheme="minorHAnsi" w:hAnsiTheme="minorHAnsi" w:cstheme="minorHAnsi"/>
                <w:i/>
                <w:color w:val="000000"/>
              </w:rPr>
              <w:t>3</w:t>
            </w:r>
          </w:p>
        </w:tc>
      </w:tr>
      <w:tr w:rsidR="004C04C5" w:rsidRPr="0039770D" w14:paraId="45C591ED" w14:textId="77777777" w:rsidTr="003945A5">
        <w:tc>
          <w:tcPr>
            <w:tcW w:w="1000" w:type="pct"/>
            <w:vMerge w:val="restart"/>
            <w:tcBorders>
              <w:top w:val="single" w:sz="4" w:space="0" w:color="auto"/>
              <w:left w:val="single" w:sz="4" w:space="0" w:color="auto"/>
              <w:right w:val="single" w:sz="4" w:space="0" w:color="auto"/>
            </w:tcBorders>
          </w:tcPr>
          <w:p w14:paraId="70AACF25" w14:textId="77777777" w:rsidR="004C04C5" w:rsidRPr="008E33C7" w:rsidRDefault="004C04C5" w:rsidP="00515E12">
            <w:pPr>
              <w:pStyle w:val="ListParagraph"/>
              <w:numPr>
                <w:ilvl w:val="0"/>
                <w:numId w:val="56"/>
              </w:numPr>
              <w:spacing w:after="0" w:line="276" w:lineRule="auto"/>
              <w:ind w:left="312" w:hanging="357"/>
              <w:contextualSpacing w:val="0"/>
              <w:rPr>
                <w:rFonts w:asciiTheme="minorHAnsi" w:hAnsiTheme="minorHAnsi" w:cstheme="minorHAnsi"/>
                <w:b/>
                <w:bCs/>
                <w:color w:val="000000"/>
              </w:rPr>
            </w:pPr>
            <w:r>
              <w:rPr>
                <w:rFonts w:asciiTheme="minorHAnsi" w:hAnsiTheme="minorHAnsi" w:cstheme="minorHAnsi"/>
                <w:b/>
                <w:bCs/>
                <w:color w:val="000000"/>
              </w:rPr>
              <w:t>Compliance</w:t>
            </w:r>
          </w:p>
          <w:p w14:paraId="3007B65B" w14:textId="62E8B3C7" w:rsidR="004C04C5" w:rsidRDefault="004C04C5" w:rsidP="003945A5">
            <w:pPr>
              <w:spacing w:line="276" w:lineRule="auto"/>
              <w:rPr>
                <w:rFonts w:cs="Calibri"/>
              </w:rPr>
            </w:pPr>
            <w:r w:rsidRPr="00AC5EAB">
              <w:rPr>
                <w:rFonts w:cs="Arial"/>
                <w:color w:val="000000"/>
              </w:rPr>
              <w:t>Outcome 4.1: DES providers utilise existing compliance and assurance processes and associated outcomes to proactively support quality service delivery and continuous quality improvement</w:t>
            </w:r>
            <w:r w:rsidRPr="00AC5EAB">
              <w:rPr>
                <w:rFonts w:cs="Calibri"/>
              </w:rPr>
              <w:t xml:space="preserve"> </w:t>
            </w:r>
          </w:p>
          <w:p w14:paraId="63D9B533" w14:textId="4DCD8F77" w:rsidR="004C04C5" w:rsidRPr="008E33C7" w:rsidRDefault="004C04C5" w:rsidP="004C04C5">
            <w:pPr>
              <w:spacing w:after="0" w:line="276" w:lineRule="auto"/>
              <w:rPr>
                <w:rFonts w:asciiTheme="minorHAnsi" w:hAnsiTheme="minorHAnsi" w:cstheme="minorHAnsi"/>
              </w:rPr>
            </w:pPr>
          </w:p>
        </w:tc>
        <w:tc>
          <w:tcPr>
            <w:tcW w:w="1000" w:type="pct"/>
            <w:tcBorders>
              <w:left w:val="single" w:sz="4" w:space="0" w:color="auto"/>
            </w:tcBorders>
          </w:tcPr>
          <w:p w14:paraId="320961FC" w14:textId="77777777" w:rsidR="004C04C5" w:rsidRPr="008E33C7" w:rsidRDefault="004C04C5" w:rsidP="003945A5">
            <w:pPr>
              <w:rPr>
                <w:rFonts w:asciiTheme="minorHAnsi" w:hAnsiTheme="minorHAnsi" w:cstheme="minorHAnsi"/>
              </w:rPr>
            </w:pPr>
            <w:r w:rsidRPr="00AC5EAB">
              <w:rPr>
                <w:rFonts w:cs="Arial"/>
                <w:color w:val="000000"/>
              </w:rPr>
              <w:t>NSDS Standard 4: Feedback and Complaints</w:t>
            </w:r>
          </w:p>
        </w:tc>
        <w:tc>
          <w:tcPr>
            <w:tcW w:w="1000" w:type="pct"/>
          </w:tcPr>
          <w:p w14:paraId="2D00CF13" w14:textId="77777777" w:rsidR="004C04C5" w:rsidRPr="008E33C7" w:rsidRDefault="004C04C5" w:rsidP="003945A5">
            <w:pPr>
              <w:spacing w:line="276" w:lineRule="auto"/>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1314CD2B" w14:textId="77777777" w:rsidR="004C04C5" w:rsidRPr="005F551E" w:rsidRDefault="004C04C5" w:rsidP="00515E12">
            <w:pPr>
              <w:pStyle w:val="ListParagraph"/>
              <w:numPr>
                <w:ilvl w:val="0"/>
                <w:numId w:val="62"/>
              </w:numPr>
              <w:spacing w:before="0"/>
              <w:jc w:val="center"/>
              <w:rPr>
                <w:rFonts w:asciiTheme="minorHAnsi" w:hAnsiTheme="minorHAnsi" w:cstheme="minorHAnsi"/>
              </w:rPr>
            </w:pPr>
            <w:r w:rsidRPr="005F551E">
              <w:rPr>
                <w:rFonts w:asciiTheme="minorHAnsi" w:hAnsiTheme="minorHAnsi" w:cstheme="minorHAnsi"/>
              </w:rPr>
              <w:t>Not been previously reflected in a quality rating</w:t>
            </w:r>
          </w:p>
          <w:p w14:paraId="200FA61E" w14:textId="77777777" w:rsidR="004C04C5" w:rsidRPr="008E33C7" w:rsidRDefault="004C04C5" w:rsidP="003945A5">
            <w:pPr>
              <w:spacing w:line="276" w:lineRule="auto"/>
              <w:jc w:val="center"/>
              <w:rPr>
                <w:rFonts w:asciiTheme="minorHAnsi" w:hAnsiTheme="minorHAnsi" w:cstheme="minorHAnsi"/>
              </w:rPr>
            </w:pPr>
            <w:r w:rsidRPr="008E33C7">
              <w:rPr>
                <w:rFonts w:asciiTheme="minorHAnsi" w:hAnsiTheme="minorHAnsi" w:cstheme="minorHAnsi"/>
              </w:rPr>
              <w:t>OR</w:t>
            </w:r>
          </w:p>
          <w:p w14:paraId="136488EB" w14:textId="77777777" w:rsidR="004C04C5" w:rsidRPr="005F551E" w:rsidRDefault="004C04C5" w:rsidP="00515E12">
            <w:pPr>
              <w:pStyle w:val="ListParagraph"/>
              <w:numPr>
                <w:ilvl w:val="0"/>
                <w:numId w:val="62"/>
              </w:numPr>
              <w:spacing w:before="0"/>
              <w:jc w:val="center"/>
              <w:rPr>
                <w:rFonts w:asciiTheme="minorHAnsi" w:hAnsiTheme="minorHAnsi" w:cstheme="minorHAnsi"/>
              </w:rPr>
            </w:pPr>
            <w:r w:rsidRPr="005F551E">
              <w:rPr>
                <w:rFonts w:asciiTheme="minorHAnsi" w:hAnsiTheme="minorHAnsi" w:cstheme="minorHAnsi"/>
              </w:rPr>
              <w:t>Has not been resolved by the end of the rating period.</w:t>
            </w:r>
          </w:p>
        </w:tc>
        <w:tc>
          <w:tcPr>
            <w:tcW w:w="1000" w:type="pct"/>
          </w:tcPr>
          <w:p w14:paraId="12E565CF" w14:textId="77777777" w:rsidR="004C04C5" w:rsidRPr="008E33C7" w:rsidRDefault="004C04C5" w:rsidP="003945A5">
            <w:pPr>
              <w:jc w:val="center"/>
              <w:rPr>
                <w:rFonts w:asciiTheme="minorHAnsi" w:hAnsiTheme="minorHAnsi" w:cstheme="minorHAnsi"/>
              </w:rPr>
            </w:pPr>
            <w:r w:rsidRPr="008E33C7">
              <w:rPr>
                <w:rFonts w:asciiTheme="minorHAnsi" w:hAnsiTheme="minorHAnsi" w:cstheme="minorHAnsi"/>
              </w:rPr>
              <w:t>NSDS audit result of conforms issued and submitted to the department in the rating period</w:t>
            </w:r>
          </w:p>
          <w:p w14:paraId="057F5FCA" w14:textId="77777777" w:rsidR="004C04C5" w:rsidRPr="008E33C7" w:rsidRDefault="004C04C5" w:rsidP="003945A5">
            <w:pPr>
              <w:jc w:val="center"/>
              <w:rPr>
                <w:rFonts w:asciiTheme="minorHAnsi" w:hAnsiTheme="minorHAnsi" w:cstheme="minorHAnsi"/>
              </w:rPr>
            </w:pPr>
            <w:r w:rsidRPr="008E33C7">
              <w:rPr>
                <w:rFonts w:asciiTheme="minorHAnsi" w:hAnsiTheme="minorHAnsi" w:cstheme="minorHAnsi"/>
              </w:rPr>
              <w:t>OR</w:t>
            </w:r>
          </w:p>
          <w:p w14:paraId="028A7498" w14:textId="77777777" w:rsidR="004C04C5" w:rsidRPr="008E33C7" w:rsidRDefault="004C04C5" w:rsidP="003945A5">
            <w:pPr>
              <w:jc w:val="center"/>
              <w:rPr>
                <w:rFonts w:asciiTheme="minorHAnsi" w:hAnsiTheme="minorHAnsi" w:cstheme="minorHAnsi"/>
              </w:rPr>
            </w:pPr>
            <w:r w:rsidRPr="008E33C7">
              <w:rPr>
                <w:rFonts w:asciiTheme="minorHAnsi" w:hAnsiTheme="minorHAnsi" w:cstheme="minorHAnsi"/>
              </w:rPr>
              <w:t>NSDS audit result of nonconformity issued and submitted to department in the rating period that has:</w:t>
            </w:r>
          </w:p>
          <w:p w14:paraId="14A7A524" w14:textId="77777777" w:rsidR="004C04C5" w:rsidRDefault="004C04C5" w:rsidP="00515E12">
            <w:pPr>
              <w:pStyle w:val="ListParagraph"/>
              <w:numPr>
                <w:ilvl w:val="0"/>
                <w:numId w:val="61"/>
              </w:numPr>
              <w:spacing w:before="0"/>
              <w:contextualSpacing w:val="0"/>
              <w:jc w:val="center"/>
              <w:rPr>
                <w:rFonts w:asciiTheme="minorHAnsi" w:hAnsiTheme="minorHAnsi" w:cstheme="minorHAnsi"/>
              </w:rPr>
            </w:pPr>
            <w:r w:rsidRPr="007A7D1E">
              <w:rPr>
                <w:rFonts w:asciiTheme="minorHAnsi" w:hAnsiTheme="minorHAnsi" w:cstheme="minorHAnsi"/>
              </w:rPr>
              <w:t xml:space="preserve">Previously been reflected in a quality rating </w:t>
            </w:r>
          </w:p>
          <w:p w14:paraId="7E771936" w14:textId="77777777" w:rsidR="004C04C5" w:rsidRPr="007A7D1E" w:rsidRDefault="004C04C5" w:rsidP="003945A5">
            <w:pPr>
              <w:jc w:val="center"/>
              <w:rPr>
                <w:rFonts w:asciiTheme="minorHAnsi" w:hAnsiTheme="minorHAnsi" w:cstheme="minorHAnsi"/>
              </w:rPr>
            </w:pPr>
            <w:r w:rsidRPr="007A7D1E">
              <w:rPr>
                <w:rFonts w:asciiTheme="minorHAnsi" w:hAnsiTheme="minorHAnsi" w:cstheme="minorHAnsi"/>
              </w:rPr>
              <w:t>AND</w:t>
            </w:r>
          </w:p>
          <w:p w14:paraId="3A0F3A3B" w14:textId="77777777" w:rsidR="004C04C5" w:rsidRPr="005F551E" w:rsidRDefault="004C04C5" w:rsidP="00515E12">
            <w:pPr>
              <w:pStyle w:val="ListParagraph"/>
              <w:numPr>
                <w:ilvl w:val="0"/>
                <w:numId w:val="61"/>
              </w:numPr>
              <w:spacing w:before="0"/>
              <w:jc w:val="center"/>
              <w:rPr>
                <w:rFonts w:asciiTheme="minorHAnsi" w:hAnsiTheme="minorHAnsi" w:cstheme="minorHAnsi"/>
              </w:rPr>
            </w:pPr>
            <w:r w:rsidRPr="005F551E">
              <w:rPr>
                <w:rFonts w:asciiTheme="minorHAnsi" w:hAnsiTheme="minorHAnsi" w:cstheme="minorHAnsi"/>
              </w:rPr>
              <w:t>Has been resolved by the end of the rating period</w:t>
            </w:r>
          </w:p>
        </w:tc>
        <w:tc>
          <w:tcPr>
            <w:tcW w:w="1000" w:type="pct"/>
            <w:shd w:val="clear" w:color="auto" w:fill="F2F2F2" w:themeFill="background1" w:themeFillShade="F2"/>
            <w:vAlign w:val="center"/>
          </w:tcPr>
          <w:p w14:paraId="7539CEF5" w14:textId="77777777" w:rsidR="004C04C5" w:rsidRPr="0039770D" w:rsidRDefault="004C04C5" w:rsidP="003945A5">
            <w:pPr>
              <w:jc w:val="center"/>
              <w:rPr>
                <w:rFonts w:asciiTheme="minorHAnsi" w:hAnsiTheme="minorHAnsi" w:cstheme="minorHAnsi"/>
              </w:rPr>
            </w:pPr>
            <w:r w:rsidRPr="0039770D">
              <w:rPr>
                <w:rFonts w:asciiTheme="minorHAnsi" w:hAnsiTheme="minorHAnsi" w:cstheme="minorHAnsi"/>
                <w:i/>
                <w:color w:val="000000"/>
              </w:rPr>
              <w:t>Not applicable</w:t>
            </w:r>
          </w:p>
        </w:tc>
      </w:tr>
      <w:tr w:rsidR="004C04C5" w:rsidRPr="0039770D" w14:paraId="1C77093D" w14:textId="77777777" w:rsidTr="006356F9">
        <w:tc>
          <w:tcPr>
            <w:tcW w:w="1000" w:type="pct"/>
            <w:vMerge/>
            <w:tcBorders>
              <w:left w:val="single" w:sz="4" w:space="0" w:color="auto"/>
              <w:right w:val="single" w:sz="4" w:space="0" w:color="auto"/>
            </w:tcBorders>
          </w:tcPr>
          <w:p w14:paraId="477C13EE" w14:textId="77777777" w:rsidR="004C04C5" w:rsidRDefault="004C04C5" w:rsidP="003945A5">
            <w:pPr>
              <w:pStyle w:val="ListParagraph"/>
              <w:ind w:left="312"/>
              <w:rPr>
                <w:rFonts w:asciiTheme="minorHAnsi" w:hAnsiTheme="minorHAnsi" w:cstheme="minorHAnsi"/>
                <w:b/>
                <w:bCs/>
                <w:color w:val="000000"/>
              </w:rPr>
            </w:pPr>
          </w:p>
        </w:tc>
        <w:tc>
          <w:tcPr>
            <w:tcW w:w="1000" w:type="pct"/>
            <w:tcBorders>
              <w:left w:val="single" w:sz="4" w:space="0" w:color="auto"/>
            </w:tcBorders>
          </w:tcPr>
          <w:p w14:paraId="7E155B56" w14:textId="12B28F3D" w:rsidR="004C04C5" w:rsidRPr="00AC5EAB" w:rsidRDefault="004C04C5" w:rsidP="003945A5">
            <w:pPr>
              <w:spacing w:line="276" w:lineRule="auto"/>
              <w:rPr>
                <w:rFonts w:cs="Arial"/>
                <w:color w:val="000000"/>
              </w:rPr>
            </w:pPr>
            <w:r w:rsidRPr="00AC5EAB">
              <w:rPr>
                <w:rFonts w:cs="Arial"/>
              </w:rPr>
              <w:t>DES</w:t>
            </w:r>
            <w:r w:rsidR="00CA0B12">
              <w:rPr>
                <w:rFonts w:cs="Arial"/>
              </w:rPr>
              <w:t xml:space="preserve"> Payment</w:t>
            </w:r>
            <w:r w:rsidRPr="00AC5EAB">
              <w:rPr>
                <w:rFonts w:cs="Arial"/>
              </w:rPr>
              <w:t xml:space="preserve"> Assurance Program (</w:t>
            </w:r>
            <w:r w:rsidR="00CA0B12">
              <w:rPr>
                <w:rFonts w:cs="Arial"/>
              </w:rPr>
              <w:t>P</w:t>
            </w:r>
            <w:r w:rsidRPr="00AC5EAB">
              <w:rPr>
                <w:rFonts w:cs="Arial"/>
              </w:rPr>
              <w:t>AP) results</w:t>
            </w:r>
            <w:r>
              <w:rPr>
                <w:rFonts w:cs="Arial"/>
              </w:rPr>
              <w:t>.</w:t>
            </w:r>
            <w:r w:rsidRPr="00AC5EAB">
              <w:rPr>
                <w:rFonts w:cs="Arial"/>
              </w:rPr>
              <w:br/>
            </w:r>
            <w:r w:rsidRPr="00AC5EAB">
              <w:rPr>
                <w:rFonts w:cs="Arial"/>
                <w:i/>
              </w:rPr>
              <w:t>Results fin</w:t>
            </w:r>
            <w:r w:rsidR="00CA0B12">
              <w:rPr>
                <w:rFonts w:cs="Arial"/>
                <w:i/>
              </w:rPr>
              <w:t>alised within the rating period</w:t>
            </w:r>
            <w:r w:rsidRPr="00AC5EAB">
              <w:rPr>
                <w:rFonts w:cs="Arial"/>
                <w:i/>
              </w:rPr>
              <w:t xml:space="preserve"> are included</w:t>
            </w:r>
          </w:p>
        </w:tc>
        <w:tc>
          <w:tcPr>
            <w:tcW w:w="1000" w:type="pct"/>
          </w:tcPr>
          <w:p w14:paraId="1A212C7A" w14:textId="77777777" w:rsidR="00C31BA6" w:rsidRPr="00C31BA6" w:rsidRDefault="00C31BA6" w:rsidP="00C31BA6">
            <w:pPr>
              <w:pStyle w:val="ListParagraph"/>
              <w:ind w:left="0"/>
              <w:jc w:val="center"/>
              <w:rPr>
                <w:sz w:val="20"/>
                <w:szCs w:val="20"/>
              </w:rPr>
            </w:pPr>
            <w:r w:rsidRPr="00C31BA6">
              <w:t>&gt; 5% of claims recovered or partially recovered</w:t>
            </w:r>
          </w:p>
          <w:p w14:paraId="05B40BE1" w14:textId="77777777" w:rsidR="00C31BA6" w:rsidRPr="00C31BA6" w:rsidRDefault="00C31BA6" w:rsidP="00C31BA6">
            <w:pPr>
              <w:pStyle w:val="ListParagraph"/>
              <w:ind w:left="0"/>
              <w:jc w:val="center"/>
            </w:pPr>
            <w:r w:rsidRPr="00C31BA6">
              <w:t>AND/OR</w:t>
            </w:r>
          </w:p>
          <w:p w14:paraId="5667A0C9" w14:textId="67387C1F" w:rsidR="004C04C5" w:rsidRPr="008E33C7" w:rsidRDefault="00C31BA6" w:rsidP="00C31BA6">
            <w:pPr>
              <w:pStyle w:val="ListParagraph"/>
              <w:ind w:left="0"/>
              <w:contextualSpacing w:val="0"/>
              <w:jc w:val="center"/>
              <w:rPr>
                <w:rFonts w:asciiTheme="minorHAnsi" w:hAnsiTheme="minorHAnsi" w:cstheme="minorHAnsi"/>
              </w:rPr>
            </w:pPr>
            <w:r w:rsidRPr="00C31BA6">
              <w:t>&gt; 15% of claims are Invalid (Breach) or Invalid (Recovery)</w:t>
            </w:r>
          </w:p>
        </w:tc>
        <w:tc>
          <w:tcPr>
            <w:tcW w:w="1000" w:type="pct"/>
          </w:tcPr>
          <w:p w14:paraId="60901BDB" w14:textId="77777777" w:rsidR="004C04C5" w:rsidRPr="008E33C7" w:rsidRDefault="004C04C5" w:rsidP="003945A5">
            <w:pPr>
              <w:spacing w:line="276" w:lineRule="auto"/>
              <w:jc w:val="center"/>
              <w:rPr>
                <w:rFonts w:asciiTheme="minorHAnsi" w:hAnsiTheme="minorHAnsi" w:cstheme="minorHAnsi"/>
              </w:rPr>
            </w:pPr>
            <w:r w:rsidRPr="00AC5EAB">
              <w:rPr>
                <w:rFonts w:cs="Arial"/>
                <w:color w:val="000000"/>
              </w:rPr>
              <w:t>Does not meet definition of Exceeds or Improvement Required</w:t>
            </w:r>
          </w:p>
        </w:tc>
        <w:tc>
          <w:tcPr>
            <w:tcW w:w="1000" w:type="pct"/>
            <w:shd w:val="clear" w:color="auto" w:fill="auto"/>
          </w:tcPr>
          <w:p w14:paraId="13897C6C" w14:textId="77777777" w:rsidR="004C04C5" w:rsidRPr="0039770D" w:rsidRDefault="004C04C5" w:rsidP="003945A5">
            <w:pPr>
              <w:spacing w:line="276" w:lineRule="auto"/>
              <w:jc w:val="center"/>
              <w:rPr>
                <w:rFonts w:asciiTheme="minorHAnsi" w:hAnsiTheme="minorHAnsi" w:cstheme="minorHAnsi"/>
                <w:i/>
                <w:color w:val="000000"/>
              </w:rPr>
            </w:pPr>
            <w:r w:rsidRPr="00B91E51">
              <w:rPr>
                <w:rFonts w:cs="Arial"/>
              </w:rPr>
              <w:t>0% Invalid (includes Breach, Recovery and Partial Recovery)</w:t>
            </w:r>
          </w:p>
        </w:tc>
      </w:tr>
      <w:tr w:rsidR="004C04C5" w:rsidRPr="0039770D" w14:paraId="439FB4E9" w14:textId="77777777" w:rsidTr="006356F9">
        <w:tc>
          <w:tcPr>
            <w:tcW w:w="1000" w:type="pct"/>
            <w:vMerge/>
            <w:tcBorders>
              <w:left w:val="single" w:sz="4" w:space="0" w:color="auto"/>
              <w:right w:val="single" w:sz="4" w:space="0" w:color="auto"/>
            </w:tcBorders>
          </w:tcPr>
          <w:p w14:paraId="30090B1E" w14:textId="77777777" w:rsidR="004C04C5" w:rsidRDefault="004C04C5" w:rsidP="003945A5">
            <w:pPr>
              <w:pStyle w:val="ListParagraph"/>
              <w:ind w:left="312"/>
              <w:contextualSpacing w:val="0"/>
              <w:rPr>
                <w:rFonts w:asciiTheme="minorHAnsi" w:hAnsiTheme="minorHAnsi" w:cstheme="minorHAnsi"/>
                <w:b/>
                <w:bCs/>
                <w:color w:val="000000"/>
              </w:rPr>
            </w:pPr>
          </w:p>
        </w:tc>
        <w:tc>
          <w:tcPr>
            <w:tcW w:w="1000" w:type="pct"/>
            <w:tcBorders>
              <w:left w:val="single" w:sz="4" w:space="0" w:color="auto"/>
            </w:tcBorders>
          </w:tcPr>
          <w:p w14:paraId="65FC3951" w14:textId="77777777" w:rsidR="004C04C5" w:rsidRDefault="004C04C5" w:rsidP="00EC0D34">
            <w:pPr>
              <w:spacing w:before="0" w:after="0" w:line="276" w:lineRule="auto"/>
              <w:rPr>
                <w:rFonts w:cs="Arial"/>
                <w:i/>
                <w:color w:val="000000"/>
              </w:rPr>
            </w:pPr>
            <w:r w:rsidRPr="00D87DC9">
              <w:rPr>
                <w:rFonts w:cs="Arial"/>
                <w:color w:val="000000"/>
              </w:rPr>
              <w:t>Compliance Improvement Plan</w:t>
            </w:r>
            <w:r w:rsidRPr="00D87DC9">
              <w:rPr>
                <w:rFonts w:cs="Arial"/>
                <w:color w:val="000000"/>
              </w:rPr>
              <w:br/>
            </w:r>
          </w:p>
          <w:p w14:paraId="182FB3D7" w14:textId="0EAD9ED5" w:rsidR="004C04C5" w:rsidRPr="00D87DC9" w:rsidRDefault="004C04C5" w:rsidP="00EC0D34">
            <w:pPr>
              <w:spacing w:before="0" w:after="0"/>
              <w:rPr>
                <w:rFonts w:cs="Arial"/>
                <w:color w:val="000000"/>
              </w:rPr>
            </w:pPr>
            <w:r w:rsidRPr="00D87DC9">
              <w:rPr>
                <w:rFonts w:cs="Arial"/>
                <w:i/>
                <w:color w:val="000000"/>
              </w:rPr>
              <w:t xml:space="preserve">Compliance Improvement Plans (CIPs) are strategic plans to improve compliance. Generally, CIPs are completed where a </w:t>
            </w:r>
            <w:r w:rsidRPr="00D87DC9">
              <w:rPr>
                <w:rFonts w:cs="Arial"/>
                <w:i/>
                <w:color w:val="000000"/>
              </w:rPr>
              <w:lastRenderedPageBreak/>
              <w:t>provider has less than an 85</w:t>
            </w:r>
            <w:r>
              <w:rPr>
                <w:rFonts w:cs="Arial"/>
                <w:i/>
                <w:color w:val="000000"/>
              </w:rPr>
              <w:t xml:space="preserve">% </w:t>
            </w:r>
            <w:r w:rsidRPr="00D87DC9">
              <w:rPr>
                <w:rFonts w:cs="Arial"/>
                <w:i/>
                <w:color w:val="000000"/>
              </w:rPr>
              <w:t xml:space="preserve">accuracy over four rolling quarters of the DES </w:t>
            </w:r>
            <w:r w:rsidR="00AA67A1">
              <w:rPr>
                <w:rFonts w:cs="Arial"/>
                <w:i/>
                <w:color w:val="000000"/>
              </w:rPr>
              <w:t>P</w:t>
            </w:r>
            <w:r w:rsidRPr="00D87DC9">
              <w:rPr>
                <w:rFonts w:cs="Arial"/>
                <w:i/>
                <w:color w:val="000000"/>
              </w:rPr>
              <w:t>AP.</w:t>
            </w:r>
          </w:p>
        </w:tc>
        <w:tc>
          <w:tcPr>
            <w:tcW w:w="1000" w:type="pct"/>
          </w:tcPr>
          <w:p w14:paraId="791309A8" w14:textId="77777777" w:rsidR="004C04C5" w:rsidRPr="00D87DC9" w:rsidRDefault="004C04C5">
            <w:pPr>
              <w:pStyle w:val="ListParagraph"/>
              <w:ind w:left="0"/>
              <w:contextualSpacing w:val="0"/>
              <w:jc w:val="center"/>
              <w:rPr>
                <w:rFonts w:cs="Arial"/>
                <w:color w:val="000000"/>
              </w:rPr>
            </w:pPr>
            <w:r w:rsidRPr="00D87DC9">
              <w:rPr>
                <w:rFonts w:cs="Arial"/>
                <w:color w:val="000000"/>
              </w:rPr>
              <w:lastRenderedPageBreak/>
              <w:t>CIP required in the rating period that has:</w:t>
            </w:r>
          </w:p>
          <w:p w14:paraId="6A6667F7" w14:textId="77777777" w:rsidR="004C04C5" w:rsidRPr="00D87DC9" w:rsidRDefault="004C04C5">
            <w:pPr>
              <w:pStyle w:val="ListParagraph"/>
              <w:numPr>
                <w:ilvl w:val="0"/>
                <w:numId w:val="61"/>
              </w:numPr>
              <w:spacing w:before="0"/>
              <w:contextualSpacing w:val="0"/>
              <w:jc w:val="center"/>
              <w:rPr>
                <w:rFonts w:cs="Arial"/>
                <w:color w:val="000000"/>
              </w:rPr>
            </w:pPr>
            <w:r w:rsidRPr="00D87DC9">
              <w:rPr>
                <w:rFonts w:cs="Arial"/>
                <w:color w:val="000000"/>
              </w:rPr>
              <w:t>Not been previously reflected in a quality rating</w:t>
            </w:r>
          </w:p>
          <w:p w14:paraId="75AF6B55" w14:textId="77777777" w:rsidR="004C04C5" w:rsidRPr="00D87DC9" w:rsidRDefault="004C04C5">
            <w:pPr>
              <w:pStyle w:val="ListParagraph"/>
              <w:ind w:left="0"/>
              <w:contextualSpacing w:val="0"/>
              <w:jc w:val="center"/>
              <w:rPr>
                <w:rFonts w:cs="Arial"/>
                <w:color w:val="000000"/>
              </w:rPr>
            </w:pPr>
            <w:r w:rsidRPr="00D87DC9">
              <w:rPr>
                <w:rFonts w:cs="Arial"/>
                <w:color w:val="000000"/>
              </w:rPr>
              <w:lastRenderedPageBreak/>
              <w:t>OR</w:t>
            </w:r>
          </w:p>
          <w:p w14:paraId="65B59EB4" w14:textId="77777777" w:rsidR="004C04C5" w:rsidRPr="00D87DC9" w:rsidRDefault="004C04C5">
            <w:pPr>
              <w:pStyle w:val="ListParagraph"/>
              <w:ind w:left="0"/>
              <w:contextualSpacing w:val="0"/>
              <w:jc w:val="center"/>
              <w:rPr>
                <w:rFonts w:cs="Arial"/>
                <w:color w:val="000000"/>
              </w:rPr>
            </w:pPr>
            <w:r w:rsidRPr="00D87DC9">
              <w:rPr>
                <w:rFonts w:cs="Arial"/>
                <w:color w:val="000000"/>
              </w:rPr>
              <w:t>Is still required at the end of the rating period</w:t>
            </w:r>
          </w:p>
        </w:tc>
        <w:tc>
          <w:tcPr>
            <w:tcW w:w="1000" w:type="pct"/>
          </w:tcPr>
          <w:p w14:paraId="03963EEE" w14:textId="77777777" w:rsidR="004C04C5" w:rsidRDefault="004C04C5">
            <w:pPr>
              <w:jc w:val="center"/>
              <w:rPr>
                <w:rFonts w:asciiTheme="minorHAnsi" w:hAnsiTheme="minorHAnsi" w:cstheme="minorHAnsi"/>
              </w:rPr>
            </w:pPr>
            <w:r>
              <w:rPr>
                <w:rFonts w:asciiTheme="minorHAnsi" w:hAnsiTheme="minorHAnsi" w:cstheme="minorHAnsi"/>
              </w:rPr>
              <w:lastRenderedPageBreak/>
              <w:t>No CIP required during rating period</w:t>
            </w:r>
          </w:p>
          <w:p w14:paraId="35F8D447" w14:textId="77777777" w:rsidR="004C04C5" w:rsidRDefault="004C04C5">
            <w:pPr>
              <w:jc w:val="center"/>
              <w:rPr>
                <w:rFonts w:asciiTheme="minorHAnsi" w:hAnsiTheme="minorHAnsi" w:cstheme="minorHAnsi"/>
              </w:rPr>
            </w:pPr>
            <w:r>
              <w:rPr>
                <w:rFonts w:asciiTheme="minorHAnsi" w:hAnsiTheme="minorHAnsi" w:cstheme="minorHAnsi"/>
              </w:rPr>
              <w:t>OR</w:t>
            </w:r>
          </w:p>
          <w:p w14:paraId="46A9E8C2" w14:textId="77777777" w:rsidR="004C04C5" w:rsidRDefault="004C04C5">
            <w:pPr>
              <w:jc w:val="center"/>
              <w:rPr>
                <w:rFonts w:asciiTheme="minorHAnsi" w:hAnsiTheme="minorHAnsi" w:cstheme="minorHAnsi"/>
              </w:rPr>
            </w:pPr>
            <w:r>
              <w:rPr>
                <w:rFonts w:asciiTheme="minorHAnsi" w:hAnsiTheme="minorHAnsi" w:cstheme="minorHAnsi"/>
              </w:rPr>
              <w:lastRenderedPageBreak/>
              <w:t xml:space="preserve">CIP required during the rating period that has previously been reflected in a quality rating </w:t>
            </w:r>
          </w:p>
          <w:p w14:paraId="45BAD7AC" w14:textId="77777777" w:rsidR="004C04C5" w:rsidRDefault="004C04C5" w:rsidP="004C04C5">
            <w:pPr>
              <w:jc w:val="center"/>
              <w:rPr>
                <w:rFonts w:asciiTheme="minorHAnsi" w:hAnsiTheme="minorHAnsi" w:cstheme="minorHAnsi"/>
              </w:rPr>
            </w:pPr>
            <w:r>
              <w:rPr>
                <w:rFonts w:asciiTheme="minorHAnsi" w:hAnsiTheme="minorHAnsi" w:cstheme="minorHAnsi"/>
              </w:rPr>
              <w:t>AND</w:t>
            </w:r>
          </w:p>
          <w:p w14:paraId="25F47AE4" w14:textId="0D9C717F" w:rsidR="004C04C5" w:rsidRDefault="004C04C5" w:rsidP="004C04C5">
            <w:pPr>
              <w:jc w:val="center"/>
              <w:rPr>
                <w:rFonts w:asciiTheme="minorHAnsi" w:hAnsiTheme="minorHAnsi" w:cstheme="minorHAnsi"/>
              </w:rPr>
            </w:pPr>
            <w:r>
              <w:rPr>
                <w:rFonts w:asciiTheme="minorHAnsi" w:hAnsiTheme="minorHAnsi" w:cstheme="minorHAnsi"/>
              </w:rPr>
              <w:t xml:space="preserve"> is not required at the end of the rating period</w:t>
            </w:r>
          </w:p>
        </w:tc>
        <w:tc>
          <w:tcPr>
            <w:tcW w:w="1000" w:type="pct"/>
            <w:shd w:val="clear" w:color="auto" w:fill="F2F2F2" w:themeFill="background1" w:themeFillShade="F2"/>
          </w:tcPr>
          <w:p w14:paraId="2F1B412A" w14:textId="77777777" w:rsidR="004C04C5" w:rsidRDefault="004C04C5">
            <w:pPr>
              <w:jc w:val="center"/>
              <w:rPr>
                <w:rFonts w:asciiTheme="minorHAnsi" w:hAnsiTheme="minorHAnsi" w:cstheme="minorHAnsi"/>
                <w:i/>
                <w:color w:val="000000"/>
              </w:rPr>
            </w:pPr>
            <w:r>
              <w:rPr>
                <w:rFonts w:asciiTheme="minorHAnsi" w:hAnsiTheme="minorHAnsi" w:cstheme="minorHAnsi"/>
                <w:i/>
                <w:color w:val="000000"/>
              </w:rPr>
              <w:lastRenderedPageBreak/>
              <w:t>Not applicable</w:t>
            </w:r>
          </w:p>
        </w:tc>
      </w:tr>
      <w:tr w:rsidR="004C04C5" w:rsidRPr="0039770D" w14:paraId="37E65B21" w14:textId="77777777" w:rsidTr="00EC0D34">
        <w:tc>
          <w:tcPr>
            <w:tcW w:w="1000" w:type="pct"/>
            <w:vMerge/>
            <w:tcBorders>
              <w:left w:val="single" w:sz="4" w:space="0" w:color="auto"/>
              <w:right w:val="single" w:sz="4" w:space="0" w:color="auto"/>
            </w:tcBorders>
          </w:tcPr>
          <w:p w14:paraId="60EC2183" w14:textId="77777777" w:rsidR="004C04C5" w:rsidRDefault="004C04C5" w:rsidP="003945A5">
            <w:pPr>
              <w:pStyle w:val="ListParagraph"/>
              <w:ind w:left="312"/>
              <w:contextualSpacing w:val="0"/>
              <w:rPr>
                <w:rFonts w:asciiTheme="minorHAnsi" w:hAnsiTheme="minorHAnsi" w:cstheme="minorHAnsi"/>
                <w:b/>
                <w:bCs/>
                <w:color w:val="000000"/>
              </w:rPr>
            </w:pPr>
          </w:p>
        </w:tc>
        <w:tc>
          <w:tcPr>
            <w:tcW w:w="1000" w:type="pct"/>
            <w:tcBorders>
              <w:left w:val="single" w:sz="4" w:space="0" w:color="auto"/>
            </w:tcBorders>
          </w:tcPr>
          <w:p w14:paraId="5DCE9ABF" w14:textId="6F406726" w:rsidR="004C04C5" w:rsidRDefault="004C04C5" w:rsidP="00EC0D34">
            <w:pPr>
              <w:spacing w:before="0" w:after="0"/>
              <w:rPr>
                <w:rFonts w:cs="Arial"/>
                <w:color w:val="000000"/>
              </w:rPr>
            </w:pPr>
            <w:r w:rsidRPr="00C200BD">
              <w:rPr>
                <w:rFonts w:cs="Arial"/>
                <w:color w:val="000000"/>
              </w:rPr>
              <w:t>Breach of DES Grant Agreement</w:t>
            </w:r>
          </w:p>
          <w:p w14:paraId="14C21870" w14:textId="77777777" w:rsidR="004C04C5" w:rsidRPr="00C200BD" w:rsidRDefault="004C04C5" w:rsidP="00EC0D34">
            <w:pPr>
              <w:spacing w:before="0" w:after="0"/>
              <w:rPr>
                <w:rFonts w:cs="Arial"/>
                <w:color w:val="000000"/>
              </w:rPr>
            </w:pPr>
          </w:p>
          <w:p w14:paraId="5A136A66" w14:textId="4102A8BD" w:rsidR="004C04C5" w:rsidRDefault="004C04C5" w:rsidP="00EC0D34">
            <w:pPr>
              <w:spacing w:before="0" w:after="0"/>
              <w:rPr>
                <w:rFonts w:cs="Arial"/>
                <w:i/>
                <w:color w:val="000000"/>
              </w:rPr>
            </w:pPr>
            <w:r w:rsidRPr="00C200BD">
              <w:rPr>
                <w:rFonts w:cs="Arial"/>
                <w:i/>
                <w:color w:val="000000"/>
              </w:rPr>
              <w:t xml:space="preserve">The department will consider breaches of the Grant Agreement that have a significant impact on participants or the delivery or reputation </w:t>
            </w:r>
            <w:r>
              <w:rPr>
                <w:rFonts w:cs="Arial"/>
                <w:i/>
                <w:color w:val="000000"/>
              </w:rPr>
              <w:t xml:space="preserve">of the </w:t>
            </w:r>
            <w:r w:rsidRPr="00C200BD">
              <w:rPr>
                <w:rFonts w:cs="Arial"/>
                <w:i/>
                <w:color w:val="000000"/>
              </w:rPr>
              <w:t>DES program in assessing this indicator.</w:t>
            </w:r>
          </w:p>
          <w:p w14:paraId="1E102E48" w14:textId="77777777" w:rsidR="004C04C5" w:rsidRPr="00C200BD" w:rsidRDefault="004C04C5" w:rsidP="00EC0D34">
            <w:pPr>
              <w:spacing w:before="0" w:after="0"/>
              <w:rPr>
                <w:rFonts w:cs="Arial"/>
                <w:i/>
                <w:color w:val="000000"/>
              </w:rPr>
            </w:pPr>
          </w:p>
          <w:p w14:paraId="35E5C32A" w14:textId="77777777" w:rsidR="004C04C5" w:rsidRPr="00AC5EAB" w:rsidRDefault="004C04C5" w:rsidP="00EC0D34">
            <w:pPr>
              <w:spacing w:before="0" w:after="0" w:line="276" w:lineRule="auto"/>
              <w:rPr>
                <w:rFonts w:cs="Arial"/>
                <w:color w:val="000000"/>
              </w:rPr>
            </w:pPr>
            <w:r w:rsidRPr="00C200BD">
              <w:rPr>
                <w:rFonts w:cs="Arial"/>
                <w:i/>
                <w:color w:val="000000"/>
              </w:rPr>
              <w:t>When Breach Notice is issued, the notice will confirm (where relevant) if the breach will affect the quality rating assessment.</w:t>
            </w:r>
          </w:p>
        </w:tc>
        <w:tc>
          <w:tcPr>
            <w:tcW w:w="1000" w:type="pct"/>
          </w:tcPr>
          <w:p w14:paraId="4A7D029E" w14:textId="2BDEC9AA" w:rsidR="004C04C5" w:rsidRPr="00C200BD" w:rsidRDefault="004C04C5">
            <w:pPr>
              <w:jc w:val="center"/>
              <w:rPr>
                <w:rFonts w:cs="Arial"/>
              </w:rPr>
            </w:pPr>
            <w:r w:rsidRPr="00C200BD">
              <w:rPr>
                <w:rFonts w:cs="Arial"/>
              </w:rPr>
              <w:t xml:space="preserve">Breach issued </w:t>
            </w:r>
            <w:r>
              <w:rPr>
                <w:rFonts w:cs="Arial"/>
              </w:rPr>
              <w:t xml:space="preserve">during </w:t>
            </w:r>
            <w:r w:rsidRPr="00C200BD">
              <w:rPr>
                <w:rFonts w:cs="Arial"/>
              </w:rPr>
              <w:t>rating period AND provider advised it will impact the quality rating, that has:</w:t>
            </w:r>
          </w:p>
          <w:p w14:paraId="38DA3181" w14:textId="77777777" w:rsidR="004C04C5" w:rsidRPr="00C200BD" w:rsidRDefault="004C04C5">
            <w:pPr>
              <w:jc w:val="center"/>
              <w:rPr>
                <w:rFonts w:cs="Arial"/>
              </w:rPr>
            </w:pPr>
            <w:r w:rsidRPr="00C200BD">
              <w:rPr>
                <w:rFonts w:cs="Arial"/>
              </w:rPr>
              <w:t>Not been previously reflected in a quality rating</w:t>
            </w:r>
          </w:p>
          <w:p w14:paraId="25A9EDFE" w14:textId="77777777" w:rsidR="004C04C5" w:rsidRPr="00C200BD" w:rsidRDefault="004C04C5">
            <w:pPr>
              <w:jc w:val="center"/>
              <w:rPr>
                <w:rFonts w:cs="Arial"/>
              </w:rPr>
            </w:pPr>
            <w:r w:rsidRPr="00C200BD">
              <w:rPr>
                <w:rFonts w:cs="Arial"/>
              </w:rPr>
              <w:t>OR</w:t>
            </w:r>
          </w:p>
          <w:p w14:paraId="031BF1BC" w14:textId="77777777" w:rsidR="004C04C5" w:rsidRPr="00FF0365" w:rsidRDefault="004C04C5">
            <w:pPr>
              <w:jc w:val="center"/>
              <w:rPr>
                <w:rFonts w:asciiTheme="minorHAnsi" w:hAnsiTheme="minorHAnsi" w:cstheme="minorHAnsi"/>
              </w:rPr>
            </w:pPr>
            <w:r w:rsidRPr="00FF0365">
              <w:rPr>
                <w:rFonts w:cs="Arial"/>
              </w:rPr>
              <w:t>Breach resulted in remedies exercised under Clause 59 of the Grant Agreement that are still required at the end of the rating period</w:t>
            </w:r>
          </w:p>
        </w:tc>
        <w:tc>
          <w:tcPr>
            <w:tcW w:w="1000" w:type="pct"/>
          </w:tcPr>
          <w:p w14:paraId="62155F35" w14:textId="77777777" w:rsidR="004C04C5" w:rsidRPr="008E33C7" w:rsidRDefault="004C04C5">
            <w:pPr>
              <w:jc w:val="center"/>
              <w:rPr>
                <w:rFonts w:asciiTheme="minorHAnsi" w:hAnsiTheme="minorHAnsi" w:cstheme="minorHAnsi"/>
              </w:rPr>
            </w:pPr>
            <w:r w:rsidRPr="00C200BD">
              <w:rPr>
                <w:rFonts w:cs="Arial"/>
                <w:color w:val="000000"/>
              </w:rPr>
              <w:t>Does not meet definition of Improvement Required</w:t>
            </w:r>
          </w:p>
        </w:tc>
        <w:tc>
          <w:tcPr>
            <w:tcW w:w="1000" w:type="pct"/>
            <w:shd w:val="clear" w:color="auto" w:fill="F2F2F2" w:themeFill="background1" w:themeFillShade="F2"/>
          </w:tcPr>
          <w:p w14:paraId="68F27102" w14:textId="77777777" w:rsidR="004C04C5" w:rsidRPr="0039770D" w:rsidRDefault="004C04C5">
            <w:pPr>
              <w:jc w:val="center"/>
              <w:rPr>
                <w:rFonts w:asciiTheme="minorHAnsi" w:hAnsiTheme="minorHAnsi" w:cstheme="minorHAnsi"/>
                <w:i/>
                <w:color w:val="000000"/>
              </w:rPr>
            </w:pPr>
            <w:r>
              <w:rPr>
                <w:rFonts w:asciiTheme="minorHAnsi" w:hAnsiTheme="minorHAnsi" w:cstheme="minorHAnsi"/>
                <w:i/>
                <w:color w:val="000000"/>
              </w:rPr>
              <w:t>Not applicable</w:t>
            </w:r>
          </w:p>
        </w:tc>
      </w:tr>
      <w:tr w:rsidR="004C04C5" w:rsidRPr="0039770D" w14:paraId="5C5532F5" w14:textId="77777777" w:rsidTr="00EC0D34">
        <w:tc>
          <w:tcPr>
            <w:tcW w:w="1000" w:type="pct"/>
            <w:vMerge/>
            <w:tcBorders>
              <w:left w:val="single" w:sz="4" w:space="0" w:color="auto"/>
              <w:right w:val="single" w:sz="4" w:space="0" w:color="auto"/>
            </w:tcBorders>
          </w:tcPr>
          <w:p w14:paraId="1B42CF11" w14:textId="77777777" w:rsidR="004C04C5" w:rsidRDefault="004C04C5" w:rsidP="003945A5">
            <w:pPr>
              <w:pStyle w:val="ListParagraph"/>
              <w:ind w:left="312"/>
              <w:contextualSpacing w:val="0"/>
              <w:rPr>
                <w:rFonts w:asciiTheme="minorHAnsi" w:hAnsiTheme="minorHAnsi" w:cstheme="minorHAnsi"/>
                <w:b/>
                <w:bCs/>
                <w:color w:val="000000"/>
              </w:rPr>
            </w:pPr>
          </w:p>
        </w:tc>
        <w:tc>
          <w:tcPr>
            <w:tcW w:w="1000" w:type="pct"/>
            <w:tcBorders>
              <w:left w:val="single" w:sz="4" w:space="0" w:color="auto"/>
            </w:tcBorders>
          </w:tcPr>
          <w:p w14:paraId="6D0E7CFD" w14:textId="77777777" w:rsidR="004C04C5" w:rsidRPr="00AC5EAB" w:rsidRDefault="004C04C5" w:rsidP="00EC0D34">
            <w:pPr>
              <w:spacing w:before="0" w:after="0" w:line="276" w:lineRule="auto"/>
              <w:rPr>
                <w:rFonts w:cs="Arial"/>
                <w:color w:val="000000"/>
              </w:rPr>
            </w:pPr>
            <w:r w:rsidRPr="00C200BD">
              <w:rPr>
                <w:rFonts w:cs="Arial"/>
                <w:color w:val="000000"/>
              </w:rPr>
              <w:t>Incident Reporting and Management</w:t>
            </w:r>
            <w:r w:rsidRPr="00C200BD">
              <w:rPr>
                <w:rFonts w:cs="Arial"/>
                <w:color w:val="000000"/>
              </w:rPr>
              <w:br/>
            </w:r>
            <w:r w:rsidRPr="00C200BD">
              <w:rPr>
                <w:rFonts w:cs="Arial"/>
                <w:color w:val="000000"/>
              </w:rPr>
              <w:br/>
            </w:r>
            <w:r w:rsidRPr="00C200BD">
              <w:rPr>
                <w:rFonts w:cs="Arial"/>
                <w:i/>
                <w:color w:val="000000"/>
              </w:rPr>
              <w:t>Incidents must be reported to the department as per the Grant Agreement and related guidelines, fact sheets and forms. Incidents should be effectively managed with staff and participant well-being a primary consideration. Relevant follow up actions should be completed in a timely manner and improvements/preventative measures implemented and monitored as appropriate.</w:t>
            </w:r>
          </w:p>
        </w:tc>
        <w:tc>
          <w:tcPr>
            <w:tcW w:w="1000" w:type="pct"/>
          </w:tcPr>
          <w:p w14:paraId="5FDDF07E" w14:textId="77777777" w:rsidR="004C04C5" w:rsidRPr="008E33C7" w:rsidRDefault="004C04C5">
            <w:pPr>
              <w:jc w:val="center"/>
              <w:rPr>
                <w:rFonts w:asciiTheme="minorHAnsi" w:hAnsiTheme="minorHAnsi" w:cstheme="minorHAnsi"/>
              </w:rPr>
            </w:pPr>
            <w:r w:rsidRPr="00C200BD">
              <w:rPr>
                <w:rFonts w:cs="Arial"/>
              </w:rPr>
              <w:t>Staff have limited skills/capabilities to manage incidents; Ad hoc follow up actions; Incidents are not reported as per requirements</w:t>
            </w:r>
          </w:p>
        </w:tc>
        <w:tc>
          <w:tcPr>
            <w:tcW w:w="1000" w:type="pct"/>
          </w:tcPr>
          <w:p w14:paraId="605FF1E8" w14:textId="5B96AB3C" w:rsidR="004C04C5" w:rsidRPr="008E33C7" w:rsidRDefault="004C04C5">
            <w:pPr>
              <w:jc w:val="center"/>
              <w:rPr>
                <w:rFonts w:asciiTheme="minorHAnsi" w:hAnsiTheme="minorHAnsi" w:cstheme="minorHAnsi"/>
              </w:rPr>
            </w:pPr>
            <w:r w:rsidRPr="00C200BD">
              <w:rPr>
                <w:rFonts w:cs="Arial"/>
              </w:rPr>
              <w:t>Staff have the skills/capabilities to manage incidents; Timely fo</w:t>
            </w:r>
            <w:r w:rsidR="00FD2787">
              <w:rPr>
                <w:rFonts w:cs="Arial"/>
              </w:rPr>
              <w:t xml:space="preserve">llow up actions are completed; </w:t>
            </w:r>
            <w:r w:rsidRPr="00C200BD">
              <w:rPr>
                <w:rFonts w:cs="Arial"/>
              </w:rPr>
              <w:t>Incidents are reported as per requirements</w:t>
            </w:r>
          </w:p>
        </w:tc>
        <w:tc>
          <w:tcPr>
            <w:tcW w:w="1000" w:type="pct"/>
            <w:shd w:val="clear" w:color="auto" w:fill="auto"/>
          </w:tcPr>
          <w:p w14:paraId="5BD02CD8" w14:textId="1B54AF62" w:rsidR="004C04C5" w:rsidRPr="0039770D" w:rsidRDefault="004C04C5" w:rsidP="00FD2787">
            <w:pPr>
              <w:jc w:val="center"/>
              <w:rPr>
                <w:rFonts w:asciiTheme="minorHAnsi" w:hAnsiTheme="minorHAnsi" w:cstheme="minorHAnsi"/>
                <w:i/>
                <w:color w:val="000000"/>
              </w:rPr>
            </w:pPr>
            <w:r w:rsidRPr="00C200BD">
              <w:rPr>
                <w:rFonts w:cs="Arial"/>
              </w:rPr>
              <w:t>As per Meets PLUS: Proactive incident management; Feedback</w:t>
            </w:r>
            <w:r w:rsidR="00FD2787">
              <w:rPr>
                <w:rFonts w:cs="Arial"/>
              </w:rPr>
              <w:t xml:space="preserve"> informs service improvements; S</w:t>
            </w:r>
            <w:r w:rsidRPr="00C200BD">
              <w:rPr>
                <w:rFonts w:cs="Arial"/>
              </w:rPr>
              <w:t>ystematic monitoring of preventative measures to ensure continued effectiveness</w:t>
            </w:r>
          </w:p>
        </w:tc>
      </w:tr>
      <w:tr w:rsidR="004C04C5" w:rsidRPr="0039770D" w14:paraId="6DB5099D" w14:textId="77777777" w:rsidTr="00EC0D34">
        <w:tc>
          <w:tcPr>
            <w:tcW w:w="1000" w:type="pct"/>
            <w:vMerge/>
            <w:tcBorders>
              <w:left w:val="single" w:sz="4" w:space="0" w:color="auto"/>
              <w:bottom w:val="single" w:sz="4" w:space="0" w:color="auto"/>
              <w:right w:val="single" w:sz="4" w:space="0" w:color="auto"/>
            </w:tcBorders>
          </w:tcPr>
          <w:p w14:paraId="4B90CEB3" w14:textId="77777777" w:rsidR="004C04C5" w:rsidRDefault="004C04C5" w:rsidP="003945A5">
            <w:pPr>
              <w:pStyle w:val="ListParagraph"/>
              <w:ind w:left="312"/>
              <w:contextualSpacing w:val="0"/>
              <w:rPr>
                <w:rFonts w:asciiTheme="minorHAnsi" w:hAnsiTheme="minorHAnsi" w:cstheme="minorHAnsi"/>
                <w:b/>
                <w:bCs/>
                <w:color w:val="000000"/>
              </w:rPr>
            </w:pPr>
          </w:p>
        </w:tc>
        <w:tc>
          <w:tcPr>
            <w:tcW w:w="1000" w:type="pct"/>
            <w:tcBorders>
              <w:left w:val="single" w:sz="4" w:space="0" w:color="auto"/>
            </w:tcBorders>
          </w:tcPr>
          <w:p w14:paraId="0D567FDF" w14:textId="5DEA59D4" w:rsidR="004C04C5" w:rsidRDefault="004C04C5" w:rsidP="00EC0D34">
            <w:pPr>
              <w:spacing w:before="0" w:after="0"/>
              <w:rPr>
                <w:rFonts w:cs="Arial"/>
                <w:color w:val="000000"/>
              </w:rPr>
            </w:pPr>
            <w:r w:rsidRPr="007877EB">
              <w:rPr>
                <w:rFonts w:cs="Arial"/>
                <w:color w:val="000000"/>
              </w:rPr>
              <w:t>Complaints Management</w:t>
            </w:r>
          </w:p>
          <w:p w14:paraId="02850EC3" w14:textId="77777777" w:rsidR="00FD2787" w:rsidRDefault="00FD2787" w:rsidP="00EC0D34">
            <w:pPr>
              <w:spacing w:before="0" w:after="0"/>
              <w:rPr>
                <w:rFonts w:cs="Arial"/>
                <w:color w:val="000000"/>
              </w:rPr>
            </w:pPr>
          </w:p>
          <w:p w14:paraId="38677947" w14:textId="2FE6276C" w:rsidR="004C04C5" w:rsidRDefault="004C04C5" w:rsidP="00EC0D34">
            <w:pPr>
              <w:spacing w:before="0" w:after="0"/>
              <w:rPr>
                <w:rFonts w:cs="Arial"/>
                <w:i/>
                <w:color w:val="000000"/>
              </w:rPr>
            </w:pPr>
            <w:r w:rsidRPr="007877EB">
              <w:rPr>
                <w:rFonts w:cs="Arial"/>
                <w:i/>
                <w:color w:val="000000"/>
              </w:rPr>
              <w:t>Proactive monitoring and response to complaints. Relevant follow-up and improvement actions are completed.</w:t>
            </w:r>
          </w:p>
          <w:p w14:paraId="6C00A78D" w14:textId="50611B77" w:rsidR="004C04C5" w:rsidRPr="00AC5EAB" w:rsidRDefault="004C04C5" w:rsidP="00EC0D34">
            <w:pPr>
              <w:spacing w:before="0" w:after="0"/>
              <w:rPr>
                <w:rFonts w:cs="Arial"/>
                <w:color w:val="000000"/>
              </w:rPr>
            </w:pPr>
            <w:r w:rsidRPr="007877EB">
              <w:rPr>
                <w:rFonts w:cs="Arial"/>
                <w:i/>
              </w:rPr>
              <w:t>In scope: Complaints identified by, submitted or escalated to the department.</w:t>
            </w:r>
          </w:p>
        </w:tc>
        <w:tc>
          <w:tcPr>
            <w:tcW w:w="1000" w:type="pct"/>
          </w:tcPr>
          <w:p w14:paraId="7028B1D3" w14:textId="77777777" w:rsidR="004C04C5" w:rsidRPr="008E33C7" w:rsidRDefault="004C04C5">
            <w:pPr>
              <w:spacing w:line="276" w:lineRule="auto"/>
              <w:jc w:val="center"/>
              <w:rPr>
                <w:rFonts w:asciiTheme="minorHAnsi" w:hAnsiTheme="minorHAnsi" w:cstheme="minorHAnsi"/>
              </w:rPr>
            </w:pPr>
            <w:r w:rsidRPr="007877EB">
              <w:rPr>
                <w:rFonts w:cs="Arial"/>
              </w:rPr>
              <w:t>Staff have limited skills/capabilities to manage complaints; Ad hoc follow up actions; Response to department regarding complaints are not provided as per requirements</w:t>
            </w:r>
          </w:p>
        </w:tc>
        <w:tc>
          <w:tcPr>
            <w:tcW w:w="1000" w:type="pct"/>
          </w:tcPr>
          <w:p w14:paraId="643AD12E" w14:textId="77777777" w:rsidR="004C04C5" w:rsidRPr="008E33C7" w:rsidRDefault="004C04C5">
            <w:pPr>
              <w:spacing w:line="276" w:lineRule="auto"/>
              <w:jc w:val="center"/>
              <w:rPr>
                <w:rFonts w:asciiTheme="minorHAnsi" w:hAnsiTheme="minorHAnsi" w:cstheme="minorHAnsi"/>
              </w:rPr>
            </w:pPr>
            <w:r w:rsidRPr="00D14297">
              <w:rPr>
                <w:rFonts w:cs="Arial"/>
              </w:rPr>
              <w:t>Staff have the skills/capabilities to manage complaints; Timely follow up actions are completed; Response to department regarding complaints as per requirements</w:t>
            </w:r>
          </w:p>
        </w:tc>
        <w:tc>
          <w:tcPr>
            <w:tcW w:w="1000" w:type="pct"/>
            <w:shd w:val="clear" w:color="auto" w:fill="auto"/>
          </w:tcPr>
          <w:p w14:paraId="3F77B059" w14:textId="2B21405E" w:rsidR="004C04C5" w:rsidRPr="0039770D" w:rsidRDefault="004C04C5" w:rsidP="00FD2787">
            <w:pPr>
              <w:spacing w:line="276" w:lineRule="auto"/>
              <w:jc w:val="center"/>
              <w:rPr>
                <w:rFonts w:asciiTheme="minorHAnsi" w:hAnsiTheme="minorHAnsi" w:cstheme="minorHAnsi"/>
                <w:i/>
                <w:color w:val="000000"/>
              </w:rPr>
            </w:pPr>
            <w:r w:rsidRPr="00D14297">
              <w:rPr>
                <w:rFonts w:cs="Arial"/>
              </w:rPr>
              <w:t>As per Meets PLUS: Proactive complaint management; Feedback informs service improvements; Systematic monitoring of improvement measures to ensure continued effectiveness</w:t>
            </w:r>
          </w:p>
        </w:tc>
      </w:tr>
      <w:tr w:rsidR="00515E12" w:rsidRPr="008E33C7" w14:paraId="67B715CF" w14:textId="77777777" w:rsidTr="00EC0D34">
        <w:tc>
          <w:tcPr>
            <w:tcW w:w="2000" w:type="pct"/>
            <w:gridSpan w:val="2"/>
            <w:shd w:val="clear" w:color="auto" w:fill="4BACC6" w:themeFill="accent5"/>
          </w:tcPr>
          <w:p w14:paraId="553ED095" w14:textId="77777777" w:rsidR="00515E12" w:rsidRPr="00D14297" w:rsidRDefault="00515E12">
            <w:pPr>
              <w:spacing w:line="360" w:lineRule="auto"/>
              <w:jc w:val="center"/>
              <w:rPr>
                <w:rFonts w:asciiTheme="minorHAnsi" w:hAnsiTheme="minorHAnsi" w:cstheme="minorHAnsi"/>
                <w:b/>
                <w:sz w:val="24"/>
              </w:rPr>
            </w:pPr>
            <w:r w:rsidRPr="00D14297">
              <w:rPr>
                <w:rFonts w:asciiTheme="minorHAnsi" w:hAnsiTheme="minorHAnsi" w:cstheme="minorHAnsi"/>
                <w:b/>
                <w:bCs/>
                <w:color w:val="000000"/>
                <w:sz w:val="24"/>
              </w:rPr>
              <w:t>Element 4</w:t>
            </w:r>
            <w:r>
              <w:rPr>
                <w:rFonts w:asciiTheme="minorHAnsi" w:hAnsiTheme="minorHAnsi" w:cstheme="minorHAnsi"/>
                <w:b/>
                <w:bCs/>
                <w:color w:val="000000"/>
                <w:sz w:val="24"/>
              </w:rPr>
              <w:t xml:space="preserve">: </w:t>
            </w:r>
            <w:r w:rsidRPr="00D14297">
              <w:rPr>
                <w:rFonts w:asciiTheme="minorHAnsi" w:hAnsiTheme="minorHAnsi" w:cstheme="minorHAnsi"/>
                <w:b/>
                <w:bCs/>
                <w:color w:val="000000"/>
                <w:sz w:val="24"/>
              </w:rPr>
              <w:t xml:space="preserve"> Compliance Rating</w:t>
            </w:r>
          </w:p>
        </w:tc>
        <w:tc>
          <w:tcPr>
            <w:tcW w:w="1000" w:type="pct"/>
            <w:shd w:val="clear" w:color="auto" w:fill="4BACC6" w:themeFill="accent5"/>
          </w:tcPr>
          <w:p w14:paraId="65D4CA67" w14:textId="77777777" w:rsidR="00515E12" w:rsidRPr="00D14297" w:rsidRDefault="00515E12">
            <w:pPr>
              <w:jc w:val="center"/>
              <w:rPr>
                <w:rFonts w:cs="Arial"/>
                <w:color w:val="000000"/>
              </w:rPr>
            </w:pPr>
            <w:r w:rsidRPr="00D14297">
              <w:rPr>
                <w:rFonts w:cs="Arial"/>
                <w:color w:val="000000"/>
              </w:rPr>
              <w:t>NSDS Standard, CIP or Breach indicators</w:t>
            </w:r>
            <w:r w:rsidRPr="00D14297">
              <w:rPr>
                <w:rFonts w:cs="Arial"/>
                <w:color w:val="000000"/>
              </w:rPr>
              <w:br/>
              <w:t>rated as Improvement Required;</w:t>
            </w:r>
          </w:p>
          <w:p w14:paraId="2F65CF4D" w14:textId="77777777" w:rsidR="00515E12" w:rsidRPr="00D14297" w:rsidRDefault="00515E12">
            <w:pPr>
              <w:jc w:val="center"/>
              <w:rPr>
                <w:rFonts w:cs="Arial"/>
                <w:color w:val="000000"/>
              </w:rPr>
            </w:pPr>
            <w:r w:rsidRPr="00D14297">
              <w:rPr>
                <w:rFonts w:cs="Arial"/>
                <w:color w:val="000000"/>
              </w:rPr>
              <w:t>OR</w:t>
            </w:r>
          </w:p>
          <w:p w14:paraId="6FCE7671" w14:textId="18D78EF7" w:rsidR="00515E12" w:rsidRPr="008E33C7" w:rsidRDefault="00515E12">
            <w:pPr>
              <w:jc w:val="center"/>
              <w:rPr>
                <w:rFonts w:asciiTheme="minorHAnsi" w:hAnsiTheme="minorHAnsi" w:cstheme="minorHAnsi"/>
              </w:rPr>
            </w:pPr>
            <w:r w:rsidRPr="00D14297">
              <w:rPr>
                <w:rFonts w:cs="Arial"/>
                <w:color w:val="000000"/>
              </w:rPr>
              <w:t xml:space="preserve">Other indicators (DES </w:t>
            </w:r>
            <w:r w:rsidR="00AA67A1">
              <w:rPr>
                <w:rFonts w:cs="Arial"/>
                <w:color w:val="000000"/>
              </w:rPr>
              <w:t>P</w:t>
            </w:r>
            <w:r w:rsidRPr="00D14297">
              <w:rPr>
                <w:rFonts w:cs="Arial"/>
                <w:color w:val="000000"/>
              </w:rPr>
              <w:t>AP, Complaints M</w:t>
            </w:r>
            <w:r>
              <w:rPr>
                <w:rFonts w:cs="Arial"/>
                <w:color w:val="000000"/>
              </w:rPr>
              <w:t>anagement</w:t>
            </w:r>
            <w:r w:rsidRPr="00D14297">
              <w:rPr>
                <w:rFonts w:cs="Arial"/>
                <w:color w:val="000000"/>
              </w:rPr>
              <w:t xml:space="preserve"> and Incident Reporting and M</w:t>
            </w:r>
            <w:r>
              <w:rPr>
                <w:rFonts w:cs="Arial"/>
                <w:color w:val="000000"/>
              </w:rPr>
              <w:t>anagement</w:t>
            </w:r>
            <w:r w:rsidRPr="00D14297">
              <w:rPr>
                <w:rFonts w:cs="Arial"/>
                <w:color w:val="000000"/>
              </w:rPr>
              <w:t xml:space="preserve">): </w:t>
            </w:r>
            <w:r w:rsidRPr="00D14297">
              <w:rPr>
                <w:rFonts w:cs="Arial"/>
                <w:color w:val="000000"/>
              </w:rPr>
              <w:br/>
              <w:t>Two or more at Improvement Required</w:t>
            </w:r>
          </w:p>
        </w:tc>
        <w:tc>
          <w:tcPr>
            <w:tcW w:w="1000" w:type="pct"/>
            <w:shd w:val="clear" w:color="auto" w:fill="4BACC6" w:themeFill="accent5"/>
          </w:tcPr>
          <w:p w14:paraId="5EA2B31A" w14:textId="77777777" w:rsidR="00515E12" w:rsidRPr="008E33C7" w:rsidRDefault="00515E12">
            <w:pPr>
              <w:jc w:val="center"/>
              <w:rPr>
                <w:rFonts w:asciiTheme="minorHAnsi" w:hAnsiTheme="minorHAnsi" w:cstheme="minorHAnsi"/>
              </w:rPr>
            </w:pPr>
            <w:r w:rsidRPr="00D14297">
              <w:rPr>
                <w:rFonts w:cs="Arial"/>
                <w:color w:val="000000"/>
              </w:rPr>
              <w:t>Does not meet definition of Improvement Required or Exceeds</w:t>
            </w:r>
          </w:p>
        </w:tc>
        <w:tc>
          <w:tcPr>
            <w:tcW w:w="1000" w:type="pct"/>
            <w:shd w:val="clear" w:color="auto" w:fill="4BACC6" w:themeFill="accent5"/>
          </w:tcPr>
          <w:p w14:paraId="22BDD592" w14:textId="31A5285A" w:rsidR="00515E12" w:rsidRPr="0039770D" w:rsidRDefault="00515E12" w:rsidP="00EC0D34">
            <w:pPr>
              <w:spacing w:after="0"/>
              <w:jc w:val="center"/>
              <w:rPr>
                <w:rFonts w:asciiTheme="minorHAnsi" w:hAnsiTheme="minorHAnsi" w:cstheme="minorHAnsi"/>
                <w:i/>
                <w:color w:val="000000"/>
              </w:rPr>
            </w:pPr>
            <w:r w:rsidRPr="00D14297">
              <w:rPr>
                <w:rFonts w:cs="Arial"/>
                <w:color w:val="000000"/>
              </w:rPr>
              <w:t xml:space="preserve">NSDS Standard, CIP and Breach Notice </w:t>
            </w:r>
            <w:r w:rsidRPr="00D14297">
              <w:rPr>
                <w:rFonts w:cs="Arial"/>
                <w:color w:val="000000"/>
              </w:rPr>
              <w:br/>
              <w:t xml:space="preserve">indicators rated as Meets; </w:t>
            </w:r>
            <w:r w:rsidRPr="00D14297">
              <w:rPr>
                <w:rFonts w:cs="Arial"/>
                <w:color w:val="000000"/>
              </w:rPr>
              <w:br/>
              <w:t>AND</w:t>
            </w:r>
            <w:r w:rsidRPr="00D14297">
              <w:rPr>
                <w:rFonts w:cs="Arial"/>
                <w:color w:val="000000"/>
              </w:rPr>
              <w:br/>
              <w:t xml:space="preserve">Other indicators (DES </w:t>
            </w:r>
            <w:r w:rsidR="00AA67A1">
              <w:rPr>
                <w:rFonts w:cs="Arial"/>
                <w:color w:val="000000"/>
              </w:rPr>
              <w:t>P</w:t>
            </w:r>
            <w:r w:rsidRPr="00D14297">
              <w:rPr>
                <w:rFonts w:cs="Arial"/>
                <w:color w:val="000000"/>
              </w:rPr>
              <w:t>AP, Complaints M</w:t>
            </w:r>
            <w:r>
              <w:rPr>
                <w:rFonts w:cs="Arial"/>
                <w:color w:val="000000"/>
              </w:rPr>
              <w:t>anagement</w:t>
            </w:r>
            <w:r w:rsidRPr="00D14297">
              <w:rPr>
                <w:rFonts w:cs="Arial"/>
                <w:color w:val="000000"/>
              </w:rPr>
              <w:t xml:space="preserve"> and Incident Reporting and M</w:t>
            </w:r>
            <w:r>
              <w:rPr>
                <w:rFonts w:cs="Arial"/>
                <w:color w:val="000000"/>
              </w:rPr>
              <w:t>anagement</w:t>
            </w:r>
            <w:r w:rsidRPr="00D14297">
              <w:rPr>
                <w:rFonts w:cs="Arial"/>
                <w:color w:val="000000"/>
              </w:rPr>
              <w:t xml:space="preserve">): </w:t>
            </w:r>
            <w:r w:rsidRPr="00D14297">
              <w:rPr>
                <w:rFonts w:cs="Arial"/>
                <w:color w:val="000000"/>
              </w:rPr>
              <w:br/>
              <w:t xml:space="preserve">• Exceeds for at least two out of three indicators; and </w:t>
            </w:r>
            <w:r w:rsidRPr="00D14297">
              <w:rPr>
                <w:rFonts w:cs="Arial"/>
                <w:color w:val="000000"/>
              </w:rPr>
              <w:br/>
              <w:t>• None at Improvement Required</w:t>
            </w:r>
          </w:p>
        </w:tc>
      </w:tr>
    </w:tbl>
    <w:p w14:paraId="508B5B70" w14:textId="77777777" w:rsidR="0095743D" w:rsidRDefault="0095743D" w:rsidP="00D71540">
      <w:pPr>
        <w:rPr>
          <w:rFonts w:cs="Arial"/>
        </w:rPr>
        <w:sectPr w:rsidR="0095743D" w:rsidSect="00EC0D34">
          <w:pgSz w:w="23811" w:h="16838" w:orient="landscape" w:code="8"/>
          <w:pgMar w:top="-567" w:right="1440" w:bottom="851" w:left="1440" w:header="708" w:footer="363" w:gutter="0"/>
          <w:cols w:space="708"/>
          <w:titlePg/>
          <w:docGrid w:linePitch="360"/>
        </w:sectPr>
      </w:pPr>
    </w:p>
    <w:p w14:paraId="357C96B7" w14:textId="1A5B3A7F" w:rsidR="000E1FBE" w:rsidRDefault="000E1FBE" w:rsidP="00F25D96">
      <w:pPr>
        <w:pStyle w:val="Heading1"/>
        <w:spacing w:line="276" w:lineRule="auto"/>
        <w:jc w:val="left"/>
        <w:rPr>
          <w:sz w:val="36"/>
          <w:lang w:eastAsia="en-US"/>
        </w:rPr>
      </w:pPr>
      <w:bookmarkStart w:id="118" w:name="_Toc157587881"/>
      <w:r w:rsidRPr="00067E57">
        <w:rPr>
          <w:sz w:val="36"/>
          <w:lang w:eastAsia="en-US"/>
        </w:rPr>
        <w:lastRenderedPageBreak/>
        <w:t>A</w:t>
      </w:r>
      <w:r>
        <w:rPr>
          <w:sz w:val="36"/>
          <w:lang w:eastAsia="en-US"/>
        </w:rPr>
        <w:t>ttachment</w:t>
      </w:r>
      <w:r w:rsidRPr="00067E57">
        <w:rPr>
          <w:sz w:val="36"/>
          <w:lang w:eastAsia="en-US"/>
        </w:rPr>
        <w:t xml:space="preserve"> </w:t>
      </w:r>
      <w:r>
        <w:rPr>
          <w:sz w:val="36"/>
          <w:lang w:eastAsia="en-US"/>
        </w:rPr>
        <w:t>B</w:t>
      </w:r>
      <w:r w:rsidRPr="00067E57">
        <w:rPr>
          <w:sz w:val="36"/>
          <w:lang w:eastAsia="en-US"/>
        </w:rPr>
        <w:t xml:space="preserve">: </w:t>
      </w:r>
      <w:r>
        <w:rPr>
          <w:sz w:val="36"/>
          <w:lang w:eastAsia="en-US"/>
        </w:rPr>
        <w:t xml:space="preserve">DES Quality Framework </w:t>
      </w:r>
      <w:r w:rsidR="00C443B4">
        <w:rPr>
          <w:sz w:val="36"/>
          <w:lang w:eastAsia="en-US"/>
        </w:rPr>
        <w:t>– Understanding Quality Assessment</w:t>
      </w:r>
      <w:r>
        <w:rPr>
          <w:sz w:val="36"/>
          <w:lang w:eastAsia="en-US"/>
        </w:rPr>
        <w:t xml:space="preserve"> – </w:t>
      </w:r>
      <w:r w:rsidR="00C443B4">
        <w:rPr>
          <w:sz w:val="36"/>
          <w:lang w:eastAsia="en-US"/>
        </w:rPr>
        <w:t>(</w:t>
      </w:r>
      <w:r>
        <w:rPr>
          <w:sz w:val="36"/>
          <w:lang w:eastAsia="en-US"/>
        </w:rPr>
        <w:t>Element 2</w:t>
      </w:r>
      <w:r w:rsidR="00C443B4">
        <w:rPr>
          <w:sz w:val="36"/>
          <w:lang w:eastAsia="en-US"/>
        </w:rPr>
        <w:t>)</w:t>
      </w:r>
      <w:bookmarkEnd w:id="118"/>
    </w:p>
    <w:tbl>
      <w:tblPr>
        <w:tblW w:w="20920" w:type="dxa"/>
        <w:tblInd w:w="-5" w:type="dxa"/>
        <w:shd w:val="clear" w:color="auto" w:fill="92CDDC" w:themeFill="accent5" w:themeFillTint="99"/>
        <w:tblLayout w:type="fixed"/>
        <w:tblLook w:val="04A0" w:firstRow="1" w:lastRow="0" w:firstColumn="1" w:lastColumn="0" w:noHBand="0" w:noVBand="1"/>
        <w:tblCaption w:val="Assessing the Understanding Quality Assessment under Outcome 2.1"/>
        <w:tblDescription w:val="Assessment rubric details with the detailed incators against each outcome and what it looks like for a provider to be seen as needing to improve, meeting or exceeding the standards."/>
      </w:tblPr>
      <w:tblGrid>
        <w:gridCol w:w="20920"/>
      </w:tblGrid>
      <w:tr w:rsidR="00931B62" w14:paraId="33DA3EA1" w14:textId="77777777" w:rsidTr="00EC0D34">
        <w:trPr>
          <w:trHeight w:val="505"/>
        </w:trPr>
        <w:tc>
          <w:tcPr>
            <w:tcW w:w="209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14:paraId="514A8B99" w14:textId="77777777" w:rsidR="00515E12" w:rsidRPr="0007310F" w:rsidRDefault="00515E12" w:rsidP="00EC0D34">
            <w:pPr>
              <w:spacing w:line="276" w:lineRule="auto"/>
              <w:ind w:right="34"/>
              <w:rPr>
                <w:rFonts w:cs="Arial"/>
                <w:b/>
                <w:bCs/>
                <w:sz w:val="28"/>
                <w:szCs w:val="28"/>
              </w:rPr>
            </w:pPr>
            <w:r w:rsidRPr="0007310F">
              <w:rPr>
                <w:rFonts w:cs="Arial"/>
                <w:b/>
                <w:bCs/>
                <w:sz w:val="28"/>
                <w:szCs w:val="28"/>
              </w:rPr>
              <w:t>Outcome 2.1: DES providers understand participants’ needs and support participants to build capacity and achieve their employment goals and aspirations</w:t>
            </w:r>
          </w:p>
        </w:tc>
      </w:tr>
    </w:tbl>
    <w:tbl>
      <w:tblPr>
        <w:tblStyle w:val="TableGrid"/>
        <w:tblW w:w="0" w:type="auto"/>
        <w:tblLook w:val="04A0" w:firstRow="1" w:lastRow="0" w:firstColumn="1" w:lastColumn="0" w:noHBand="0" w:noVBand="1"/>
        <w:tblCaption w:val="Assessing the Understanding Quality Assessment under Outcome 2.1"/>
        <w:tblDescription w:val="Assessment rubric details with the detailed incators against each outcome and what it looks like for a provider to be seen as needing to improve, meeting or exceeding the standards."/>
      </w:tblPr>
      <w:tblGrid>
        <w:gridCol w:w="4184"/>
        <w:gridCol w:w="5450"/>
        <w:gridCol w:w="3762"/>
        <w:gridCol w:w="3762"/>
        <w:gridCol w:w="3763"/>
      </w:tblGrid>
      <w:tr w:rsidR="00515E12" w:rsidRPr="008E33C7" w14:paraId="3A05C27F" w14:textId="77777777" w:rsidTr="00CD2212">
        <w:trPr>
          <w:tblHeader/>
        </w:trPr>
        <w:tc>
          <w:tcPr>
            <w:tcW w:w="4184" w:type="dxa"/>
            <w:vMerge w:val="restart"/>
            <w:shd w:val="clear" w:color="auto" w:fill="215868" w:themeFill="accent5" w:themeFillShade="80"/>
          </w:tcPr>
          <w:p w14:paraId="56A17C5B" w14:textId="77777777" w:rsidR="00515E12" w:rsidRPr="008E33C7" w:rsidRDefault="00515E12" w:rsidP="0095743D">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Element</w:t>
            </w:r>
          </w:p>
        </w:tc>
        <w:tc>
          <w:tcPr>
            <w:tcW w:w="5450" w:type="dxa"/>
            <w:vMerge w:val="restart"/>
            <w:shd w:val="clear" w:color="auto" w:fill="215868" w:themeFill="accent5" w:themeFillShade="80"/>
          </w:tcPr>
          <w:p w14:paraId="0C2C8F0C" w14:textId="77777777" w:rsidR="00515E12" w:rsidRPr="008E33C7" w:rsidRDefault="00515E12" w:rsidP="0095743D">
            <w:pPr>
              <w:spacing w:line="276" w:lineRule="auto"/>
              <w:rPr>
                <w:rFonts w:asciiTheme="minorHAnsi" w:hAnsiTheme="minorHAnsi" w:cstheme="minorHAnsi"/>
                <w:b/>
                <w:color w:val="FFFFFF" w:themeColor="background1"/>
              </w:rPr>
            </w:pPr>
            <w:r w:rsidRPr="008E33C7">
              <w:rPr>
                <w:rFonts w:asciiTheme="minorHAnsi" w:hAnsiTheme="minorHAnsi" w:cstheme="minorHAnsi"/>
                <w:b/>
                <w:color w:val="FFFFFF" w:themeColor="background1"/>
              </w:rPr>
              <w:t>Indicator</w:t>
            </w:r>
          </w:p>
        </w:tc>
        <w:tc>
          <w:tcPr>
            <w:tcW w:w="11287" w:type="dxa"/>
            <w:gridSpan w:val="3"/>
            <w:shd w:val="clear" w:color="auto" w:fill="215868" w:themeFill="accent5" w:themeFillShade="80"/>
          </w:tcPr>
          <w:p w14:paraId="247866A0" w14:textId="77777777" w:rsidR="00515E12" w:rsidRPr="00682302" w:rsidRDefault="00515E12" w:rsidP="0095743D">
            <w:pPr>
              <w:spacing w:line="276" w:lineRule="auto"/>
              <w:jc w:val="center"/>
              <w:rPr>
                <w:rFonts w:asciiTheme="minorHAnsi" w:hAnsiTheme="minorHAnsi" w:cstheme="minorHAnsi"/>
                <w:b/>
                <w:bCs/>
                <w:color w:val="FFFFFF" w:themeColor="background1"/>
              </w:rPr>
            </w:pPr>
            <w:r w:rsidRPr="00682302">
              <w:rPr>
                <w:rFonts w:asciiTheme="minorHAnsi" w:hAnsiTheme="minorHAnsi" w:cstheme="minorHAnsi"/>
                <w:b/>
                <w:bCs/>
                <w:color w:val="FFFFFF" w:themeColor="background1"/>
              </w:rPr>
              <w:t>Descriptor**</w:t>
            </w:r>
          </w:p>
        </w:tc>
      </w:tr>
      <w:tr w:rsidR="00515E12" w:rsidRPr="008E33C7" w14:paraId="6949685D" w14:textId="77777777" w:rsidTr="00CD2212">
        <w:trPr>
          <w:tblHeader/>
        </w:trPr>
        <w:tc>
          <w:tcPr>
            <w:tcW w:w="4184" w:type="dxa"/>
            <w:vMerge/>
            <w:tcBorders>
              <w:bottom w:val="single" w:sz="4" w:space="0" w:color="auto"/>
            </w:tcBorders>
            <w:shd w:val="clear" w:color="auto" w:fill="215868" w:themeFill="accent5" w:themeFillShade="80"/>
          </w:tcPr>
          <w:p w14:paraId="0A0348B9" w14:textId="77777777" w:rsidR="00515E12" w:rsidRPr="008E33C7" w:rsidRDefault="00515E12" w:rsidP="0095743D">
            <w:pPr>
              <w:spacing w:line="276" w:lineRule="auto"/>
              <w:rPr>
                <w:rFonts w:asciiTheme="minorHAnsi" w:hAnsiTheme="minorHAnsi" w:cstheme="minorHAnsi"/>
                <w:b/>
                <w:color w:val="FFFFFF" w:themeColor="background1"/>
              </w:rPr>
            </w:pPr>
          </w:p>
        </w:tc>
        <w:tc>
          <w:tcPr>
            <w:tcW w:w="5450" w:type="dxa"/>
            <w:vMerge/>
            <w:shd w:val="clear" w:color="auto" w:fill="215868" w:themeFill="accent5" w:themeFillShade="80"/>
          </w:tcPr>
          <w:p w14:paraId="3B0998BB" w14:textId="77777777" w:rsidR="00515E12" w:rsidRPr="008E33C7" w:rsidRDefault="00515E12" w:rsidP="0095743D">
            <w:pPr>
              <w:spacing w:line="276" w:lineRule="auto"/>
              <w:rPr>
                <w:rFonts w:asciiTheme="minorHAnsi" w:hAnsiTheme="minorHAnsi" w:cstheme="minorHAnsi"/>
                <w:b/>
                <w:color w:val="FFFFFF" w:themeColor="background1"/>
              </w:rPr>
            </w:pPr>
          </w:p>
        </w:tc>
        <w:tc>
          <w:tcPr>
            <w:tcW w:w="3762" w:type="dxa"/>
            <w:shd w:val="clear" w:color="auto" w:fill="215868" w:themeFill="accent5" w:themeFillShade="80"/>
          </w:tcPr>
          <w:p w14:paraId="7A350842" w14:textId="77777777" w:rsidR="00515E12" w:rsidRPr="008E33C7" w:rsidRDefault="00515E12" w:rsidP="0095743D">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Improvement Required </w:t>
            </w:r>
            <w:r w:rsidRPr="008E33C7">
              <w:rPr>
                <w:rFonts w:asciiTheme="minorHAnsi" w:hAnsiTheme="minorHAnsi" w:cstheme="minorHAnsi"/>
                <w:b/>
                <w:bCs/>
                <w:color w:val="FFFFFF" w:themeColor="background1"/>
              </w:rPr>
              <w:sym w:font="Wingdings" w:char="F0FC"/>
            </w:r>
          </w:p>
        </w:tc>
        <w:tc>
          <w:tcPr>
            <w:tcW w:w="3762" w:type="dxa"/>
            <w:shd w:val="clear" w:color="auto" w:fill="215868" w:themeFill="accent5" w:themeFillShade="80"/>
          </w:tcPr>
          <w:p w14:paraId="5F8AD35F" w14:textId="77777777" w:rsidR="00515E12" w:rsidRPr="008E33C7" w:rsidRDefault="00515E12" w:rsidP="0095743D">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Meets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c>
          <w:tcPr>
            <w:tcW w:w="3763" w:type="dxa"/>
            <w:shd w:val="clear" w:color="auto" w:fill="215868" w:themeFill="accent5" w:themeFillShade="80"/>
          </w:tcPr>
          <w:p w14:paraId="6BDBC60A" w14:textId="77777777" w:rsidR="00515E12" w:rsidRPr="008E33C7" w:rsidRDefault="00515E12" w:rsidP="0095743D">
            <w:pPr>
              <w:spacing w:line="276" w:lineRule="auto"/>
              <w:jc w:val="center"/>
              <w:rPr>
                <w:rFonts w:asciiTheme="minorHAnsi" w:hAnsiTheme="minorHAnsi" w:cstheme="minorHAnsi"/>
                <w:color w:val="FFFFFF" w:themeColor="background1"/>
              </w:rPr>
            </w:pPr>
            <w:r w:rsidRPr="008E33C7">
              <w:rPr>
                <w:rFonts w:asciiTheme="minorHAnsi" w:hAnsiTheme="minorHAnsi" w:cstheme="minorHAnsi"/>
                <w:b/>
                <w:bCs/>
                <w:color w:val="FFFFFF" w:themeColor="background1"/>
              </w:rPr>
              <w:t xml:space="preserve">Exceeds </w:t>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r w:rsidRPr="008E33C7">
              <w:rPr>
                <w:rFonts w:asciiTheme="minorHAnsi" w:hAnsiTheme="minorHAnsi" w:cstheme="minorHAnsi"/>
                <w:b/>
                <w:bCs/>
                <w:color w:val="FFFFFF" w:themeColor="background1"/>
              </w:rPr>
              <w:sym w:font="Wingdings" w:char="F0FC"/>
            </w:r>
          </w:p>
        </w:tc>
      </w:tr>
      <w:tr w:rsidR="00515E12" w14:paraId="10C7887C" w14:textId="77777777" w:rsidTr="00EC0D34">
        <w:tc>
          <w:tcPr>
            <w:tcW w:w="4184" w:type="dxa"/>
          </w:tcPr>
          <w:p w14:paraId="4035A601" w14:textId="77777777" w:rsidR="00515E12" w:rsidRPr="00E90E02" w:rsidRDefault="00515E12" w:rsidP="0095743D">
            <w:pPr>
              <w:spacing w:line="276" w:lineRule="auto"/>
              <w:rPr>
                <w:rFonts w:asciiTheme="minorHAnsi" w:hAnsiTheme="minorHAnsi" w:cstheme="minorHAnsi"/>
              </w:rPr>
            </w:pPr>
            <w:r w:rsidRPr="00E90E02">
              <w:rPr>
                <w:rFonts w:asciiTheme="minorHAnsi" w:hAnsiTheme="minorHAnsi" w:cstheme="minorHAnsi"/>
                <w:color w:val="000000"/>
              </w:rPr>
              <w:t>2.1.1 Employment goals and service planning participation</w:t>
            </w:r>
            <w:r w:rsidRPr="00E90E02">
              <w:rPr>
                <w:rFonts w:asciiTheme="minorHAnsi" w:hAnsiTheme="minorHAnsi" w:cstheme="minorHAnsi"/>
                <w:color w:val="000000"/>
              </w:rPr>
              <w:br/>
            </w:r>
            <w:r w:rsidRPr="00E90E02">
              <w:rPr>
                <w:rFonts w:asciiTheme="minorHAnsi" w:hAnsiTheme="minorHAnsi" w:cstheme="minorHAnsi"/>
                <w:color w:val="000000"/>
              </w:rPr>
              <w:br/>
              <w:t>The DES provider supports participants to express their employment goals and aspirations and actively participate in service planning.</w:t>
            </w:r>
          </w:p>
        </w:tc>
        <w:tc>
          <w:tcPr>
            <w:tcW w:w="5450" w:type="dxa"/>
          </w:tcPr>
          <w:p w14:paraId="652E559E" w14:textId="77777777" w:rsidR="00515E12" w:rsidRDefault="00515E12" w:rsidP="0095743D">
            <w:pPr>
              <w:spacing w:line="276" w:lineRule="auto"/>
              <w:rPr>
                <w:rFonts w:cs="Arial"/>
                <w:color w:val="000000"/>
              </w:rPr>
            </w:pPr>
            <w:r w:rsidRPr="00E90E02">
              <w:rPr>
                <w:rFonts w:cs="Arial"/>
                <w:color w:val="000000"/>
              </w:rPr>
              <w:t xml:space="preserve">Participant engagement: </w:t>
            </w:r>
          </w:p>
          <w:p w14:paraId="3D9785C2" w14:textId="77777777" w:rsidR="00515E12" w:rsidRDefault="00515E12" w:rsidP="0095743D">
            <w:pPr>
              <w:spacing w:line="276" w:lineRule="auto"/>
              <w:rPr>
                <w:rFonts w:cs="Arial"/>
                <w:i/>
                <w:color w:val="000000"/>
              </w:rPr>
            </w:pPr>
            <w:r w:rsidRPr="00E90E02">
              <w:rPr>
                <w:rFonts w:cs="Arial"/>
                <w:i/>
                <w:color w:val="000000"/>
              </w:rPr>
              <w:t xml:space="preserve">Engagement with participants that is fair, respectful and responsive to individual needs in order to encourage active engagement in service planning. </w:t>
            </w:r>
          </w:p>
          <w:p w14:paraId="78F34AE0" w14:textId="77777777" w:rsidR="00515E12" w:rsidRDefault="00515E12" w:rsidP="0095743D">
            <w:pPr>
              <w:spacing w:line="276" w:lineRule="auto"/>
              <w:rPr>
                <w:rFonts w:cs="Arial"/>
                <w:i/>
                <w:color w:val="000000"/>
              </w:rPr>
            </w:pPr>
            <w:r w:rsidRPr="00E90E02">
              <w:rPr>
                <w:rFonts w:cs="Arial"/>
                <w:i/>
                <w:color w:val="000000"/>
              </w:rPr>
              <w:t>Understanding and connection with participant community where provider staff reflect their community and cohort and have lived experience with disability.</w:t>
            </w:r>
          </w:p>
          <w:p w14:paraId="288C66B1" w14:textId="77777777" w:rsidR="00515E12" w:rsidRDefault="00515E12" w:rsidP="0095743D">
            <w:pPr>
              <w:spacing w:line="276" w:lineRule="auto"/>
              <w:rPr>
                <w:rFonts w:cs="Arial"/>
                <w:i/>
              </w:rPr>
            </w:pPr>
            <w:r w:rsidRPr="00E90E02">
              <w:rPr>
                <w:rFonts w:cs="Arial"/>
                <w:i/>
              </w:rPr>
              <w:t>Strategies are in place to build rapport and trust with participants to facilitate full access to the service and to encourage timely advice to the provider if something has changed.</w:t>
            </w:r>
            <w:r>
              <w:rPr>
                <w:rFonts w:cs="Arial"/>
                <w:i/>
              </w:rPr>
              <w:t xml:space="preserve"> </w:t>
            </w:r>
          </w:p>
          <w:p w14:paraId="2D4C5CC2" w14:textId="77777777" w:rsidR="00515E12" w:rsidRDefault="00515E12" w:rsidP="0095743D">
            <w:pPr>
              <w:spacing w:line="276" w:lineRule="auto"/>
            </w:pPr>
            <w:r w:rsidRPr="00E90E02">
              <w:rPr>
                <w:rFonts w:cs="Arial"/>
                <w:i/>
                <w:color w:val="000000"/>
              </w:rPr>
              <w:t>Effectively engages with participants to understand and/or support the development of goals to support capability building and employment.</w:t>
            </w:r>
          </w:p>
        </w:tc>
        <w:tc>
          <w:tcPr>
            <w:tcW w:w="3762" w:type="dxa"/>
          </w:tcPr>
          <w:p w14:paraId="658F4AC0" w14:textId="77777777" w:rsidR="00515E12" w:rsidRDefault="00515E12" w:rsidP="0095743D">
            <w:pPr>
              <w:spacing w:line="276" w:lineRule="auto"/>
            </w:pPr>
            <w:r w:rsidRPr="00E90E02">
              <w:rPr>
                <w:rFonts w:cs="Arial"/>
                <w:color w:val="000000"/>
              </w:rPr>
              <w:t xml:space="preserve">Focus on instructing/directing; Limited support to express employment goals;  Interpreters not used; Limited flexibility </w:t>
            </w:r>
            <w:r w:rsidRPr="00E90E02">
              <w:rPr>
                <w:rFonts w:cs="Arial"/>
              </w:rPr>
              <w:t>(1 point)</w:t>
            </w:r>
          </w:p>
        </w:tc>
        <w:tc>
          <w:tcPr>
            <w:tcW w:w="3762" w:type="dxa"/>
          </w:tcPr>
          <w:p w14:paraId="4533A481" w14:textId="77777777" w:rsidR="00515E12" w:rsidRDefault="00515E12" w:rsidP="0095743D">
            <w:pPr>
              <w:spacing w:line="276" w:lineRule="auto"/>
            </w:pPr>
            <w:r w:rsidRPr="00E90E02">
              <w:rPr>
                <w:rFonts w:cs="Arial"/>
                <w:color w:val="000000"/>
              </w:rPr>
              <w:t>Participant actively participates in service planning; Support to express goals; Access to interpreters; Appropriately flexible to needs and circumstances (2 points)</w:t>
            </w:r>
          </w:p>
        </w:tc>
        <w:tc>
          <w:tcPr>
            <w:tcW w:w="3763" w:type="dxa"/>
          </w:tcPr>
          <w:p w14:paraId="693AD342" w14:textId="77777777" w:rsidR="00515E12" w:rsidRDefault="00515E12" w:rsidP="0095743D">
            <w:pPr>
              <w:spacing w:line="276" w:lineRule="auto"/>
            </w:pPr>
            <w:r w:rsidRPr="00E90E02">
              <w:rPr>
                <w:rFonts w:cs="Arial"/>
              </w:rPr>
              <w:t>As per 'Meets' PLUS: Innovation to support ongoing engagement; Facilitate development and review of short and long-term employment goals; Highly effective efforts to engage (3 points)</w:t>
            </w:r>
          </w:p>
        </w:tc>
      </w:tr>
      <w:tr w:rsidR="00515E12" w14:paraId="1862DA20" w14:textId="77777777" w:rsidTr="00EC0D34">
        <w:tc>
          <w:tcPr>
            <w:tcW w:w="4184" w:type="dxa"/>
          </w:tcPr>
          <w:p w14:paraId="51CBBA0A" w14:textId="77777777" w:rsidR="00515E12" w:rsidRDefault="00515E12" w:rsidP="0095743D">
            <w:pPr>
              <w:spacing w:line="276" w:lineRule="auto"/>
            </w:pPr>
            <w:r w:rsidRPr="001B72E2">
              <w:rPr>
                <w:rFonts w:cs="Arial"/>
                <w:color w:val="000000"/>
              </w:rPr>
              <w:t>2.1.2 Assessment of needs, circumstances, capacity and barriers</w:t>
            </w:r>
            <w:r w:rsidRPr="001B72E2">
              <w:rPr>
                <w:rFonts w:cs="Arial"/>
                <w:color w:val="000000"/>
              </w:rPr>
              <w:br/>
            </w:r>
            <w:r w:rsidRPr="001B72E2">
              <w:rPr>
                <w:rFonts w:cs="Arial"/>
                <w:color w:val="000000"/>
              </w:rPr>
              <w:br/>
              <w:t>The DES provider understands and assesses participants' needs and circumstances and their capacity and barriers to achieving their employment goals and aspirations.</w:t>
            </w:r>
          </w:p>
        </w:tc>
        <w:tc>
          <w:tcPr>
            <w:tcW w:w="5450" w:type="dxa"/>
          </w:tcPr>
          <w:p w14:paraId="37302485" w14:textId="77777777" w:rsidR="003460B1" w:rsidRDefault="00515E12" w:rsidP="0095743D">
            <w:pPr>
              <w:spacing w:line="276" w:lineRule="auto"/>
              <w:rPr>
                <w:rFonts w:cs="Arial"/>
                <w:i/>
                <w:color w:val="000000"/>
              </w:rPr>
            </w:pPr>
            <w:r w:rsidRPr="001B72E2">
              <w:rPr>
                <w:rFonts w:cs="Arial"/>
                <w:color w:val="000000"/>
              </w:rPr>
              <w:t xml:space="preserve">Assessment Process: </w:t>
            </w:r>
            <w:r w:rsidRPr="001B72E2">
              <w:rPr>
                <w:rFonts w:cs="Arial"/>
                <w:color w:val="000000"/>
              </w:rPr>
              <w:br/>
            </w:r>
            <w:r w:rsidRPr="001B72E2">
              <w:rPr>
                <w:rFonts w:cs="Arial"/>
                <w:i/>
                <w:color w:val="000000"/>
              </w:rPr>
              <w:t>Tailored assessment process using own or available resources (e.g. JSCI, ESAt/JCA) and effective engagement with participants to identify needs,</w:t>
            </w:r>
            <w:r>
              <w:rPr>
                <w:rFonts w:cs="Arial"/>
                <w:i/>
                <w:color w:val="000000"/>
              </w:rPr>
              <w:t xml:space="preserve"> </w:t>
            </w:r>
            <w:r w:rsidRPr="001B72E2">
              <w:rPr>
                <w:rFonts w:cs="Arial"/>
                <w:i/>
                <w:color w:val="000000"/>
              </w:rPr>
              <w:t>circumstances, strengths, capacity and barriers to sustained employment.</w:t>
            </w:r>
          </w:p>
          <w:p w14:paraId="0FACE5EE" w14:textId="0046CCEC" w:rsidR="00515E12" w:rsidRDefault="00515E12" w:rsidP="0095743D">
            <w:pPr>
              <w:spacing w:line="276" w:lineRule="auto"/>
            </w:pPr>
            <w:r w:rsidRPr="001B72E2">
              <w:rPr>
                <w:rFonts w:cs="Arial"/>
                <w:i/>
                <w:color w:val="000000"/>
              </w:rPr>
              <w:t>Conduct initial assessment and re-assess at relevant stages to monitor effectiveness of supports/interventions</w:t>
            </w:r>
          </w:p>
        </w:tc>
        <w:tc>
          <w:tcPr>
            <w:tcW w:w="3762" w:type="dxa"/>
          </w:tcPr>
          <w:p w14:paraId="76FD9C32" w14:textId="77777777" w:rsidR="00515E12" w:rsidRDefault="00515E12" w:rsidP="0095743D">
            <w:pPr>
              <w:spacing w:line="276" w:lineRule="auto"/>
            </w:pPr>
            <w:r w:rsidRPr="001B72E2">
              <w:rPr>
                <w:rFonts w:cs="Arial"/>
              </w:rPr>
              <w:t>Generic assessment or process not in place or implemented inconsistently; Effectiveness of supports or interventions not monitored (1 point)</w:t>
            </w:r>
          </w:p>
        </w:tc>
        <w:tc>
          <w:tcPr>
            <w:tcW w:w="3762" w:type="dxa"/>
          </w:tcPr>
          <w:p w14:paraId="7A5E27F7" w14:textId="77777777" w:rsidR="00515E12" w:rsidRDefault="00515E12" w:rsidP="0095743D">
            <w:pPr>
              <w:spacing w:line="276" w:lineRule="auto"/>
            </w:pPr>
            <w:r w:rsidRPr="001B72E2">
              <w:rPr>
                <w:rFonts w:cs="Arial"/>
                <w:color w:val="000000"/>
              </w:rPr>
              <w:t>T</w:t>
            </w:r>
            <w:r w:rsidRPr="001B72E2">
              <w:rPr>
                <w:rFonts w:cs="Arial"/>
              </w:rPr>
              <w:t xml:space="preserve">ailored assessment process; Completed at relevant stages to monitor effectiveness of supports or interventions </w:t>
            </w:r>
            <w:r w:rsidRPr="001B72E2">
              <w:rPr>
                <w:rFonts w:cs="Arial"/>
                <w:color w:val="000000"/>
              </w:rPr>
              <w:t>(2 points)</w:t>
            </w:r>
          </w:p>
        </w:tc>
        <w:tc>
          <w:tcPr>
            <w:tcW w:w="3763" w:type="dxa"/>
          </w:tcPr>
          <w:p w14:paraId="09302E0A" w14:textId="77777777" w:rsidR="00515E12" w:rsidRDefault="00515E12" w:rsidP="0095743D">
            <w:pPr>
              <w:spacing w:line="276" w:lineRule="auto"/>
            </w:pPr>
            <w:r w:rsidRPr="001B72E2">
              <w:rPr>
                <w:rFonts w:cs="Arial"/>
                <w:color w:val="000000"/>
              </w:rPr>
              <w:t xml:space="preserve">As per 'Meets' PLUS: Tailored assessment processes for each referral phase; Assessment results are analysed and inform organisation continuous improvement activities </w:t>
            </w:r>
            <w:r w:rsidRPr="001B72E2">
              <w:rPr>
                <w:rFonts w:cs="Arial"/>
              </w:rPr>
              <w:t>(3 points)</w:t>
            </w:r>
          </w:p>
        </w:tc>
      </w:tr>
      <w:tr w:rsidR="00515E12" w14:paraId="370C3571" w14:textId="77777777" w:rsidTr="00EC0D34">
        <w:tc>
          <w:tcPr>
            <w:tcW w:w="4184" w:type="dxa"/>
          </w:tcPr>
          <w:p w14:paraId="2356C2B6" w14:textId="77777777" w:rsidR="00515E12" w:rsidRPr="001B72E2" w:rsidRDefault="00515E12" w:rsidP="0095743D">
            <w:pPr>
              <w:spacing w:line="276" w:lineRule="auto"/>
              <w:rPr>
                <w:rFonts w:cs="Arial"/>
                <w:color w:val="000000"/>
              </w:rPr>
            </w:pPr>
            <w:r w:rsidRPr="001B72E2">
              <w:rPr>
                <w:rFonts w:cs="Arial"/>
                <w:color w:val="000000"/>
              </w:rPr>
              <w:t>2.1.3 Tailored supports</w:t>
            </w:r>
            <w:r w:rsidRPr="001B72E2">
              <w:rPr>
                <w:rFonts w:cs="Arial"/>
                <w:color w:val="000000"/>
              </w:rPr>
              <w:br/>
            </w:r>
            <w:r w:rsidRPr="001B72E2">
              <w:rPr>
                <w:rFonts w:cs="Arial"/>
                <w:color w:val="000000"/>
              </w:rPr>
              <w:br/>
              <w:t>The DES provider delivers tailored supports that provide participants with suitable pathways to employment, assists them to meet their obligations and requirements, and is adaptable to changes in the participant’s circumstances.</w:t>
            </w:r>
          </w:p>
        </w:tc>
        <w:tc>
          <w:tcPr>
            <w:tcW w:w="5450" w:type="dxa"/>
          </w:tcPr>
          <w:p w14:paraId="527885BA" w14:textId="77777777" w:rsidR="00515E12" w:rsidRPr="001B72E2" w:rsidRDefault="00515E12" w:rsidP="0095743D">
            <w:pPr>
              <w:spacing w:line="276" w:lineRule="auto"/>
              <w:rPr>
                <w:rFonts w:cs="Arial"/>
                <w:i/>
              </w:rPr>
            </w:pPr>
            <w:r w:rsidRPr="001B72E2">
              <w:rPr>
                <w:rFonts w:cs="Arial"/>
              </w:rPr>
              <w:t>Eligibility and participation:</w:t>
            </w:r>
          </w:p>
          <w:p w14:paraId="74AF0097" w14:textId="77777777" w:rsidR="00515E12" w:rsidRDefault="00515E12" w:rsidP="0095743D">
            <w:pPr>
              <w:spacing w:line="276" w:lineRule="auto"/>
              <w:rPr>
                <w:rFonts w:cs="Arial"/>
                <w:i/>
              </w:rPr>
            </w:pPr>
            <w:r w:rsidRPr="001B72E2">
              <w:rPr>
                <w:rFonts w:cs="Arial"/>
                <w:i/>
              </w:rPr>
              <w:t>Confirm job seeker eligibility for DES Program Services before Commencement to ensure job seeker receives appropriate services.</w:t>
            </w:r>
            <w:r>
              <w:rPr>
                <w:rFonts w:cs="Arial"/>
                <w:i/>
              </w:rPr>
              <w:t xml:space="preserve"> </w:t>
            </w:r>
          </w:p>
          <w:p w14:paraId="78B6A0C1" w14:textId="77777777" w:rsidR="00515E12" w:rsidRDefault="00515E12" w:rsidP="0095743D">
            <w:pPr>
              <w:spacing w:line="276" w:lineRule="auto"/>
              <w:rPr>
                <w:rFonts w:cs="Arial"/>
                <w:i/>
              </w:rPr>
            </w:pPr>
            <w:r w:rsidRPr="001B72E2">
              <w:rPr>
                <w:rFonts w:cs="Arial"/>
                <w:i/>
              </w:rPr>
              <w:t>Ensure all Participants have a Job Plan in place at all times and the requirements in the Job Plan are tailored to the Participant’s individual circumstances and are appropriate to their capability.</w:t>
            </w:r>
            <w:r>
              <w:rPr>
                <w:rFonts w:cs="Arial"/>
                <w:i/>
              </w:rPr>
              <w:t xml:space="preserve"> </w:t>
            </w:r>
          </w:p>
          <w:p w14:paraId="11420EB7" w14:textId="77777777" w:rsidR="00515E12" w:rsidRDefault="00515E12" w:rsidP="0095743D">
            <w:pPr>
              <w:spacing w:line="276" w:lineRule="auto"/>
              <w:rPr>
                <w:rFonts w:cs="Arial"/>
                <w:i/>
              </w:rPr>
            </w:pPr>
            <w:r w:rsidRPr="001B72E2">
              <w:rPr>
                <w:rFonts w:cs="Arial"/>
                <w:i/>
              </w:rPr>
              <w:t>Effectively support participants (compulsory participants and volunteers) to meet their obligations and/or requirements as agreed in the Job Plan. This may include, but is not limite</w:t>
            </w:r>
            <w:r>
              <w:rPr>
                <w:rFonts w:cs="Arial"/>
                <w:i/>
              </w:rPr>
              <w:t>d to:</w:t>
            </w:r>
          </w:p>
          <w:p w14:paraId="2E3B4D09" w14:textId="77777777" w:rsidR="00515E12" w:rsidRPr="003F0287" w:rsidRDefault="00515E12" w:rsidP="0095743D">
            <w:pPr>
              <w:pStyle w:val="ListParagraph"/>
              <w:numPr>
                <w:ilvl w:val="0"/>
                <w:numId w:val="61"/>
              </w:numPr>
              <w:spacing w:line="276" w:lineRule="auto"/>
              <w:ind w:left="714" w:hanging="357"/>
              <w:contextualSpacing w:val="0"/>
              <w:rPr>
                <w:rFonts w:cs="Arial"/>
                <w:i/>
              </w:rPr>
            </w:pPr>
            <w:r w:rsidRPr="003F0287">
              <w:rPr>
                <w:rFonts w:cs="Arial"/>
                <w:i/>
              </w:rPr>
              <w:lastRenderedPageBreak/>
              <w:t>clear advice regarding compulsory and/or voluntary obligations and requirements</w:t>
            </w:r>
          </w:p>
          <w:p w14:paraId="340721D8" w14:textId="77777777" w:rsidR="00515E12" w:rsidRPr="003F0287" w:rsidRDefault="00515E12" w:rsidP="0095743D">
            <w:pPr>
              <w:pStyle w:val="ListParagraph"/>
              <w:numPr>
                <w:ilvl w:val="0"/>
                <w:numId w:val="61"/>
              </w:numPr>
              <w:spacing w:line="276" w:lineRule="auto"/>
              <w:ind w:left="714" w:hanging="357"/>
              <w:contextualSpacing w:val="0"/>
              <w:rPr>
                <w:rFonts w:cs="Arial"/>
                <w:i/>
              </w:rPr>
            </w:pPr>
            <w:r w:rsidRPr="003F0287">
              <w:rPr>
                <w:rFonts w:cs="Arial"/>
                <w:i/>
              </w:rPr>
              <w:t>training and/or assistance to report online</w:t>
            </w:r>
          </w:p>
          <w:p w14:paraId="10AA3191" w14:textId="77777777" w:rsidR="00515E12" w:rsidRPr="003F0287" w:rsidRDefault="00515E12" w:rsidP="0095743D">
            <w:pPr>
              <w:pStyle w:val="ListParagraph"/>
              <w:numPr>
                <w:ilvl w:val="0"/>
                <w:numId w:val="61"/>
              </w:numPr>
              <w:spacing w:line="276" w:lineRule="auto"/>
              <w:ind w:left="714" w:hanging="357"/>
              <w:contextualSpacing w:val="0"/>
              <w:rPr>
                <w:rFonts w:cs="Arial"/>
                <w:i/>
              </w:rPr>
            </w:pPr>
            <w:r w:rsidRPr="003F0287">
              <w:rPr>
                <w:rFonts w:cs="Arial"/>
                <w:i/>
              </w:rPr>
              <w:t>strategies to engage and motivate</w:t>
            </w:r>
          </w:p>
          <w:p w14:paraId="5C040C5E" w14:textId="496A117B" w:rsidR="00515E12" w:rsidRPr="00BA04B9" w:rsidRDefault="00515E12" w:rsidP="0095743D">
            <w:pPr>
              <w:pStyle w:val="ListParagraph"/>
              <w:numPr>
                <w:ilvl w:val="0"/>
                <w:numId w:val="61"/>
              </w:numPr>
              <w:spacing w:line="276" w:lineRule="auto"/>
              <w:ind w:left="714" w:hanging="357"/>
              <w:contextualSpacing w:val="0"/>
              <w:rPr>
                <w:rFonts w:cs="Arial"/>
                <w:color w:val="000000"/>
              </w:rPr>
            </w:pPr>
            <w:r w:rsidRPr="003F0287">
              <w:rPr>
                <w:rFonts w:cs="Arial"/>
                <w:i/>
              </w:rPr>
              <w:t>correct application of Targeted Compliance Framework</w:t>
            </w:r>
          </w:p>
        </w:tc>
        <w:tc>
          <w:tcPr>
            <w:tcW w:w="3762" w:type="dxa"/>
          </w:tcPr>
          <w:p w14:paraId="225B5415" w14:textId="77777777" w:rsidR="00515E12" w:rsidRPr="001B72E2" w:rsidRDefault="00515E12" w:rsidP="0095743D">
            <w:pPr>
              <w:spacing w:line="276" w:lineRule="auto"/>
              <w:rPr>
                <w:rFonts w:cs="Arial"/>
              </w:rPr>
            </w:pPr>
            <w:r w:rsidRPr="001B72E2">
              <w:rPr>
                <w:rFonts w:cs="Arial"/>
              </w:rPr>
              <w:lastRenderedPageBreak/>
              <w:t>Job seeker eligibility not confirmed; Job plans not developed/not current; Little or no support to meet compulsory and/or voluntary obligations (1 point)</w:t>
            </w:r>
          </w:p>
        </w:tc>
        <w:tc>
          <w:tcPr>
            <w:tcW w:w="3762" w:type="dxa"/>
          </w:tcPr>
          <w:p w14:paraId="24B56C9E" w14:textId="77777777" w:rsidR="00515E12" w:rsidRPr="001B72E2" w:rsidRDefault="00515E12" w:rsidP="0095743D">
            <w:pPr>
              <w:spacing w:line="276" w:lineRule="auto"/>
              <w:rPr>
                <w:rFonts w:cs="Arial"/>
                <w:color w:val="000000"/>
              </w:rPr>
            </w:pPr>
            <w:r w:rsidRPr="001B72E2">
              <w:rPr>
                <w:rFonts w:cs="Arial"/>
              </w:rPr>
              <w:t xml:space="preserve">Job seeker eligibility confirmed and Job Plans developed as per requirements; Support to meet compulsory and/or voluntary obligations </w:t>
            </w:r>
            <w:r w:rsidRPr="001B72E2">
              <w:rPr>
                <w:rFonts w:cs="Arial"/>
                <w:color w:val="000000"/>
              </w:rPr>
              <w:t>(2 points)</w:t>
            </w:r>
          </w:p>
        </w:tc>
        <w:tc>
          <w:tcPr>
            <w:tcW w:w="3763" w:type="dxa"/>
          </w:tcPr>
          <w:p w14:paraId="5F14ABB5" w14:textId="77777777" w:rsidR="00515E12" w:rsidRPr="001B72E2" w:rsidRDefault="00515E12" w:rsidP="0095743D">
            <w:pPr>
              <w:spacing w:line="276" w:lineRule="auto"/>
              <w:rPr>
                <w:rFonts w:cs="Arial"/>
                <w:color w:val="000000"/>
              </w:rPr>
            </w:pPr>
            <w:r w:rsidRPr="001B72E2">
              <w:rPr>
                <w:rFonts w:cs="Arial"/>
              </w:rPr>
              <w:t>As per 'Meets' PLUS: Strategies to support participants with poor compliance record; Highly effective and diverse strategies to engage and motivate compulsory participants and volunteers (3 points)</w:t>
            </w:r>
          </w:p>
        </w:tc>
      </w:tr>
      <w:tr w:rsidR="00515E12" w14:paraId="6C39C0D0" w14:textId="77777777" w:rsidTr="00EC0D34">
        <w:trPr>
          <w:trHeight w:val="4620"/>
        </w:trPr>
        <w:tc>
          <w:tcPr>
            <w:tcW w:w="4184" w:type="dxa"/>
          </w:tcPr>
          <w:p w14:paraId="6B6BB477" w14:textId="77777777" w:rsidR="00515E12" w:rsidRPr="001B72E2" w:rsidRDefault="00515E12" w:rsidP="0095743D">
            <w:pPr>
              <w:spacing w:line="276" w:lineRule="auto"/>
              <w:rPr>
                <w:rFonts w:cs="Arial"/>
                <w:color w:val="000000"/>
              </w:rPr>
            </w:pPr>
            <w:r w:rsidRPr="001B72E2">
              <w:rPr>
                <w:rFonts w:cs="Arial"/>
                <w:color w:val="000000"/>
              </w:rPr>
              <w:t>2.1.3 Tailored supports (continued)</w:t>
            </w:r>
            <w:r w:rsidRPr="001B72E2">
              <w:rPr>
                <w:rFonts w:cs="Arial"/>
                <w:color w:val="000000"/>
              </w:rPr>
              <w:br/>
            </w:r>
          </w:p>
        </w:tc>
        <w:tc>
          <w:tcPr>
            <w:tcW w:w="5450" w:type="dxa"/>
          </w:tcPr>
          <w:p w14:paraId="1DF72F9F" w14:textId="77777777" w:rsidR="00515E12" w:rsidRDefault="00515E12" w:rsidP="0095743D">
            <w:pPr>
              <w:spacing w:line="276" w:lineRule="auto"/>
              <w:rPr>
                <w:rFonts w:cs="Arial"/>
                <w:i/>
                <w:color w:val="000000"/>
              </w:rPr>
            </w:pPr>
            <w:r w:rsidRPr="001B72E2">
              <w:rPr>
                <w:rFonts w:cs="Arial"/>
                <w:color w:val="000000"/>
              </w:rPr>
              <w:t>Sup</w:t>
            </w:r>
            <w:r w:rsidRPr="001B72E2">
              <w:rPr>
                <w:rFonts w:cs="Arial"/>
              </w:rPr>
              <w:t>ports - Employment Assistance</w:t>
            </w:r>
            <w:r w:rsidRPr="001B72E2">
              <w:rPr>
                <w:rFonts w:cs="Arial"/>
                <w:color w:val="000000"/>
              </w:rPr>
              <w:br/>
            </w:r>
            <w:r w:rsidRPr="001B72E2">
              <w:rPr>
                <w:rFonts w:cs="Arial"/>
                <w:color w:val="000000"/>
              </w:rPr>
              <w:br/>
            </w:r>
            <w:r w:rsidRPr="001B72E2">
              <w:rPr>
                <w:rFonts w:cs="Arial"/>
                <w:i/>
                <w:color w:val="000000"/>
              </w:rPr>
              <w:t>Supports are tailored based on assessments, understanding of the local labour market and participant employment goals. Supports are adaptable to changes in participant circumstance.</w:t>
            </w:r>
            <w:r w:rsidRPr="001B72E2">
              <w:rPr>
                <w:rFonts w:cs="Arial"/>
                <w:i/>
                <w:color w:val="000000"/>
              </w:rPr>
              <w:br/>
            </w:r>
            <w:r w:rsidRPr="001B72E2">
              <w:rPr>
                <w:rFonts w:cs="Arial"/>
                <w:i/>
                <w:color w:val="000000"/>
              </w:rPr>
              <w:br/>
              <w:t>Supports/activities may include, but are not limited to:</w:t>
            </w:r>
          </w:p>
          <w:p w14:paraId="2EEA99F0" w14:textId="77777777" w:rsidR="00515E12"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supporting career and goal setting aligned with participants strengths and aspirations providing help to write a resume and advice on the best ways to look for work</w:t>
            </w:r>
          </w:p>
          <w:p w14:paraId="79206859" w14:textId="77777777" w:rsidR="00515E12"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providing information about computer and internet facilities relevant to help participants find and keep a job</w:t>
            </w:r>
          </w:p>
          <w:p w14:paraId="6B500834" w14:textId="77777777" w:rsidR="00515E12"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help to improve job readiness</w:t>
            </w:r>
          </w:p>
          <w:p w14:paraId="7857A60D" w14:textId="77777777" w:rsidR="00515E12"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working with prospective employers to match participant skills to employer needs</w:t>
            </w:r>
          </w:p>
          <w:p w14:paraId="558A47F8" w14:textId="77777777" w:rsidR="00515E12"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training or work experience</w:t>
            </w:r>
          </w:p>
          <w:p w14:paraId="2101418D" w14:textId="4758B597" w:rsidR="00515E12" w:rsidRPr="00BA04B9" w:rsidRDefault="00515E12" w:rsidP="0095743D">
            <w:pPr>
              <w:pStyle w:val="ListParagraph"/>
              <w:numPr>
                <w:ilvl w:val="0"/>
                <w:numId w:val="63"/>
              </w:numPr>
              <w:spacing w:line="276" w:lineRule="auto"/>
              <w:contextualSpacing w:val="0"/>
              <w:rPr>
                <w:rFonts w:cs="Arial"/>
                <w:i/>
                <w:color w:val="000000"/>
              </w:rPr>
            </w:pPr>
            <w:r w:rsidRPr="00D0412D">
              <w:rPr>
                <w:rFonts w:cs="Arial"/>
                <w:i/>
                <w:color w:val="000000"/>
              </w:rPr>
              <w:t>help to access other support services</w:t>
            </w:r>
          </w:p>
        </w:tc>
        <w:tc>
          <w:tcPr>
            <w:tcW w:w="3762" w:type="dxa"/>
          </w:tcPr>
          <w:p w14:paraId="483C852E" w14:textId="77777777" w:rsidR="00515E12" w:rsidRPr="001B72E2" w:rsidRDefault="00515E12" w:rsidP="0095743D">
            <w:pPr>
              <w:spacing w:line="276" w:lineRule="auto"/>
              <w:rPr>
                <w:rFonts w:cs="Arial"/>
              </w:rPr>
            </w:pPr>
            <w:r w:rsidRPr="001B72E2">
              <w:rPr>
                <w:rFonts w:cs="Arial"/>
              </w:rPr>
              <w:t>Supports are not tailored or informed by assessments; participants offered a limited range of supports (1 point)</w:t>
            </w:r>
          </w:p>
        </w:tc>
        <w:tc>
          <w:tcPr>
            <w:tcW w:w="3762" w:type="dxa"/>
          </w:tcPr>
          <w:p w14:paraId="54CE1013" w14:textId="77777777" w:rsidR="00515E12" w:rsidRPr="001B72E2" w:rsidRDefault="00515E12" w:rsidP="0095743D">
            <w:pPr>
              <w:spacing w:line="276" w:lineRule="auto"/>
              <w:rPr>
                <w:rFonts w:cs="Arial"/>
              </w:rPr>
            </w:pPr>
            <w:r w:rsidRPr="001B72E2">
              <w:rPr>
                <w:rFonts w:cs="Arial"/>
                <w:color w:val="000000"/>
              </w:rPr>
              <w:t>Tailored supports informed by assessments, labour market and short-term employment goals (2 points)</w:t>
            </w:r>
          </w:p>
        </w:tc>
        <w:tc>
          <w:tcPr>
            <w:tcW w:w="3763" w:type="dxa"/>
          </w:tcPr>
          <w:p w14:paraId="004B84FE" w14:textId="77777777" w:rsidR="00515E12" w:rsidRPr="001B72E2" w:rsidRDefault="00515E12" w:rsidP="0095743D">
            <w:pPr>
              <w:spacing w:line="276" w:lineRule="auto"/>
              <w:rPr>
                <w:rFonts w:cs="Arial"/>
              </w:rPr>
            </w:pPr>
            <w:r w:rsidRPr="001B72E2">
              <w:rPr>
                <w:rFonts w:cs="Arial"/>
              </w:rPr>
              <w:t>Tailored supports informed by assessments, labour market and employment goals (short and long-term); Innovation to address complex barriers (3 points)</w:t>
            </w:r>
          </w:p>
        </w:tc>
      </w:tr>
      <w:tr w:rsidR="00515E12" w14:paraId="29282B08" w14:textId="77777777" w:rsidTr="00EC0D34">
        <w:tc>
          <w:tcPr>
            <w:tcW w:w="4184" w:type="dxa"/>
            <w:vMerge w:val="restart"/>
          </w:tcPr>
          <w:p w14:paraId="7EA6E2C5" w14:textId="77777777" w:rsidR="00515E12" w:rsidRPr="001B72E2" w:rsidRDefault="00515E12" w:rsidP="0095743D">
            <w:pPr>
              <w:spacing w:line="276" w:lineRule="auto"/>
              <w:rPr>
                <w:rFonts w:asciiTheme="minorHAnsi" w:hAnsiTheme="minorHAnsi" w:cstheme="minorHAnsi"/>
                <w:color w:val="000000"/>
              </w:rPr>
            </w:pPr>
            <w:r w:rsidRPr="001B72E2">
              <w:rPr>
                <w:rFonts w:asciiTheme="minorHAnsi" w:hAnsiTheme="minorHAnsi" w:cstheme="minorHAnsi"/>
                <w:color w:val="000000"/>
              </w:rPr>
              <w:t>2.1.4 Service delivery</w:t>
            </w:r>
            <w:r w:rsidRPr="001B72E2">
              <w:rPr>
                <w:rFonts w:asciiTheme="minorHAnsi" w:hAnsiTheme="minorHAnsi" w:cstheme="minorHAnsi"/>
                <w:color w:val="000000"/>
              </w:rPr>
              <w:br/>
            </w:r>
            <w:r w:rsidRPr="001B72E2">
              <w:rPr>
                <w:rFonts w:asciiTheme="minorHAnsi" w:hAnsiTheme="minorHAnsi" w:cstheme="minorHAnsi"/>
                <w:color w:val="000000"/>
              </w:rPr>
              <w:br/>
              <w:t>The DES provider supports participants in a timely manner to build long-term capability including access to interventions that address barriers, build capability, improve job readiness and supports sustained employment.</w:t>
            </w:r>
          </w:p>
          <w:p w14:paraId="6356ADDA" w14:textId="77777777" w:rsidR="00515E12" w:rsidRPr="001B72E2" w:rsidRDefault="00515E12" w:rsidP="0095743D">
            <w:pPr>
              <w:spacing w:line="276" w:lineRule="auto"/>
              <w:rPr>
                <w:rFonts w:cs="Arial"/>
                <w:color w:val="000000"/>
              </w:rPr>
            </w:pPr>
          </w:p>
        </w:tc>
        <w:tc>
          <w:tcPr>
            <w:tcW w:w="5450" w:type="dxa"/>
          </w:tcPr>
          <w:p w14:paraId="0F588201" w14:textId="77777777" w:rsidR="00515E12" w:rsidRDefault="00515E12" w:rsidP="0095743D">
            <w:pPr>
              <w:spacing w:line="276" w:lineRule="auto"/>
              <w:rPr>
                <w:rFonts w:cs="Arial"/>
                <w:color w:val="000000"/>
              </w:rPr>
            </w:pPr>
            <w:r w:rsidRPr="001B72E2">
              <w:rPr>
                <w:rFonts w:cs="Arial"/>
                <w:color w:val="000000"/>
              </w:rPr>
              <w:t xml:space="preserve">Service delivery model: </w:t>
            </w:r>
          </w:p>
          <w:p w14:paraId="518012DD" w14:textId="5D4E7ECE" w:rsidR="00515E12" w:rsidRDefault="00515E12" w:rsidP="0095743D">
            <w:pPr>
              <w:spacing w:line="276" w:lineRule="auto"/>
              <w:rPr>
                <w:rFonts w:cs="Arial"/>
                <w:i/>
              </w:rPr>
            </w:pPr>
            <w:r w:rsidRPr="001B72E2">
              <w:rPr>
                <w:rFonts w:cs="Arial"/>
                <w:i/>
              </w:rPr>
              <w:t>The organisation has a service delivery model that is effective and user-oriented and demonstrates innovation. This may i</w:t>
            </w:r>
            <w:r>
              <w:rPr>
                <w:rFonts w:cs="Arial"/>
                <w:i/>
              </w:rPr>
              <w:t>nclude, but is not limited to:</w:t>
            </w:r>
          </w:p>
          <w:p w14:paraId="48DF7B1B" w14:textId="77777777" w:rsidR="00515E12" w:rsidRPr="008005B8" w:rsidRDefault="00515E12" w:rsidP="0095743D">
            <w:pPr>
              <w:pStyle w:val="ListParagraph"/>
              <w:numPr>
                <w:ilvl w:val="0"/>
                <w:numId w:val="61"/>
              </w:numPr>
              <w:spacing w:line="276" w:lineRule="auto"/>
              <w:contextualSpacing w:val="0"/>
              <w:rPr>
                <w:rFonts w:cs="Arial"/>
                <w:i/>
              </w:rPr>
            </w:pPr>
            <w:r w:rsidRPr="008005B8">
              <w:rPr>
                <w:rFonts w:cs="Arial"/>
                <w:i/>
              </w:rPr>
              <w:t xml:space="preserve">Service delivery model enables delivery of agreed supports/services considering participant requirements and needs </w:t>
            </w:r>
          </w:p>
          <w:p w14:paraId="4082842A" w14:textId="77777777" w:rsidR="00515E12" w:rsidRPr="008005B8" w:rsidRDefault="00515E12" w:rsidP="0095743D">
            <w:pPr>
              <w:pStyle w:val="ListParagraph"/>
              <w:numPr>
                <w:ilvl w:val="0"/>
                <w:numId w:val="61"/>
              </w:numPr>
              <w:spacing w:line="276" w:lineRule="auto"/>
              <w:contextualSpacing w:val="0"/>
              <w:rPr>
                <w:rFonts w:cs="Arial"/>
                <w:i/>
                <w:color w:val="000000"/>
              </w:rPr>
            </w:pPr>
            <w:r w:rsidRPr="008005B8">
              <w:rPr>
                <w:rFonts w:cs="Arial"/>
                <w:i/>
                <w:color w:val="000000"/>
              </w:rPr>
              <w:t>Participant support provided by designated staff</w:t>
            </w:r>
          </w:p>
          <w:p w14:paraId="6A15126D" w14:textId="77777777" w:rsidR="00515E12" w:rsidRPr="008005B8" w:rsidRDefault="00515E12" w:rsidP="0095743D">
            <w:pPr>
              <w:pStyle w:val="ListParagraph"/>
              <w:numPr>
                <w:ilvl w:val="0"/>
                <w:numId w:val="61"/>
              </w:numPr>
              <w:spacing w:line="276" w:lineRule="auto"/>
              <w:contextualSpacing w:val="0"/>
              <w:rPr>
                <w:rFonts w:cs="Arial"/>
                <w:i/>
                <w:color w:val="000000"/>
              </w:rPr>
            </w:pPr>
            <w:r w:rsidRPr="008005B8">
              <w:rPr>
                <w:rFonts w:cs="Arial"/>
                <w:i/>
                <w:color w:val="000000"/>
              </w:rPr>
              <w:t>Staff absence or change is effectively managed with minimal disruption to participants</w:t>
            </w:r>
          </w:p>
          <w:p w14:paraId="4570D144" w14:textId="77777777" w:rsidR="00515E12" w:rsidRPr="008005B8" w:rsidRDefault="00515E12" w:rsidP="0095743D">
            <w:pPr>
              <w:pStyle w:val="ListParagraph"/>
              <w:numPr>
                <w:ilvl w:val="0"/>
                <w:numId w:val="61"/>
              </w:numPr>
              <w:spacing w:line="276" w:lineRule="auto"/>
              <w:contextualSpacing w:val="0"/>
              <w:rPr>
                <w:rFonts w:cs="Arial"/>
                <w:i/>
                <w:color w:val="000000"/>
              </w:rPr>
            </w:pPr>
            <w:r w:rsidRPr="008005B8">
              <w:rPr>
                <w:rFonts w:cs="Arial"/>
                <w:i/>
                <w:color w:val="000000"/>
              </w:rPr>
              <w:lastRenderedPageBreak/>
              <w:t>Tailored contacts consistent with minimum requirements to monitor activities and deliver supported pathway to sustained employment</w:t>
            </w:r>
          </w:p>
          <w:p w14:paraId="1418E63D" w14:textId="77777777" w:rsidR="00515E12" w:rsidRPr="008005B8" w:rsidRDefault="00515E12" w:rsidP="0095743D">
            <w:pPr>
              <w:pStyle w:val="ListParagraph"/>
              <w:numPr>
                <w:ilvl w:val="0"/>
                <w:numId w:val="61"/>
              </w:numPr>
              <w:spacing w:line="276" w:lineRule="auto"/>
              <w:contextualSpacing w:val="0"/>
              <w:rPr>
                <w:rFonts w:cs="Arial"/>
                <w:i/>
              </w:rPr>
            </w:pPr>
            <w:r w:rsidRPr="008005B8">
              <w:rPr>
                <w:rFonts w:cs="Arial"/>
                <w:i/>
                <w:color w:val="000000"/>
              </w:rPr>
              <w:t xml:space="preserve">Contact with the participant and employer during Post Placement Support (PPS) </w:t>
            </w:r>
            <w:r w:rsidRPr="008005B8">
              <w:rPr>
                <w:rFonts w:cs="Arial"/>
                <w:i/>
              </w:rPr>
              <w:t>(subject to consent)</w:t>
            </w:r>
          </w:p>
          <w:p w14:paraId="57E85CB7" w14:textId="77777777" w:rsidR="00515E12" w:rsidRPr="003C5C05" w:rsidRDefault="00515E12" w:rsidP="0095743D">
            <w:pPr>
              <w:pStyle w:val="ListParagraph"/>
              <w:numPr>
                <w:ilvl w:val="0"/>
                <w:numId w:val="61"/>
              </w:numPr>
              <w:spacing w:line="276" w:lineRule="auto"/>
              <w:contextualSpacing w:val="0"/>
              <w:rPr>
                <w:rFonts w:cs="Arial"/>
                <w:color w:val="000000"/>
              </w:rPr>
            </w:pPr>
            <w:r w:rsidRPr="008005B8">
              <w:rPr>
                <w:rFonts w:cs="Arial"/>
                <w:i/>
              </w:rPr>
              <w:t>Majority of ongoing support is on-the-job assistance</w:t>
            </w:r>
          </w:p>
          <w:p w14:paraId="725BFB44" w14:textId="4F53AB88" w:rsidR="003C5C05" w:rsidRPr="008005B8" w:rsidRDefault="003C5C05" w:rsidP="0095743D">
            <w:pPr>
              <w:pStyle w:val="ListParagraph"/>
              <w:spacing w:line="276" w:lineRule="auto"/>
              <w:contextualSpacing w:val="0"/>
              <w:rPr>
                <w:rFonts w:cs="Arial"/>
                <w:color w:val="000000"/>
              </w:rPr>
            </w:pPr>
          </w:p>
        </w:tc>
        <w:tc>
          <w:tcPr>
            <w:tcW w:w="3762" w:type="dxa"/>
          </w:tcPr>
          <w:p w14:paraId="4DC34A7A" w14:textId="77777777" w:rsidR="00515E12" w:rsidRPr="001B72E2" w:rsidRDefault="00515E12" w:rsidP="0095743D">
            <w:pPr>
              <w:spacing w:line="276" w:lineRule="auto"/>
              <w:rPr>
                <w:rFonts w:cs="Arial"/>
              </w:rPr>
            </w:pPr>
            <w:r w:rsidRPr="001B72E2">
              <w:rPr>
                <w:rFonts w:cs="Arial"/>
              </w:rPr>
              <w:lastRenderedPageBreak/>
              <w:t>Service delivery model does not enable delivery of agreed supports/services;  Contacts do not meet minimum requirements (1 point)</w:t>
            </w:r>
          </w:p>
        </w:tc>
        <w:tc>
          <w:tcPr>
            <w:tcW w:w="3762" w:type="dxa"/>
          </w:tcPr>
          <w:p w14:paraId="580CFE04" w14:textId="77777777" w:rsidR="00515E12" w:rsidRPr="001B72E2" w:rsidRDefault="00515E12" w:rsidP="0095743D">
            <w:pPr>
              <w:spacing w:line="276" w:lineRule="auto"/>
              <w:rPr>
                <w:rFonts w:cs="Arial"/>
                <w:color w:val="000000"/>
              </w:rPr>
            </w:pPr>
            <w:r w:rsidRPr="001B72E2">
              <w:rPr>
                <w:rFonts w:cs="Arial"/>
              </w:rPr>
              <w:t xml:space="preserve">Service delivery model enables delivery of agreed supports/services;  Contacts meet minimum requirements </w:t>
            </w:r>
            <w:r w:rsidRPr="001B72E2">
              <w:rPr>
                <w:rFonts w:cs="Arial"/>
                <w:color w:val="000000"/>
              </w:rPr>
              <w:t>(2 points)</w:t>
            </w:r>
          </w:p>
        </w:tc>
        <w:tc>
          <w:tcPr>
            <w:tcW w:w="3763" w:type="dxa"/>
          </w:tcPr>
          <w:p w14:paraId="0579B52D" w14:textId="77777777" w:rsidR="00515E12" w:rsidRPr="001B72E2" w:rsidRDefault="00515E12" w:rsidP="0095743D">
            <w:pPr>
              <w:spacing w:line="276" w:lineRule="auto"/>
              <w:rPr>
                <w:rFonts w:cs="Arial"/>
              </w:rPr>
            </w:pPr>
            <w:r w:rsidRPr="001B72E2">
              <w:rPr>
                <w:rFonts w:cs="Arial"/>
              </w:rPr>
              <w:t>As per 'Meets' PLUS: Tailored contacts; Staff allocation responsive to need; Planned handover if staff change; demonstrates innovation (participants tell story once) (3 points)</w:t>
            </w:r>
          </w:p>
        </w:tc>
      </w:tr>
      <w:tr w:rsidR="00515E12" w14:paraId="028FA0A4" w14:textId="77777777" w:rsidTr="00EC0D34">
        <w:tc>
          <w:tcPr>
            <w:tcW w:w="4184" w:type="dxa"/>
            <w:vMerge/>
          </w:tcPr>
          <w:p w14:paraId="0507A7C7" w14:textId="77777777" w:rsidR="00515E12" w:rsidRPr="001B72E2" w:rsidRDefault="00515E12" w:rsidP="0095743D">
            <w:pPr>
              <w:spacing w:line="276" w:lineRule="auto"/>
              <w:rPr>
                <w:rFonts w:asciiTheme="minorHAnsi" w:hAnsiTheme="minorHAnsi" w:cstheme="minorHAnsi"/>
                <w:color w:val="000000"/>
              </w:rPr>
            </w:pPr>
          </w:p>
        </w:tc>
        <w:tc>
          <w:tcPr>
            <w:tcW w:w="5450" w:type="dxa"/>
          </w:tcPr>
          <w:p w14:paraId="41213396" w14:textId="2247A608" w:rsidR="00515E12" w:rsidRDefault="00515E12" w:rsidP="0095743D">
            <w:pPr>
              <w:spacing w:line="276" w:lineRule="auto"/>
              <w:rPr>
                <w:rFonts w:cs="Arial"/>
                <w:i/>
                <w:color w:val="000000"/>
              </w:rPr>
            </w:pPr>
            <w:r w:rsidRPr="00462959">
              <w:rPr>
                <w:rFonts w:cs="Arial"/>
                <w:color w:val="000000"/>
              </w:rPr>
              <w:t xml:space="preserve">Staff training/experience: </w:t>
            </w:r>
            <w:r w:rsidRPr="00462959">
              <w:rPr>
                <w:rFonts w:cs="Arial"/>
                <w:color w:val="000000"/>
              </w:rPr>
              <w:br/>
            </w:r>
            <w:r w:rsidRPr="00462959">
              <w:rPr>
                <w:rFonts w:cs="Arial"/>
                <w:i/>
                <w:color w:val="000000"/>
              </w:rPr>
              <w:t>Staff are suitably trained and experienced to effectively support participants and deliver program objectives.</w:t>
            </w:r>
          </w:p>
          <w:p w14:paraId="46539F9A" w14:textId="78FE9F2A" w:rsidR="00515E12" w:rsidRPr="001B72E2" w:rsidRDefault="00515E12" w:rsidP="0095743D">
            <w:pPr>
              <w:spacing w:line="276" w:lineRule="auto"/>
              <w:rPr>
                <w:rFonts w:cs="Arial"/>
                <w:color w:val="000000"/>
              </w:rPr>
            </w:pPr>
          </w:p>
        </w:tc>
        <w:tc>
          <w:tcPr>
            <w:tcW w:w="3762" w:type="dxa"/>
          </w:tcPr>
          <w:p w14:paraId="111EB85B" w14:textId="77777777" w:rsidR="00515E12" w:rsidRDefault="00515E12" w:rsidP="0095743D">
            <w:pPr>
              <w:spacing w:line="276" w:lineRule="auto"/>
              <w:rPr>
                <w:rFonts w:cs="Arial"/>
                <w:color w:val="000000"/>
              </w:rPr>
            </w:pPr>
            <w:r w:rsidRPr="00462959">
              <w:rPr>
                <w:rFonts w:cs="Arial"/>
                <w:color w:val="000000"/>
              </w:rPr>
              <w:t>Staff not always suitably trained;</w:t>
            </w:r>
          </w:p>
          <w:p w14:paraId="629333A1" w14:textId="77777777" w:rsidR="00515E12" w:rsidRPr="001B72E2" w:rsidRDefault="00515E12" w:rsidP="0095743D">
            <w:pPr>
              <w:spacing w:line="276" w:lineRule="auto"/>
              <w:rPr>
                <w:rFonts w:cs="Arial"/>
              </w:rPr>
            </w:pPr>
            <w:r w:rsidRPr="00462959">
              <w:rPr>
                <w:rFonts w:cs="Arial"/>
                <w:color w:val="000000"/>
              </w:rPr>
              <w:t xml:space="preserve">Gaps in knowledge of organisation processes; Staff complete annual mandatory training only; Unaware of departmental resources </w:t>
            </w:r>
            <w:r w:rsidRPr="00462959">
              <w:rPr>
                <w:rFonts w:cs="Arial"/>
              </w:rPr>
              <w:t>(1 point)</w:t>
            </w:r>
          </w:p>
        </w:tc>
        <w:tc>
          <w:tcPr>
            <w:tcW w:w="3762" w:type="dxa"/>
          </w:tcPr>
          <w:p w14:paraId="14AA5C02" w14:textId="23D3B1CC" w:rsidR="00515E12" w:rsidRPr="001B72E2" w:rsidRDefault="00515E12" w:rsidP="0095743D">
            <w:pPr>
              <w:spacing w:line="276" w:lineRule="auto"/>
              <w:rPr>
                <w:rFonts w:cs="Arial"/>
              </w:rPr>
            </w:pPr>
            <w:r w:rsidRPr="00462959">
              <w:rPr>
                <w:rFonts w:cs="Arial"/>
                <w:color w:val="000000"/>
              </w:rPr>
              <w:t>Knowledge of disability and employment sector; Trained in organisation processes and use of departmental resources; Undertake learning and development activities (2 points)</w:t>
            </w:r>
          </w:p>
        </w:tc>
        <w:tc>
          <w:tcPr>
            <w:tcW w:w="3763" w:type="dxa"/>
          </w:tcPr>
          <w:p w14:paraId="66987A10" w14:textId="77777777" w:rsidR="00515E12" w:rsidRPr="001B72E2" w:rsidRDefault="00515E12" w:rsidP="0095743D">
            <w:pPr>
              <w:spacing w:line="276" w:lineRule="auto"/>
              <w:rPr>
                <w:rFonts w:cs="Arial"/>
              </w:rPr>
            </w:pPr>
            <w:r w:rsidRPr="00462959">
              <w:rPr>
                <w:rFonts w:cs="Arial"/>
                <w:color w:val="000000"/>
              </w:rPr>
              <w:t xml:space="preserve">As per 'Meets' PLUS: Comprehensively trained in disciplines relevant to caseload; Undertake regular and targeted learning and development activities </w:t>
            </w:r>
            <w:r w:rsidRPr="00462959">
              <w:rPr>
                <w:rFonts w:cs="Arial"/>
              </w:rPr>
              <w:t>(3 points)</w:t>
            </w:r>
          </w:p>
        </w:tc>
      </w:tr>
      <w:tr w:rsidR="00515E12" w:rsidRPr="001B72E2" w14:paraId="0AD343CC" w14:textId="77777777" w:rsidTr="00EC0D34">
        <w:trPr>
          <w:trHeight w:val="2777"/>
        </w:trPr>
        <w:tc>
          <w:tcPr>
            <w:tcW w:w="4184" w:type="dxa"/>
          </w:tcPr>
          <w:p w14:paraId="31BC9A7C" w14:textId="77777777" w:rsidR="00515E12" w:rsidRPr="001B72E2" w:rsidRDefault="00515E12" w:rsidP="0095743D">
            <w:pPr>
              <w:spacing w:line="276" w:lineRule="auto"/>
              <w:rPr>
                <w:rFonts w:cs="Arial"/>
                <w:color w:val="000000"/>
              </w:rPr>
            </w:pPr>
            <w:r w:rsidRPr="00462959">
              <w:rPr>
                <w:rFonts w:cs="Arial"/>
                <w:color w:val="000000"/>
              </w:rPr>
              <w:t>2.1.5 Participant Feedback</w:t>
            </w:r>
            <w:r w:rsidRPr="00462959">
              <w:rPr>
                <w:rFonts w:cs="Arial"/>
                <w:color w:val="000000"/>
              </w:rPr>
              <w:br/>
            </w:r>
            <w:r w:rsidRPr="00462959">
              <w:rPr>
                <w:rFonts w:cs="Arial"/>
                <w:color w:val="000000"/>
              </w:rPr>
              <w:br/>
              <w:t>The DES provider seeks feedback from participants on its processes and their effectiveness. DES providers actively use this to improve and innovate the services they deliver.</w:t>
            </w:r>
          </w:p>
        </w:tc>
        <w:tc>
          <w:tcPr>
            <w:tcW w:w="5450" w:type="dxa"/>
          </w:tcPr>
          <w:p w14:paraId="2B7F537A" w14:textId="77777777" w:rsidR="00515E12" w:rsidRPr="00462959" w:rsidRDefault="00515E12" w:rsidP="0095743D">
            <w:pPr>
              <w:spacing w:line="276" w:lineRule="auto"/>
              <w:rPr>
                <w:rFonts w:cs="Arial"/>
                <w:i/>
              </w:rPr>
            </w:pPr>
            <w:r w:rsidRPr="00462959">
              <w:rPr>
                <w:rFonts w:cs="Arial"/>
              </w:rPr>
              <w:t xml:space="preserve">Participant feedback: </w:t>
            </w:r>
            <w:r w:rsidRPr="00462959">
              <w:rPr>
                <w:rFonts w:cs="Arial"/>
              </w:rPr>
              <w:br/>
            </w:r>
            <w:r w:rsidRPr="00462959">
              <w:rPr>
                <w:rFonts w:cs="Arial"/>
                <w:i/>
              </w:rPr>
              <w:t>The organisation has a participant feedback model that is effective and user-oriented. This may include, but is not limited to:</w:t>
            </w:r>
          </w:p>
          <w:p w14:paraId="4EB22D49" w14:textId="77777777" w:rsidR="00515E12" w:rsidRPr="00462959" w:rsidRDefault="00515E12" w:rsidP="0095743D">
            <w:pPr>
              <w:numPr>
                <w:ilvl w:val="0"/>
                <w:numId w:val="59"/>
              </w:numPr>
              <w:spacing w:line="276" w:lineRule="auto"/>
              <w:rPr>
                <w:rFonts w:cs="Arial"/>
                <w:i/>
              </w:rPr>
            </w:pPr>
            <w:r w:rsidRPr="00462959">
              <w:rPr>
                <w:rFonts w:cs="Arial"/>
                <w:i/>
              </w:rPr>
              <w:t>Participants are given opportunities to provide feedback throughout the period of service</w:t>
            </w:r>
          </w:p>
          <w:p w14:paraId="24802BAD" w14:textId="77777777" w:rsidR="00515E12" w:rsidRPr="00462959" w:rsidRDefault="00515E12" w:rsidP="0095743D">
            <w:pPr>
              <w:numPr>
                <w:ilvl w:val="0"/>
                <w:numId w:val="59"/>
              </w:numPr>
              <w:spacing w:line="276" w:lineRule="auto"/>
              <w:rPr>
                <w:rFonts w:cs="Arial"/>
                <w:i/>
              </w:rPr>
            </w:pPr>
            <w:r w:rsidRPr="00462959">
              <w:rPr>
                <w:rFonts w:cs="Arial"/>
                <w:i/>
              </w:rPr>
              <w:t>Feedback is obtained using accessible and flexible methods</w:t>
            </w:r>
          </w:p>
          <w:p w14:paraId="22DD11E6" w14:textId="77777777" w:rsidR="00515E12" w:rsidRDefault="00515E12" w:rsidP="0095743D">
            <w:pPr>
              <w:spacing w:line="276" w:lineRule="auto"/>
              <w:rPr>
                <w:rFonts w:cs="Arial"/>
                <w:i/>
              </w:rPr>
            </w:pPr>
            <w:r w:rsidRPr="00462959">
              <w:rPr>
                <w:rFonts w:cs="Arial"/>
                <w:i/>
              </w:rPr>
              <w:t>Feedback informs continuous improvement in service delivery</w:t>
            </w:r>
          </w:p>
          <w:p w14:paraId="641863BD" w14:textId="11025E01" w:rsidR="003C5C05" w:rsidRPr="001B72E2" w:rsidRDefault="003C5C05" w:rsidP="0095743D">
            <w:pPr>
              <w:spacing w:line="276" w:lineRule="auto"/>
              <w:rPr>
                <w:rFonts w:cs="Arial"/>
              </w:rPr>
            </w:pPr>
          </w:p>
        </w:tc>
        <w:tc>
          <w:tcPr>
            <w:tcW w:w="3762" w:type="dxa"/>
          </w:tcPr>
          <w:p w14:paraId="16B725FA" w14:textId="77777777" w:rsidR="00515E12" w:rsidRPr="008005B8" w:rsidRDefault="00515E12" w:rsidP="0095743D">
            <w:pPr>
              <w:spacing w:line="276" w:lineRule="auto"/>
              <w:rPr>
                <w:rFonts w:cs="Arial"/>
              </w:rPr>
            </w:pPr>
            <w:r w:rsidRPr="008005B8">
              <w:rPr>
                <w:rFonts w:cs="Arial"/>
              </w:rPr>
              <w:t>Limited feedback sought from participants  (1 point)</w:t>
            </w:r>
          </w:p>
        </w:tc>
        <w:tc>
          <w:tcPr>
            <w:tcW w:w="3762" w:type="dxa"/>
          </w:tcPr>
          <w:p w14:paraId="0B3892E8" w14:textId="77777777" w:rsidR="00515E12" w:rsidRPr="008005B8" w:rsidRDefault="00515E12" w:rsidP="0095743D">
            <w:pPr>
              <w:spacing w:line="276" w:lineRule="auto"/>
              <w:rPr>
                <w:rFonts w:cs="Arial"/>
              </w:rPr>
            </w:pPr>
            <w:r w:rsidRPr="008005B8">
              <w:rPr>
                <w:rFonts w:cs="Arial"/>
              </w:rPr>
              <w:t>Systemic approach to obtain and analyse feedback from participants using accessible and flexible methods; Feedback is used to improve and innovate service delivery (2 points)</w:t>
            </w:r>
          </w:p>
        </w:tc>
        <w:tc>
          <w:tcPr>
            <w:tcW w:w="3763" w:type="dxa"/>
          </w:tcPr>
          <w:p w14:paraId="146892C5" w14:textId="77777777" w:rsidR="00515E12" w:rsidRPr="008005B8" w:rsidRDefault="00515E12" w:rsidP="0095743D">
            <w:pPr>
              <w:spacing w:line="276" w:lineRule="auto"/>
              <w:rPr>
                <w:rFonts w:cs="Arial"/>
              </w:rPr>
            </w:pPr>
            <w:r w:rsidRPr="008005B8">
              <w:rPr>
                <w:rFonts w:cs="Arial"/>
              </w:rPr>
              <w:t>As per 'Meets' PLUS: Members of user group boards, councils, or similar bodies used in service design; other innovative approaches beyond feedback loop to participants or Board members with lived experience (3 points)</w:t>
            </w:r>
          </w:p>
        </w:tc>
      </w:tr>
      <w:tr w:rsidR="00515E12" w:rsidRPr="001B72E2" w14:paraId="38A5B754" w14:textId="77777777" w:rsidTr="00EC0D34">
        <w:trPr>
          <w:trHeight w:val="549"/>
        </w:trPr>
        <w:tc>
          <w:tcPr>
            <w:tcW w:w="9634" w:type="dxa"/>
            <w:gridSpan w:val="2"/>
            <w:vMerge w:val="restart"/>
            <w:shd w:val="clear" w:color="auto" w:fill="4BACC6" w:themeFill="accent5"/>
            <w:vAlign w:val="center"/>
          </w:tcPr>
          <w:p w14:paraId="65DC8D5F" w14:textId="77777777" w:rsidR="00515E12" w:rsidRPr="008005B8" w:rsidRDefault="00515E12" w:rsidP="0095743D">
            <w:pPr>
              <w:spacing w:line="276" w:lineRule="auto"/>
              <w:jc w:val="center"/>
              <w:rPr>
                <w:rFonts w:cs="Arial"/>
                <w:sz w:val="24"/>
              </w:rPr>
            </w:pPr>
            <w:r>
              <w:rPr>
                <w:rFonts w:cs="Arial"/>
                <w:b/>
                <w:sz w:val="24"/>
              </w:rPr>
              <w:t xml:space="preserve">Outcome 2.1: </w:t>
            </w:r>
            <w:r w:rsidRPr="008005B8">
              <w:rPr>
                <w:rFonts w:cs="Arial"/>
                <w:b/>
                <w:sz w:val="24"/>
              </w:rPr>
              <w:t>Departmental Assessment</w:t>
            </w:r>
          </w:p>
        </w:tc>
        <w:tc>
          <w:tcPr>
            <w:tcW w:w="3762" w:type="dxa"/>
            <w:shd w:val="clear" w:color="auto" w:fill="4BACC6" w:themeFill="accent5"/>
          </w:tcPr>
          <w:p w14:paraId="5928726A" w14:textId="77777777" w:rsidR="00515E12" w:rsidRPr="008005B8" w:rsidRDefault="00515E12" w:rsidP="0095743D">
            <w:pPr>
              <w:spacing w:line="276" w:lineRule="auto"/>
              <w:jc w:val="center"/>
              <w:rPr>
                <w:rFonts w:cs="Arial"/>
              </w:rPr>
            </w:pPr>
            <w:r w:rsidRPr="008005B8">
              <w:rPr>
                <w:rFonts w:cs="Arial"/>
                <w:b/>
                <w:bCs/>
                <w:sz w:val="24"/>
              </w:rPr>
              <w:t xml:space="preserve">Improvement Required </w:t>
            </w:r>
            <w:r w:rsidRPr="008005B8">
              <w:rPr>
                <w:rFonts w:cs="Arial"/>
                <w:bCs/>
                <w:sz w:val="24"/>
              </w:rPr>
              <w:sym w:font="Wingdings" w:char="F0FC"/>
            </w:r>
          </w:p>
        </w:tc>
        <w:tc>
          <w:tcPr>
            <w:tcW w:w="3762" w:type="dxa"/>
            <w:shd w:val="clear" w:color="auto" w:fill="4BACC6" w:themeFill="accent5"/>
          </w:tcPr>
          <w:p w14:paraId="7FBA44D7" w14:textId="77777777" w:rsidR="00515E12" w:rsidRPr="008005B8" w:rsidRDefault="00515E12" w:rsidP="0095743D">
            <w:pPr>
              <w:spacing w:line="276" w:lineRule="auto"/>
              <w:jc w:val="center"/>
              <w:rPr>
                <w:rFonts w:cs="Arial"/>
              </w:rPr>
            </w:pPr>
            <w:r w:rsidRPr="008005B8">
              <w:rPr>
                <w:rFonts w:cs="Arial"/>
                <w:b/>
                <w:bCs/>
                <w:sz w:val="24"/>
              </w:rPr>
              <w:t xml:space="preserve">Meets </w:t>
            </w:r>
            <w:r w:rsidRPr="008005B8">
              <w:rPr>
                <w:rFonts w:cs="Arial"/>
                <w:bCs/>
                <w:sz w:val="24"/>
              </w:rPr>
              <w:sym w:font="Wingdings" w:char="F0FC"/>
            </w:r>
            <w:r w:rsidRPr="008005B8">
              <w:rPr>
                <w:rFonts w:cs="Arial"/>
                <w:bCs/>
                <w:sz w:val="24"/>
              </w:rPr>
              <w:sym w:font="Wingdings" w:char="F0FC"/>
            </w:r>
          </w:p>
        </w:tc>
        <w:tc>
          <w:tcPr>
            <w:tcW w:w="3763" w:type="dxa"/>
            <w:shd w:val="clear" w:color="auto" w:fill="4BACC6" w:themeFill="accent5"/>
          </w:tcPr>
          <w:p w14:paraId="27EFE15F" w14:textId="77777777" w:rsidR="00515E12" w:rsidRPr="008005B8" w:rsidRDefault="00515E12" w:rsidP="0095743D">
            <w:pPr>
              <w:spacing w:line="276" w:lineRule="auto"/>
              <w:jc w:val="center"/>
              <w:rPr>
                <w:rFonts w:cs="Arial"/>
              </w:rPr>
            </w:pPr>
            <w:r w:rsidRPr="008005B8">
              <w:rPr>
                <w:rFonts w:cs="Arial"/>
                <w:b/>
                <w:bCs/>
                <w:sz w:val="24"/>
              </w:rPr>
              <w:t xml:space="preserve">Exceeds </w:t>
            </w:r>
            <w:r w:rsidRPr="008005B8">
              <w:rPr>
                <w:rFonts w:cs="Arial"/>
                <w:bCs/>
                <w:sz w:val="24"/>
              </w:rPr>
              <w:sym w:font="Wingdings" w:char="F0FC"/>
            </w:r>
            <w:r w:rsidRPr="008005B8">
              <w:rPr>
                <w:rFonts w:cs="Arial"/>
                <w:bCs/>
                <w:sz w:val="24"/>
              </w:rPr>
              <w:sym w:font="Wingdings" w:char="F0FC"/>
            </w:r>
            <w:r w:rsidRPr="008005B8">
              <w:rPr>
                <w:rFonts w:cs="Arial"/>
                <w:bCs/>
                <w:sz w:val="24"/>
              </w:rPr>
              <w:sym w:font="Wingdings" w:char="F0FC"/>
            </w:r>
          </w:p>
        </w:tc>
      </w:tr>
      <w:tr w:rsidR="00515E12" w:rsidRPr="001B72E2" w14:paraId="51DCF851" w14:textId="77777777" w:rsidTr="00EC0D34">
        <w:trPr>
          <w:trHeight w:val="996"/>
        </w:trPr>
        <w:tc>
          <w:tcPr>
            <w:tcW w:w="9634" w:type="dxa"/>
            <w:gridSpan w:val="2"/>
            <w:vMerge/>
            <w:shd w:val="clear" w:color="auto" w:fill="4BACC6" w:themeFill="accent5"/>
          </w:tcPr>
          <w:p w14:paraId="4876E5BC" w14:textId="77777777" w:rsidR="00515E12" w:rsidRPr="00462959" w:rsidRDefault="00515E12" w:rsidP="0095743D">
            <w:pPr>
              <w:spacing w:line="276" w:lineRule="auto"/>
              <w:rPr>
                <w:rFonts w:cs="Arial"/>
              </w:rPr>
            </w:pPr>
          </w:p>
        </w:tc>
        <w:tc>
          <w:tcPr>
            <w:tcW w:w="3762" w:type="dxa"/>
          </w:tcPr>
          <w:p w14:paraId="14583D6F" w14:textId="77777777" w:rsidR="00515E12" w:rsidRPr="00462959" w:rsidRDefault="00515E12" w:rsidP="0095743D">
            <w:pPr>
              <w:spacing w:line="276" w:lineRule="auto"/>
              <w:jc w:val="center"/>
              <w:rPr>
                <w:rFonts w:cs="Arial"/>
              </w:rPr>
            </w:pPr>
            <w:r w:rsidRPr="008005B8">
              <w:rPr>
                <w:rFonts w:cs="Arial"/>
                <w:color w:val="000000"/>
              </w:rPr>
              <w:t xml:space="preserve">Does not meet definition of Meets or Exceeds </w:t>
            </w:r>
            <w:r w:rsidRPr="008005B8">
              <w:rPr>
                <w:rFonts w:cs="Arial"/>
                <w:color w:val="000000"/>
              </w:rPr>
              <w:br/>
              <w:t>(Total Weighting &lt;14)</w:t>
            </w:r>
          </w:p>
        </w:tc>
        <w:tc>
          <w:tcPr>
            <w:tcW w:w="3762" w:type="dxa"/>
          </w:tcPr>
          <w:p w14:paraId="18398087" w14:textId="77777777" w:rsidR="00515E12" w:rsidRPr="00462959" w:rsidRDefault="00515E12" w:rsidP="0095743D">
            <w:pPr>
              <w:spacing w:line="276" w:lineRule="auto"/>
              <w:jc w:val="center"/>
              <w:rPr>
                <w:rFonts w:cs="Arial"/>
              </w:rPr>
            </w:pPr>
            <w:r w:rsidRPr="008005B8">
              <w:rPr>
                <w:rFonts w:cs="Arial"/>
                <w:color w:val="000000"/>
              </w:rPr>
              <w:t>Achieves at least an average of 'Meets' across the seven indicators; does not meet definition of Exceeds</w:t>
            </w:r>
          </w:p>
        </w:tc>
        <w:tc>
          <w:tcPr>
            <w:tcW w:w="3763" w:type="dxa"/>
          </w:tcPr>
          <w:p w14:paraId="71046D2B" w14:textId="77777777" w:rsidR="00515E12" w:rsidRPr="00462959" w:rsidRDefault="00515E12" w:rsidP="0095743D">
            <w:pPr>
              <w:spacing w:line="276" w:lineRule="auto"/>
              <w:rPr>
                <w:rFonts w:cs="Arial"/>
              </w:rPr>
            </w:pPr>
            <w:r w:rsidRPr="008005B8">
              <w:rPr>
                <w:rFonts w:cs="Arial"/>
              </w:rPr>
              <w:t>Four or more Indicators at Exceeds and none at Improvement Required</w:t>
            </w:r>
          </w:p>
        </w:tc>
      </w:tr>
    </w:tbl>
    <w:p w14:paraId="13BFA767" w14:textId="77777777" w:rsidR="0095743D" w:rsidRDefault="0095743D" w:rsidP="00EC0D34">
      <w:pPr>
        <w:spacing w:before="0" w:after="0"/>
        <w:rPr>
          <w:sz w:val="16"/>
          <w:szCs w:val="16"/>
        </w:rPr>
        <w:sectPr w:rsidR="0095743D" w:rsidSect="00EC0D34">
          <w:pgSz w:w="23811" w:h="16838" w:orient="landscape" w:code="8"/>
          <w:pgMar w:top="-567" w:right="1440" w:bottom="851" w:left="1440" w:header="708" w:footer="363" w:gutter="0"/>
          <w:cols w:space="708"/>
          <w:titlePg/>
          <w:docGrid w:linePitch="360"/>
        </w:sectPr>
      </w:pPr>
    </w:p>
    <w:p w14:paraId="54329BE3" w14:textId="281048A5" w:rsidR="00525406" w:rsidRDefault="00525406" w:rsidP="00EC0D34">
      <w:pPr>
        <w:spacing w:before="0" w:after="0"/>
        <w:rPr>
          <w:sz w:val="16"/>
          <w:szCs w:val="16"/>
        </w:rPr>
      </w:pPr>
    </w:p>
    <w:tbl>
      <w:tblPr>
        <w:tblW w:w="20974" w:type="dxa"/>
        <w:tblLook w:val="04A0" w:firstRow="1" w:lastRow="0" w:firstColumn="1" w:lastColumn="0" w:noHBand="0" w:noVBand="1"/>
        <w:tblCaption w:val="Assessing the Understanding Quality Assessment under Outcome 2.2"/>
        <w:tblDescription w:val="Assessment rubric details with the detailed incators against each outcome and what it looks like for a provider to be seen as needing to improve, meeting or exceeding the standards."/>
      </w:tblPr>
      <w:tblGrid>
        <w:gridCol w:w="4272"/>
        <w:gridCol w:w="5362"/>
        <w:gridCol w:w="3686"/>
        <w:gridCol w:w="3827"/>
        <w:gridCol w:w="3827"/>
      </w:tblGrid>
      <w:tr w:rsidR="008A702C" w:rsidRPr="003E6EBD" w14:paraId="18494F50" w14:textId="77777777" w:rsidTr="008D1931">
        <w:trPr>
          <w:trHeight w:val="723"/>
          <w:tblHeader/>
        </w:trPr>
        <w:tc>
          <w:tcPr>
            <w:tcW w:w="20974" w:type="dxa"/>
            <w:gridSpan w:val="5"/>
            <w:tcBorders>
              <w:top w:val="single" w:sz="4" w:space="0" w:color="auto"/>
              <w:left w:val="single" w:sz="4" w:space="0" w:color="auto"/>
              <w:bottom w:val="single" w:sz="4" w:space="0" w:color="000000"/>
              <w:right w:val="single" w:sz="4" w:space="0" w:color="auto"/>
            </w:tcBorders>
            <w:shd w:val="clear" w:color="auto" w:fill="4BACC6" w:themeFill="accent5"/>
            <w:vAlign w:val="center"/>
          </w:tcPr>
          <w:p w14:paraId="399B5CF1" w14:textId="77777777" w:rsidR="008A702C" w:rsidRPr="0007310F" w:rsidRDefault="008A702C" w:rsidP="003945A5">
            <w:pPr>
              <w:spacing w:after="0"/>
              <w:rPr>
                <w:rFonts w:asciiTheme="minorHAnsi" w:hAnsiTheme="minorHAnsi" w:cstheme="minorHAnsi"/>
                <w:b/>
                <w:sz w:val="28"/>
                <w:szCs w:val="28"/>
              </w:rPr>
            </w:pPr>
            <w:r w:rsidRPr="0007310F">
              <w:rPr>
                <w:rFonts w:asciiTheme="minorHAnsi" w:hAnsiTheme="minorHAnsi" w:cstheme="minorHAnsi"/>
                <w:b/>
                <w:sz w:val="28"/>
                <w:szCs w:val="28"/>
              </w:rPr>
              <w:t>Outcome 2.2: DES providers understand the local labour market and the needs and expectations of employers, and work with employers and community services to effectively support participants</w:t>
            </w:r>
          </w:p>
        </w:tc>
      </w:tr>
      <w:tr w:rsidR="008A702C" w:rsidRPr="007A34D6" w14:paraId="095A3874" w14:textId="77777777" w:rsidTr="008D1931">
        <w:trPr>
          <w:trHeight w:val="420"/>
          <w:tblHeader/>
        </w:trPr>
        <w:tc>
          <w:tcPr>
            <w:tcW w:w="4272" w:type="dxa"/>
            <w:vMerge w:val="restart"/>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F7467A9" w14:textId="77777777" w:rsidR="008A702C" w:rsidRPr="007A34D6" w:rsidRDefault="008A702C" w:rsidP="003945A5">
            <w:pPr>
              <w:spacing w:after="0"/>
              <w:rPr>
                <w:rFonts w:asciiTheme="minorHAnsi" w:hAnsiTheme="minorHAnsi" w:cstheme="minorHAnsi"/>
                <w:b/>
                <w:color w:val="FFFFFF" w:themeColor="background1"/>
              </w:rPr>
            </w:pPr>
            <w:r w:rsidRPr="007A34D6">
              <w:rPr>
                <w:rFonts w:asciiTheme="minorHAnsi" w:hAnsiTheme="minorHAnsi" w:cstheme="minorHAnsi"/>
                <w:b/>
                <w:color w:val="FFFFFF" w:themeColor="background1"/>
              </w:rPr>
              <w:t>Element of good practice</w:t>
            </w:r>
          </w:p>
        </w:tc>
        <w:tc>
          <w:tcPr>
            <w:tcW w:w="5362" w:type="dxa"/>
            <w:vMerge w:val="restart"/>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3FB98FB1" w14:textId="77777777" w:rsidR="008A702C" w:rsidRPr="007A34D6" w:rsidRDefault="008A702C" w:rsidP="003945A5">
            <w:pPr>
              <w:spacing w:after="0"/>
              <w:rPr>
                <w:rFonts w:asciiTheme="minorHAnsi" w:hAnsiTheme="minorHAnsi" w:cstheme="minorHAnsi"/>
                <w:b/>
                <w:color w:val="FFFFFF" w:themeColor="background1"/>
              </w:rPr>
            </w:pPr>
            <w:r w:rsidRPr="007A34D6">
              <w:rPr>
                <w:rFonts w:asciiTheme="minorHAnsi" w:hAnsiTheme="minorHAnsi" w:cstheme="minorHAnsi"/>
                <w:b/>
                <w:color w:val="FFFFFF" w:themeColor="background1"/>
              </w:rPr>
              <w:t>Indicator</w:t>
            </w:r>
          </w:p>
        </w:tc>
        <w:tc>
          <w:tcPr>
            <w:tcW w:w="11340" w:type="dxa"/>
            <w:gridSpan w:val="3"/>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CCA5636" w14:textId="77777777" w:rsidR="008A702C" w:rsidRPr="007A34D6" w:rsidRDefault="008A702C" w:rsidP="00BB0740">
            <w:pPr>
              <w:spacing w:after="0"/>
              <w:jc w:val="center"/>
              <w:rPr>
                <w:rFonts w:asciiTheme="minorHAnsi" w:hAnsiTheme="minorHAnsi" w:cstheme="minorHAnsi"/>
                <w:b/>
                <w:color w:val="FFFFFF" w:themeColor="background1"/>
              </w:rPr>
            </w:pPr>
            <w:r w:rsidRPr="007A34D6">
              <w:rPr>
                <w:rFonts w:asciiTheme="minorHAnsi" w:hAnsiTheme="minorHAnsi" w:cstheme="minorHAnsi"/>
                <w:b/>
                <w:color w:val="FFFFFF" w:themeColor="background1"/>
              </w:rPr>
              <w:t>Descriptor**</w:t>
            </w:r>
          </w:p>
        </w:tc>
      </w:tr>
      <w:tr w:rsidR="008A702C" w:rsidRPr="007A34D6" w14:paraId="71B3CD34" w14:textId="77777777" w:rsidTr="008D1931">
        <w:trPr>
          <w:trHeight w:val="575"/>
          <w:tblHeader/>
        </w:trPr>
        <w:tc>
          <w:tcPr>
            <w:tcW w:w="4272" w:type="dxa"/>
            <w:vMerge/>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65345DA8" w14:textId="77777777" w:rsidR="008A702C" w:rsidRPr="007A34D6" w:rsidRDefault="008A702C" w:rsidP="003945A5">
            <w:pPr>
              <w:spacing w:after="0"/>
              <w:rPr>
                <w:rFonts w:asciiTheme="minorHAnsi" w:hAnsiTheme="minorHAnsi" w:cstheme="minorHAnsi"/>
                <w:b/>
                <w:color w:val="FFFFFF" w:themeColor="background1"/>
              </w:rPr>
            </w:pPr>
          </w:p>
        </w:tc>
        <w:tc>
          <w:tcPr>
            <w:tcW w:w="5362" w:type="dxa"/>
            <w:vMerge/>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24F9D39E" w14:textId="77777777" w:rsidR="008A702C" w:rsidRPr="007A34D6" w:rsidRDefault="008A702C" w:rsidP="003945A5">
            <w:pPr>
              <w:spacing w:after="0"/>
              <w:rPr>
                <w:rFonts w:asciiTheme="minorHAnsi" w:hAnsiTheme="minorHAnsi" w:cstheme="minorHAnsi"/>
                <w:b/>
                <w:color w:val="FFFFFF" w:themeColor="background1"/>
              </w:rPr>
            </w:pPr>
          </w:p>
        </w:tc>
        <w:tc>
          <w:tcPr>
            <w:tcW w:w="3686"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1F382938" w14:textId="77777777" w:rsidR="008A702C" w:rsidRPr="007A34D6" w:rsidRDefault="008A702C" w:rsidP="00BB0740">
            <w:pPr>
              <w:spacing w:after="0"/>
              <w:jc w:val="center"/>
              <w:rPr>
                <w:rFonts w:asciiTheme="minorHAnsi" w:hAnsiTheme="minorHAnsi" w:cstheme="minorHAnsi"/>
                <w:b/>
                <w:color w:val="FFFFFF" w:themeColor="background1"/>
              </w:rPr>
            </w:pPr>
            <w:r w:rsidRPr="007A34D6">
              <w:rPr>
                <w:rFonts w:asciiTheme="minorHAnsi" w:hAnsiTheme="minorHAnsi" w:cstheme="minorHAnsi"/>
                <w:b/>
                <w:color w:val="FFFFFF" w:themeColor="background1"/>
              </w:rPr>
              <w:t xml:space="preserve">Improvement Required </w:t>
            </w:r>
            <w:r w:rsidRPr="007A34D6">
              <w:rPr>
                <w:rFonts w:asciiTheme="minorHAnsi" w:hAnsiTheme="minorHAnsi" w:cstheme="minorHAnsi"/>
                <w:b/>
                <w:color w:val="FFFFFF" w:themeColor="background1"/>
              </w:rPr>
              <w:sym w:font="Wingdings" w:char="F0FC"/>
            </w:r>
          </w:p>
        </w:tc>
        <w:tc>
          <w:tcPr>
            <w:tcW w:w="3827"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892147F" w14:textId="77777777" w:rsidR="008A702C" w:rsidRPr="007A34D6" w:rsidRDefault="008A702C" w:rsidP="00BB0740">
            <w:pPr>
              <w:spacing w:after="0"/>
              <w:jc w:val="center"/>
              <w:rPr>
                <w:rFonts w:asciiTheme="minorHAnsi" w:hAnsiTheme="minorHAnsi" w:cstheme="minorHAnsi"/>
                <w:b/>
                <w:color w:val="FFFFFF" w:themeColor="background1"/>
              </w:rPr>
            </w:pPr>
            <w:r w:rsidRPr="007A34D6">
              <w:rPr>
                <w:rFonts w:asciiTheme="minorHAnsi" w:hAnsiTheme="minorHAnsi" w:cstheme="minorHAnsi"/>
                <w:b/>
                <w:color w:val="FFFFFF" w:themeColor="background1"/>
              </w:rPr>
              <w:t xml:space="preserve">Meets </w:t>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p>
        </w:tc>
        <w:tc>
          <w:tcPr>
            <w:tcW w:w="3827"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27292D19" w14:textId="77777777" w:rsidR="008A702C" w:rsidRPr="007A34D6" w:rsidRDefault="008A702C" w:rsidP="00BB0740">
            <w:pPr>
              <w:spacing w:after="0"/>
              <w:jc w:val="center"/>
              <w:rPr>
                <w:rFonts w:asciiTheme="minorHAnsi" w:hAnsiTheme="minorHAnsi" w:cstheme="minorHAnsi"/>
                <w:b/>
                <w:color w:val="FFFFFF" w:themeColor="background1"/>
              </w:rPr>
            </w:pPr>
            <w:r w:rsidRPr="007A34D6">
              <w:rPr>
                <w:rFonts w:asciiTheme="minorHAnsi" w:hAnsiTheme="minorHAnsi" w:cstheme="minorHAnsi"/>
                <w:b/>
                <w:color w:val="FFFFFF" w:themeColor="background1"/>
              </w:rPr>
              <w:t xml:space="preserve">Exceeds </w:t>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p>
        </w:tc>
      </w:tr>
    </w:tbl>
    <w:tbl>
      <w:tblPr>
        <w:tblStyle w:val="TableGrid3"/>
        <w:tblW w:w="20974" w:type="dxa"/>
        <w:tblLook w:val="04A0" w:firstRow="1" w:lastRow="0" w:firstColumn="1" w:lastColumn="0" w:noHBand="0" w:noVBand="1"/>
        <w:tblCaption w:val="Assessing the Understanding Quality Assessment under Outcome 2.2"/>
        <w:tblDescription w:val="Assessment rubric details with the detailed incators against each outcome and what it looks like for a provider to be seen as needing to improve, meeting or exceeding the standards."/>
      </w:tblPr>
      <w:tblGrid>
        <w:gridCol w:w="4285"/>
        <w:gridCol w:w="5349"/>
        <w:gridCol w:w="3686"/>
        <w:gridCol w:w="3827"/>
        <w:gridCol w:w="3827"/>
      </w:tblGrid>
      <w:tr w:rsidR="008A702C" w:rsidRPr="007A34D6" w14:paraId="2C2CAB85" w14:textId="77777777" w:rsidTr="00082B71">
        <w:trPr>
          <w:trHeight w:val="1271"/>
          <w:tblHeader/>
        </w:trPr>
        <w:tc>
          <w:tcPr>
            <w:tcW w:w="4285" w:type="dxa"/>
            <w:vMerge w:val="restart"/>
            <w:tcBorders>
              <w:top w:val="single" w:sz="4" w:space="0" w:color="000000"/>
            </w:tcBorders>
          </w:tcPr>
          <w:p w14:paraId="52586C10" w14:textId="77777777" w:rsidR="008A702C" w:rsidRPr="007A34D6" w:rsidRDefault="008A702C" w:rsidP="0095743D">
            <w:pPr>
              <w:spacing w:line="276" w:lineRule="auto"/>
              <w:rPr>
                <w:rFonts w:asciiTheme="minorHAnsi" w:hAnsiTheme="minorHAnsi" w:cstheme="minorHAnsi"/>
                <w:b/>
                <w:color w:val="FFFFFF" w:themeColor="background1"/>
              </w:rPr>
            </w:pPr>
            <w:r w:rsidRPr="00AF48B7">
              <w:rPr>
                <w:rFonts w:eastAsia="Times New Roman" w:cs="Arial"/>
                <w:color w:val="000000"/>
                <w:lang w:eastAsia="en-AU"/>
              </w:rPr>
              <w:t>2.2.1 End-to-end recruitment support</w:t>
            </w:r>
            <w:r w:rsidRPr="00AF48B7">
              <w:rPr>
                <w:rFonts w:eastAsia="Times New Roman" w:cs="Arial"/>
                <w:color w:val="000000"/>
                <w:lang w:eastAsia="en-AU"/>
              </w:rPr>
              <w:br/>
            </w:r>
            <w:r w:rsidRPr="00AF48B7">
              <w:rPr>
                <w:rFonts w:eastAsia="Times New Roman" w:cs="Arial"/>
                <w:color w:val="000000"/>
                <w:lang w:eastAsia="en-AU"/>
              </w:rPr>
              <w:br/>
              <w:t xml:space="preserve">The DES provider delivers tailored end-to-end recruitment support to employers, including effective post placement services to participants and employers to support transition into employment and ongoing employment opportunities. </w:t>
            </w:r>
          </w:p>
        </w:tc>
        <w:tc>
          <w:tcPr>
            <w:tcW w:w="5349" w:type="dxa"/>
            <w:tcBorders>
              <w:top w:val="single" w:sz="4" w:space="0" w:color="000000"/>
              <w:bottom w:val="single" w:sz="4" w:space="0" w:color="000000"/>
            </w:tcBorders>
          </w:tcPr>
          <w:p w14:paraId="25369115" w14:textId="77777777" w:rsidR="008A702C" w:rsidRDefault="008A702C" w:rsidP="0095743D">
            <w:pPr>
              <w:spacing w:line="276" w:lineRule="auto"/>
              <w:rPr>
                <w:rFonts w:eastAsia="Times New Roman" w:cs="Arial"/>
                <w:i/>
                <w:color w:val="000000"/>
                <w:lang w:eastAsia="en-AU"/>
              </w:rPr>
            </w:pPr>
            <w:r w:rsidRPr="00551DEF">
              <w:rPr>
                <w:rFonts w:eastAsia="Times New Roman" w:cs="Arial"/>
                <w:lang w:eastAsia="en-AU"/>
              </w:rPr>
              <w:t>Recruitment support</w:t>
            </w:r>
            <w:r w:rsidRPr="00551DEF">
              <w:rPr>
                <w:rFonts w:eastAsia="Times New Roman" w:cs="Arial"/>
                <w:color w:val="000000"/>
                <w:lang w:eastAsia="en-AU"/>
              </w:rPr>
              <w:br/>
            </w:r>
            <w:r w:rsidRPr="00551DEF">
              <w:rPr>
                <w:rFonts w:eastAsia="Times New Roman" w:cs="Arial"/>
                <w:i/>
                <w:color w:val="000000"/>
                <w:lang w:eastAsia="en-AU"/>
              </w:rPr>
              <w:t>Delivers tailored end-to-end recruitme</w:t>
            </w:r>
            <w:r>
              <w:rPr>
                <w:rFonts w:eastAsia="Times New Roman" w:cs="Arial"/>
                <w:i/>
                <w:color w:val="000000"/>
                <w:lang w:eastAsia="en-AU"/>
              </w:rPr>
              <w:t>nt support. This may include:</w:t>
            </w:r>
          </w:p>
          <w:p w14:paraId="3968A25A" w14:textId="77777777" w:rsidR="008A702C" w:rsidRPr="00551DEF" w:rsidRDefault="008A702C" w:rsidP="0095743D">
            <w:pPr>
              <w:pStyle w:val="ListParagraph"/>
              <w:numPr>
                <w:ilvl w:val="0"/>
                <w:numId w:val="64"/>
              </w:numPr>
              <w:spacing w:line="276" w:lineRule="auto"/>
              <w:contextualSpacing w:val="0"/>
              <w:rPr>
                <w:rFonts w:eastAsia="Times New Roman" w:cs="Arial"/>
                <w:i/>
                <w:lang w:eastAsia="en-AU"/>
              </w:rPr>
            </w:pPr>
            <w:r w:rsidRPr="00551DEF">
              <w:rPr>
                <w:rFonts w:eastAsia="Times New Roman" w:cs="Arial"/>
                <w:i/>
                <w:lang w:eastAsia="en-AU"/>
              </w:rPr>
              <w:t>approaching employers on behalf of participants</w:t>
            </w:r>
          </w:p>
          <w:p w14:paraId="7A46A100" w14:textId="77777777" w:rsidR="00160165" w:rsidRDefault="008A702C" w:rsidP="0095743D">
            <w:pPr>
              <w:pStyle w:val="ListParagraph"/>
              <w:numPr>
                <w:ilvl w:val="0"/>
                <w:numId w:val="64"/>
              </w:numPr>
              <w:spacing w:line="276" w:lineRule="auto"/>
              <w:contextualSpacing w:val="0"/>
              <w:rPr>
                <w:rFonts w:eastAsia="Times New Roman" w:cs="Arial"/>
                <w:i/>
                <w:lang w:eastAsia="en-AU"/>
              </w:rPr>
            </w:pPr>
            <w:r w:rsidRPr="00551DEF">
              <w:rPr>
                <w:rFonts w:eastAsia="Times New Roman" w:cs="Arial"/>
                <w:i/>
                <w:lang w:eastAsia="en-AU"/>
              </w:rPr>
              <w:t xml:space="preserve">working with employers to identify recruitment needs </w:t>
            </w:r>
          </w:p>
          <w:p w14:paraId="7E293AB9" w14:textId="7789BDE3" w:rsidR="008A702C" w:rsidRPr="00551DEF" w:rsidRDefault="008A702C" w:rsidP="0095743D">
            <w:pPr>
              <w:pStyle w:val="ListParagraph"/>
              <w:numPr>
                <w:ilvl w:val="0"/>
                <w:numId w:val="64"/>
              </w:numPr>
              <w:spacing w:line="276" w:lineRule="auto"/>
              <w:contextualSpacing w:val="0"/>
              <w:rPr>
                <w:rFonts w:eastAsia="Times New Roman" w:cs="Arial"/>
                <w:i/>
                <w:lang w:eastAsia="en-AU"/>
              </w:rPr>
            </w:pPr>
            <w:r w:rsidRPr="00551DEF">
              <w:rPr>
                <w:rFonts w:eastAsia="Times New Roman" w:cs="Arial"/>
                <w:i/>
                <w:lang w:eastAsia="en-AU"/>
              </w:rPr>
              <w:t xml:space="preserve">wage subsidies </w:t>
            </w:r>
          </w:p>
          <w:p w14:paraId="0EBEB7DB" w14:textId="77777777" w:rsidR="008A702C" w:rsidRPr="00551DEF" w:rsidRDefault="008A702C" w:rsidP="0095743D">
            <w:pPr>
              <w:pStyle w:val="ListParagraph"/>
              <w:numPr>
                <w:ilvl w:val="0"/>
                <w:numId w:val="65"/>
              </w:numPr>
              <w:spacing w:line="276" w:lineRule="auto"/>
              <w:ind w:left="702" w:hanging="283"/>
              <w:contextualSpacing w:val="0"/>
              <w:rPr>
                <w:rFonts w:asciiTheme="minorHAnsi" w:hAnsiTheme="minorHAnsi" w:cstheme="minorHAnsi"/>
                <w:b/>
                <w:color w:val="FFFFFF" w:themeColor="background1"/>
              </w:rPr>
            </w:pPr>
            <w:r w:rsidRPr="00551DEF">
              <w:rPr>
                <w:rFonts w:eastAsia="Times New Roman" w:cs="Arial"/>
                <w:i/>
                <w:lang w:eastAsia="en-AU"/>
              </w:rPr>
              <w:t>providing info/support to access other support services (e.g. financial help through the Employment Assistance Fund for workplace modifications or equipment)</w:t>
            </w:r>
          </w:p>
        </w:tc>
        <w:tc>
          <w:tcPr>
            <w:tcW w:w="3686" w:type="dxa"/>
            <w:tcBorders>
              <w:top w:val="single" w:sz="4" w:space="0" w:color="000000"/>
              <w:bottom w:val="single" w:sz="4" w:space="0" w:color="000000"/>
            </w:tcBorders>
          </w:tcPr>
          <w:p w14:paraId="45A00EB8"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lang w:eastAsia="en-AU"/>
              </w:rPr>
              <w:t>Limited recruitment support (1 point)</w:t>
            </w:r>
          </w:p>
        </w:tc>
        <w:tc>
          <w:tcPr>
            <w:tcW w:w="3827" w:type="dxa"/>
            <w:tcBorders>
              <w:top w:val="single" w:sz="4" w:space="0" w:color="000000"/>
              <w:bottom w:val="single" w:sz="4" w:space="0" w:color="000000"/>
            </w:tcBorders>
          </w:tcPr>
          <w:p w14:paraId="28619198"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color w:val="000000"/>
                <w:lang w:eastAsia="en-AU"/>
              </w:rPr>
              <w:t xml:space="preserve">Engagement on behalf of participants about suitable jobs and to identify recruitment needs; </w:t>
            </w:r>
            <w:r w:rsidRPr="00551DEF">
              <w:rPr>
                <w:rFonts w:eastAsia="Times New Roman" w:cs="Arial"/>
                <w:lang w:eastAsia="en-AU"/>
              </w:rPr>
              <w:t>Tailored recruitment support; buil</w:t>
            </w:r>
            <w:r w:rsidRPr="00551DEF">
              <w:rPr>
                <w:rFonts w:eastAsia="Times New Roman" w:cs="Arial"/>
                <w:color w:val="000000"/>
                <w:lang w:eastAsia="en-AU"/>
              </w:rPr>
              <w:t>d capacity of employer to support participant (2 points)</w:t>
            </w:r>
          </w:p>
        </w:tc>
        <w:tc>
          <w:tcPr>
            <w:tcW w:w="3827" w:type="dxa"/>
            <w:tcBorders>
              <w:top w:val="single" w:sz="4" w:space="0" w:color="000000"/>
              <w:bottom w:val="single" w:sz="4" w:space="0" w:color="000000"/>
            </w:tcBorders>
          </w:tcPr>
          <w:p w14:paraId="421B4B83"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lang w:eastAsia="en-AU"/>
              </w:rPr>
              <w:t>As per 'Meets' PLUS: Innovation to address employer needs; Highly effective recruitment support (3 points)</w:t>
            </w:r>
          </w:p>
        </w:tc>
      </w:tr>
      <w:tr w:rsidR="008A702C" w:rsidRPr="007A34D6" w14:paraId="42F3FEE2" w14:textId="77777777" w:rsidTr="00082B71">
        <w:trPr>
          <w:trHeight w:val="1120"/>
          <w:tblHeader/>
        </w:trPr>
        <w:tc>
          <w:tcPr>
            <w:tcW w:w="4285" w:type="dxa"/>
            <w:vMerge/>
          </w:tcPr>
          <w:p w14:paraId="48BCD95E" w14:textId="77777777" w:rsidR="008A702C" w:rsidRPr="00AF48B7" w:rsidRDefault="008A702C" w:rsidP="0095743D">
            <w:pPr>
              <w:spacing w:line="276" w:lineRule="auto"/>
              <w:rPr>
                <w:rFonts w:eastAsia="Times New Roman" w:cs="Arial"/>
                <w:color w:val="000000"/>
                <w:lang w:eastAsia="en-AU"/>
              </w:rPr>
            </w:pPr>
          </w:p>
        </w:tc>
        <w:tc>
          <w:tcPr>
            <w:tcW w:w="5349" w:type="dxa"/>
            <w:tcBorders>
              <w:top w:val="single" w:sz="4" w:space="0" w:color="000000"/>
              <w:bottom w:val="single" w:sz="4" w:space="0" w:color="000000"/>
            </w:tcBorders>
          </w:tcPr>
          <w:p w14:paraId="020BC23B" w14:textId="6B7C69B4" w:rsidR="00F36FAB" w:rsidRDefault="008A702C" w:rsidP="0095743D">
            <w:pPr>
              <w:spacing w:line="276" w:lineRule="auto"/>
              <w:rPr>
                <w:rFonts w:eastAsia="Times New Roman" w:cs="Arial"/>
                <w:i/>
                <w:color w:val="000000"/>
                <w:lang w:eastAsia="en-AU"/>
              </w:rPr>
            </w:pPr>
            <w:r w:rsidRPr="00551DEF">
              <w:rPr>
                <w:rFonts w:eastAsia="Times New Roman" w:cs="Arial"/>
                <w:color w:val="000000"/>
                <w:lang w:eastAsia="en-AU"/>
              </w:rPr>
              <w:t>Referral of participants</w:t>
            </w:r>
            <w:r w:rsidRPr="00551DEF">
              <w:rPr>
                <w:rFonts w:eastAsia="Times New Roman" w:cs="Arial"/>
                <w:color w:val="000000"/>
                <w:lang w:eastAsia="en-AU"/>
              </w:rPr>
              <w:br/>
            </w:r>
            <w:r w:rsidRPr="00551DEF">
              <w:rPr>
                <w:rFonts w:eastAsia="Times New Roman" w:cs="Arial"/>
                <w:i/>
                <w:color w:val="000000"/>
                <w:lang w:eastAsia="en-AU"/>
              </w:rPr>
              <w:t>Match participants to positions based on assessment of participant and employer needs; Prepare and pre-screen participants; Provide employer with relevant information and support</w:t>
            </w:r>
          </w:p>
          <w:p w14:paraId="0FEBD301" w14:textId="641AA242" w:rsidR="00F36FAB" w:rsidRPr="007A34D6" w:rsidRDefault="00F36FAB" w:rsidP="0095743D">
            <w:pPr>
              <w:spacing w:line="276" w:lineRule="auto"/>
              <w:rPr>
                <w:rFonts w:asciiTheme="minorHAnsi" w:hAnsiTheme="minorHAnsi" w:cstheme="minorHAnsi"/>
                <w:b/>
                <w:color w:val="FFFFFF" w:themeColor="background1"/>
              </w:rPr>
            </w:pPr>
          </w:p>
        </w:tc>
        <w:tc>
          <w:tcPr>
            <w:tcW w:w="3686" w:type="dxa"/>
            <w:tcBorders>
              <w:top w:val="single" w:sz="4" w:space="0" w:color="000000"/>
              <w:bottom w:val="single" w:sz="4" w:space="0" w:color="000000"/>
            </w:tcBorders>
          </w:tcPr>
          <w:p w14:paraId="650A7765"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color w:val="000000"/>
                <w:lang w:eastAsia="en-AU"/>
              </w:rPr>
              <w:t xml:space="preserve">Limited or no systematic approach to prepare and pre-screen participants for roles; Participants often poorly matched to positions </w:t>
            </w:r>
            <w:r w:rsidRPr="00551DEF">
              <w:rPr>
                <w:rFonts w:eastAsia="Times New Roman" w:cs="Arial"/>
                <w:lang w:eastAsia="en-AU"/>
              </w:rPr>
              <w:t>(1 point)</w:t>
            </w:r>
          </w:p>
        </w:tc>
        <w:tc>
          <w:tcPr>
            <w:tcW w:w="3827" w:type="dxa"/>
            <w:tcBorders>
              <w:top w:val="single" w:sz="4" w:space="0" w:color="000000"/>
              <w:bottom w:val="single" w:sz="4" w:space="0" w:color="000000"/>
            </w:tcBorders>
          </w:tcPr>
          <w:p w14:paraId="5D935A12"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color w:val="000000"/>
                <w:lang w:eastAsia="en-AU"/>
              </w:rPr>
              <w:t>Effective approaches/processes in place; Participants generally well matched to positions (2 points)</w:t>
            </w:r>
          </w:p>
        </w:tc>
        <w:tc>
          <w:tcPr>
            <w:tcW w:w="3827" w:type="dxa"/>
            <w:tcBorders>
              <w:top w:val="single" w:sz="4" w:space="0" w:color="000000"/>
              <w:bottom w:val="single" w:sz="4" w:space="0" w:color="000000"/>
            </w:tcBorders>
          </w:tcPr>
          <w:p w14:paraId="78F35275" w14:textId="77777777" w:rsidR="008A702C" w:rsidRDefault="008A702C" w:rsidP="0095743D">
            <w:pPr>
              <w:spacing w:line="276" w:lineRule="auto"/>
              <w:rPr>
                <w:rFonts w:eastAsia="Times New Roman" w:cs="Arial"/>
                <w:color w:val="000000"/>
                <w:lang w:eastAsia="en-AU"/>
              </w:rPr>
            </w:pPr>
            <w:r w:rsidRPr="00551DEF">
              <w:rPr>
                <w:rFonts w:eastAsia="Times New Roman" w:cs="Arial"/>
                <w:color w:val="000000"/>
                <w:lang w:eastAsia="en-AU"/>
              </w:rPr>
              <w:t xml:space="preserve">Thorough and highly effective approaches/processes in place; Well prepared and highly suitable participants are matched to positions </w:t>
            </w:r>
          </w:p>
          <w:p w14:paraId="29AF3E41"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lang w:eastAsia="en-AU"/>
              </w:rPr>
              <w:t>(3 points)</w:t>
            </w:r>
          </w:p>
        </w:tc>
      </w:tr>
      <w:tr w:rsidR="008A702C" w:rsidRPr="007A34D6" w14:paraId="79C2A10E" w14:textId="77777777" w:rsidTr="00082B71">
        <w:trPr>
          <w:trHeight w:val="994"/>
          <w:tblHeader/>
        </w:trPr>
        <w:tc>
          <w:tcPr>
            <w:tcW w:w="4285" w:type="dxa"/>
            <w:vMerge/>
          </w:tcPr>
          <w:p w14:paraId="2585F194" w14:textId="77777777" w:rsidR="008A702C" w:rsidRPr="00AF48B7" w:rsidRDefault="008A702C" w:rsidP="0095743D">
            <w:pPr>
              <w:spacing w:line="276" w:lineRule="auto"/>
              <w:rPr>
                <w:rFonts w:eastAsia="Times New Roman" w:cs="Arial"/>
                <w:color w:val="000000"/>
                <w:lang w:eastAsia="en-AU"/>
              </w:rPr>
            </w:pPr>
          </w:p>
        </w:tc>
        <w:tc>
          <w:tcPr>
            <w:tcW w:w="5349" w:type="dxa"/>
            <w:tcBorders>
              <w:top w:val="single" w:sz="4" w:space="0" w:color="000000"/>
              <w:bottom w:val="single" w:sz="4" w:space="0" w:color="000000"/>
            </w:tcBorders>
          </w:tcPr>
          <w:p w14:paraId="1E918D90" w14:textId="77777777" w:rsidR="008A702C" w:rsidRDefault="008A702C" w:rsidP="0095743D">
            <w:pPr>
              <w:spacing w:line="276" w:lineRule="auto"/>
              <w:rPr>
                <w:rFonts w:eastAsia="Times New Roman" w:cs="Arial"/>
                <w:i/>
                <w:lang w:eastAsia="en-AU"/>
              </w:rPr>
            </w:pPr>
            <w:r w:rsidRPr="00551DEF">
              <w:rPr>
                <w:rFonts w:eastAsia="Times New Roman" w:cs="Arial"/>
                <w:color w:val="000000"/>
                <w:lang w:eastAsia="en-AU"/>
              </w:rPr>
              <w:t>P</w:t>
            </w:r>
            <w:r w:rsidRPr="00551DEF">
              <w:rPr>
                <w:rFonts w:eastAsia="Times New Roman" w:cs="Arial"/>
                <w:lang w:eastAsia="en-AU"/>
              </w:rPr>
              <w:t>ost Placement Services</w:t>
            </w:r>
            <w:r w:rsidRPr="00551DEF">
              <w:rPr>
                <w:rFonts w:eastAsia="Times New Roman" w:cs="Arial"/>
                <w:lang w:eastAsia="en-AU"/>
              </w:rPr>
              <w:br/>
            </w:r>
            <w:r w:rsidRPr="00551DEF">
              <w:rPr>
                <w:rFonts w:eastAsia="Times New Roman" w:cs="Arial"/>
                <w:i/>
                <w:lang w:eastAsia="en-AU"/>
              </w:rPr>
              <w:t>Plan and deliver effective post placement services to participants and employers based on assessment of participant and employer needs. This may include:</w:t>
            </w:r>
          </w:p>
          <w:p w14:paraId="50F09C23" w14:textId="77777777" w:rsidR="008A702C" w:rsidRPr="00551DEF" w:rsidRDefault="008A702C" w:rsidP="0095743D">
            <w:pPr>
              <w:pStyle w:val="ListParagraph"/>
              <w:numPr>
                <w:ilvl w:val="0"/>
                <w:numId w:val="66"/>
              </w:numPr>
              <w:spacing w:line="276" w:lineRule="auto"/>
              <w:contextualSpacing w:val="0"/>
              <w:rPr>
                <w:rFonts w:eastAsia="Times New Roman" w:cs="Arial"/>
                <w:i/>
                <w:lang w:eastAsia="en-AU"/>
              </w:rPr>
            </w:pPr>
            <w:r w:rsidRPr="00551DEF">
              <w:rPr>
                <w:rFonts w:eastAsia="Times New Roman" w:cs="Arial"/>
                <w:i/>
                <w:lang w:eastAsia="en-AU"/>
              </w:rPr>
              <w:t>support to help the participant settle into employment on-the-job training</w:t>
            </w:r>
          </w:p>
          <w:p w14:paraId="39A2C7DA" w14:textId="77777777" w:rsidR="008A702C" w:rsidRPr="00551DEF" w:rsidRDefault="008A702C" w:rsidP="0095743D">
            <w:pPr>
              <w:pStyle w:val="ListParagraph"/>
              <w:numPr>
                <w:ilvl w:val="0"/>
                <w:numId w:val="66"/>
              </w:numPr>
              <w:spacing w:line="276" w:lineRule="auto"/>
              <w:contextualSpacing w:val="0"/>
              <w:rPr>
                <w:rFonts w:eastAsia="Times New Roman" w:cs="Arial"/>
                <w:i/>
                <w:lang w:eastAsia="en-AU"/>
              </w:rPr>
            </w:pPr>
            <w:r w:rsidRPr="00551DEF">
              <w:rPr>
                <w:rFonts w:eastAsia="Times New Roman" w:cs="Arial"/>
                <w:i/>
                <w:lang w:eastAsia="en-AU"/>
              </w:rPr>
              <w:t>information, support and training for employer and/or co-workers</w:t>
            </w:r>
          </w:p>
          <w:p w14:paraId="34D9C792" w14:textId="77777777" w:rsidR="008A702C" w:rsidRPr="00551DEF" w:rsidRDefault="008A702C" w:rsidP="0095743D">
            <w:pPr>
              <w:pStyle w:val="ListParagraph"/>
              <w:numPr>
                <w:ilvl w:val="0"/>
                <w:numId w:val="66"/>
              </w:numPr>
              <w:spacing w:line="276" w:lineRule="auto"/>
              <w:contextualSpacing w:val="0"/>
              <w:rPr>
                <w:rFonts w:eastAsia="Times New Roman" w:cs="Arial"/>
                <w:i/>
                <w:lang w:eastAsia="en-AU"/>
              </w:rPr>
            </w:pPr>
            <w:r w:rsidRPr="00551DEF">
              <w:rPr>
                <w:rFonts w:eastAsia="Times New Roman" w:cs="Arial"/>
                <w:i/>
                <w:lang w:eastAsia="en-AU"/>
              </w:rPr>
              <w:t>help to resolve any problems at work</w:t>
            </w:r>
          </w:p>
          <w:p w14:paraId="72C2465B" w14:textId="45A4BD7E" w:rsidR="008A702C" w:rsidRPr="00F36FAB" w:rsidRDefault="008A702C" w:rsidP="0095743D">
            <w:pPr>
              <w:pStyle w:val="ListParagraph"/>
              <w:numPr>
                <w:ilvl w:val="0"/>
                <w:numId w:val="66"/>
              </w:numPr>
              <w:spacing w:line="276" w:lineRule="auto"/>
              <w:contextualSpacing w:val="0"/>
              <w:rPr>
                <w:rFonts w:asciiTheme="minorHAnsi" w:hAnsiTheme="minorHAnsi" w:cstheme="minorHAnsi"/>
                <w:b/>
                <w:color w:val="FFFFFF" w:themeColor="background1"/>
              </w:rPr>
            </w:pPr>
            <w:r w:rsidRPr="00551DEF">
              <w:rPr>
                <w:rFonts w:eastAsia="Times New Roman" w:cs="Arial"/>
                <w:i/>
                <w:lang w:eastAsia="en-AU"/>
              </w:rPr>
              <w:t>plan/strategy for participant to become an Independent Worker (where appropriate to the needs and capability of the participant)</w:t>
            </w:r>
          </w:p>
          <w:p w14:paraId="5C065926" w14:textId="23C322B8" w:rsidR="00F36FAB" w:rsidRDefault="00F36FAB" w:rsidP="00F36FAB">
            <w:pPr>
              <w:spacing w:line="276" w:lineRule="auto"/>
              <w:rPr>
                <w:rFonts w:asciiTheme="minorHAnsi" w:hAnsiTheme="minorHAnsi" w:cstheme="minorHAnsi"/>
                <w:b/>
                <w:color w:val="FFFFFF" w:themeColor="background1"/>
              </w:rPr>
            </w:pPr>
          </w:p>
          <w:p w14:paraId="1017AA70" w14:textId="412D11D3" w:rsidR="00F36FAB" w:rsidRDefault="00F36FAB" w:rsidP="00F36FAB">
            <w:pPr>
              <w:spacing w:line="276" w:lineRule="auto"/>
              <w:rPr>
                <w:rFonts w:asciiTheme="minorHAnsi" w:hAnsiTheme="minorHAnsi" w:cstheme="minorHAnsi"/>
                <w:b/>
                <w:color w:val="FFFFFF" w:themeColor="background1"/>
              </w:rPr>
            </w:pPr>
          </w:p>
          <w:p w14:paraId="7911A0EB" w14:textId="77777777" w:rsidR="00F36FAB" w:rsidRPr="00F36FAB" w:rsidRDefault="00F36FAB" w:rsidP="00F36FAB">
            <w:pPr>
              <w:spacing w:line="276" w:lineRule="auto"/>
              <w:rPr>
                <w:rFonts w:asciiTheme="minorHAnsi" w:hAnsiTheme="minorHAnsi" w:cstheme="minorHAnsi"/>
                <w:b/>
                <w:color w:val="FFFFFF" w:themeColor="background1"/>
              </w:rPr>
            </w:pPr>
          </w:p>
          <w:p w14:paraId="21C9E98F" w14:textId="0F4C0757" w:rsidR="00082B71" w:rsidRPr="00082B71" w:rsidRDefault="00082B71" w:rsidP="00082B71">
            <w:pPr>
              <w:spacing w:line="276" w:lineRule="auto"/>
              <w:rPr>
                <w:rFonts w:asciiTheme="minorHAnsi" w:hAnsiTheme="minorHAnsi" w:cstheme="minorHAnsi"/>
                <w:b/>
                <w:color w:val="FFFFFF" w:themeColor="background1"/>
              </w:rPr>
            </w:pPr>
          </w:p>
        </w:tc>
        <w:tc>
          <w:tcPr>
            <w:tcW w:w="3686" w:type="dxa"/>
            <w:tcBorders>
              <w:top w:val="single" w:sz="4" w:space="0" w:color="000000"/>
              <w:bottom w:val="single" w:sz="4" w:space="0" w:color="000000"/>
            </w:tcBorders>
          </w:tcPr>
          <w:p w14:paraId="5A11CB4B"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lang w:eastAsia="en-AU"/>
              </w:rPr>
              <w:t>Supports are not tailored to participant or employer needs; Limited range of post placement services; Limited or no help to resolve problems at work (1 point)</w:t>
            </w:r>
          </w:p>
        </w:tc>
        <w:tc>
          <w:tcPr>
            <w:tcW w:w="3827" w:type="dxa"/>
            <w:tcBorders>
              <w:top w:val="single" w:sz="4" w:space="0" w:color="000000"/>
              <w:bottom w:val="single" w:sz="4" w:space="0" w:color="000000"/>
            </w:tcBorders>
          </w:tcPr>
          <w:p w14:paraId="77B0ECDC"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color w:val="000000"/>
                <w:lang w:eastAsia="en-AU"/>
              </w:rPr>
              <w:t>Tailored based on participant and employer needs; Supports ensure participants receive minimum rates of pay; Supports are effective in maintaining employment (2 points)</w:t>
            </w:r>
          </w:p>
        </w:tc>
        <w:tc>
          <w:tcPr>
            <w:tcW w:w="3827" w:type="dxa"/>
            <w:tcBorders>
              <w:top w:val="single" w:sz="4" w:space="0" w:color="000000"/>
              <w:bottom w:val="single" w:sz="4" w:space="0" w:color="000000"/>
            </w:tcBorders>
          </w:tcPr>
          <w:p w14:paraId="597BB459" w14:textId="77777777" w:rsidR="008A702C" w:rsidRPr="007A34D6" w:rsidRDefault="008A702C" w:rsidP="0095743D">
            <w:pPr>
              <w:spacing w:line="276" w:lineRule="auto"/>
              <w:rPr>
                <w:rFonts w:asciiTheme="minorHAnsi" w:hAnsiTheme="minorHAnsi" w:cstheme="minorHAnsi"/>
                <w:b/>
                <w:color w:val="FFFFFF" w:themeColor="background1"/>
              </w:rPr>
            </w:pPr>
            <w:r w:rsidRPr="00551DEF">
              <w:rPr>
                <w:rFonts w:eastAsia="Times New Roman" w:cs="Arial"/>
                <w:lang w:eastAsia="en-AU"/>
              </w:rPr>
              <w:t>As per 'Meets' PLUS:  Innovation to address complex issues; Participant's achieve (or are working towards) level of independence appropriate to need/capability (3 points)</w:t>
            </w:r>
          </w:p>
        </w:tc>
      </w:tr>
    </w:tbl>
    <w:tbl>
      <w:tblPr>
        <w:tblStyle w:val="TableGrid4"/>
        <w:tblW w:w="20974" w:type="dxa"/>
        <w:tblLook w:val="0480" w:firstRow="0" w:lastRow="0" w:firstColumn="1" w:lastColumn="0" w:noHBand="0" w:noVBand="1"/>
        <w:tblCaption w:val="Assessing the Understanding Quality Assessment under Outcome 2.2"/>
        <w:tblDescription w:val="Assessment rubric details with the detailed incators against each outcome and what it looks like for a provider to be seen as needing to improve, meeting or exceeding the standards."/>
      </w:tblPr>
      <w:tblGrid>
        <w:gridCol w:w="4285"/>
        <w:gridCol w:w="5349"/>
        <w:gridCol w:w="3686"/>
        <w:gridCol w:w="76"/>
        <w:gridCol w:w="3751"/>
        <w:gridCol w:w="11"/>
        <w:gridCol w:w="3763"/>
        <w:gridCol w:w="53"/>
      </w:tblGrid>
      <w:tr w:rsidR="00BB0740" w:rsidRPr="007A34D6" w14:paraId="15CE429B" w14:textId="77777777" w:rsidTr="00BB0740">
        <w:trPr>
          <w:trHeight w:val="447"/>
          <w:tblHeader/>
        </w:trPr>
        <w:tc>
          <w:tcPr>
            <w:tcW w:w="4285" w:type="dxa"/>
            <w:vMerge w:val="restart"/>
            <w:shd w:val="clear" w:color="auto" w:fill="215868" w:themeFill="accent5" w:themeFillShade="80"/>
          </w:tcPr>
          <w:p w14:paraId="145FE620" w14:textId="3A256EA7" w:rsidR="00BB0740" w:rsidRPr="00BB0740" w:rsidRDefault="00BB0740" w:rsidP="00BB0740">
            <w:pPr>
              <w:rPr>
                <w:rFonts w:asciiTheme="minorHAnsi" w:hAnsiTheme="minorHAnsi" w:cstheme="minorHAnsi"/>
                <w:b/>
                <w:color w:val="FFFFFF" w:themeColor="background1"/>
              </w:rPr>
            </w:pPr>
            <w:r w:rsidRPr="007A34D6">
              <w:rPr>
                <w:rFonts w:asciiTheme="minorHAnsi" w:hAnsiTheme="minorHAnsi" w:cstheme="minorHAnsi"/>
                <w:b/>
                <w:color w:val="FFFFFF" w:themeColor="background1"/>
              </w:rPr>
              <w:lastRenderedPageBreak/>
              <w:t>Element of good practice</w:t>
            </w:r>
          </w:p>
        </w:tc>
        <w:tc>
          <w:tcPr>
            <w:tcW w:w="5349" w:type="dxa"/>
            <w:vMerge w:val="restart"/>
            <w:tcBorders>
              <w:top w:val="single" w:sz="4" w:space="0" w:color="000000"/>
            </w:tcBorders>
            <w:shd w:val="clear" w:color="auto" w:fill="215868" w:themeFill="accent5" w:themeFillShade="80"/>
          </w:tcPr>
          <w:p w14:paraId="3E0C0F80" w14:textId="44F10E41" w:rsidR="00BB0740" w:rsidRPr="00BB0740" w:rsidRDefault="00BB0740" w:rsidP="00BB0740">
            <w:pPr>
              <w:rPr>
                <w:rFonts w:asciiTheme="minorHAnsi" w:hAnsiTheme="minorHAnsi" w:cstheme="minorHAnsi"/>
                <w:b/>
                <w:color w:val="FFFFFF" w:themeColor="background1"/>
              </w:rPr>
            </w:pPr>
            <w:r w:rsidRPr="007A34D6">
              <w:rPr>
                <w:rFonts w:asciiTheme="minorHAnsi" w:hAnsiTheme="minorHAnsi" w:cstheme="minorHAnsi"/>
                <w:b/>
                <w:color w:val="FFFFFF" w:themeColor="background1"/>
              </w:rPr>
              <w:t xml:space="preserve">Indicator </w:t>
            </w:r>
          </w:p>
        </w:tc>
        <w:tc>
          <w:tcPr>
            <w:tcW w:w="11340" w:type="dxa"/>
            <w:gridSpan w:val="6"/>
            <w:tcBorders>
              <w:top w:val="single" w:sz="4" w:space="0" w:color="000000"/>
            </w:tcBorders>
            <w:shd w:val="clear" w:color="auto" w:fill="215868" w:themeFill="accent5" w:themeFillShade="80"/>
          </w:tcPr>
          <w:p w14:paraId="649DD3AB" w14:textId="0A750D80" w:rsidR="00BB0740" w:rsidRPr="008D1931" w:rsidRDefault="00BB0740" w:rsidP="00BB0740">
            <w:pPr>
              <w:jc w:val="center"/>
              <w:rPr>
                <w:rFonts w:cs="Arial"/>
                <w:color w:val="000000"/>
              </w:rPr>
            </w:pPr>
            <w:r w:rsidRPr="007A34D6">
              <w:rPr>
                <w:rFonts w:asciiTheme="minorHAnsi" w:hAnsiTheme="minorHAnsi" w:cstheme="minorHAnsi"/>
                <w:b/>
                <w:color w:val="FFFFFF" w:themeColor="background1"/>
              </w:rPr>
              <w:t>Descriptor**</w:t>
            </w:r>
          </w:p>
        </w:tc>
      </w:tr>
      <w:tr w:rsidR="00BB0740" w:rsidRPr="007A34D6" w14:paraId="3420BC8F" w14:textId="77777777" w:rsidTr="00BB0740">
        <w:trPr>
          <w:trHeight w:val="355"/>
          <w:tblHeader/>
        </w:trPr>
        <w:tc>
          <w:tcPr>
            <w:tcW w:w="4285" w:type="dxa"/>
            <w:vMerge/>
          </w:tcPr>
          <w:p w14:paraId="76752F50" w14:textId="77777777" w:rsidR="00BB0740" w:rsidRPr="00551DEF" w:rsidRDefault="00BB0740" w:rsidP="00BB0740">
            <w:pPr>
              <w:spacing w:after="240"/>
              <w:rPr>
                <w:rFonts w:cs="Arial"/>
                <w:color w:val="000000"/>
              </w:rPr>
            </w:pPr>
          </w:p>
        </w:tc>
        <w:tc>
          <w:tcPr>
            <w:tcW w:w="5349" w:type="dxa"/>
            <w:vMerge/>
          </w:tcPr>
          <w:p w14:paraId="08A514C4" w14:textId="77777777" w:rsidR="00BB0740" w:rsidRPr="008D1931" w:rsidRDefault="00BB0740" w:rsidP="00BB0740">
            <w:pPr>
              <w:rPr>
                <w:rFonts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01A4AB1" w14:textId="46C70B3D" w:rsidR="00BB0740" w:rsidRPr="008D1931" w:rsidRDefault="00BB0740" w:rsidP="00BB0740">
            <w:pPr>
              <w:jc w:val="center"/>
              <w:rPr>
                <w:rFonts w:cs="Arial"/>
                <w:color w:val="000000"/>
              </w:rPr>
            </w:pPr>
            <w:r w:rsidRPr="007A34D6">
              <w:rPr>
                <w:rFonts w:asciiTheme="minorHAnsi" w:hAnsiTheme="minorHAnsi" w:cstheme="minorHAnsi"/>
                <w:b/>
                <w:color w:val="FFFFFF" w:themeColor="background1"/>
              </w:rPr>
              <w:t xml:space="preserve">Improvement Required </w:t>
            </w:r>
            <w:r w:rsidRPr="007A34D6">
              <w:rPr>
                <w:rFonts w:asciiTheme="minorHAnsi" w:hAnsiTheme="minorHAnsi" w:cstheme="minorHAnsi"/>
                <w:b/>
                <w:color w:val="FFFFFF" w:themeColor="background1"/>
              </w:rPr>
              <w:sym w:font="Wingdings" w:char="F0FC"/>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BB03793" w14:textId="5D0710B4" w:rsidR="00BB0740" w:rsidRPr="008D1931" w:rsidRDefault="00BB0740" w:rsidP="00BB0740">
            <w:pPr>
              <w:jc w:val="center"/>
              <w:rPr>
                <w:rFonts w:cs="Arial"/>
                <w:color w:val="000000"/>
              </w:rPr>
            </w:pPr>
            <w:r w:rsidRPr="007A34D6">
              <w:rPr>
                <w:rFonts w:asciiTheme="minorHAnsi" w:hAnsiTheme="minorHAnsi" w:cstheme="minorHAnsi"/>
                <w:b/>
                <w:color w:val="FFFFFF" w:themeColor="background1"/>
              </w:rPr>
              <w:t xml:space="preserve">Meets </w:t>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215868" w:themeFill="accent5" w:themeFillShade="80"/>
          </w:tcPr>
          <w:p w14:paraId="4250E2FC" w14:textId="7318B8A8" w:rsidR="00BB0740" w:rsidRPr="008D1931" w:rsidRDefault="00BB0740" w:rsidP="00BB0740">
            <w:pPr>
              <w:jc w:val="center"/>
              <w:rPr>
                <w:rFonts w:cs="Arial"/>
                <w:color w:val="000000"/>
              </w:rPr>
            </w:pPr>
            <w:r w:rsidRPr="007A34D6">
              <w:rPr>
                <w:rFonts w:asciiTheme="minorHAnsi" w:hAnsiTheme="minorHAnsi" w:cstheme="minorHAnsi"/>
                <w:b/>
                <w:color w:val="FFFFFF" w:themeColor="background1"/>
              </w:rPr>
              <w:t xml:space="preserve">Exceeds </w:t>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r w:rsidRPr="007A34D6">
              <w:rPr>
                <w:rFonts w:asciiTheme="minorHAnsi" w:hAnsiTheme="minorHAnsi" w:cstheme="minorHAnsi"/>
                <w:b/>
                <w:color w:val="FFFFFF" w:themeColor="background1"/>
              </w:rPr>
              <w:sym w:font="Wingdings" w:char="F0FC"/>
            </w:r>
          </w:p>
        </w:tc>
      </w:tr>
      <w:tr w:rsidR="00F36FAB" w:rsidRPr="007A34D6" w14:paraId="237322A5" w14:textId="77777777" w:rsidTr="00082B71">
        <w:trPr>
          <w:trHeight w:val="994"/>
          <w:tblHeader/>
        </w:trPr>
        <w:tc>
          <w:tcPr>
            <w:tcW w:w="4285" w:type="dxa"/>
            <w:vMerge w:val="restart"/>
          </w:tcPr>
          <w:p w14:paraId="5318D332" w14:textId="77777777" w:rsidR="00F36FAB" w:rsidRPr="00551DEF" w:rsidRDefault="00F36FAB" w:rsidP="00F36FAB">
            <w:pPr>
              <w:spacing w:after="240"/>
              <w:rPr>
                <w:rFonts w:eastAsia="Times New Roman" w:cs="Arial"/>
                <w:color w:val="000000"/>
                <w:lang w:eastAsia="en-AU"/>
              </w:rPr>
            </w:pPr>
            <w:r w:rsidRPr="00551DEF">
              <w:rPr>
                <w:rFonts w:eastAsia="Times New Roman" w:cs="Arial"/>
                <w:color w:val="000000"/>
                <w:lang w:eastAsia="en-AU"/>
              </w:rPr>
              <w:t>2.2.2 Stakeholder engagement and understanding of labour market</w:t>
            </w:r>
          </w:p>
          <w:p w14:paraId="7A6AFC27" w14:textId="77777777" w:rsidR="00F36FAB" w:rsidRPr="00AF48B7" w:rsidRDefault="00F36FAB" w:rsidP="00F36FAB">
            <w:pPr>
              <w:rPr>
                <w:rFonts w:eastAsia="Times New Roman" w:cs="Arial"/>
                <w:color w:val="000000"/>
                <w:lang w:eastAsia="en-AU"/>
              </w:rPr>
            </w:pPr>
            <w:r w:rsidRPr="00551DEF">
              <w:rPr>
                <w:rFonts w:eastAsia="Times New Roman" w:cs="Arial"/>
                <w:color w:val="000000"/>
                <w:lang w:eastAsia="en-AU"/>
              </w:rPr>
              <w:t>The DES provider actively connects networks and collaborates with community, employers and other relevant stakeholders to understand labour market needs and deliver diverse and supported pathways for participants.</w:t>
            </w:r>
          </w:p>
        </w:tc>
        <w:tc>
          <w:tcPr>
            <w:tcW w:w="5349" w:type="dxa"/>
            <w:tcBorders>
              <w:top w:val="single" w:sz="4" w:space="0" w:color="000000"/>
            </w:tcBorders>
          </w:tcPr>
          <w:p w14:paraId="75585FF2" w14:textId="77777777" w:rsidR="00F36FAB" w:rsidRPr="008D1931" w:rsidRDefault="00F36FAB" w:rsidP="00F36FAB">
            <w:pPr>
              <w:rPr>
                <w:rFonts w:eastAsia="Times New Roman" w:cs="Arial"/>
                <w:color w:val="000000"/>
                <w:lang w:eastAsia="en-AU"/>
              </w:rPr>
            </w:pPr>
            <w:r w:rsidRPr="008D1931">
              <w:rPr>
                <w:rFonts w:eastAsia="Times New Roman" w:cs="Arial"/>
                <w:color w:val="000000"/>
                <w:lang w:eastAsia="en-AU"/>
              </w:rPr>
              <w:t>Employer Engagement</w:t>
            </w:r>
            <w:r w:rsidRPr="00551DEF">
              <w:rPr>
                <w:rFonts w:eastAsia="Times New Roman" w:cs="Arial"/>
                <w:color w:val="000000"/>
                <w:lang w:eastAsia="en-AU"/>
              </w:rPr>
              <w:br/>
            </w:r>
            <w:r w:rsidRPr="00551DEF">
              <w:rPr>
                <w:rFonts w:eastAsia="Times New Roman" w:cs="Arial"/>
                <w:color w:val="000000"/>
                <w:lang w:eastAsia="en-AU"/>
              </w:rPr>
              <w:br/>
            </w:r>
            <w:r w:rsidRPr="008D1931">
              <w:rPr>
                <w:rFonts w:eastAsia="Times New Roman" w:cs="Arial"/>
                <w:color w:val="000000"/>
                <w:lang w:eastAsia="en-AU"/>
              </w:rPr>
              <w:t xml:space="preserve">Effective engagement with employers to meet skill and labour shortage needs.  </w:t>
            </w:r>
            <w:r w:rsidRPr="008D1931">
              <w:rPr>
                <w:rFonts w:eastAsia="Times New Roman" w:cs="Arial"/>
                <w:color w:val="000000"/>
                <w:lang w:eastAsia="en-AU"/>
              </w:rPr>
              <w:br/>
            </w:r>
            <w:r w:rsidRPr="008D1931">
              <w:rPr>
                <w:rFonts w:eastAsia="Times New Roman" w:cs="Arial"/>
                <w:color w:val="000000"/>
                <w:lang w:eastAsia="en-AU"/>
              </w:rPr>
              <w:br/>
              <w:t>Effective promotion and education of the program to build employer capacity and more inclusive workplaces. Supports lead to improved employment opportunities.</w:t>
            </w:r>
          </w:p>
          <w:p w14:paraId="5A65C9D0" w14:textId="77777777" w:rsidR="00F36FAB" w:rsidRPr="008D1931" w:rsidRDefault="00F36FAB" w:rsidP="00F36FAB">
            <w:pPr>
              <w:spacing w:before="0" w:after="0"/>
              <w:rPr>
                <w:rFonts w:eastAsia="Times New Roman" w:cs="Arial"/>
                <w:color w:val="000000"/>
                <w:lang w:eastAsia="en-AU"/>
              </w:rPr>
            </w:pPr>
            <w:r w:rsidRPr="008D1931">
              <w:rPr>
                <w:rFonts w:eastAsia="Times New Roman" w:cs="Arial"/>
                <w:color w:val="000000"/>
                <w:lang w:eastAsia="en-AU"/>
              </w:rPr>
              <w:t>DES providers work with employers to identify job and industry specific training needs and how they can be met.</w:t>
            </w:r>
            <w:r w:rsidRPr="008D1931">
              <w:rPr>
                <w:rFonts w:eastAsia="Times New Roman" w:cs="Arial"/>
                <w:color w:val="000000"/>
                <w:lang w:eastAsia="en-AU"/>
              </w:rPr>
              <w:br/>
            </w:r>
            <w:r w:rsidRPr="008D1931">
              <w:rPr>
                <w:rFonts w:eastAsia="Times New Roman" w:cs="Arial"/>
                <w:color w:val="000000"/>
                <w:lang w:eastAsia="en-AU"/>
              </w:rPr>
              <w:br/>
              <w:t>This may include, but is not limited to:</w:t>
            </w:r>
          </w:p>
          <w:p w14:paraId="0DFC16FE" w14:textId="77777777" w:rsidR="00F36FAB" w:rsidRPr="00551DEF" w:rsidRDefault="00F36FAB" w:rsidP="00F36FAB">
            <w:pPr>
              <w:pStyle w:val="ListParagraph"/>
              <w:numPr>
                <w:ilvl w:val="0"/>
                <w:numId w:val="66"/>
              </w:numPr>
              <w:spacing w:before="0" w:after="0"/>
              <w:ind w:left="714" w:hanging="357"/>
              <w:rPr>
                <w:rFonts w:eastAsia="Times New Roman" w:cs="Arial"/>
                <w:color w:val="000000"/>
                <w:lang w:eastAsia="en-AU"/>
              </w:rPr>
            </w:pPr>
            <w:r w:rsidRPr="008D1931">
              <w:rPr>
                <w:rFonts w:eastAsia="Times New Roman" w:cs="Arial"/>
                <w:color w:val="000000"/>
                <w:lang w:eastAsia="en-AU"/>
              </w:rPr>
              <w:t>Engaging with employers from a range of industries</w:t>
            </w:r>
          </w:p>
          <w:p w14:paraId="1B0ACD5E" w14:textId="57CE3C8C" w:rsidR="00F36FAB" w:rsidRPr="00BA04B9" w:rsidRDefault="00F36FAB" w:rsidP="00F36FAB">
            <w:pPr>
              <w:pStyle w:val="ListParagraph"/>
              <w:numPr>
                <w:ilvl w:val="0"/>
                <w:numId w:val="66"/>
              </w:numPr>
              <w:rPr>
                <w:rFonts w:eastAsia="Times New Roman" w:cs="Arial"/>
                <w:color w:val="000000"/>
                <w:lang w:eastAsia="en-AU"/>
              </w:rPr>
            </w:pPr>
            <w:r w:rsidRPr="008D1931">
              <w:rPr>
                <w:rFonts w:eastAsia="Times New Roman" w:cs="Arial"/>
                <w:color w:val="000000"/>
                <w:lang w:eastAsia="en-AU"/>
              </w:rPr>
              <w:t>Employer network membership</w:t>
            </w:r>
          </w:p>
        </w:tc>
        <w:tc>
          <w:tcPr>
            <w:tcW w:w="3686" w:type="dxa"/>
            <w:tcBorders>
              <w:top w:val="single" w:sz="4" w:space="0" w:color="000000"/>
            </w:tcBorders>
          </w:tcPr>
          <w:p w14:paraId="08754061" w14:textId="77777777" w:rsidR="00F36FAB" w:rsidRPr="008D1931" w:rsidRDefault="00F36FAB" w:rsidP="00F36FAB">
            <w:pPr>
              <w:rPr>
                <w:rFonts w:eastAsia="Times New Roman" w:cs="Arial"/>
                <w:color w:val="000000"/>
                <w:lang w:eastAsia="en-AU"/>
              </w:rPr>
            </w:pPr>
            <w:r w:rsidRPr="008D1931">
              <w:rPr>
                <w:rFonts w:eastAsia="Times New Roman" w:cs="Arial"/>
                <w:color w:val="000000"/>
                <w:lang w:eastAsia="en-AU"/>
              </w:rPr>
              <w:t>Provider does not assist employers to meet skill and labour shortage needs by working with employers to identify job specific training needs and how they can be met (1 point)</w:t>
            </w:r>
          </w:p>
        </w:tc>
        <w:tc>
          <w:tcPr>
            <w:tcW w:w="3827" w:type="dxa"/>
            <w:gridSpan w:val="2"/>
            <w:tcBorders>
              <w:top w:val="single" w:sz="4" w:space="0" w:color="000000"/>
            </w:tcBorders>
          </w:tcPr>
          <w:p w14:paraId="153389AE" w14:textId="77777777" w:rsidR="00F36FAB" w:rsidRPr="00551DEF" w:rsidRDefault="00F36FAB" w:rsidP="00F36FAB">
            <w:pPr>
              <w:rPr>
                <w:rFonts w:eastAsia="Times New Roman" w:cs="Arial"/>
                <w:color w:val="000000"/>
                <w:lang w:eastAsia="en-AU"/>
              </w:rPr>
            </w:pPr>
            <w:r w:rsidRPr="008D1931">
              <w:rPr>
                <w:rFonts w:eastAsia="Times New Roman" w:cs="Arial"/>
                <w:color w:val="000000"/>
                <w:lang w:eastAsia="en-AU"/>
              </w:rPr>
              <w:t xml:space="preserve">Provider assists employers to meet skill and labour shortage needs by working with employers to identify job and industry specific training needs and how they can be met </w:t>
            </w:r>
            <w:r w:rsidRPr="00551DEF">
              <w:rPr>
                <w:rFonts w:eastAsia="Times New Roman" w:cs="Arial"/>
                <w:color w:val="000000"/>
                <w:lang w:eastAsia="en-AU"/>
              </w:rPr>
              <w:t>(2 points)</w:t>
            </w:r>
          </w:p>
        </w:tc>
        <w:tc>
          <w:tcPr>
            <w:tcW w:w="3827" w:type="dxa"/>
            <w:gridSpan w:val="3"/>
            <w:tcBorders>
              <w:top w:val="single" w:sz="4" w:space="0" w:color="000000"/>
            </w:tcBorders>
          </w:tcPr>
          <w:p w14:paraId="753593C7" w14:textId="77777777" w:rsidR="00F36FAB" w:rsidRPr="008D1931" w:rsidRDefault="00F36FAB" w:rsidP="00F36FAB">
            <w:pPr>
              <w:rPr>
                <w:rFonts w:eastAsia="Times New Roman" w:cs="Arial"/>
                <w:color w:val="000000"/>
                <w:lang w:eastAsia="en-AU"/>
              </w:rPr>
            </w:pPr>
            <w:r w:rsidRPr="008D1931">
              <w:rPr>
                <w:rFonts w:eastAsia="Times New Roman" w:cs="Arial"/>
                <w:color w:val="000000"/>
                <w:lang w:eastAsia="en-AU"/>
              </w:rPr>
              <w:t>As per 'Meets' PLUS: Strategic engagement; Analyse effectiveness of actions to meet needs; build stakeholder capacity to hire, support and retain employees with disability (3 points)</w:t>
            </w:r>
          </w:p>
        </w:tc>
      </w:tr>
      <w:tr w:rsidR="00F36FAB" w:rsidRPr="007A34D6" w14:paraId="5FA3668B" w14:textId="77777777" w:rsidTr="00082B71">
        <w:trPr>
          <w:trHeight w:val="994"/>
          <w:tblHeader/>
        </w:trPr>
        <w:tc>
          <w:tcPr>
            <w:tcW w:w="4285" w:type="dxa"/>
            <w:vMerge/>
          </w:tcPr>
          <w:p w14:paraId="1304D668" w14:textId="77777777" w:rsidR="00F36FAB" w:rsidRPr="00AF48B7" w:rsidRDefault="00F36FAB" w:rsidP="00F36FAB">
            <w:pPr>
              <w:spacing w:after="240"/>
              <w:rPr>
                <w:rFonts w:eastAsia="Times New Roman" w:cs="Arial"/>
                <w:color w:val="000000"/>
                <w:lang w:eastAsia="en-AU"/>
              </w:rPr>
            </w:pPr>
          </w:p>
        </w:tc>
        <w:tc>
          <w:tcPr>
            <w:tcW w:w="5349" w:type="dxa"/>
            <w:tcBorders>
              <w:top w:val="single" w:sz="4" w:space="0" w:color="000000"/>
              <w:bottom w:val="single" w:sz="4" w:space="0" w:color="000000"/>
            </w:tcBorders>
          </w:tcPr>
          <w:p w14:paraId="3BA20BAE" w14:textId="77777777" w:rsidR="00F36FAB" w:rsidRDefault="00F36FAB" w:rsidP="00F36FAB">
            <w:pPr>
              <w:rPr>
                <w:rFonts w:eastAsia="Times New Roman" w:cs="Arial"/>
                <w:lang w:eastAsia="en-AU"/>
              </w:rPr>
            </w:pPr>
            <w:r w:rsidRPr="00551DEF">
              <w:rPr>
                <w:rFonts w:eastAsia="Times New Roman" w:cs="Arial"/>
                <w:lang w:eastAsia="en-AU"/>
              </w:rPr>
              <w:t>Community/Other stakeholder Engagement</w:t>
            </w:r>
          </w:p>
          <w:p w14:paraId="52A6D904" w14:textId="376C7785" w:rsidR="00F36FAB" w:rsidRDefault="00F36FAB" w:rsidP="00F36FAB">
            <w:pPr>
              <w:rPr>
                <w:rFonts w:eastAsia="Times New Roman" w:cs="Arial"/>
                <w:i/>
                <w:color w:val="000000"/>
                <w:lang w:eastAsia="en-AU"/>
              </w:rPr>
            </w:pPr>
            <w:r w:rsidRPr="00551DEF">
              <w:rPr>
                <w:rFonts w:eastAsia="Times New Roman" w:cs="Arial"/>
                <w:i/>
                <w:color w:val="000000"/>
                <w:lang w:eastAsia="en-AU"/>
              </w:rPr>
              <w:t>Has an active presence in the community. This may involve promotion of the DES program and generate increased knowledge of the program in the community.</w:t>
            </w:r>
          </w:p>
          <w:p w14:paraId="5731ED6D" w14:textId="77777777" w:rsidR="00F36FAB" w:rsidRDefault="00F36FAB" w:rsidP="00F36FAB">
            <w:pPr>
              <w:rPr>
                <w:rFonts w:eastAsia="Times New Roman" w:cs="Arial"/>
                <w:i/>
                <w:color w:val="000000"/>
                <w:lang w:eastAsia="en-AU"/>
              </w:rPr>
            </w:pPr>
          </w:p>
          <w:p w14:paraId="65E0613E" w14:textId="77777777" w:rsidR="00F36FAB" w:rsidRPr="00551DEF" w:rsidRDefault="00F36FAB" w:rsidP="00F36FAB">
            <w:pPr>
              <w:rPr>
                <w:rFonts w:eastAsia="Times New Roman" w:cs="Arial"/>
                <w:color w:val="000000"/>
                <w:lang w:eastAsia="en-AU"/>
              </w:rPr>
            </w:pPr>
            <w:r w:rsidRPr="00551DEF">
              <w:rPr>
                <w:rFonts w:eastAsia="Times New Roman" w:cs="Arial"/>
                <w:i/>
                <w:lang w:eastAsia="en-AU"/>
              </w:rPr>
              <w:t>Works in collaborative partnerships</w:t>
            </w:r>
            <w:r w:rsidRPr="00551DEF">
              <w:rPr>
                <w:rFonts w:eastAsia="Times New Roman" w:cs="Arial"/>
                <w:i/>
                <w:color w:val="000000"/>
                <w:lang w:eastAsia="en-AU"/>
              </w:rPr>
              <w:t xml:space="preserve"> with stakeholders and communities to </w:t>
            </w:r>
            <w:r w:rsidRPr="00551DEF">
              <w:rPr>
                <w:rFonts w:eastAsia="Times New Roman" w:cs="Arial"/>
                <w:i/>
                <w:lang w:eastAsia="en-AU"/>
              </w:rPr>
              <w:t>identify needs and how they can be met.</w:t>
            </w:r>
          </w:p>
        </w:tc>
        <w:tc>
          <w:tcPr>
            <w:tcW w:w="3686" w:type="dxa"/>
            <w:tcBorders>
              <w:top w:val="single" w:sz="4" w:space="0" w:color="000000"/>
              <w:bottom w:val="single" w:sz="4" w:space="0" w:color="000000"/>
            </w:tcBorders>
          </w:tcPr>
          <w:p w14:paraId="6BFF6BDA" w14:textId="77777777" w:rsidR="00F36FAB" w:rsidRPr="00551DEF" w:rsidRDefault="00F36FAB" w:rsidP="00F36FAB">
            <w:pPr>
              <w:rPr>
                <w:rFonts w:eastAsia="Times New Roman" w:cs="Arial"/>
                <w:lang w:eastAsia="en-AU"/>
              </w:rPr>
            </w:pPr>
            <w:r w:rsidRPr="00551DEF">
              <w:rPr>
                <w:rFonts w:eastAsia="Times New Roman" w:cs="Arial"/>
                <w:lang w:eastAsia="en-AU"/>
              </w:rPr>
              <w:t>Provider does not work in collaborative partnerships with stakeholders and communities to identify needs and how they can be met (1 point)</w:t>
            </w:r>
          </w:p>
        </w:tc>
        <w:tc>
          <w:tcPr>
            <w:tcW w:w="3827" w:type="dxa"/>
            <w:gridSpan w:val="2"/>
            <w:tcBorders>
              <w:top w:val="single" w:sz="4" w:space="0" w:color="000000"/>
              <w:bottom w:val="single" w:sz="4" w:space="0" w:color="000000"/>
            </w:tcBorders>
          </w:tcPr>
          <w:p w14:paraId="40D96C5A" w14:textId="77777777" w:rsidR="00F36FAB" w:rsidRPr="00551DEF" w:rsidRDefault="00F36FAB" w:rsidP="00F36FAB">
            <w:pPr>
              <w:rPr>
                <w:rFonts w:eastAsia="Times New Roman" w:cs="Arial"/>
                <w:color w:val="000000"/>
                <w:lang w:eastAsia="en-AU"/>
              </w:rPr>
            </w:pPr>
            <w:r w:rsidRPr="00551DEF">
              <w:rPr>
                <w:rFonts w:eastAsia="Times New Roman" w:cs="Arial"/>
                <w:lang w:eastAsia="en-AU"/>
              </w:rPr>
              <w:t xml:space="preserve">Provider works in collaborative partnerships with stakeholders and communities to identify needs and how they can be met </w:t>
            </w:r>
            <w:r w:rsidRPr="00551DEF">
              <w:rPr>
                <w:rFonts w:eastAsia="Times New Roman" w:cs="Arial"/>
                <w:color w:val="000000"/>
                <w:lang w:eastAsia="en-AU"/>
              </w:rPr>
              <w:t>(2 points)</w:t>
            </w:r>
          </w:p>
        </w:tc>
        <w:tc>
          <w:tcPr>
            <w:tcW w:w="3827" w:type="dxa"/>
            <w:gridSpan w:val="3"/>
            <w:tcBorders>
              <w:top w:val="single" w:sz="4" w:space="0" w:color="000000"/>
              <w:bottom w:val="single" w:sz="4" w:space="0" w:color="000000"/>
            </w:tcBorders>
          </w:tcPr>
          <w:p w14:paraId="701E90BC" w14:textId="77777777" w:rsidR="00F36FAB" w:rsidRPr="00551DEF" w:rsidRDefault="00F36FAB" w:rsidP="00F36FAB">
            <w:pPr>
              <w:rPr>
                <w:rFonts w:eastAsia="Times New Roman" w:cs="Arial"/>
                <w:lang w:eastAsia="en-AU"/>
              </w:rPr>
            </w:pPr>
            <w:r w:rsidRPr="00551DEF">
              <w:rPr>
                <w:rFonts w:eastAsia="Times New Roman" w:cs="Arial"/>
                <w:color w:val="000000"/>
                <w:lang w:eastAsia="en-AU"/>
              </w:rPr>
              <w:t xml:space="preserve">As per 'Meets' PLUS: Strategic engagement; Analyse effectiveness of actions to meet needs; build stakeholder capacity to hire, support and retain employees with disability </w:t>
            </w:r>
            <w:r w:rsidRPr="00551DEF">
              <w:rPr>
                <w:rFonts w:eastAsia="Times New Roman" w:cs="Arial"/>
                <w:lang w:eastAsia="en-AU"/>
              </w:rPr>
              <w:t>(3 points)</w:t>
            </w:r>
          </w:p>
        </w:tc>
      </w:tr>
      <w:tr w:rsidR="00F36FAB" w:rsidRPr="007A34D6" w14:paraId="01346803" w14:textId="77777777" w:rsidTr="00082B71">
        <w:trPr>
          <w:trHeight w:val="994"/>
          <w:tblHeader/>
        </w:trPr>
        <w:tc>
          <w:tcPr>
            <w:tcW w:w="4285" w:type="dxa"/>
            <w:vMerge/>
          </w:tcPr>
          <w:p w14:paraId="1AA1D237" w14:textId="77777777" w:rsidR="00F36FAB" w:rsidRPr="00AF48B7" w:rsidRDefault="00F36FAB" w:rsidP="00F36FAB">
            <w:pPr>
              <w:spacing w:after="240"/>
              <w:rPr>
                <w:rFonts w:eastAsia="Times New Roman" w:cs="Arial"/>
                <w:color w:val="000000"/>
                <w:lang w:eastAsia="en-AU"/>
              </w:rPr>
            </w:pPr>
          </w:p>
        </w:tc>
        <w:tc>
          <w:tcPr>
            <w:tcW w:w="5349" w:type="dxa"/>
            <w:tcBorders>
              <w:top w:val="single" w:sz="4" w:space="0" w:color="000000"/>
              <w:bottom w:val="single" w:sz="4" w:space="0" w:color="000000"/>
            </w:tcBorders>
          </w:tcPr>
          <w:p w14:paraId="4D0A5B27" w14:textId="77777777" w:rsidR="00F36FAB" w:rsidRDefault="00F36FAB" w:rsidP="00F36FAB">
            <w:pPr>
              <w:spacing w:after="240"/>
              <w:rPr>
                <w:rFonts w:eastAsia="Times New Roman" w:cs="Arial"/>
                <w:color w:val="000000"/>
                <w:lang w:eastAsia="en-AU"/>
              </w:rPr>
            </w:pPr>
            <w:r w:rsidRPr="00551DEF">
              <w:rPr>
                <w:rFonts w:eastAsia="Times New Roman" w:cs="Arial"/>
                <w:color w:val="000000"/>
                <w:lang w:eastAsia="en-AU"/>
              </w:rPr>
              <w:t>Labour Market Knowledge and Application</w:t>
            </w:r>
          </w:p>
          <w:p w14:paraId="2157B279" w14:textId="77777777" w:rsidR="00F36FAB" w:rsidRDefault="00F36FAB" w:rsidP="00F36FAB">
            <w:pPr>
              <w:spacing w:after="240"/>
              <w:rPr>
                <w:rFonts w:eastAsia="Times New Roman" w:cs="Arial"/>
                <w:i/>
                <w:color w:val="000000"/>
                <w:lang w:eastAsia="en-AU"/>
              </w:rPr>
            </w:pPr>
            <w:r w:rsidRPr="00551DEF">
              <w:rPr>
                <w:rFonts w:eastAsia="Times New Roman" w:cs="Arial"/>
                <w:i/>
                <w:lang w:eastAsia="en-AU"/>
              </w:rPr>
              <w:t>Sources data and/or</w:t>
            </w:r>
            <w:r w:rsidRPr="00551DEF">
              <w:rPr>
                <w:rFonts w:eastAsia="Times New Roman" w:cs="Arial"/>
                <w:i/>
                <w:color w:val="000000"/>
                <w:lang w:eastAsia="en-AU"/>
              </w:rPr>
              <w:t xml:space="preserve"> information to understand current and future labour market needs</w:t>
            </w:r>
          </w:p>
          <w:p w14:paraId="3C66947D" w14:textId="77777777" w:rsidR="00F36FAB" w:rsidRPr="00551DEF" w:rsidRDefault="00F36FAB" w:rsidP="00F36FAB">
            <w:pPr>
              <w:spacing w:after="240"/>
              <w:rPr>
                <w:rFonts w:eastAsia="Times New Roman" w:cs="Arial"/>
                <w:lang w:eastAsia="en-AU"/>
              </w:rPr>
            </w:pPr>
            <w:r w:rsidRPr="00551DEF">
              <w:rPr>
                <w:rFonts w:eastAsia="Times New Roman" w:cs="Arial"/>
                <w:i/>
                <w:color w:val="000000"/>
                <w:lang w:eastAsia="en-AU"/>
              </w:rPr>
              <w:t>Uses connections</w:t>
            </w:r>
            <w:r w:rsidRPr="00551DEF">
              <w:rPr>
                <w:rFonts w:eastAsia="Times New Roman" w:cs="Arial"/>
                <w:i/>
                <w:lang w:eastAsia="en-AU"/>
              </w:rPr>
              <w:t>/stakeholder relationships a</w:t>
            </w:r>
            <w:r w:rsidRPr="00551DEF">
              <w:rPr>
                <w:rFonts w:eastAsia="Times New Roman" w:cs="Arial"/>
                <w:i/>
                <w:color w:val="000000"/>
                <w:lang w:eastAsia="en-AU"/>
              </w:rPr>
              <w:t>nd labour market knowledge to deliver connected supports and diverse pathways to employment for participants</w:t>
            </w:r>
          </w:p>
        </w:tc>
        <w:tc>
          <w:tcPr>
            <w:tcW w:w="3686" w:type="dxa"/>
            <w:tcBorders>
              <w:top w:val="single" w:sz="4" w:space="0" w:color="000000"/>
              <w:bottom w:val="single" w:sz="4" w:space="0" w:color="000000"/>
            </w:tcBorders>
          </w:tcPr>
          <w:p w14:paraId="465B52A8" w14:textId="77777777" w:rsidR="00F36FAB" w:rsidRPr="00551DEF" w:rsidRDefault="00F36FAB" w:rsidP="00F36FAB">
            <w:pPr>
              <w:rPr>
                <w:rFonts w:eastAsia="Times New Roman" w:cs="Arial"/>
                <w:lang w:eastAsia="en-AU"/>
              </w:rPr>
            </w:pPr>
            <w:r w:rsidRPr="00551DEF">
              <w:rPr>
                <w:rFonts w:eastAsia="Times New Roman" w:cs="Arial"/>
                <w:lang w:eastAsia="en-AU"/>
              </w:rPr>
              <w:t>Does not use data and/or connections to understand labour markets; Knowledge and stakeholder relationships do not inform service planning and participant pathways (1 point)</w:t>
            </w:r>
          </w:p>
        </w:tc>
        <w:tc>
          <w:tcPr>
            <w:tcW w:w="3827" w:type="dxa"/>
            <w:gridSpan w:val="2"/>
            <w:tcBorders>
              <w:top w:val="single" w:sz="4" w:space="0" w:color="000000"/>
              <w:bottom w:val="single" w:sz="4" w:space="0" w:color="000000"/>
            </w:tcBorders>
          </w:tcPr>
          <w:p w14:paraId="387EC94E" w14:textId="77777777" w:rsidR="00F36FAB" w:rsidRPr="00551DEF" w:rsidRDefault="00F36FAB" w:rsidP="00F36FAB">
            <w:pPr>
              <w:rPr>
                <w:rFonts w:eastAsia="Times New Roman" w:cs="Arial"/>
                <w:lang w:eastAsia="en-AU"/>
              </w:rPr>
            </w:pPr>
            <w:r w:rsidRPr="00551DEF">
              <w:rPr>
                <w:rFonts w:eastAsia="Times New Roman" w:cs="Arial"/>
                <w:lang w:eastAsia="en-AU"/>
              </w:rPr>
              <w:t>Use data and/or</w:t>
            </w:r>
            <w:r w:rsidRPr="00551DEF">
              <w:rPr>
                <w:rFonts w:eastAsia="Times New Roman" w:cs="Arial"/>
                <w:color w:val="000000"/>
                <w:lang w:eastAsia="en-AU"/>
              </w:rPr>
              <w:t xml:space="preserve"> connections to understand labour markets; Knowledge and stakeholder relationships inform and support service planning and participant pathways (2 points)</w:t>
            </w:r>
          </w:p>
        </w:tc>
        <w:tc>
          <w:tcPr>
            <w:tcW w:w="3827" w:type="dxa"/>
            <w:gridSpan w:val="3"/>
            <w:tcBorders>
              <w:top w:val="single" w:sz="4" w:space="0" w:color="000000"/>
              <w:bottom w:val="single" w:sz="4" w:space="0" w:color="000000"/>
            </w:tcBorders>
          </w:tcPr>
          <w:p w14:paraId="72FD79BE" w14:textId="77777777" w:rsidR="00F36FAB" w:rsidRPr="00551DEF" w:rsidRDefault="00F36FAB" w:rsidP="00F36FAB">
            <w:pPr>
              <w:rPr>
                <w:rFonts w:eastAsia="Times New Roman" w:cs="Arial"/>
                <w:color w:val="000000"/>
                <w:lang w:eastAsia="en-AU"/>
              </w:rPr>
            </w:pPr>
            <w:r w:rsidRPr="00551DEF">
              <w:rPr>
                <w:rFonts w:eastAsia="Times New Roman" w:cs="Arial"/>
                <w:color w:val="000000"/>
                <w:lang w:eastAsia="en-AU"/>
              </w:rPr>
              <w:t xml:space="preserve">As per 'Meets' PLUS: Systematic process to gather/share labour market data with staff; Drives responses to regional workforce issues; Lead employer/industry solutions </w:t>
            </w:r>
            <w:r w:rsidRPr="00551DEF">
              <w:rPr>
                <w:rFonts w:eastAsia="Times New Roman" w:cs="Arial"/>
                <w:lang w:eastAsia="en-AU"/>
              </w:rPr>
              <w:t>(3 points)</w:t>
            </w:r>
          </w:p>
        </w:tc>
      </w:tr>
      <w:tr w:rsidR="00F36FAB" w:rsidRPr="007A34D6" w14:paraId="03F549E1" w14:textId="77777777" w:rsidTr="00082B71">
        <w:trPr>
          <w:trHeight w:val="994"/>
          <w:tblHeader/>
        </w:trPr>
        <w:tc>
          <w:tcPr>
            <w:tcW w:w="4285" w:type="dxa"/>
          </w:tcPr>
          <w:p w14:paraId="5286E37A" w14:textId="77777777" w:rsidR="00F36FAB" w:rsidRPr="00AF48B7" w:rsidRDefault="00F36FAB" w:rsidP="00F36FAB">
            <w:pPr>
              <w:spacing w:after="240"/>
              <w:rPr>
                <w:rFonts w:eastAsia="Times New Roman" w:cs="Arial"/>
                <w:color w:val="000000"/>
                <w:lang w:eastAsia="en-AU"/>
              </w:rPr>
            </w:pPr>
            <w:r w:rsidRPr="00551DEF">
              <w:rPr>
                <w:rFonts w:eastAsia="Times New Roman" w:cs="Arial"/>
                <w:color w:val="000000"/>
                <w:lang w:eastAsia="en-AU"/>
              </w:rPr>
              <w:t>2.2.3 Stakeholder Feedback</w:t>
            </w:r>
            <w:r w:rsidRPr="00551DEF">
              <w:rPr>
                <w:rFonts w:eastAsia="Times New Roman" w:cs="Arial"/>
                <w:color w:val="000000"/>
                <w:lang w:eastAsia="en-AU"/>
              </w:rPr>
              <w:br/>
            </w:r>
            <w:r w:rsidRPr="00551DEF">
              <w:rPr>
                <w:rFonts w:eastAsia="Times New Roman" w:cs="Arial"/>
                <w:color w:val="000000"/>
                <w:lang w:eastAsia="en-AU"/>
              </w:rPr>
              <w:br/>
              <w:t>The DES provider seeks feedback from employers and community services on its processes and their effectiveness. DES providers actively use this to improve and innovate the services they deliver.</w:t>
            </w:r>
          </w:p>
        </w:tc>
        <w:tc>
          <w:tcPr>
            <w:tcW w:w="5349" w:type="dxa"/>
            <w:tcBorders>
              <w:top w:val="single" w:sz="4" w:space="0" w:color="000000"/>
            </w:tcBorders>
          </w:tcPr>
          <w:p w14:paraId="1F3A310C" w14:textId="77777777" w:rsidR="00F36FAB" w:rsidRDefault="00F36FAB" w:rsidP="00F36FAB">
            <w:pPr>
              <w:rPr>
                <w:rFonts w:eastAsia="Times New Roman" w:cs="Arial"/>
                <w:lang w:eastAsia="en-AU"/>
              </w:rPr>
            </w:pPr>
            <w:r w:rsidRPr="00551DEF">
              <w:rPr>
                <w:rFonts w:eastAsia="Times New Roman" w:cs="Arial"/>
                <w:lang w:eastAsia="en-AU"/>
              </w:rPr>
              <w:t>Stakeholder feedback</w:t>
            </w:r>
          </w:p>
          <w:p w14:paraId="1BD1957E" w14:textId="66171980" w:rsidR="00F36FAB" w:rsidRDefault="00F36FAB" w:rsidP="00F36FAB">
            <w:pPr>
              <w:rPr>
                <w:rFonts w:eastAsia="Times New Roman" w:cs="Arial"/>
                <w:i/>
                <w:lang w:eastAsia="en-AU"/>
              </w:rPr>
            </w:pPr>
            <w:r w:rsidRPr="00551DEF">
              <w:rPr>
                <w:rFonts w:eastAsia="Times New Roman" w:cs="Arial"/>
                <w:lang w:eastAsia="en-AU"/>
              </w:rPr>
              <w:br/>
            </w:r>
            <w:r w:rsidRPr="00551DEF">
              <w:rPr>
                <w:rFonts w:eastAsia="Times New Roman" w:cs="Arial"/>
                <w:i/>
                <w:lang w:eastAsia="en-AU"/>
              </w:rPr>
              <w:t xml:space="preserve">The organisation has a model to obtain feedback from employers and community services that is effective and user-oriented. This may </w:t>
            </w:r>
            <w:r>
              <w:rPr>
                <w:rFonts w:eastAsia="Times New Roman" w:cs="Arial"/>
                <w:i/>
                <w:lang w:eastAsia="en-AU"/>
              </w:rPr>
              <w:t>include, but is not limited to:</w:t>
            </w:r>
          </w:p>
          <w:p w14:paraId="5260BD5E" w14:textId="77777777" w:rsidR="00F36FAB" w:rsidRPr="005008D4" w:rsidRDefault="00F36FAB" w:rsidP="00F36FAB">
            <w:pPr>
              <w:pStyle w:val="ListParagraph"/>
              <w:numPr>
                <w:ilvl w:val="0"/>
                <w:numId w:val="67"/>
              </w:numPr>
              <w:rPr>
                <w:rFonts w:eastAsia="Times New Roman" w:cs="Arial"/>
                <w:i/>
                <w:lang w:eastAsia="en-AU"/>
              </w:rPr>
            </w:pPr>
            <w:r w:rsidRPr="005008D4">
              <w:rPr>
                <w:rFonts w:eastAsia="Times New Roman" w:cs="Arial"/>
                <w:i/>
                <w:lang w:eastAsia="en-AU"/>
              </w:rPr>
              <w:t>Stakeholders are given regular opportunities to provide feedback</w:t>
            </w:r>
          </w:p>
          <w:p w14:paraId="644D9AA2" w14:textId="77777777" w:rsidR="00F36FAB" w:rsidRPr="005008D4" w:rsidRDefault="00F36FAB" w:rsidP="00F36FAB">
            <w:pPr>
              <w:pStyle w:val="ListParagraph"/>
              <w:numPr>
                <w:ilvl w:val="0"/>
                <w:numId w:val="67"/>
              </w:numPr>
              <w:rPr>
                <w:rFonts w:eastAsia="Times New Roman" w:cs="Arial"/>
                <w:i/>
                <w:lang w:eastAsia="en-AU"/>
              </w:rPr>
            </w:pPr>
            <w:r w:rsidRPr="005008D4">
              <w:rPr>
                <w:rFonts w:eastAsia="Times New Roman" w:cs="Arial"/>
                <w:i/>
                <w:lang w:eastAsia="en-AU"/>
              </w:rPr>
              <w:t>Feedback is obtained using accessible and flexible methods</w:t>
            </w:r>
          </w:p>
          <w:p w14:paraId="103230BD" w14:textId="095098D7" w:rsidR="00F36FAB" w:rsidRPr="00BA04B9" w:rsidRDefault="00F36FAB" w:rsidP="00F36FAB">
            <w:pPr>
              <w:pStyle w:val="ListParagraph"/>
              <w:numPr>
                <w:ilvl w:val="0"/>
                <w:numId w:val="67"/>
              </w:numPr>
              <w:rPr>
                <w:rFonts w:cs="Arial"/>
                <w:color w:val="000000"/>
                <w:lang w:eastAsia="en-AU"/>
              </w:rPr>
            </w:pPr>
            <w:r w:rsidRPr="009B5661">
              <w:rPr>
                <w:rFonts w:eastAsia="Times New Roman" w:cs="Arial"/>
                <w:i/>
                <w:lang w:eastAsia="en-AU"/>
              </w:rPr>
              <w:t>Feedback informs continuous improvement in service delivery</w:t>
            </w:r>
          </w:p>
        </w:tc>
        <w:tc>
          <w:tcPr>
            <w:tcW w:w="3686" w:type="dxa"/>
            <w:tcBorders>
              <w:top w:val="single" w:sz="4" w:space="0" w:color="000000"/>
            </w:tcBorders>
          </w:tcPr>
          <w:p w14:paraId="70848E1C" w14:textId="77777777" w:rsidR="00F36FAB" w:rsidRPr="00551DEF" w:rsidRDefault="00F36FAB" w:rsidP="00F36FAB">
            <w:pPr>
              <w:rPr>
                <w:rFonts w:eastAsia="Times New Roman" w:cs="Arial"/>
                <w:lang w:eastAsia="en-AU"/>
              </w:rPr>
            </w:pPr>
            <w:r w:rsidRPr="005008D4">
              <w:rPr>
                <w:rFonts w:eastAsia="Times New Roman" w:cs="Arial"/>
                <w:lang w:eastAsia="en-AU"/>
              </w:rPr>
              <w:t>Limited feedback sought from employers and community services (1 point)</w:t>
            </w:r>
          </w:p>
        </w:tc>
        <w:tc>
          <w:tcPr>
            <w:tcW w:w="3827" w:type="dxa"/>
            <w:gridSpan w:val="2"/>
            <w:tcBorders>
              <w:top w:val="single" w:sz="4" w:space="0" w:color="000000"/>
            </w:tcBorders>
          </w:tcPr>
          <w:p w14:paraId="284CC501" w14:textId="77777777" w:rsidR="00F36FAB" w:rsidRPr="005008D4" w:rsidRDefault="00F36FAB" w:rsidP="00F36FAB">
            <w:pPr>
              <w:rPr>
                <w:rFonts w:eastAsia="Times New Roman" w:cs="Arial"/>
                <w:color w:val="000000"/>
                <w:lang w:eastAsia="en-AU"/>
              </w:rPr>
            </w:pPr>
            <w:r w:rsidRPr="005008D4">
              <w:rPr>
                <w:rFonts w:eastAsia="Times New Roman" w:cs="Arial"/>
                <w:lang w:eastAsia="en-AU"/>
              </w:rPr>
              <w:t xml:space="preserve">Systemic approach to obtain and analyse feedback from participants using accessible and flexible methods; Feedback is used to improve and innovate service delivery </w:t>
            </w:r>
            <w:r w:rsidRPr="005008D4">
              <w:rPr>
                <w:rFonts w:eastAsia="Times New Roman" w:cs="Arial"/>
                <w:color w:val="000000"/>
                <w:lang w:eastAsia="en-AU"/>
              </w:rPr>
              <w:t>(2 points)</w:t>
            </w:r>
          </w:p>
          <w:p w14:paraId="242E8285" w14:textId="77777777" w:rsidR="00F36FAB" w:rsidRPr="00551DEF" w:rsidRDefault="00F36FAB" w:rsidP="00F36FAB">
            <w:pPr>
              <w:rPr>
                <w:rFonts w:eastAsia="Times New Roman" w:cs="Arial"/>
                <w:lang w:eastAsia="en-AU"/>
              </w:rPr>
            </w:pPr>
          </w:p>
        </w:tc>
        <w:tc>
          <w:tcPr>
            <w:tcW w:w="3827" w:type="dxa"/>
            <w:gridSpan w:val="3"/>
            <w:tcBorders>
              <w:top w:val="single" w:sz="4" w:space="0" w:color="000000"/>
            </w:tcBorders>
          </w:tcPr>
          <w:p w14:paraId="2751E2EA" w14:textId="77777777" w:rsidR="00F36FAB" w:rsidRPr="005008D4" w:rsidRDefault="00F36FAB" w:rsidP="00F36FAB">
            <w:pPr>
              <w:rPr>
                <w:rFonts w:eastAsia="Times New Roman" w:cs="Arial"/>
                <w:lang w:eastAsia="en-AU"/>
              </w:rPr>
            </w:pPr>
            <w:r w:rsidRPr="005008D4">
              <w:rPr>
                <w:rFonts w:eastAsia="Times New Roman" w:cs="Arial"/>
                <w:lang w:eastAsia="en-AU"/>
              </w:rPr>
              <w:t>As per 'Meets' PLUS: Engaged in local employer boards, Councils, or similar bodies used in service design; other innovative approaches beyond feedback loop to participants or Board members with lived experience (3 points)</w:t>
            </w:r>
          </w:p>
          <w:p w14:paraId="0B7AE023" w14:textId="77777777" w:rsidR="00F36FAB" w:rsidRPr="00551DEF" w:rsidRDefault="00F36FAB" w:rsidP="00F36FAB">
            <w:pPr>
              <w:rPr>
                <w:rFonts w:eastAsia="Times New Roman" w:cs="Arial"/>
                <w:color w:val="000000"/>
                <w:lang w:eastAsia="en-AU"/>
              </w:rPr>
            </w:pPr>
          </w:p>
        </w:tc>
      </w:tr>
      <w:tr w:rsidR="00F36FAB" w:rsidRPr="002B08DA" w14:paraId="7658D988" w14:textId="77777777" w:rsidTr="00082B71">
        <w:trPr>
          <w:gridAfter w:val="1"/>
          <w:wAfter w:w="53" w:type="dxa"/>
          <w:trHeight w:val="549"/>
          <w:tblHeader/>
        </w:trPr>
        <w:tc>
          <w:tcPr>
            <w:tcW w:w="9634" w:type="dxa"/>
            <w:gridSpan w:val="2"/>
            <w:vMerge w:val="restart"/>
            <w:shd w:val="clear" w:color="auto" w:fill="4BACC6" w:themeFill="accent5"/>
            <w:vAlign w:val="center"/>
          </w:tcPr>
          <w:p w14:paraId="741FE1D3" w14:textId="77777777" w:rsidR="00F36FAB" w:rsidRPr="002B08DA" w:rsidRDefault="00F36FAB" w:rsidP="00F36FAB">
            <w:pPr>
              <w:spacing w:after="200" w:line="276" w:lineRule="auto"/>
              <w:jc w:val="center"/>
              <w:rPr>
                <w:rFonts w:asciiTheme="minorHAnsi" w:hAnsiTheme="minorHAnsi" w:cstheme="minorHAnsi"/>
                <w:sz w:val="24"/>
              </w:rPr>
            </w:pPr>
            <w:r>
              <w:rPr>
                <w:rFonts w:asciiTheme="minorHAnsi" w:hAnsiTheme="minorHAnsi" w:cstheme="minorHAnsi"/>
                <w:b/>
                <w:sz w:val="24"/>
              </w:rPr>
              <w:t>Outcome 2.2</w:t>
            </w:r>
            <w:r w:rsidRPr="002B08DA">
              <w:rPr>
                <w:rFonts w:asciiTheme="minorHAnsi" w:hAnsiTheme="minorHAnsi" w:cstheme="minorHAnsi"/>
                <w:b/>
                <w:sz w:val="24"/>
              </w:rPr>
              <w:t>: Departmental Assessment</w:t>
            </w:r>
          </w:p>
        </w:tc>
        <w:tc>
          <w:tcPr>
            <w:tcW w:w="3762" w:type="dxa"/>
            <w:gridSpan w:val="2"/>
            <w:shd w:val="clear" w:color="auto" w:fill="4BACC6" w:themeFill="accent5"/>
          </w:tcPr>
          <w:p w14:paraId="0627587D"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b/>
                <w:bCs/>
              </w:rPr>
              <w:t xml:space="preserve">Improvement Required </w:t>
            </w:r>
            <w:r w:rsidRPr="002B08DA">
              <w:rPr>
                <w:rFonts w:asciiTheme="minorHAnsi" w:hAnsiTheme="minorHAnsi" w:cstheme="minorHAnsi"/>
                <w:bCs/>
              </w:rPr>
              <w:sym w:font="Wingdings" w:char="F0FC"/>
            </w:r>
          </w:p>
        </w:tc>
        <w:tc>
          <w:tcPr>
            <w:tcW w:w="3762" w:type="dxa"/>
            <w:gridSpan w:val="2"/>
            <w:shd w:val="clear" w:color="auto" w:fill="4BACC6" w:themeFill="accent5"/>
          </w:tcPr>
          <w:p w14:paraId="2E7A5834"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b/>
                <w:bCs/>
              </w:rPr>
              <w:t xml:space="preserve">Meets </w:t>
            </w:r>
            <w:r w:rsidRPr="002B08DA">
              <w:rPr>
                <w:rFonts w:asciiTheme="minorHAnsi" w:hAnsiTheme="minorHAnsi" w:cstheme="minorHAnsi"/>
                <w:bCs/>
              </w:rPr>
              <w:sym w:font="Wingdings" w:char="F0FC"/>
            </w:r>
            <w:r w:rsidRPr="002B08DA">
              <w:rPr>
                <w:rFonts w:asciiTheme="minorHAnsi" w:hAnsiTheme="minorHAnsi" w:cstheme="minorHAnsi"/>
                <w:bCs/>
              </w:rPr>
              <w:sym w:font="Wingdings" w:char="F0FC"/>
            </w:r>
          </w:p>
        </w:tc>
        <w:tc>
          <w:tcPr>
            <w:tcW w:w="3763" w:type="dxa"/>
            <w:shd w:val="clear" w:color="auto" w:fill="4BACC6" w:themeFill="accent5"/>
          </w:tcPr>
          <w:p w14:paraId="26967D7D"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b/>
                <w:bCs/>
              </w:rPr>
              <w:t xml:space="preserve">Exceeds </w:t>
            </w:r>
            <w:r w:rsidRPr="002B08DA">
              <w:rPr>
                <w:rFonts w:asciiTheme="minorHAnsi" w:hAnsiTheme="minorHAnsi" w:cstheme="minorHAnsi"/>
                <w:bCs/>
              </w:rPr>
              <w:sym w:font="Wingdings" w:char="F0FC"/>
            </w:r>
            <w:r w:rsidRPr="002B08DA">
              <w:rPr>
                <w:rFonts w:asciiTheme="minorHAnsi" w:hAnsiTheme="minorHAnsi" w:cstheme="minorHAnsi"/>
                <w:bCs/>
              </w:rPr>
              <w:sym w:font="Wingdings" w:char="F0FC"/>
            </w:r>
            <w:r w:rsidRPr="002B08DA">
              <w:rPr>
                <w:rFonts w:asciiTheme="minorHAnsi" w:hAnsiTheme="minorHAnsi" w:cstheme="minorHAnsi"/>
                <w:bCs/>
              </w:rPr>
              <w:sym w:font="Wingdings" w:char="F0FC"/>
            </w:r>
          </w:p>
        </w:tc>
      </w:tr>
      <w:tr w:rsidR="00F36FAB" w:rsidRPr="002B08DA" w14:paraId="443A462C" w14:textId="77777777" w:rsidTr="00082B71">
        <w:trPr>
          <w:gridAfter w:val="1"/>
          <w:wAfter w:w="53" w:type="dxa"/>
          <w:trHeight w:val="996"/>
          <w:tblHeader/>
        </w:trPr>
        <w:tc>
          <w:tcPr>
            <w:tcW w:w="9634" w:type="dxa"/>
            <w:gridSpan w:val="2"/>
            <w:vMerge/>
            <w:shd w:val="clear" w:color="auto" w:fill="4BACC6" w:themeFill="accent5"/>
          </w:tcPr>
          <w:p w14:paraId="499E2E4B" w14:textId="77777777" w:rsidR="00F36FAB" w:rsidRPr="002B08DA" w:rsidRDefault="00F36FAB" w:rsidP="00F36FAB">
            <w:pPr>
              <w:spacing w:after="200" w:line="276" w:lineRule="auto"/>
              <w:rPr>
                <w:rFonts w:asciiTheme="minorHAnsi" w:hAnsiTheme="minorHAnsi" w:cstheme="minorHAnsi"/>
              </w:rPr>
            </w:pPr>
          </w:p>
        </w:tc>
        <w:tc>
          <w:tcPr>
            <w:tcW w:w="3762" w:type="dxa"/>
            <w:gridSpan w:val="2"/>
          </w:tcPr>
          <w:p w14:paraId="5462BEB3"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rPr>
              <w:t xml:space="preserve">Does not meet definition of Meets or Exceeds </w:t>
            </w:r>
            <w:r w:rsidRPr="002B08DA">
              <w:rPr>
                <w:rFonts w:asciiTheme="minorHAnsi" w:hAnsiTheme="minorHAnsi" w:cstheme="minorHAnsi"/>
              </w:rPr>
              <w:br/>
              <w:t>(Total Weighting &lt;14)</w:t>
            </w:r>
          </w:p>
        </w:tc>
        <w:tc>
          <w:tcPr>
            <w:tcW w:w="3762" w:type="dxa"/>
            <w:gridSpan w:val="2"/>
          </w:tcPr>
          <w:p w14:paraId="6B3AAF7E"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rPr>
              <w:t>Achieves at least an average of 'Meets' across the seven indicators; does not meet definition of Exceeds</w:t>
            </w:r>
          </w:p>
        </w:tc>
        <w:tc>
          <w:tcPr>
            <w:tcW w:w="3763" w:type="dxa"/>
          </w:tcPr>
          <w:p w14:paraId="456B6624" w14:textId="77777777" w:rsidR="00F36FAB" w:rsidRPr="002B08DA" w:rsidRDefault="00F36FAB" w:rsidP="00F36FAB">
            <w:pPr>
              <w:spacing w:after="200" w:line="276" w:lineRule="auto"/>
              <w:jc w:val="center"/>
              <w:rPr>
                <w:rFonts w:asciiTheme="minorHAnsi" w:hAnsiTheme="minorHAnsi" w:cstheme="minorHAnsi"/>
              </w:rPr>
            </w:pPr>
            <w:r w:rsidRPr="002B08DA">
              <w:rPr>
                <w:rFonts w:asciiTheme="minorHAnsi" w:hAnsiTheme="minorHAnsi" w:cstheme="minorHAnsi"/>
              </w:rPr>
              <w:t>Four or more Indicators at Exceeds and none at Improvement Required</w:t>
            </w:r>
          </w:p>
        </w:tc>
      </w:tr>
    </w:tbl>
    <w:p w14:paraId="776CD20B" w14:textId="77777777" w:rsidR="0095743D" w:rsidRDefault="0095743D" w:rsidP="004F4193"/>
    <w:p w14:paraId="5E9CC70E" w14:textId="070F779F" w:rsidR="004F4193" w:rsidRDefault="004F4193" w:rsidP="004F4193">
      <w:r>
        <w:t>** Descriptors are provided for each qualitative indicator</w:t>
      </w:r>
      <w:r w:rsidR="00D54AE8">
        <w:t xml:space="preserve"> rating</w:t>
      </w:r>
      <w:r>
        <w:t xml:space="preserve">. Each </w:t>
      </w:r>
      <w:r w:rsidR="00D54AE8">
        <w:t>rating descriptor is weighted 1 point for improvement required, 2 points for meets and 3 points for exceeds. These points are tallied to achieve an overall rating for each outcome.</w:t>
      </w:r>
    </w:p>
    <w:p w14:paraId="52734940" w14:textId="77777777" w:rsidR="0095743D" w:rsidRDefault="0095743D" w:rsidP="004F4193"/>
    <w:p w14:paraId="3F8D4BA3" w14:textId="4341E822" w:rsidR="004F4193" w:rsidRDefault="004F4193" w:rsidP="004F4193">
      <w:r>
        <w:t>For each qualitative indicator, the descriptors are reviewed and selected based on the available evidence (data/information sources), in line with the following guidance:</w:t>
      </w:r>
    </w:p>
    <w:tbl>
      <w:tblPr>
        <w:tblW w:w="21378" w:type="dxa"/>
        <w:tblCellMar>
          <w:left w:w="0" w:type="dxa"/>
          <w:right w:w="0" w:type="dxa"/>
        </w:tblCellMar>
        <w:tblLook w:val="04A0" w:firstRow="1" w:lastRow="0" w:firstColumn="1" w:lastColumn="0" w:noHBand="0" w:noVBand="1"/>
      </w:tblPr>
      <w:tblGrid>
        <w:gridCol w:w="2973"/>
        <w:gridCol w:w="18405"/>
      </w:tblGrid>
      <w:tr w:rsidR="004F4193" w14:paraId="08EEEDC2" w14:textId="77777777" w:rsidTr="004A23B7">
        <w:trPr>
          <w:trHeight w:val="536"/>
        </w:trPr>
        <w:tc>
          <w:tcPr>
            <w:tcW w:w="2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6871E" w14:textId="77777777" w:rsidR="004F4193" w:rsidRDefault="004F4193" w:rsidP="00183011">
            <w:pPr>
              <w:rPr>
                <w:b/>
                <w:bCs/>
              </w:rPr>
            </w:pPr>
            <w:r>
              <w:rPr>
                <w:b/>
                <w:bCs/>
              </w:rPr>
              <w:t>Indicator Rating</w:t>
            </w:r>
          </w:p>
        </w:tc>
        <w:tc>
          <w:tcPr>
            <w:tcW w:w="18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A6B9B" w14:textId="77777777" w:rsidR="004F4193" w:rsidRDefault="004F4193" w:rsidP="00183011">
            <w:pPr>
              <w:rPr>
                <w:b/>
                <w:bCs/>
              </w:rPr>
            </w:pPr>
            <w:r>
              <w:rPr>
                <w:b/>
                <w:bCs/>
              </w:rPr>
              <w:t>Details</w:t>
            </w:r>
          </w:p>
        </w:tc>
      </w:tr>
      <w:tr w:rsidR="004F4193" w14:paraId="73A91CBE" w14:textId="77777777" w:rsidTr="004A23B7">
        <w:trPr>
          <w:trHeight w:val="523"/>
        </w:trPr>
        <w:tc>
          <w:tcPr>
            <w:tcW w:w="2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D3CA" w14:textId="3E123699" w:rsidR="004F4193" w:rsidRDefault="004F4193" w:rsidP="00D54AE8">
            <w:r>
              <w:t xml:space="preserve">Improvement Required </w:t>
            </w:r>
          </w:p>
        </w:tc>
        <w:tc>
          <w:tcPr>
            <w:tcW w:w="18405" w:type="dxa"/>
            <w:tcBorders>
              <w:top w:val="nil"/>
              <w:left w:val="nil"/>
              <w:bottom w:val="single" w:sz="8" w:space="0" w:color="auto"/>
              <w:right w:val="single" w:sz="8" w:space="0" w:color="auto"/>
            </w:tcBorders>
            <w:tcMar>
              <w:top w:w="0" w:type="dxa"/>
              <w:left w:w="108" w:type="dxa"/>
              <w:bottom w:w="0" w:type="dxa"/>
              <w:right w:w="108" w:type="dxa"/>
            </w:tcMar>
            <w:hideMark/>
          </w:tcPr>
          <w:p w14:paraId="6680BB94" w14:textId="77777777" w:rsidR="004F4193" w:rsidRDefault="004F4193" w:rsidP="00183011">
            <w:r>
              <w:t>Performance generally matches the aspects of the Improvement Required descriptor for the indicator and does not meet all of the aspects described in the Meets category.</w:t>
            </w:r>
          </w:p>
        </w:tc>
      </w:tr>
      <w:tr w:rsidR="004F4193" w14:paraId="2DA27BB5" w14:textId="77777777" w:rsidTr="004A23B7">
        <w:trPr>
          <w:trHeight w:val="536"/>
        </w:trPr>
        <w:tc>
          <w:tcPr>
            <w:tcW w:w="2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08827" w14:textId="7BDB2375" w:rsidR="004F4193" w:rsidRDefault="004F4193" w:rsidP="00D54AE8">
            <w:r>
              <w:t>Meets</w:t>
            </w:r>
          </w:p>
        </w:tc>
        <w:tc>
          <w:tcPr>
            <w:tcW w:w="18405" w:type="dxa"/>
            <w:tcBorders>
              <w:top w:val="nil"/>
              <w:left w:val="nil"/>
              <w:bottom w:val="single" w:sz="8" w:space="0" w:color="auto"/>
              <w:right w:val="single" w:sz="8" w:space="0" w:color="auto"/>
            </w:tcBorders>
            <w:tcMar>
              <w:top w:w="0" w:type="dxa"/>
              <w:left w:w="108" w:type="dxa"/>
              <w:bottom w:w="0" w:type="dxa"/>
              <w:right w:w="108" w:type="dxa"/>
            </w:tcMar>
            <w:hideMark/>
          </w:tcPr>
          <w:p w14:paraId="2A3425FF" w14:textId="77777777" w:rsidR="004F4193" w:rsidRDefault="004F4193" w:rsidP="00183011">
            <w:r>
              <w:t>Performance matches the aspects of the Meets descriptor, but is not sufficient to achieve Exceeds.</w:t>
            </w:r>
          </w:p>
        </w:tc>
      </w:tr>
      <w:tr w:rsidR="004F4193" w14:paraId="211AF35F" w14:textId="77777777" w:rsidTr="004A23B7">
        <w:trPr>
          <w:trHeight w:val="536"/>
        </w:trPr>
        <w:tc>
          <w:tcPr>
            <w:tcW w:w="2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0A0F3" w14:textId="63D664C6" w:rsidR="004F4193" w:rsidRDefault="00D54AE8" w:rsidP="00183011">
            <w:r>
              <w:t>Exceeds</w:t>
            </w:r>
          </w:p>
        </w:tc>
        <w:tc>
          <w:tcPr>
            <w:tcW w:w="18405" w:type="dxa"/>
            <w:tcBorders>
              <w:top w:val="nil"/>
              <w:left w:val="nil"/>
              <w:bottom w:val="single" w:sz="8" w:space="0" w:color="auto"/>
              <w:right w:val="single" w:sz="8" w:space="0" w:color="auto"/>
            </w:tcBorders>
            <w:tcMar>
              <w:top w:w="0" w:type="dxa"/>
              <w:left w:w="108" w:type="dxa"/>
              <w:bottom w:w="0" w:type="dxa"/>
              <w:right w:w="108" w:type="dxa"/>
            </w:tcMar>
            <w:hideMark/>
          </w:tcPr>
          <w:p w14:paraId="74DB6E14" w14:textId="77777777" w:rsidR="004F4193" w:rsidRDefault="004F4193" w:rsidP="00183011">
            <w:r>
              <w:t>Performance matches the Meets descriptor AND matches, or is making demonstrably significant effort on matching, all aspects of the Exceeds descriptor for the indicator.</w:t>
            </w:r>
          </w:p>
        </w:tc>
      </w:tr>
    </w:tbl>
    <w:p w14:paraId="6DA9FD23" w14:textId="77777777" w:rsidR="004F4193" w:rsidRDefault="004F4193" w:rsidP="004A23B7">
      <w:pPr>
        <w:spacing w:line="276" w:lineRule="auto"/>
      </w:pPr>
    </w:p>
    <w:p w14:paraId="192B97E5" w14:textId="77777777" w:rsidR="0094689A" w:rsidRDefault="0094689A" w:rsidP="004A23B7">
      <w:pPr>
        <w:spacing w:line="276" w:lineRule="auto"/>
        <w:rPr>
          <w:rFonts w:eastAsia="Calibri"/>
          <w:lang w:eastAsia="en-US"/>
        </w:rPr>
        <w:sectPr w:rsidR="0094689A" w:rsidSect="00EC0D34">
          <w:pgSz w:w="23811" w:h="16838" w:orient="landscape" w:code="8"/>
          <w:pgMar w:top="-567" w:right="1440" w:bottom="851" w:left="1440" w:header="708" w:footer="363" w:gutter="0"/>
          <w:cols w:space="708"/>
          <w:titlePg/>
          <w:docGrid w:linePitch="360"/>
        </w:sectPr>
      </w:pPr>
    </w:p>
    <w:p w14:paraId="0F70119A" w14:textId="77777777" w:rsidR="008B714A" w:rsidRPr="00B93BF6" w:rsidRDefault="008B714A" w:rsidP="008B714A">
      <w:pPr>
        <w:pStyle w:val="Heading1"/>
        <w:jc w:val="left"/>
        <w:rPr>
          <w:i/>
        </w:rPr>
      </w:pPr>
      <w:bookmarkStart w:id="119" w:name="_Toc157587882"/>
      <w:r w:rsidRPr="00C77737">
        <w:rPr>
          <w:i/>
        </w:rPr>
        <w:t>Annexure 1: Glossary of Definitions</w:t>
      </w:r>
      <w:bookmarkEnd w:id="119"/>
    </w:p>
    <w:tbl>
      <w:tblPr>
        <w:tblW w:w="9360" w:type="dxa"/>
        <w:tblLook w:val="04A0" w:firstRow="1" w:lastRow="0" w:firstColumn="1" w:lastColumn="0" w:noHBand="0" w:noVBand="1"/>
        <w:tblCaption w:val="Key Terms and Definitions List"/>
        <w:tblDescription w:val="List of important words and phrases relating to the Quality Framework and the Quality Guidelines. Next to each word and phrase, is a short explanation of what it is."/>
      </w:tblPr>
      <w:tblGrid>
        <w:gridCol w:w="9360"/>
      </w:tblGrid>
      <w:tr w:rsidR="008B714A" w:rsidRPr="005C45A4" w14:paraId="505BEE7A" w14:textId="77777777" w:rsidTr="00B34EB2">
        <w:trPr>
          <w:trHeight w:val="290"/>
        </w:trPr>
        <w:tc>
          <w:tcPr>
            <w:tcW w:w="9360" w:type="dxa"/>
            <w:tcBorders>
              <w:top w:val="nil"/>
              <w:left w:val="nil"/>
              <w:bottom w:val="nil"/>
              <w:right w:val="nil"/>
            </w:tcBorders>
            <w:shd w:val="clear" w:color="auto" w:fill="auto"/>
            <w:noWrap/>
            <w:vAlign w:val="center"/>
            <w:hideMark/>
          </w:tcPr>
          <w:p w14:paraId="595FEEE0" w14:textId="77777777" w:rsidR="008B714A" w:rsidRPr="005C45A4" w:rsidRDefault="008B714A" w:rsidP="00B34EB2">
            <w:pPr>
              <w:rPr>
                <w:b/>
                <w:bCs/>
                <w:sz w:val="24"/>
              </w:rPr>
            </w:pPr>
            <w:r w:rsidRPr="005C45A4">
              <w:rPr>
                <w:b/>
                <w:bCs/>
                <w:sz w:val="24"/>
              </w:rPr>
              <w:t>Breach</w:t>
            </w:r>
            <w:r w:rsidRPr="005C45A4">
              <w:rPr>
                <w:sz w:val="24"/>
              </w:rPr>
              <w:t xml:space="preserve"> – Failure by provider to meet or perform their obligations under the DES </w:t>
            </w:r>
            <w:r>
              <w:rPr>
                <w:sz w:val="24"/>
              </w:rPr>
              <w:t xml:space="preserve">Grant </w:t>
            </w:r>
            <w:r w:rsidRPr="005C45A4">
              <w:rPr>
                <w:sz w:val="24"/>
              </w:rPr>
              <w:t>Agreement</w:t>
            </w:r>
          </w:p>
        </w:tc>
      </w:tr>
      <w:tr w:rsidR="008B714A" w:rsidRPr="00883226" w14:paraId="1CF632B5" w14:textId="77777777" w:rsidTr="00B34EB2">
        <w:trPr>
          <w:trHeight w:val="290"/>
        </w:trPr>
        <w:tc>
          <w:tcPr>
            <w:tcW w:w="9360" w:type="dxa"/>
            <w:tcBorders>
              <w:top w:val="nil"/>
              <w:left w:val="nil"/>
              <w:bottom w:val="nil"/>
              <w:right w:val="nil"/>
            </w:tcBorders>
            <w:shd w:val="clear" w:color="auto" w:fill="auto"/>
            <w:noWrap/>
            <w:vAlign w:val="center"/>
            <w:hideMark/>
          </w:tcPr>
          <w:p w14:paraId="71D895C2" w14:textId="77777777" w:rsidR="008B714A" w:rsidRPr="00883226" w:rsidRDefault="008B714A" w:rsidP="00B34EB2">
            <w:pPr>
              <w:rPr>
                <w:rFonts w:cs="Calibri"/>
                <w:b/>
                <w:bCs/>
                <w:color w:val="000000"/>
                <w:sz w:val="24"/>
              </w:rPr>
            </w:pPr>
            <w:r w:rsidRPr="00883226">
              <w:rPr>
                <w:rFonts w:cs="Calibri"/>
                <w:b/>
                <w:bCs/>
                <w:color w:val="000000"/>
                <w:sz w:val="24"/>
              </w:rPr>
              <w:t>Compliance Improvement Plans</w:t>
            </w:r>
            <w:r>
              <w:rPr>
                <w:rFonts w:cs="Calibri"/>
                <w:color w:val="000000"/>
                <w:sz w:val="24"/>
              </w:rPr>
              <w:t xml:space="preserve"> – A p</w:t>
            </w:r>
            <w:r w:rsidRPr="00883226">
              <w:rPr>
                <w:rFonts w:cs="Calibri"/>
                <w:color w:val="000000"/>
                <w:sz w:val="24"/>
              </w:rPr>
              <w:t xml:space="preserve">rovider developed strategic plan to improve compliance with the DES </w:t>
            </w:r>
            <w:r>
              <w:rPr>
                <w:rFonts w:cs="Calibri"/>
                <w:color w:val="000000"/>
                <w:sz w:val="24"/>
              </w:rPr>
              <w:t xml:space="preserve">Grant </w:t>
            </w:r>
            <w:r w:rsidRPr="00883226">
              <w:rPr>
                <w:rFonts w:cs="Calibri"/>
                <w:color w:val="000000"/>
                <w:sz w:val="24"/>
              </w:rPr>
              <w:t>Agreement</w:t>
            </w:r>
          </w:p>
        </w:tc>
      </w:tr>
      <w:tr w:rsidR="008B714A" w:rsidRPr="00883226" w14:paraId="328EF5A8" w14:textId="77777777" w:rsidTr="00B34EB2">
        <w:trPr>
          <w:trHeight w:val="290"/>
        </w:trPr>
        <w:tc>
          <w:tcPr>
            <w:tcW w:w="9360" w:type="dxa"/>
            <w:tcBorders>
              <w:top w:val="nil"/>
              <w:left w:val="nil"/>
              <w:bottom w:val="nil"/>
              <w:right w:val="nil"/>
            </w:tcBorders>
            <w:shd w:val="clear" w:color="auto" w:fill="auto"/>
            <w:noWrap/>
            <w:vAlign w:val="center"/>
            <w:hideMark/>
          </w:tcPr>
          <w:p w14:paraId="2C040DB7" w14:textId="77777777" w:rsidR="008B714A" w:rsidRPr="00883226" w:rsidRDefault="008B714A" w:rsidP="00B34EB2">
            <w:pPr>
              <w:rPr>
                <w:rFonts w:cs="Calibri"/>
                <w:b/>
                <w:bCs/>
                <w:color w:val="000000"/>
                <w:sz w:val="24"/>
              </w:rPr>
            </w:pPr>
            <w:r w:rsidRPr="00883226">
              <w:rPr>
                <w:rFonts w:cs="Calibri"/>
                <w:b/>
                <w:bCs/>
                <w:color w:val="000000"/>
                <w:sz w:val="24"/>
              </w:rPr>
              <w:t>DES Payment Assurance Program</w:t>
            </w:r>
            <w:r w:rsidRPr="00883226">
              <w:rPr>
                <w:rFonts w:cs="Calibri"/>
                <w:color w:val="000000"/>
                <w:sz w:val="24"/>
              </w:rPr>
              <w:t xml:space="preserve"> – Quarterly review of Documentary Evidence and/or third party verification for a random selection of claims</w:t>
            </w:r>
          </w:p>
        </w:tc>
      </w:tr>
      <w:tr w:rsidR="008B714A" w:rsidRPr="00883226" w14:paraId="214D325D" w14:textId="77777777" w:rsidTr="00B34EB2">
        <w:trPr>
          <w:trHeight w:val="290"/>
        </w:trPr>
        <w:tc>
          <w:tcPr>
            <w:tcW w:w="9360" w:type="dxa"/>
            <w:tcBorders>
              <w:top w:val="nil"/>
              <w:left w:val="nil"/>
              <w:bottom w:val="nil"/>
              <w:right w:val="nil"/>
            </w:tcBorders>
            <w:shd w:val="clear" w:color="auto" w:fill="auto"/>
            <w:noWrap/>
            <w:vAlign w:val="center"/>
            <w:hideMark/>
          </w:tcPr>
          <w:p w14:paraId="3172EF25" w14:textId="77777777" w:rsidR="008B714A" w:rsidRPr="00883226" w:rsidRDefault="008B714A" w:rsidP="00B34EB2">
            <w:pPr>
              <w:rPr>
                <w:rFonts w:cs="Calibri"/>
                <w:b/>
                <w:bCs/>
                <w:color w:val="000000"/>
                <w:sz w:val="24"/>
              </w:rPr>
            </w:pPr>
            <w:r w:rsidRPr="00883226">
              <w:rPr>
                <w:rFonts w:cs="Calibri"/>
                <w:b/>
                <w:bCs/>
                <w:color w:val="000000"/>
                <w:sz w:val="24"/>
              </w:rPr>
              <w:t>Elements of Good Practice</w:t>
            </w:r>
            <w:r w:rsidRPr="00883226">
              <w:rPr>
                <w:rFonts w:cs="Calibri"/>
                <w:color w:val="000000"/>
                <w:sz w:val="24"/>
              </w:rPr>
              <w:t xml:space="preserve"> </w:t>
            </w:r>
            <w:r>
              <w:rPr>
                <w:rFonts w:cs="Calibri"/>
                <w:color w:val="000000"/>
                <w:sz w:val="24"/>
              </w:rPr>
              <w:t xml:space="preserve">– </w:t>
            </w:r>
            <w:r w:rsidRPr="00883226">
              <w:rPr>
                <w:rFonts w:cs="Calibri"/>
                <w:color w:val="000000"/>
                <w:sz w:val="24"/>
              </w:rPr>
              <w:t xml:space="preserve">Articulate and define what good looks like for </w:t>
            </w:r>
            <w:r>
              <w:rPr>
                <w:rFonts w:cs="Calibri"/>
                <w:color w:val="000000"/>
                <w:sz w:val="24"/>
              </w:rPr>
              <w:t>p</w:t>
            </w:r>
            <w:r w:rsidRPr="00883226">
              <w:rPr>
                <w:rFonts w:cs="Calibri"/>
                <w:color w:val="000000"/>
                <w:sz w:val="24"/>
              </w:rPr>
              <w:t>roviders to meet the Quality Elements</w:t>
            </w:r>
          </w:p>
        </w:tc>
      </w:tr>
      <w:tr w:rsidR="008B714A" w:rsidRPr="00883226" w14:paraId="5C00380B" w14:textId="77777777" w:rsidTr="00B34EB2">
        <w:trPr>
          <w:trHeight w:val="290"/>
        </w:trPr>
        <w:tc>
          <w:tcPr>
            <w:tcW w:w="9360" w:type="dxa"/>
            <w:tcBorders>
              <w:top w:val="nil"/>
              <w:left w:val="nil"/>
              <w:bottom w:val="nil"/>
              <w:right w:val="nil"/>
            </w:tcBorders>
            <w:shd w:val="clear" w:color="auto" w:fill="auto"/>
            <w:noWrap/>
            <w:vAlign w:val="center"/>
            <w:hideMark/>
          </w:tcPr>
          <w:p w14:paraId="2991DE0C" w14:textId="77777777" w:rsidR="008B714A" w:rsidRPr="00883226" w:rsidRDefault="008B714A" w:rsidP="00B34EB2">
            <w:pPr>
              <w:rPr>
                <w:rFonts w:cs="Calibri"/>
                <w:b/>
                <w:bCs/>
                <w:color w:val="000000"/>
                <w:sz w:val="24"/>
              </w:rPr>
            </w:pPr>
            <w:r w:rsidRPr="00883226">
              <w:rPr>
                <w:rFonts w:cs="Calibri"/>
                <w:b/>
                <w:bCs/>
                <w:color w:val="000000"/>
                <w:sz w:val="24"/>
              </w:rPr>
              <w:t>Exceeds</w:t>
            </w:r>
            <w:r w:rsidRPr="00883226">
              <w:rPr>
                <w:rFonts w:cs="Calibri"/>
                <w:color w:val="000000"/>
                <w:sz w:val="24"/>
              </w:rPr>
              <w:t xml:space="preserve"> – </w:t>
            </w:r>
            <w:r>
              <w:rPr>
                <w:rFonts w:cs="Calibri"/>
                <w:color w:val="000000"/>
                <w:sz w:val="24"/>
              </w:rPr>
              <w:t>A</w:t>
            </w:r>
            <w:r w:rsidRPr="00883226">
              <w:rPr>
                <w:rFonts w:cs="Calibri"/>
                <w:color w:val="000000"/>
                <w:sz w:val="24"/>
              </w:rPr>
              <w:t xml:space="preserve"> rating under the Framework where </w:t>
            </w:r>
            <w:r>
              <w:rPr>
                <w:rFonts w:cs="Calibri"/>
                <w:color w:val="000000"/>
                <w:sz w:val="24"/>
              </w:rPr>
              <w:t>p</w:t>
            </w:r>
            <w:r w:rsidRPr="00883226">
              <w:rPr>
                <w:rFonts w:cs="Calibri"/>
                <w:color w:val="000000"/>
                <w:sz w:val="24"/>
              </w:rPr>
              <w:t>roviders a</w:t>
            </w:r>
            <w:r>
              <w:rPr>
                <w:rFonts w:cs="Calibri"/>
                <w:color w:val="000000"/>
                <w:sz w:val="24"/>
              </w:rPr>
              <w:t>re considered as exceeding the d</w:t>
            </w:r>
            <w:r w:rsidRPr="00883226">
              <w:rPr>
                <w:rFonts w:cs="Calibri"/>
                <w:color w:val="000000"/>
                <w:sz w:val="24"/>
              </w:rPr>
              <w:t>epartment’s quality expectations</w:t>
            </w:r>
          </w:p>
        </w:tc>
      </w:tr>
      <w:tr w:rsidR="008B714A" w:rsidRPr="00883226" w14:paraId="4361C354" w14:textId="77777777" w:rsidTr="00B34EB2">
        <w:trPr>
          <w:trHeight w:val="290"/>
        </w:trPr>
        <w:tc>
          <w:tcPr>
            <w:tcW w:w="9360" w:type="dxa"/>
            <w:tcBorders>
              <w:top w:val="nil"/>
              <w:left w:val="nil"/>
              <w:bottom w:val="nil"/>
              <w:right w:val="nil"/>
            </w:tcBorders>
            <w:shd w:val="clear" w:color="auto" w:fill="auto"/>
            <w:noWrap/>
            <w:vAlign w:val="center"/>
            <w:hideMark/>
          </w:tcPr>
          <w:p w14:paraId="0F72D4FE" w14:textId="77777777" w:rsidR="008B714A" w:rsidRPr="00883226" w:rsidRDefault="008B714A" w:rsidP="00B34EB2">
            <w:pPr>
              <w:rPr>
                <w:rFonts w:cs="Calibri"/>
                <w:b/>
                <w:bCs/>
                <w:color w:val="000000"/>
                <w:sz w:val="24"/>
              </w:rPr>
            </w:pPr>
            <w:r w:rsidRPr="00883226">
              <w:rPr>
                <w:rFonts w:cs="Calibri"/>
                <w:b/>
                <w:bCs/>
                <w:color w:val="000000"/>
                <w:sz w:val="24"/>
              </w:rPr>
              <w:t>Funding Arrangement Management Activities</w:t>
            </w:r>
            <w:r w:rsidRPr="00883226">
              <w:rPr>
                <w:rFonts w:cs="Calibri"/>
                <w:color w:val="000000"/>
                <w:sz w:val="24"/>
              </w:rPr>
              <w:t xml:space="preserve"> </w:t>
            </w:r>
            <w:r>
              <w:rPr>
                <w:rFonts w:cs="Calibri"/>
                <w:color w:val="000000"/>
                <w:sz w:val="24"/>
              </w:rPr>
              <w:t>– Activities undertaken by the department in managing p</w:t>
            </w:r>
            <w:r w:rsidRPr="00883226">
              <w:rPr>
                <w:rFonts w:cs="Calibri"/>
                <w:color w:val="000000"/>
                <w:sz w:val="24"/>
              </w:rPr>
              <w:t>rovider compliance, performance and quality under the DES Agreement</w:t>
            </w:r>
          </w:p>
        </w:tc>
      </w:tr>
      <w:tr w:rsidR="008B714A" w:rsidRPr="00883226" w14:paraId="6BCDA662" w14:textId="77777777" w:rsidTr="00B34EB2">
        <w:trPr>
          <w:trHeight w:val="290"/>
        </w:trPr>
        <w:tc>
          <w:tcPr>
            <w:tcW w:w="9360" w:type="dxa"/>
            <w:tcBorders>
              <w:top w:val="nil"/>
              <w:left w:val="nil"/>
              <w:bottom w:val="nil"/>
              <w:right w:val="nil"/>
            </w:tcBorders>
            <w:shd w:val="clear" w:color="auto" w:fill="auto"/>
            <w:noWrap/>
            <w:vAlign w:val="center"/>
            <w:hideMark/>
          </w:tcPr>
          <w:p w14:paraId="4C18BB13" w14:textId="3D47415D" w:rsidR="008B714A" w:rsidRPr="008A7653" w:rsidRDefault="008B714A" w:rsidP="008A7653">
            <w:pPr>
              <w:rPr>
                <w:rFonts w:cs="Calibri"/>
                <w:color w:val="000000"/>
                <w:sz w:val="24"/>
              </w:rPr>
            </w:pPr>
            <w:r w:rsidRPr="00883226">
              <w:rPr>
                <w:rFonts w:cs="Calibri"/>
                <w:b/>
                <w:bCs/>
                <w:color w:val="000000"/>
                <w:sz w:val="24"/>
              </w:rPr>
              <w:t>Improvement Required</w:t>
            </w:r>
            <w:r w:rsidRPr="00883226">
              <w:rPr>
                <w:rFonts w:cs="Calibri"/>
                <w:color w:val="000000"/>
                <w:sz w:val="24"/>
              </w:rPr>
              <w:t xml:space="preserve"> – </w:t>
            </w:r>
            <w:r>
              <w:rPr>
                <w:rFonts w:cs="Calibri"/>
                <w:color w:val="000000"/>
                <w:sz w:val="24"/>
              </w:rPr>
              <w:t>A</w:t>
            </w:r>
            <w:r w:rsidRPr="00883226">
              <w:rPr>
                <w:rFonts w:cs="Calibri"/>
                <w:color w:val="000000"/>
                <w:sz w:val="24"/>
              </w:rPr>
              <w:t xml:space="preserve"> rating under the Framework where prov</w:t>
            </w:r>
            <w:r>
              <w:rPr>
                <w:rFonts w:cs="Calibri"/>
                <w:color w:val="000000"/>
                <w:sz w:val="24"/>
              </w:rPr>
              <w:t>iders have not fully met the d</w:t>
            </w:r>
            <w:r w:rsidRPr="00883226">
              <w:rPr>
                <w:rFonts w:cs="Calibri"/>
                <w:color w:val="000000"/>
                <w:sz w:val="24"/>
              </w:rPr>
              <w:t>ep</w:t>
            </w:r>
            <w:r>
              <w:rPr>
                <w:rFonts w:cs="Calibri"/>
                <w:color w:val="000000"/>
                <w:sz w:val="24"/>
              </w:rPr>
              <w:t>artment’s quality expectations</w:t>
            </w:r>
          </w:p>
        </w:tc>
      </w:tr>
      <w:tr w:rsidR="008B714A" w:rsidRPr="00883226" w14:paraId="62817646" w14:textId="77777777" w:rsidTr="00B34EB2">
        <w:trPr>
          <w:trHeight w:val="290"/>
        </w:trPr>
        <w:tc>
          <w:tcPr>
            <w:tcW w:w="9360" w:type="dxa"/>
            <w:tcBorders>
              <w:top w:val="nil"/>
              <w:left w:val="nil"/>
              <w:bottom w:val="nil"/>
              <w:right w:val="nil"/>
            </w:tcBorders>
            <w:shd w:val="clear" w:color="auto" w:fill="auto"/>
            <w:noWrap/>
            <w:vAlign w:val="center"/>
            <w:hideMark/>
          </w:tcPr>
          <w:p w14:paraId="4B74FFAD" w14:textId="77777777" w:rsidR="008B714A" w:rsidRPr="00883226" w:rsidRDefault="008B714A" w:rsidP="00B34EB2">
            <w:pPr>
              <w:rPr>
                <w:rFonts w:cs="Calibri"/>
                <w:b/>
                <w:bCs/>
                <w:color w:val="000000"/>
                <w:sz w:val="24"/>
              </w:rPr>
            </w:pPr>
            <w:r w:rsidRPr="00883226">
              <w:rPr>
                <w:rFonts w:cs="Calibri"/>
                <w:b/>
                <w:bCs/>
                <w:color w:val="000000"/>
                <w:sz w:val="24"/>
              </w:rPr>
              <w:t>Meets</w:t>
            </w:r>
            <w:r w:rsidRPr="00883226">
              <w:rPr>
                <w:rFonts w:cs="Calibri"/>
                <w:color w:val="000000"/>
                <w:sz w:val="24"/>
              </w:rPr>
              <w:t xml:space="preserve"> – </w:t>
            </w:r>
            <w:r>
              <w:rPr>
                <w:rFonts w:cs="Calibri"/>
                <w:color w:val="000000"/>
                <w:sz w:val="24"/>
              </w:rPr>
              <w:t>A</w:t>
            </w:r>
            <w:r w:rsidRPr="00883226">
              <w:rPr>
                <w:rFonts w:cs="Calibri"/>
                <w:color w:val="000000"/>
                <w:sz w:val="24"/>
              </w:rPr>
              <w:t xml:space="preserve"> rating under the Framework where </w:t>
            </w:r>
            <w:r>
              <w:rPr>
                <w:rFonts w:cs="Calibri"/>
                <w:color w:val="000000"/>
                <w:sz w:val="24"/>
              </w:rPr>
              <w:t>p</w:t>
            </w:r>
            <w:r w:rsidRPr="00883226">
              <w:rPr>
                <w:rFonts w:cs="Calibri"/>
                <w:color w:val="000000"/>
                <w:sz w:val="24"/>
              </w:rPr>
              <w:t>roviders ar</w:t>
            </w:r>
            <w:r>
              <w:rPr>
                <w:rFonts w:cs="Calibri"/>
                <w:color w:val="000000"/>
                <w:sz w:val="24"/>
              </w:rPr>
              <w:t>e considered to be meeting the d</w:t>
            </w:r>
            <w:r w:rsidRPr="00883226">
              <w:rPr>
                <w:rFonts w:cs="Calibri"/>
                <w:color w:val="000000"/>
                <w:sz w:val="24"/>
              </w:rPr>
              <w:t>epartment’s quality expectations</w:t>
            </w:r>
          </w:p>
        </w:tc>
      </w:tr>
      <w:tr w:rsidR="008B714A" w:rsidRPr="00883226" w14:paraId="60FCF5B1" w14:textId="77777777" w:rsidTr="00B34EB2">
        <w:trPr>
          <w:trHeight w:val="290"/>
        </w:trPr>
        <w:tc>
          <w:tcPr>
            <w:tcW w:w="9360" w:type="dxa"/>
            <w:tcBorders>
              <w:top w:val="nil"/>
              <w:left w:val="nil"/>
              <w:bottom w:val="nil"/>
              <w:right w:val="nil"/>
            </w:tcBorders>
            <w:shd w:val="clear" w:color="auto" w:fill="auto"/>
            <w:noWrap/>
            <w:vAlign w:val="center"/>
            <w:hideMark/>
          </w:tcPr>
          <w:p w14:paraId="1BA340E3" w14:textId="77777777" w:rsidR="008B714A" w:rsidRPr="00883226" w:rsidRDefault="008B714A" w:rsidP="00B34EB2">
            <w:pPr>
              <w:rPr>
                <w:rFonts w:cs="Calibri"/>
                <w:b/>
                <w:bCs/>
                <w:color w:val="000000"/>
                <w:sz w:val="24"/>
              </w:rPr>
            </w:pPr>
            <w:r w:rsidRPr="00883226">
              <w:rPr>
                <w:rFonts w:cs="Calibri"/>
                <w:b/>
                <w:bCs/>
                <w:color w:val="000000"/>
                <w:sz w:val="24"/>
              </w:rPr>
              <w:t>National Standards for Disability Services Audits</w:t>
            </w:r>
            <w:r w:rsidRPr="00883226">
              <w:rPr>
                <w:rFonts w:cs="Calibri"/>
                <w:color w:val="000000"/>
                <w:sz w:val="24"/>
              </w:rPr>
              <w:t xml:space="preserve"> –</w:t>
            </w:r>
            <w:r>
              <w:rPr>
                <w:rFonts w:cs="Calibri"/>
                <w:color w:val="000000"/>
                <w:sz w:val="24"/>
              </w:rPr>
              <w:t xml:space="preserve"> Audit reports returned to the department that assess p</w:t>
            </w:r>
            <w:r w:rsidRPr="00883226">
              <w:rPr>
                <w:rFonts w:cs="Calibri"/>
                <w:color w:val="000000"/>
                <w:sz w:val="24"/>
              </w:rPr>
              <w:t>rovider conformance with the National Standards for Disability Services</w:t>
            </w:r>
            <w:r>
              <w:rPr>
                <w:rFonts w:cs="Calibri"/>
                <w:color w:val="000000"/>
                <w:sz w:val="24"/>
              </w:rPr>
              <w:t xml:space="preserve"> (NSDS)</w:t>
            </w:r>
          </w:p>
        </w:tc>
      </w:tr>
      <w:tr w:rsidR="008B714A" w:rsidRPr="00883226" w14:paraId="050EBD61" w14:textId="77777777" w:rsidTr="00B34EB2">
        <w:trPr>
          <w:trHeight w:val="290"/>
        </w:trPr>
        <w:tc>
          <w:tcPr>
            <w:tcW w:w="9360" w:type="dxa"/>
            <w:tcBorders>
              <w:top w:val="nil"/>
              <w:left w:val="nil"/>
              <w:bottom w:val="nil"/>
              <w:right w:val="nil"/>
            </w:tcBorders>
            <w:shd w:val="clear" w:color="auto" w:fill="auto"/>
            <w:noWrap/>
            <w:vAlign w:val="center"/>
            <w:hideMark/>
          </w:tcPr>
          <w:p w14:paraId="636A6E1A" w14:textId="77777777" w:rsidR="008B714A" w:rsidRPr="00883226" w:rsidRDefault="008B714A" w:rsidP="00B34EB2">
            <w:pPr>
              <w:rPr>
                <w:rFonts w:cs="Calibri"/>
                <w:b/>
                <w:bCs/>
                <w:color w:val="000000"/>
                <w:sz w:val="24"/>
              </w:rPr>
            </w:pPr>
            <w:r w:rsidRPr="00883226">
              <w:rPr>
                <w:rFonts w:cs="Calibri"/>
                <w:b/>
                <w:bCs/>
                <w:color w:val="000000"/>
                <w:sz w:val="24"/>
              </w:rPr>
              <w:t>Outcome Statements</w:t>
            </w:r>
            <w:r>
              <w:rPr>
                <w:rFonts w:cs="Calibri"/>
                <w:color w:val="000000"/>
                <w:sz w:val="24"/>
              </w:rPr>
              <w:t xml:space="preserve"> – </w:t>
            </w:r>
            <w:r w:rsidRPr="00883226">
              <w:rPr>
                <w:rFonts w:cs="Calibri"/>
                <w:color w:val="000000"/>
                <w:sz w:val="24"/>
              </w:rPr>
              <w:t xml:space="preserve">Define the </w:t>
            </w:r>
            <w:r>
              <w:rPr>
                <w:rFonts w:cs="Calibri"/>
                <w:color w:val="000000"/>
                <w:sz w:val="24"/>
              </w:rPr>
              <w:t>q</w:t>
            </w:r>
            <w:r w:rsidRPr="00883226">
              <w:rPr>
                <w:rFonts w:cs="Calibri"/>
                <w:color w:val="000000"/>
                <w:sz w:val="24"/>
              </w:rPr>
              <w:t xml:space="preserve">uality </w:t>
            </w:r>
            <w:r>
              <w:rPr>
                <w:rFonts w:cs="Calibri"/>
                <w:color w:val="000000"/>
                <w:sz w:val="24"/>
              </w:rPr>
              <w:t>el</w:t>
            </w:r>
            <w:r w:rsidRPr="00883226">
              <w:rPr>
                <w:rFonts w:cs="Calibri"/>
                <w:color w:val="000000"/>
                <w:sz w:val="24"/>
              </w:rPr>
              <w:t>ements</w:t>
            </w:r>
          </w:p>
        </w:tc>
      </w:tr>
      <w:tr w:rsidR="008B714A" w:rsidRPr="00883226" w14:paraId="1DC18A26" w14:textId="77777777" w:rsidTr="00B34EB2">
        <w:trPr>
          <w:trHeight w:val="290"/>
        </w:trPr>
        <w:tc>
          <w:tcPr>
            <w:tcW w:w="9360" w:type="dxa"/>
            <w:tcBorders>
              <w:top w:val="nil"/>
              <w:left w:val="nil"/>
              <w:bottom w:val="nil"/>
              <w:right w:val="nil"/>
            </w:tcBorders>
            <w:shd w:val="clear" w:color="auto" w:fill="auto"/>
            <w:noWrap/>
            <w:vAlign w:val="center"/>
            <w:hideMark/>
          </w:tcPr>
          <w:p w14:paraId="2874A3ED" w14:textId="77777777" w:rsidR="008B714A" w:rsidRPr="00883226" w:rsidRDefault="008B714A" w:rsidP="00B34EB2">
            <w:pPr>
              <w:rPr>
                <w:rFonts w:cs="Calibri"/>
                <w:b/>
                <w:bCs/>
                <w:color w:val="000000"/>
                <w:sz w:val="24"/>
              </w:rPr>
            </w:pPr>
            <w:r w:rsidRPr="00883226">
              <w:rPr>
                <w:rFonts w:cs="Calibri"/>
                <w:b/>
                <w:bCs/>
                <w:color w:val="000000"/>
                <w:sz w:val="24"/>
              </w:rPr>
              <w:t>Quality Elements</w:t>
            </w:r>
            <w:r w:rsidRPr="00883226">
              <w:rPr>
                <w:rFonts w:cs="Calibri"/>
                <w:color w:val="000000"/>
                <w:sz w:val="24"/>
              </w:rPr>
              <w:t xml:space="preserve"> – 4 over-arching features of the Quality Framework (Participant Rights, Understanding Quality, Provider Capability, and Compliance) which are made of one or two outcome statements supporting the achievement of quality outcomes</w:t>
            </w:r>
          </w:p>
        </w:tc>
      </w:tr>
      <w:tr w:rsidR="008B714A" w:rsidRPr="00883226" w14:paraId="653C1D0E" w14:textId="77777777" w:rsidTr="00B34EB2">
        <w:trPr>
          <w:trHeight w:val="290"/>
        </w:trPr>
        <w:tc>
          <w:tcPr>
            <w:tcW w:w="9360" w:type="dxa"/>
            <w:tcBorders>
              <w:top w:val="nil"/>
              <w:left w:val="nil"/>
              <w:bottom w:val="nil"/>
              <w:right w:val="nil"/>
            </w:tcBorders>
            <w:shd w:val="clear" w:color="auto" w:fill="auto"/>
            <w:noWrap/>
            <w:vAlign w:val="center"/>
            <w:hideMark/>
          </w:tcPr>
          <w:p w14:paraId="24DD9F7C" w14:textId="77777777" w:rsidR="008B714A" w:rsidRPr="00883226" w:rsidRDefault="008B714A" w:rsidP="00B34EB2">
            <w:pPr>
              <w:rPr>
                <w:rFonts w:cs="Calibri"/>
                <w:b/>
                <w:bCs/>
                <w:color w:val="000000"/>
                <w:sz w:val="24"/>
              </w:rPr>
            </w:pPr>
            <w:r w:rsidRPr="00883226">
              <w:rPr>
                <w:rFonts w:cs="Calibri"/>
                <w:b/>
                <w:bCs/>
                <w:color w:val="000000"/>
                <w:sz w:val="24"/>
              </w:rPr>
              <w:t>Quality Improvement Plan</w:t>
            </w:r>
            <w:r w:rsidRPr="00883226">
              <w:rPr>
                <w:rFonts w:cs="Calibri"/>
                <w:color w:val="000000"/>
                <w:sz w:val="24"/>
              </w:rPr>
              <w:t xml:space="preserve"> – Provider developed strategic</w:t>
            </w:r>
            <w:r>
              <w:rPr>
                <w:rFonts w:cs="Calibri"/>
                <w:color w:val="000000"/>
                <w:sz w:val="24"/>
              </w:rPr>
              <w:t xml:space="preserve"> plan</w:t>
            </w:r>
            <w:r w:rsidRPr="00883226">
              <w:rPr>
                <w:rFonts w:cs="Calibri"/>
                <w:color w:val="000000"/>
                <w:sz w:val="24"/>
              </w:rPr>
              <w:t xml:space="preserve"> to improve the quality of their DES services</w:t>
            </w:r>
            <w:r>
              <w:rPr>
                <w:rFonts w:cs="Calibri"/>
                <w:color w:val="000000"/>
                <w:sz w:val="24"/>
              </w:rPr>
              <w:t xml:space="preserve"> where they receive a rating of Improvement Required</w:t>
            </w:r>
          </w:p>
        </w:tc>
      </w:tr>
      <w:tr w:rsidR="008B714A" w:rsidRPr="00883226" w14:paraId="29D25180" w14:textId="77777777" w:rsidTr="00B34EB2">
        <w:trPr>
          <w:trHeight w:val="290"/>
        </w:trPr>
        <w:tc>
          <w:tcPr>
            <w:tcW w:w="9360" w:type="dxa"/>
            <w:tcBorders>
              <w:top w:val="nil"/>
              <w:left w:val="nil"/>
              <w:bottom w:val="nil"/>
              <w:right w:val="nil"/>
            </w:tcBorders>
            <w:shd w:val="clear" w:color="auto" w:fill="auto"/>
            <w:noWrap/>
            <w:vAlign w:val="center"/>
            <w:hideMark/>
          </w:tcPr>
          <w:p w14:paraId="4E338717" w14:textId="77777777" w:rsidR="008B714A" w:rsidRPr="00883226" w:rsidRDefault="008B714A" w:rsidP="00B34EB2">
            <w:pPr>
              <w:rPr>
                <w:rFonts w:cs="Calibri"/>
                <w:b/>
                <w:bCs/>
                <w:color w:val="000000"/>
                <w:sz w:val="24"/>
              </w:rPr>
            </w:pPr>
            <w:r w:rsidRPr="00883226">
              <w:rPr>
                <w:rFonts w:cs="Calibri"/>
                <w:b/>
                <w:bCs/>
                <w:color w:val="000000"/>
                <w:sz w:val="24"/>
              </w:rPr>
              <w:t>Quality Indicators</w:t>
            </w:r>
            <w:r w:rsidRPr="00883226">
              <w:rPr>
                <w:rFonts w:cs="Calibri"/>
                <w:color w:val="000000"/>
                <w:sz w:val="24"/>
              </w:rPr>
              <w:t xml:space="preserve"> – Sub-descriptors used to assess the quality of each </w:t>
            </w:r>
            <w:r>
              <w:rPr>
                <w:rFonts w:cs="Calibri"/>
                <w:color w:val="000000"/>
                <w:sz w:val="24"/>
              </w:rPr>
              <w:t>quality e</w:t>
            </w:r>
            <w:r w:rsidRPr="00883226">
              <w:rPr>
                <w:rFonts w:cs="Calibri"/>
                <w:color w:val="000000"/>
                <w:sz w:val="24"/>
              </w:rPr>
              <w:t>lement</w:t>
            </w:r>
          </w:p>
        </w:tc>
      </w:tr>
      <w:tr w:rsidR="008B714A" w:rsidRPr="00883226" w14:paraId="41C17D71" w14:textId="77777777" w:rsidTr="00B34EB2">
        <w:trPr>
          <w:trHeight w:val="290"/>
        </w:trPr>
        <w:tc>
          <w:tcPr>
            <w:tcW w:w="9360" w:type="dxa"/>
            <w:tcBorders>
              <w:top w:val="nil"/>
              <w:left w:val="nil"/>
              <w:bottom w:val="nil"/>
              <w:right w:val="nil"/>
            </w:tcBorders>
            <w:shd w:val="clear" w:color="auto" w:fill="auto"/>
            <w:noWrap/>
            <w:vAlign w:val="center"/>
            <w:hideMark/>
          </w:tcPr>
          <w:p w14:paraId="048D74AB" w14:textId="77777777" w:rsidR="008B714A" w:rsidRPr="00883226" w:rsidRDefault="008B714A" w:rsidP="00B34EB2">
            <w:pPr>
              <w:rPr>
                <w:rFonts w:cs="Calibri"/>
                <w:b/>
                <w:bCs/>
                <w:color w:val="000000"/>
                <w:sz w:val="24"/>
              </w:rPr>
            </w:pPr>
            <w:r w:rsidRPr="00883226">
              <w:rPr>
                <w:rFonts w:cs="Calibri"/>
                <w:b/>
                <w:bCs/>
                <w:color w:val="000000"/>
                <w:sz w:val="24"/>
              </w:rPr>
              <w:t>Quality Rating Period</w:t>
            </w:r>
            <w:r w:rsidRPr="00883226">
              <w:rPr>
                <w:rFonts w:cs="Calibri"/>
                <w:color w:val="000000"/>
                <w:sz w:val="24"/>
              </w:rPr>
              <w:t xml:space="preserve"> – </w:t>
            </w:r>
            <w:r>
              <w:rPr>
                <w:rFonts w:cs="Calibri"/>
                <w:color w:val="000000"/>
                <w:sz w:val="24"/>
              </w:rPr>
              <w:t>A rolling 12 month period used by the department to assess p</w:t>
            </w:r>
            <w:r w:rsidRPr="00883226">
              <w:rPr>
                <w:rFonts w:cs="Calibri"/>
                <w:color w:val="000000"/>
                <w:sz w:val="24"/>
              </w:rPr>
              <w:t>rovider quality</w:t>
            </w:r>
          </w:p>
        </w:tc>
      </w:tr>
      <w:tr w:rsidR="008B714A" w:rsidRPr="00883226" w14:paraId="1DA2AC7A" w14:textId="77777777" w:rsidTr="00B34EB2">
        <w:trPr>
          <w:trHeight w:val="290"/>
        </w:trPr>
        <w:tc>
          <w:tcPr>
            <w:tcW w:w="9360" w:type="dxa"/>
            <w:tcBorders>
              <w:top w:val="nil"/>
              <w:left w:val="nil"/>
              <w:bottom w:val="nil"/>
              <w:right w:val="nil"/>
            </w:tcBorders>
            <w:shd w:val="clear" w:color="auto" w:fill="auto"/>
            <w:noWrap/>
            <w:vAlign w:val="center"/>
            <w:hideMark/>
          </w:tcPr>
          <w:p w14:paraId="36F6302B" w14:textId="77777777" w:rsidR="008B714A" w:rsidRPr="00883226" w:rsidRDefault="008B714A" w:rsidP="00B34EB2">
            <w:pPr>
              <w:rPr>
                <w:rFonts w:cs="Calibri"/>
                <w:b/>
                <w:bCs/>
                <w:color w:val="000000"/>
                <w:sz w:val="24"/>
              </w:rPr>
            </w:pPr>
            <w:r w:rsidRPr="00883226">
              <w:rPr>
                <w:rFonts w:cs="Calibri"/>
                <w:b/>
                <w:bCs/>
                <w:color w:val="000000"/>
                <w:sz w:val="24"/>
              </w:rPr>
              <w:t>Quality Ratings</w:t>
            </w:r>
            <w:r w:rsidRPr="00883226">
              <w:rPr>
                <w:rFonts w:cs="Calibri"/>
                <w:color w:val="000000"/>
                <w:sz w:val="24"/>
              </w:rPr>
              <w:t xml:space="preserve"> – The rating (Exceeds, Meets, or Improvement Required)</w:t>
            </w:r>
            <w:r>
              <w:rPr>
                <w:rFonts w:cs="Calibri"/>
                <w:color w:val="000000"/>
                <w:sz w:val="24"/>
              </w:rPr>
              <w:t xml:space="preserve"> issued to providers after the d</w:t>
            </w:r>
            <w:r w:rsidRPr="00883226">
              <w:rPr>
                <w:rFonts w:cs="Calibri"/>
                <w:color w:val="000000"/>
                <w:sz w:val="24"/>
              </w:rPr>
              <w:t xml:space="preserve">epartment has assessed the quality indicators, outcomes and </w:t>
            </w:r>
            <w:r>
              <w:rPr>
                <w:rFonts w:cs="Calibri"/>
                <w:color w:val="000000"/>
                <w:sz w:val="24"/>
              </w:rPr>
              <w:t xml:space="preserve">quality </w:t>
            </w:r>
            <w:r w:rsidRPr="00883226">
              <w:rPr>
                <w:rFonts w:cs="Calibri"/>
                <w:color w:val="000000"/>
                <w:sz w:val="24"/>
              </w:rPr>
              <w:t>elements, and indicative ratings have been finalised</w:t>
            </w:r>
          </w:p>
        </w:tc>
      </w:tr>
      <w:tr w:rsidR="008B714A" w:rsidRPr="00883226" w14:paraId="43072064" w14:textId="77777777" w:rsidTr="00B34EB2">
        <w:trPr>
          <w:trHeight w:val="290"/>
        </w:trPr>
        <w:tc>
          <w:tcPr>
            <w:tcW w:w="9360" w:type="dxa"/>
            <w:tcBorders>
              <w:top w:val="nil"/>
              <w:left w:val="nil"/>
              <w:bottom w:val="nil"/>
              <w:right w:val="nil"/>
            </w:tcBorders>
            <w:shd w:val="clear" w:color="auto" w:fill="auto"/>
            <w:noWrap/>
            <w:vAlign w:val="center"/>
            <w:hideMark/>
          </w:tcPr>
          <w:p w14:paraId="04BF8968" w14:textId="77777777" w:rsidR="008B714A" w:rsidRPr="00883226" w:rsidRDefault="008B714A" w:rsidP="00B34EB2">
            <w:pPr>
              <w:rPr>
                <w:rFonts w:cs="Calibri"/>
                <w:b/>
                <w:bCs/>
                <w:color w:val="000000"/>
                <w:sz w:val="24"/>
              </w:rPr>
            </w:pPr>
            <w:r w:rsidRPr="00883226">
              <w:rPr>
                <w:rFonts w:cs="Calibri"/>
                <w:b/>
                <w:bCs/>
                <w:color w:val="000000"/>
                <w:sz w:val="24"/>
              </w:rPr>
              <w:t>Quality Scorecard</w:t>
            </w:r>
            <w:r>
              <w:rPr>
                <w:rFonts w:cs="Calibri"/>
                <w:color w:val="000000"/>
                <w:sz w:val="24"/>
              </w:rPr>
              <w:t xml:space="preserve"> – Document issued to p</w:t>
            </w:r>
            <w:r w:rsidRPr="00883226">
              <w:rPr>
                <w:rFonts w:cs="Calibri"/>
                <w:color w:val="000000"/>
                <w:sz w:val="24"/>
              </w:rPr>
              <w:t>roviders at the end of a quality rating period advising of their quality ratings</w:t>
            </w:r>
          </w:p>
        </w:tc>
      </w:tr>
      <w:tr w:rsidR="008B714A" w:rsidRPr="00883226" w14:paraId="1EFDE3F6" w14:textId="77777777" w:rsidTr="00B34EB2">
        <w:trPr>
          <w:trHeight w:val="290"/>
        </w:trPr>
        <w:tc>
          <w:tcPr>
            <w:tcW w:w="9360" w:type="dxa"/>
            <w:tcBorders>
              <w:top w:val="nil"/>
              <w:left w:val="nil"/>
              <w:bottom w:val="nil"/>
              <w:right w:val="nil"/>
            </w:tcBorders>
            <w:shd w:val="clear" w:color="auto" w:fill="auto"/>
            <w:noWrap/>
            <w:vAlign w:val="center"/>
            <w:hideMark/>
          </w:tcPr>
          <w:p w14:paraId="57B3923C" w14:textId="4677F0F4" w:rsidR="00337267" w:rsidRPr="00821DFB" w:rsidRDefault="008B714A" w:rsidP="00B34EB2">
            <w:pPr>
              <w:rPr>
                <w:rFonts w:cs="Calibri"/>
                <w:color w:val="000000"/>
                <w:sz w:val="24"/>
              </w:rPr>
            </w:pPr>
            <w:r w:rsidRPr="00883226">
              <w:rPr>
                <w:rFonts w:cs="Calibri"/>
                <w:b/>
                <w:bCs/>
                <w:color w:val="000000"/>
                <w:sz w:val="24"/>
              </w:rPr>
              <w:t>Understanding Quality Assessment</w:t>
            </w:r>
            <w:r>
              <w:rPr>
                <w:rFonts w:cs="Calibri"/>
                <w:color w:val="000000"/>
                <w:sz w:val="24"/>
              </w:rPr>
              <w:t xml:space="preserve"> – An assessment undertaken by the department  of Element 2 </w:t>
            </w:r>
            <w:r>
              <w:rPr>
                <w:spacing w:val="4"/>
              </w:rPr>
              <w:t xml:space="preserve">using a matrix of 14 indicators (seven for each outcome), informed by the </w:t>
            </w:r>
            <w:r>
              <w:rPr>
                <w:rFonts w:cs="Calibri"/>
                <w:color w:val="000000"/>
                <w:sz w:val="24"/>
              </w:rPr>
              <w:t>p</w:t>
            </w:r>
            <w:r w:rsidRPr="00883226">
              <w:rPr>
                <w:rFonts w:cs="Calibri"/>
                <w:color w:val="000000"/>
                <w:sz w:val="24"/>
              </w:rPr>
              <w:t>rovider</w:t>
            </w:r>
            <w:r>
              <w:rPr>
                <w:rFonts w:cs="Calibri"/>
                <w:color w:val="000000"/>
                <w:sz w:val="24"/>
              </w:rPr>
              <w:t>’s</w:t>
            </w:r>
            <w:r w:rsidRPr="00883226">
              <w:rPr>
                <w:rFonts w:cs="Calibri"/>
                <w:color w:val="000000"/>
                <w:sz w:val="24"/>
              </w:rPr>
              <w:t xml:space="preserve"> self-assessment </w:t>
            </w:r>
            <w:r>
              <w:rPr>
                <w:rFonts w:cs="Calibri"/>
                <w:color w:val="000000"/>
                <w:sz w:val="24"/>
              </w:rPr>
              <w:t xml:space="preserve">against the same 14 indicators </w:t>
            </w:r>
            <w:r w:rsidRPr="00883226">
              <w:rPr>
                <w:rFonts w:cs="Calibri"/>
                <w:color w:val="000000"/>
                <w:sz w:val="24"/>
              </w:rPr>
              <w:t>completed twice per year</w:t>
            </w:r>
            <w:r>
              <w:rPr>
                <w:rFonts w:cs="Calibri"/>
                <w:color w:val="000000"/>
                <w:sz w:val="24"/>
              </w:rPr>
              <w:t>.</w:t>
            </w:r>
          </w:p>
        </w:tc>
      </w:tr>
      <w:tr w:rsidR="00337267" w:rsidRPr="00883226" w14:paraId="47D78230" w14:textId="77777777" w:rsidTr="00674B1D">
        <w:trPr>
          <w:trHeight w:val="290"/>
        </w:trPr>
        <w:tc>
          <w:tcPr>
            <w:tcW w:w="9360" w:type="dxa"/>
            <w:tcBorders>
              <w:top w:val="nil"/>
              <w:left w:val="nil"/>
              <w:bottom w:val="nil"/>
              <w:right w:val="nil"/>
            </w:tcBorders>
            <w:shd w:val="clear" w:color="auto" w:fill="auto"/>
            <w:noWrap/>
          </w:tcPr>
          <w:p w14:paraId="53ADA674" w14:textId="16D19EAE" w:rsidR="00337267" w:rsidRPr="00883226" w:rsidRDefault="00337267" w:rsidP="00337267">
            <w:pPr>
              <w:rPr>
                <w:rFonts w:cs="Calibri"/>
                <w:b/>
                <w:bCs/>
                <w:color w:val="000000"/>
                <w:sz w:val="24"/>
              </w:rPr>
            </w:pPr>
            <w:r w:rsidRPr="00146E7F">
              <w:rPr>
                <w:rFonts w:cs="Calibri"/>
                <w:b/>
                <w:bCs/>
                <w:color w:val="000000"/>
                <w:sz w:val="24"/>
              </w:rPr>
              <w:t xml:space="preserve">Understanding Quality </w:t>
            </w:r>
            <w:r w:rsidRPr="00146E7F">
              <w:rPr>
                <w:rFonts w:cs="Calibri"/>
                <w:b/>
                <w:color w:val="000000"/>
                <w:sz w:val="24"/>
              </w:rPr>
              <w:t xml:space="preserve">Self-Assessment Tool </w:t>
            </w:r>
            <w:r w:rsidRPr="00146E7F">
              <w:rPr>
                <w:rFonts w:cs="Calibri"/>
                <w:color w:val="000000"/>
                <w:sz w:val="24"/>
              </w:rPr>
              <w:t>– A tool to allow providers to undertake a self-assessment twice a year for Element 2, using the same matrix of 14 indicators (seven for each outcome) used by the department for the Understanding Qu</w:t>
            </w:r>
            <w:r w:rsidR="00E57127">
              <w:rPr>
                <w:rFonts w:cs="Calibri"/>
                <w:color w:val="000000"/>
                <w:sz w:val="24"/>
              </w:rPr>
              <w:t>ality Assessment. The self-asse</w:t>
            </w:r>
            <w:r w:rsidRPr="00146E7F">
              <w:rPr>
                <w:rFonts w:cs="Calibri"/>
                <w:color w:val="000000"/>
                <w:sz w:val="24"/>
              </w:rPr>
              <w:t>ssment allows providers to reflect on the quality of their DES services.</w:t>
            </w:r>
          </w:p>
        </w:tc>
      </w:tr>
      <w:bookmarkEnd w:id="114"/>
      <w:bookmarkEnd w:id="115"/>
      <w:bookmarkEnd w:id="116"/>
      <w:bookmarkEnd w:id="117"/>
    </w:tbl>
    <w:p w14:paraId="1CDD18F7" w14:textId="5A5252EF" w:rsidR="00014231" w:rsidRPr="00314E60" w:rsidRDefault="00014231" w:rsidP="004A23B7">
      <w:pPr>
        <w:spacing w:line="276" w:lineRule="auto"/>
        <w:rPr>
          <w:rFonts w:asciiTheme="minorHAnsi" w:hAnsiTheme="minorHAnsi" w:cstheme="minorHAnsi"/>
          <w:lang w:eastAsia="en-US"/>
        </w:rPr>
      </w:pPr>
    </w:p>
    <w:sectPr w:rsidR="00014231" w:rsidRPr="00314E60" w:rsidSect="00C77737">
      <w:pgSz w:w="11906" w:h="16838" w:code="9"/>
      <w:pgMar w:top="993" w:right="851" w:bottom="709" w:left="993" w:header="70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D861" w14:textId="77777777" w:rsidR="00707C8F" w:rsidRDefault="00707C8F">
      <w:r>
        <w:separator/>
      </w:r>
    </w:p>
    <w:p w14:paraId="7BA6DCDF" w14:textId="77777777" w:rsidR="00707C8F" w:rsidRDefault="00707C8F"/>
  </w:endnote>
  <w:endnote w:type="continuationSeparator" w:id="0">
    <w:p w14:paraId="4A1A411A" w14:textId="77777777" w:rsidR="00707C8F" w:rsidRDefault="00707C8F">
      <w:r>
        <w:continuationSeparator/>
      </w:r>
    </w:p>
    <w:p w14:paraId="6C406799" w14:textId="77777777" w:rsidR="00707C8F" w:rsidRDefault="00707C8F"/>
  </w:endnote>
  <w:endnote w:type="continuationNotice" w:id="1">
    <w:p w14:paraId="2B7E5CC2" w14:textId="77777777" w:rsidR="00707C8F" w:rsidRDefault="00707C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09F9" w14:textId="77777777" w:rsidR="0060476D" w:rsidRDefault="00604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C7FD" w14:textId="05574C33" w:rsidR="000D2188" w:rsidRDefault="000D2188" w:rsidP="00C0288C">
    <w:pPr>
      <w:pStyle w:val="Footer"/>
      <w:pBdr>
        <w:top w:val="single" w:sz="4" w:space="1" w:color="948A54" w:themeColor="background2" w:themeShade="80"/>
      </w:pBdr>
      <w:rPr>
        <w:sz w:val="20"/>
        <w:szCs w:val="20"/>
      </w:rPr>
    </w:pPr>
    <w:r>
      <w:rPr>
        <w:sz w:val="20"/>
        <w:szCs w:val="20"/>
      </w:rPr>
      <w:t>DES Quality Guidelines V.1.1</w:t>
    </w:r>
  </w:p>
  <w:p w14:paraId="425270A8" w14:textId="68122252" w:rsidR="000D2188" w:rsidRDefault="00624403" w:rsidP="00C0288C">
    <w:pPr>
      <w:pStyle w:val="Footer"/>
      <w:pBdr>
        <w:top w:val="single" w:sz="4" w:space="1" w:color="948A54" w:themeColor="background2" w:themeShade="80"/>
      </w:pBdr>
      <w:jc w:val="right"/>
      <w:rPr>
        <w:sz w:val="20"/>
        <w:szCs w:val="20"/>
      </w:rPr>
    </w:pPr>
    <w:r>
      <w:rPr>
        <w:sz w:val="20"/>
        <w:szCs w:val="20"/>
      </w:rPr>
      <w:tab/>
      <w:t>Effective Date: 1</w:t>
    </w:r>
    <w:r w:rsidR="000D2188">
      <w:rPr>
        <w:sz w:val="20"/>
        <w:szCs w:val="20"/>
      </w:rPr>
      <w:t xml:space="preserve"> </w:t>
    </w:r>
    <w:r>
      <w:rPr>
        <w:sz w:val="20"/>
        <w:szCs w:val="20"/>
      </w:rPr>
      <w:t>January</w:t>
    </w:r>
    <w:r w:rsidR="0052000C">
      <w:rPr>
        <w:sz w:val="20"/>
        <w:szCs w:val="20"/>
      </w:rPr>
      <w:t xml:space="preserve"> </w:t>
    </w:r>
    <w:r w:rsidR="000D2188">
      <w:rPr>
        <w:sz w:val="20"/>
        <w:szCs w:val="20"/>
      </w:rPr>
      <w:t>2024</w:t>
    </w:r>
  </w:p>
  <w:p w14:paraId="574912B1" w14:textId="6B59CB25" w:rsidR="000D2188" w:rsidRDefault="005871E3" w:rsidP="00B449C6">
    <w:pPr>
      <w:pStyle w:val="Footer"/>
      <w:jc w:val="center"/>
      <w:rPr>
        <w:noProof/>
      </w:rPr>
    </w:pPr>
    <w:sdt>
      <w:sdtPr>
        <w:id w:val="-233930260"/>
        <w:docPartObj>
          <w:docPartGallery w:val="Page Numbers (Bottom of Page)"/>
          <w:docPartUnique/>
        </w:docPartObj>
      </w:sdtPr>
      <w:sdtEndPr>
        <w:rPr>
          <w:noProof/>
        </w:rPr>
      </w:sdtEndPr>
      <w:sdtContent>
        <w:r w:rsidR="000D2188">
          <w:rPr>
            <w:noProof/>
          </w:rPr>
          <w:fldChar w:fldCharType="begin"/>
        </w:r>
        <w:r w:rsidR="000D2188">
          <w:rPr>
            <w:noProof/>
          </w:rPr>
          <w:instrText xml:space="preserve"> PAGE   \* MERGEFORMAT </w:instrText>
        </w:r>
        <w:r w:rsidR="000D2188">
          <w:rPr>
            <w:noProof/>
          </w:rPr>
          <w:fldChar w:fldCharType="separate"/>
        </w:r>
        <w:r>
          <w:rPr>
            <w:noProof/>
          </w:rPr>
          <w:t>2</w:t>
        </w:r>
        <w:r w:rsidR="000D2188">
          <w:rPr>
            <w:noProof/>
          </w:rPr>
          <w:fldChar w:fldCharType="end"/>
        </w:r>
      </w:sdtContent>
    </w:sdt>
  </w:p>
  <w:p w14:paraId="295EFAED" w14:textId="77777777" w:rsidR="000D2188" w:rsidRDefault="000D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E963" w14:textId="7F612B7E" w:rsidR="000D2188" w:rsidRDefault="000D2188" w:rsidP="00C0288C">
    <w:pPr>
      <w:pStyle w:val="Footer"/>
      <w:pBdr>
        <w:top w:val="single" w:sz="4" w:space="1" w:color="948A54" w:themeColor="background2" w:themeShade="80"/>
      </w:pBdr>
      <w:rPr>
        <w:sz w:val="20"/>
        <w:szCs w:val="20"/>
      </w:rPr>
    </w:pPr>
    <w:r>
      <w:rPr>
        <w:sz w:val="20"/>
        <w:szCs w:val="20"/>
      </w:rPr>
      <w:t>DES Quality Guidelines V.1.1</w:t>
    </w:r>
  </w:p>
  <w:p w14:paraId="5CE758B3" w14:textId="641A44ED" w:rsidR="000D2188" w:rsidRDefault="000D2188" w:rsidP="00C0288C">
    <w:pPr>
      <w:pStyle w:val="Footer"/>
      <w:pBdr>
        <w:top w:val="single" w:sz="4" w:space="1" w:color="948A54" w:themeColor="background2" w:themeShade="80"/>
      </w:pBdr>
      <w:jc w:val="right"/>
      <w:rPr>
        <w:sz w:val="20"/>
        <w:szCs w:val="20"/>
      </w:rPr>
    </w:pPr>
    <w:r>
      <w:rPr>
        <w:sz w:val="20"/>
        <w:szCs w:val="20"/>
      </w:rPr>
      <w:tab/>
      <w:t xml:space="preserve">Effective Date: </w:t>
    </w:r>
    <w:r w:rsidR="00624403">
      <w:rPr>
        <w:sz w:val="20"/>
        <w:szCs w:val="20"/>
      </w:rPr>
      <w:t xml:space="preserve">1 January </w:t>
    </w:r>
    <w:r>
      <w:rPr>
        <w:sz w:val="20"/>
        <w:szCs w:val="20"/>
      </w:rPr>
      <w:t>2024</w:t>
    </w:r>
  </w:p>
  <w:p w14:paraId="2B3A9DAD" w14:textId="77777777" w:rsidR="000D2188" w:rsidRDefault="000D2188" w:rsidP="00C0288C">
    <w:pPr>
      <w:pStyle w:val="BodyText"/>
      <w:rPr>
        <w:rFonts w:ascii="Calibri" w:eastAsia="Times New Roman" w:hAnsi="Calibri" w:cs="Times New Roman"/>
        <w:noProof/>
        <w:color w:val="808080" w:themeColor="background1" w:themeShade="80"/>
        <w:sz w:val="22"/>
        <w:szCs w:val="24"/>
        <w:lang w:val="en-AU" w:eastAsia="en-AU"/>
      </w:rPr>
    </w:pPr>
  </w:p>
  <w:p w14:paraId="46AF9EA6" w14:textId="657F706E" w:rsidR="000D2188" w:rsidRPr="00067E57" w:rsidRDefault="000D2188" w:rsidP="00067E57">
    <w:pPr>
      <w:pStyle w:val="BodyText"/>
      <w:jc w:val="center"/>
      <w:rPr>
        <w:rFonts w:ascii="Calibri" w:eastAsia="Times New Roman" w:hAnsi="Calibri" w:cs="Times New Roman"/>
        <w:noProof/>
        <w:color w:val="808080" w:themeColor="background1" w:themeShade="80"/>
        <w:sz w:val="22"/>
        <w:szCs w:val="24"/>
        <w:lang w:val="en-AU" w:eastAsia="en-AU"/>
      </w:rPr>
    </w:pPr>
    <w:r w:rsidRPr="00067E57">
      <w:rPr>
        <w:rFonts w:ascii="Calibri" w:eastAsia="Times New Roman" w:hAnsi="Calibri" w:cs="Times New Roman"/>
        <w:noProof/>
        <w:color w:val="808080" w:themeColor="background1" w:themeShade="80"/>
        <w:sz w:val="22"/>
        <w:szCs w:val="24"/>
        <w:lang w:val="en-AU" w:eastAsia="en-AU"/>
      </w:rPr>
      <w:fldChar w:fldCharType="begin"/>
    </w:r>
    <w:r w:rsidRPr="00067E57">
      <w:rPr>
        <w:rFonts w:ascii="Calibri" w:eastAsia="Times New Roman" w:hAnsi="Calibri" w:cs="Times New Roman"/>
        <w:noProof/>
        <w:color w:val="808080" w:themeColor="background1" w:themeShade="80"/>
        <w:sz w:val="22"/>
        <w:szCs w:val="24"/>
        <w:lang w:val="en-AU" w:eastAsia="en-AU"/>
      </w:rPr>
      <w:instrText xml:space="preserve"> PAGE   \* MERGEFORMAT </w:instrText>
    </w:r>
    <w:r w:rsidRPr="00067E57">
      <w:rPr>
        <w:rFonts w:ascii="Calibri" w:eastAsia="Times New Roman" w:hAnsi="Calibri" w:cs="Times New Roman"/>
        <w:noProof/>
        <w:color w:val="808080" w:themeColor="background1" w:themeShade="80"/>
        <w:sz w:val="22"/>
        <w:szCs w:val="24"/>
        <w:lang w:val="en-AU" w:eastAsia="en-AU"/>
      </w:rPr>
      <w:fldChar w:fldCharType="separate"/>
    </w:r>
    <w:r w:rsidR="005871E3">
      <w:rPr>
        <w:rFonts w:ascii="Calibri" w:eastAsia="Times New Roman" w:hAnsi="Calibri" w:cs="Times New Roman"/>
        <w:noProof/>
        <w:color w:val="808080" w:themeColor="background1" w:themeShade="80"/>
        <w:sz w:val="22"/>
        <w:szCs w:val="24"/>
        <w:lang w:val="en-AU" w:eastAsia="en-AU"/>
      </w:rPr>
      <w:t>1</w:t>
    </w:r>
    <w:r w:rsidRPr="00067E57">
      <w:rPr>
        <w:rFonts w:ascii="Calibri" w:eastAsia="Times New Roman" w:hAnsi="Calibri" w:cs="Times New Roman"/>
        <w:noProof/>
        <w:color w:val="808080" w:themeColor="background1" w:themeShade="80"/>
        <w:sz w:val="22"/>
        <w:szCs w:val="24"/>
        <w:lang w:val="en-AU"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575D" w14:textId="77777777" w:rsidR="00707C8F" w:rsidRDefault="00707C8F">
      <w:r>
        <w:separator/>
      </w:r>
    </w:p>
    <w:p w14:paraId="070E6A9F" w14:textId="77777777" w:rsidR="00707C8F" w:rsidRDefault="00707C8F"/>
  </w:footnote>
  <w:footnote w:type="continuationSeparator" w:id="0">
    <w:p w14:paraId="29CCC5C1" w14:textId="77777777" w:rsidR="00707C8F" w:rsidRDefault="00707C8F">
      <w:r>
        <w:continuationSeparator/>
      </w:r>
    </w:p>
    <w:p w14:paraId="2FCB42F3" w14:textId="77777777" w:rsidR="00707C8F" w:rsidRDefault="00707C8F"/>
  </w:footnote>
  <w:footnote w:type="continuationNotice" w:id="1">
    <w:p w14:paraId="1C4985A6" w14:textId="77777777" w:rsidR="00707C8F" w:rsidRDefault="00707C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6CBC" w14:textId="77777777" w:rsidR="0060476D" w:rsidRDefault="00604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6BC0" w14:textId="77777777" w:rsidR="0060476D" w:rsidRDefault="00604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758C" w14:textId="77777777" w:rsidR="0060476D" w:rsidRDefault="00604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94AA4C"/>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01D6EFD"/>
    <w:multiLevelType w:val="hybridMultilevel"/>
    <w:tmpl w:val="8E326A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683BFC"/>
    <w:multiLevelType w:val="hybridMultilevel"/>
    <w:tmpl w:val="F956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3E564E"/>
    <w:multiLevelType w:val="hybridMultilevel"/>
    <w:tmpl w:val="70BC4BB0"/>
    <w:lvl w:ilvl="0" w:tplc="706EC7C6">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0A091ADC"/>
    <w:multiLevelType w:val="hybridMultilevel"/>
    <w:tmpl w:val="5D24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92E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AA7AF7"/>
    <w:multiLevelType w:val="hybridMultilevel"/>
    <w:tmpl w:val="1A44E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346093"/>
    <w:multiLevelType w:val="hybridMultilevel"/>
    <w:tmpl w:val="80A0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75431"/>
    <w:multiLevelType w:val="hybridMultilevel"/>
    <w:tmpl w:val="6D946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62680"/>
    <w:multiLevelType w:val="multilevel"/>
    <w:tmpl w:val="84B4892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3085CD8"/>
    <w:multiLevelType w:val="hybridMultilevel"/>
    <w:tmpl w:val="4308E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F10CFB"/>
    <w:multiLevelType w:val="multilevel"/>
    <w:tmpl w:val="6BD8A3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857065"/>
    <w:multiLevelType w:val="hybridMultilevel"/>
    <w:tmpl w:val="32962208"/>
    <w:lvl w:ilvl="0" w:tplc="37D8D97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6E4D30"/>
    <w:multiLevelType w:val="hybridMultilevel"/>
    <w:tmpl w:val="C9E283AC"/>
    <w:lvl w:ilvl="0" w:tplc="152C8C4E">
      <w:start w:val="1"/>
      <w:numFmt w:val="bullet"/>
      <w:lvlText w:val="•"/>
      <w:lvlJc w:val="left"/>
      <w:pPr>
        <w:ind w:left="720" w:hanging="360"/>
      </w:pPr>
      <w:rPr>
        <w:rFonts w:ascii="Arial" w:hAnsi="Arial" w:cs="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03AA5"/>
    <w:multiLevelType w:val="multilevel"/>
    <w:tmpl w:val="84B48924"/>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36573D"/>
    <w:multiLevelType w:val="multilevel"/>
    <w:tmpl w:val="31DAE0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B43486"/>
    <w:multiLevelType w:val="hybridMultilevel"/>
    <w:tmpl w:val="962EF74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E2FA9"/>
    <w:multiLevelType w:val="multilevel"/>
    <w:tmpl w:val="232CC0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1E461F1E"/>
    <w:multiLevelType w:val="hybridMultilevel"/>
    <w:tmpl w:val="F37C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CE1A7D"/>
    <w:multiLevelType w:val="hybridMultilevel"/>
    <w:tmpl w:val="2DE6255C"/>
    <w:lvl w:ilvl="0" w:tplc="5ED2029C">
      <w:start w:val="1"/>
      <w:numFmt w:val="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23" w15:restartNumberingAfterBreak="0">
    <w:nsid w:val="228C7AF9"/>
    <w:multiLevelType w:val="hybridMultilevel"/>
    <w:tmpl w:val="C5D2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CC01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20413E"/>
    <w:multiLevelType w:val="multilevel"/>
    <w:tmpl w:val="31DAE0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3025C1"/>
    <w:multiLevelType w:val="multilevel"/>
    <w:tmpl w:val="232CC0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2C307873"/>
    <w:multiLevelType w:val="hybridMultilevel"/>
    <w:tmpl w:val="796248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C96A220">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310A61"/>
    <w:multiLevelType w:val="hybridMultilevel"/>
    <w:tmpl w:val="B554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704A0E"/>
    <w:multiLevelType w:val="hybridMultilevel"/>
    <w:tmpl w:val="F22C3D9A"/>
    <w:lvl w:ilvl="0" w:tplc="CBC023C8">
      <w:start w:val="1"/>
      <w:numFmt w:val="bullet"/>
      <w:pStyle w:val="docev"/>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B75BE4"/>
    <w:multiLevelType w:val="hybridMultilevel"/>
    <w:tmpl w:val="ABF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E72057"/>
    <w:multiLevelType w:val="hybridMultilevel"/>
    <w:tmpl w:val="B0B8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7E6C75"/>
    <w:multiLevelType w:val="hybridMultilevel"/>
    <w:tmpl w:val="042A3ACC"/>
    <w:lvl w:ilvl="0" w:tplc="706EC7C6">
      <w:start w:val="1"/>
      <w:numFmt w:val="bullet"/>
      <w:lvlText w:val=""/>
      <w:lvlJc w:val="left"/>
      <w:pPr>
        <w:ind w:left="1080" w:hanging="360"/>
      </w:pPr>
      <w:rPr>
        <w:rFonts w:ascii="Symbol" w:hAnsi="Symbol" w:hint="default"/>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D757034"/>
    <w:multiLevelType w:val="hybridMultilevel"/>
    <w:tmpl w:val="8B6A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2F3C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F30672"/>
    <w:multiLevelType w:val="hybridMultilevel"/>
    <w:tmpl w:val="F79CB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CB3B4C"/>
    <w:multiLevelType w:val="hybridMultilevel"/>
    <w:tmpl w:val="41746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33304F7"/>
    <w:multiLevelType w:val="hybridMultilevel"/>
    <w:tmpl w:val="72D836B6"/>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40" w15:restartNumberingAfterBreak="0">
    <w:nsid w:val="56EF537A"/>
    <w:multiLevelType w:val="hybridMultilevel"/>
    <w:tmpl w:val="4C8ACD86"/>
    <w:lvl w:ilvl="0" w:tplc="230002FA">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57762047"/>
    <w:multiLevelType w:val="hybridMultilevel"/>
    <w:tmpl w:val="9196C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9E16635"/>
    <w:multiLevelType w:val="hybridMultilevel"/>
    <w:tmpl w:val="7F88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530A8F"/>
    <w:multiLevelType w:val="hybridMultilevel"/>
    <w:tmpl w:val="A858A504"/>
    <w:lvl w:ilvl="0" w:tplc="706EC7C6">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396019"/>
    <w:multiLevelType w:val="hybridMultilevel"/>
    <w:tmpl w:val="F14E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5876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AC5877"/>
    <w:multiLevelType w:val="hybridMultilevel"/>
    <w:tmpl w:val="4ACCF3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8AD4475"/>
    <w:multiLevelType w:val="hybridMultilevel"/>
    <w:tmpl w:val="0F104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007648"/>
    <w:multiLevelType w:val="hybridMultilevel"/>
    <w:tmpl w:val="62DC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8159CD"/>
    <w:multiLevelType w:val="multilevel"/>
    <w:tmpl w:val="1A98ABA8"/>
    <w:lvl w:ilvl="0">
      <w:start w:val="1"/>
      <w:numFmt w:val="decimal"/>
      <w:pStyle w:val="Heading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1"/>
  </w:num>
  <w:num w:numId="4">
    <w:abstractNumId w:val="12"/>
  </w:num>
  <w:num w:numId="5">
    <w:abstractNumId w:val="5"/>
  </w:num>
  <w:num w:numId="6">
    <w:abstractNumId w:val="50"/>
  </w:num>
  <w:num w:numId="7">
    <w:abstractNumId w:val="29"/>
  </w:num>
  <w:num w:numId="8">
    <w:abstractNumId w:val="42"/>
  </w:num>
  <w:num w:numId="9">
    <w:abstractNumId w:val="30"/>
  </w:num>
  <w:num w:numId="10">
    <w:abstractNumId w:val="37"/>
  </w:num>
  <w:num w:numId="11">
    <w:abstractNumId w:val="51"/>
  </w:num>
  <w:num w:numId="12">
    <w:abstractNumId w:val="52"/>
  </w:num>
  <w:num w:numId="13">
    <w:abstractNumId w:val="27"/>
  </w:num>
  <w:num w:numId="14">
    <w:abstractNumId w:val="7"/>
  </w:num>
  <w:num w:numId="15">
    <w:abstractNumId w:val="14"/>
  </w:num>
  <w:num w:numId="16">
    <w:abstractNumId w:val="11"/>
  </w:num>
  <w:num w:numId="17">
    <w:abstractNumId w:val="17"/>
  </w:num>
  <w:num w:numId="18">
    <w:abstractNumId w:val="13"/>
  </w:num>
  <w:num w:numId="19">
    <w:abstractNumId w:val="18"/>
  </w:num>
  <w:num w:numId="20">
    <w:abstractNumId w:val="20"/>
  </w:num>
  <w:num w:numId="21">
    <w:abstractNumId w:val="25"/>
  </w:num>
  <w:num w:numId="22">
    <w:abstractNumId w:val="26"/>
  </w:num>
  <w:num w:numId="23">
    <w:abstractNumId w:val="2"/>
  </w:num>
  <w:num w:numId="24">
    <w:abstractNumId w:val="38"/>
  </w:num>
  <w:num w:numId="25">
    <w:abstractNumId w:val="52"/>
  </w:num>
  <w:num w:numId="26">
    <w:abstractNumId w:val="52"/>
  </w:num>
  <w:num w:numId="27">
    <w:abstractNumId w:val="52"/>
  </w:num>
  <w:num w:numId="28">
    <w:abstractNumId w:val="52"/>
  </w:num>
  <w:num w:numId="29">
    <w:abstractNumId w:val="8"/>
  </w:num>
  <w:num w:numId="30">
    <w:abstractNumId w:val="9"/>
  </w:num>
  <w:num w:numId="31">
    <w:abstractNumId w:val="45"/>
  </w:num>
  <w:num w:numId="32">
    <w:abstractNumId w:val="48"/>
  </w:num>
  <w:num w:numId="33">
    <w:abstractNumId w:val="19"/>
  </w:num>
  <w:num w:numId="34">
    <w:abstractNumId w:val="39"/>
  </w:num>
  <w:num w:numId="35">
    <w:abstractNumId w:val="52"/>
  </w:num>
  <w:num w:numId="36">
    <w:abstractNumId w:val="24"/>
  </w:num>
  <w:num w:numId="37">
    <w:abstractNumId w:val="21"/>
  </w:num>
  <w:num w:numId="38">
    <w:abstractNumId w:val="34"/>
  </w:num>
  <w:num w:numId="39">
    <w:abstractNumId w:val="36"/>
  </w:num>
  <w:num w:numId="40">
    <w:abstractNumId w:val="46"/>
  </w:num>
  <w:num w:numId="41">
    <w:abstractNumId w:val="16"/>
  </w:num>
  <w:num w:numId="42">
    <w:abstractNumId w:val="40"/>
  </w:num>
  <w:num w:numId="43">
    <w:abstractNumId w:val="15"/>
  </w:num>
  <w:num w:numId="44">
    <w:abstractNumId w:val="23"/>
  </w:num>
  <w:num w:numId="45">
    <w:abstractNumId w:val="35"/>
  </w:num>
  <w:num w:numId="46">
    <w:abstractNumId w:val="52"/>
  </w:num>
  <w:num w:numId="47">
    <w:abstractNumId w:val="52"/>
  </w:num>
  <w:num w:numId="48">
    <w:abstractNumId w:val="52"/>
  </w:num>
  <w:num w:numId="49">
    <w:abstractNumId w:val="52"/>
  </w:num>
  <w:num w:numId="50">
    <w:abstractNumId w:val="52"/>
  </w:num>
  <w:num w:numId="51">
    <w:abstractNumId w:val="52"/>
  </w:num>
  <w:num w:numId="52">
    <w:abstractNumId w:val="52"/>
  </w:num>
  <w:num w:numId="53">
    <w:abstractNumId w:val="52"/>
  </w:num>
  <w:num w:numId="54">
    <w:abstractNumId w:val="52"/>
  </w:num>
  <w:num w:numId="55">
    <w:abstractNumId w:val="32"/>
  </w:num>
  <w:num w:numId="56">
    <w:abstractNumId w:val="47"/>
  </w:num>
  <w:num w:numId="57">
    <w:abstractNumId w:val="6"/>
  </w:num>
  <w:num w:numId="58">
    <w:abstractNumId w:val="10"/>
  </w:num>
  <w:num w:numId="59">
    <w:abstractNumId w:val="28"/>
  </w:num>
  <w:num w:numId="60">
    <w:abstractNumId w:val="43"/>
  </w:num>
  <w:num w:numId="61">
    <w:abstractNumId w:val="49"/>
  </w:num>
  <w:num w:numId="62">
    <w:abstractNumId w:val="31"/>
  </w:num>
  <w:num w:numId="63">
    <w:abstractNumId w:val="3"/>
  </w:num>
  <w:num w:numId="64">
    <w:abstractNumId w:val="41"/>
  </w:num>
  <w:num w:numId="65">
    <w:abstractNumId w:val="33"/>
  </w:num>
  <w:num w:numId="66">
    <w:abstractNumId w:val="4"/>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4097">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19DF"/>
    <w:rsid w:val="00002A2C"/>
    <w:rsid w:val="00004285"/>
    <w:rsid w:val="0000545D"/>
    <w:rsid w:val="00005899"/>
    <w:rsid w:val="00006472"/>
    <w:rsid w:val="0001004A"/>
    <w:rsid w:val="000126E3"/>
    <w:rsid w:val="00012CEA"/>
    <w:rsid w:val="0001320C"/>
    <w:rsid w:val="00014231"/>
    <w:rsid w:val="000148A4"/>
    <w:rsid w:val="00014C55"/>
    <w:rsid w:val="00014EB6"/>
    <w:rsid w:val="00014ECD"/>
    <w:rsid w:val="00016CD9"/>
    <w:rsid w:val="00017223"/>
    <w:rsid w:val="00017736"/>
    <w:rsid w:val="000206BB"/>
    <w:rsid w:val="00022D4A"/>
    <w:rsid w:val="00022EF3"/>
    <w:rsid w:val="00024E82"/>
    <w:rsid w:val="00030930"/>
    <w:rsid w:val="000309FA"/>
    <w:rsid w:val="000312AA"/>
    <w:rsid w:val="00032A38"/>
    <w:rsid w:val="0003447E"/>
    <w:rsid w:val="00034635"/>
    <w:rsid w:val="00040973"/>
    <w:rsid w:val="000421D4"/>
    <w:rsid w:val="00042DAF"/>
    <w:rsid w:val="00042FC9"/>
    <w:rsid w:val="0004391C"/>
    <w:rsid w:val="00043F7B"/>
    <w:rsid w:val="00045B9E"/>
    <w:rsid w:val="00045E18"/>
    <w:rsid w:val="000462E1"/>
    <w:rsid w:val="00046434"/>
    <w:rsid w:val="00047466"/>
    <w:rsid w:val="00051119"/>
    <w:rsid w:val="00051284"/>
    <w:rsid w:val="000516C1"/>
    <w:rsid w:val="00051900"/>
    <w:rsid w:val="000524E5"/>
    <w:rsid w:val="00052E5A"/>
    <w:rsid w:val="000530DC"/>
    <w:rsid w:val="00053100"/>
    <w:rsid w:val="00053875"/>
    <w:rsid w:val="00053A9F"/>
    <w:rsid w:val="00053FAC"/>
    <w:rsid w:val="00055246"/>
    <w:rsid w:val="000555B3"/>
    <w:rsid w:val="00055E38"/>
    <w:rsid w:val="000568F0"/>
    <w:rsid w:val="000604C2"/>
    <w:rsid w:val="00060A70"/>
    <w:rsid w:val="0006174F"/>
    <w:rsid w:val="00061A10"/>
    <w:rsid w:val="00061FDD"/>
    <w:rsid w:val="0006416C"/>
    <w:rsid w:val="0006449D"/>
    <w:rsid w:val="00064C09"/>
    <w:rsid w:val="000656CE"/>
    <w:rsid w:val="000656FF"/>
    <w:rsid w:val="00065DED"/>
    <w:rsid w:val="000665E5"/>
    <w:rsid w:val="00066743"/>
    <w:rsid w:val="00067E57"/>
    <w:rsid w:val="00070003"/>
    <w:rsid w:val="0007310F"/>
    <w:rsid w:val="00075159"/>
    <w:rsid w:val="00077A74"/>
    <w:rsid w:val="00081072"/>
    <w:rsid w:val="00081B1C"/>
    <w:rsid w:val="00081DA5"/>
    <w:rsid w:val="00082B71"/>
    <w:rsid w:val="000868F1"/>
    <w:rsid w:val="0008726A"/>
    <w:rsid w:val="00087336"/>
    <w:rsid w:val="00087EE0"/>
    <w:rsid w:val="00091029"/>
    <w:rsid w:val="000921E0"/>
    <w:rsid w:val="00093054"/>
    <w:rsid w:val="00093BC7"/>
    <w:rsid w:val="000961EA"/>
    <w:rsid w:val="000962E9"/>
    <w:rsid w:val="00096A0A"/>
    <w:rsid w:val="0009741F"/>
    <w:rsid w:val="00097A3A"/>
    <w:rsid w:val="000A0F5A"/>
    <w:rsid w:val="000A0F60"/>
    <w:rsid w:val="000A2106"/>
    <w:rsid w:val="000A2B87"/>
    <w:rsid w:val="000A41EB"/>
    <w:rsid w:val="000A5120"/>
    <w:rsid w:val="000A520C"/>
    <w:rsid w:val="000A579D"/>
    <w:rsid w:val="000A5B16"/>
    <w:rsid w:val="000B0252"/>
    <w:rsid w:val="000B0DAD"/>
    <w:rsid w:val="000B1D00"/>
    <w:rsid w:val="000B22EE"/>
    <w:rsid w:val="000B3E4E"/>
    <w:rsid w:val="000B4BFE"/>
    <w:rsid w:val="000B5F3B"/>
    <w:rsid w:val="000B6522"/>
    <w:rsid w:val="000B7029"/>
    <w:rsid w:val="000B70AE"/>
    <w:rsid w:val="000C021B"/>
    <w:rsid w:val="000C07C8"/>
    <w:rsid w:val="000C0AF4"/>
    <w:rsid w:val="000C1DB2"/>
    <w:rsid w:val="000C252B"/>
    <w:rsid w:val="000C3CC9"/>
    <w:rsid w:val="000C45AD"/>
    <w:rsid w:val="000C4F01"/>
    <w:rsid w:val="000C5DBA"/>
    <w:rsid w:val="000C5F80"/>
    <w:rsid w:val="000C63ED"/>
    <w:rsid w:val="000D0152"/>
    <w:rsid w:val="000D2188"/>
    <w:rsid w:val="000D2A46"/>
    <w:rsid w:val="000D35F4"/>
    <w:rsid w:val="000D5683"/>
    <w:rsid w:val="000D56F1"/>
    <w:rsid w:val="000D6C9A"/>
    <w:rsid w:val="000D6F5B"/>
    <w:rsid w:val="000D7C6F"/>
    <w:rsid w:val="000E0418"/>
    <w:rsid w:val="000E0F34"/>
    <w:rsid w:val="000E0F58"/>
    <w:rsid w:val="000E1FBE"/>
    <w:rsid w:val="000E24FD"/>
    <w:rsid w:val="000E2EDD"/>
    <w:rsid w:val="000E368D"/>
    <w:rsid w:val="000E3916"/>
    <w:rsid w:val="000E3AA9"/>
    <w:rsid w:val="000E42B0"/>
    <w:rsid w:val="000E57DB"/>
    <w:rsid w:val="000E6690"/>
    <w:rsid w:val="000E72AC"/>
    <w:rsid w:val="000E74A5"/>
    <w:rsid w:val="000F0FE0"/>
    <w:rsid w:val="000F148F"/>
    <w:rsid w:val="000F31F7"/>
    <w:rsid w:val="000F3964"/>
    <w:rsid w:val="000F41B1"/>
    <w:rsid w:val="000F5B10"/>
    <w:rsid w:val="000F731E"/>
    <w:rsid w:val="000F7DB9"/>
    <w:rsid w:val="00100E16"/>
    <w:rsid w:val="001010DF"/>
    <w:rsid w:val="001037FE"/>
    <w:rsid w:val="00103948"/>
    <w:rsid w:val="00104950"/>
    <w:rsid w:val="00104AF8"/>
    <w:rsid w:val="00105C73"/>
    <w:rsid w:val="00106686"/>
    <w:rsid w:val="00107D34"/>
    <w:rsid w:val="001101E3"/>
    <w:rsid w:val="00110C28"/>
    <w:rsid w:val="001110AE"/>
    <w:rsid w:val="00113449"/>
    <w:rsid w:val="00113E6B"/>
    <w:rsid w:val="00114AA0"/>
    <w:rsid w:val="0011509E"/>
    <w:rsid w:val="0011540B"/>
    <w:rsid w:val="001156B6"/>
    <w:rsid w:val="00116A31"/>
    <w:rsid w:val="00116FAB"/>
    <w:rsid w:val="00117C84"/>
    <w:rsid w:val="0012017C"/>
    <w:rsid w:val="00120945"/>
    <w:rsid w:val="00121A1B"/>
    <w:rsid w:val="00121ACB"/>
    <w:rsid w:val="001254B0"/>
    <w:rsid w:val="00126062"/>
    <w:rsid w:val="001266F1"/>
    <w:rsid w:val="001270D3"/>
    <w:rsid w:val="00127383"/>
    <w:rsid w:val="0012768F"/>
    <w:rsid w:val="001300E2"/>
    <w:rsid w:val="00130A11"/>
    <w:rsid w:val="00132EED"/>
    <w:rsid w:val="001344AF"/>
    <w:rsid w:val="00136F66"/>
    <w:rsid w:val="0013707E"/>
    <w:rsid w:val="00137233"/>
    <w:rsid w:val="001409AC"/>
    <w:rsid w:val="00141E73"/>
    <w:rsid w:val="00142790"/>
    <w:rsid w:val="00143AB0"/>
    <w:rsid w:val="00144A9D"/>
    <w:rsid w:val="0014555B"/>
    <w:rsid w:val="00145B1F"/>
    <w:rsid w:val="00146AF9"/>
    <w:rsid w:val="00147B8E"/>
    <w:rsid w:val="001500AA"/>
    <w:rsid w:val="00151560"/>
    <w:rsid w:val="00151F1F"/>
    <w:rsid w:val="0015376A"/>
    <w:rsid w:val="00154612"/>
    <w:rsid w:val="001552FB"/>
    <w:rsid w:val="00155F62"/>
    <w:rsid w:val="00156E05"/>
    <w:rsid w:val="00156E5C"/>
    <w:rsid w:val="00160165"/>
    <w:rsid w:val="00160B11"/>
    <w:rsid w:val="001611A7"/>
    <w:rsid w:val="001612CA"/>
    <w:rsid w:val="0016134C"/>
    <w:rsid w:val="00161DBB"/>
    <w:rsid w:val="001621C6"/>
    <w:rsid w:val="001633B6"/>
    <w:rsid w:val="0016781C"/>
    <w:rsid w:val="00170678"/>
    <w:rsid w:val="00172D37"/>
    <w:rsid w:val="00174E70"/>
    <w:rsid w:val="0017506A"/>
    <w:rsid w:val="00175861"/>
    <w:rsid w:val="00177589"/>
    <w:rsid w:val="001776B7"/>
    <w:rsid w:val="00180122"/>
    <w:rsid w:val="00181D0D"/>
    <w:rsid w:val="00183011"/>
    <w:rsid w:val="00184180"/>
    <w:rsid w:val="0018440D"/>
    <w:rsid w:val="00190391"/>
    <w:rsid w:val="001906DA"/>
    <w:rsid w:val="001912D4"/>
    <w:rsid w:val="001918CE"/>
    <w:rsid w:val="00191CC9"/>
    <w:rsid w:val="00191DC0"/>
    <w:rsid w:val="001926DD"/>
    <w:rsid w:val="00193714"/>
    <w:rsid w:val="00193D9F"/>
    <w:rsid w:val="00194131"/>
    <w:rsid w:val="00194ACF"/>
    <w:rsid w:val="0019503D"/>
    <w:rsid w:val="00195785"/>
    <w:rsid w:val="00196C20"/>
    <w:rsid w:val="00197903"/>
    <w:rsid w:val="001979F0"/>
    <w:rsid w:val="00197FAB"/>
    <w:rsid w:val="001A0203"/>
    <w:rsid w:val="001A0B0D"/>
    <w:rsid w:val="001A1387"/>
    <w:rsid w:val="001A295E"/>
    <w:rsid w:val="001A2965"/>
    <w:rsid w:val="001A3FAA"/>
    <w:rsid w:val="001A4FF9"/>
    <w:rsid w:val="001A549D"/>
    <w:rsid w:val="001A5541"/>
    <w:rsid w:val="001A5B64"/>
    <w:rsid w:val="001A689D"/>
    <w:rsid w:val="001A6F2D"/>
    <w:rsid w:val="001B14FB"/>
    <w:rsid w:val="001B22E1"/>
    <w:rsid w:val="001B2358"/>
    <w:rsid w:val="001B25D3"/>
    <w:rsid w:val="001B38A9"/>
    <w:rsid w:val="001B39F8"/>
    <w:rsid w:val="001B3DAD"/>
    <w:rsid w:val="001B4EE0"/>
    <w:rsid w:val="001B6054"/>
    <w:rsid w:val="001B735C"/>
    <w:rsid w:val="001C0BED"/>
    <w:rsid w:val="001C16EE"/>
    <w:rsid w:val="001C24C1"/>
    <w:rsid w:val="001C2A5E"/>
    <w:rsid w:val="001C3D89"/>
    <w:rsid w:val="001C4883"/>
    <w:rsid w:val="001C4B61"/>
    <w:rsid w:val="001C5281"/>
    <w:rsid w:val="001C637D"/>
    <w:rsid w:val="001C6A7B"/>
    <w:rsid w:val="001C70B6"/>
    <w:rsid w:val="001D12D5"/>
    <w:rsid w:val="001D171D"/>
    <w:rsid w:val="001D3BFE"/>
    <w:rsid w:val="001D60F4"/>
    <w:rsid w:val="001D6113"/>
    <w:rsid w:val="001D6C78"/>
    <w:rsid w:val="001E01CF"/>
    <w:rsid w:val="001E0CD9"/>
    <w:rsid w:val="001E4B27"/>
    <w:rsid w:val="001E7ADA"/>
    <w:rsid w:val="001E7CDC"/>
    <w:rsid w:val="001F000D"/>
    <w:rsid w:val="001F179D"/>
    <w:rsid w:val="001F40EE"/>
    <w:rsid w:val="001F5500"/>
    <w:rsid w:val="001F5A01"/>
    <w:rsid w:val="001F62FC"/>
    <w:rsid w:val="001F67C6"/>
    <w:rsid w:val="001F6961"/>
    <w:rsid w:val="001F72FF"/>
    <w:rsid w:val="0020061C"/>
    <w:rsid w:val="00200ACD"/>
    <w:rsid w:val="00200FCC"/>
    <w:rsid w:val="00202273"/>
    <w:rsid w:val="00202944"/>
    <w:rsid w:val="00202A8C"/>
    <w:rsid w:val="002046B7"/>
    <w:rsid w:val="0020479E"/>
    <w:rsid w:val="00205A11"/>
    <w:rsid w:val="002067FF"/>
    <w:rsid w:val="00206E63"/>
    <w:rsid w:val="00207755"/>
    <w:rsid w:val="00212809"/>
    <w:rsid w:val="00212989"/>
    <w:rsid w:val="002130E1"/>
    <w:rsid w:val="0021332D"/>
    <w:rsid w:val="0021363E"/>
    <w:rsid w:val="002145C8"/>
    <w:rsid w:val="00214BD5"/>
    <w:rsid w:val="00215E9F"/>
    <w:rsid w:val="00220EDC"/>
    <w:rsid w:val="002218E1"/>
    <w:rsid w:val="002219D2"/>
    <w:rsid w:val="00222E6D"/>
    <w:rsid w:val="002232FD"/>
    <w:rsid w:val="00225303"/>
    <w:rsid w:val="0022586D"/>
    <w:rsid w:val="002262AE"/>
    <w:rsid w:val="00227881"/>
    <w:rsid w:val="00227CFE"/>
    <w:rsid w:val="00231486"/>
    <w:rsid w:val="002317E5"/>
    <w:rsid w:val="00231A0E"/>
    <w:rsid w:val="002325AF"/>
    <w:rsid w:val="00233239"/>
    <w:rsid w:val="00233C3B"/>
    <w:rsid w:val="0023467B"/>
    <w:rsid w:val="002348BF"/>
    <w:rsid w:val="00237E1D"/>
    <w:rsid w:val="00241CBA"/>
    <w:rsid w:val="00241D4E"/>
    <w:rsid w:val="002425AE"/>
    <w:rsid w:val="00243B02"/>
    <w:rsid w:val="002458C7"/>
    <w:rsid w:val="00245C62"/>
    <w:rsid w:val="00246655"/>
    <w:rsid w:val="00247CA5"/>
    <w:rsid w:val="00254FAE"/>
    <w:rsid w:val="00255A77"/>
    <w:rsid w:val="00255A9A"/>
    <w:rsid w:val="002566BB"/>
    <w:rsid w:val="00256FE5"/>
    <w:rsid w:val="00257EDE"/>
    <w:rsid w:val="00260B91"/>
    <w:rsid w:val="00260F43"/>
    <w:rsid w:val="00260F60"/>
    <w:rsid w:val="002613F7"/>
    <w:rsid w:val="00262A40"/>
    <w:rsid w:val="0026346D"/>
    <w:rsid w:val="002634BD"/>
    <w:rsid w:val="00263FEB"/>
    <w:rsid w:val="0026772F"/>
    <w:rsid w:val="00270DFD"/>
    <w:rsid w:val="00270EF4"/>
    <w:rsid w:val="00271591"/>
    <w:rsid w:val="00271B16"/>
    <w:rsid w:val="00271F52"/>
    <w:rsid w:val="002736E3"/>
    <w:rsid w:val="00273DB5"/>
    <w:rsid w:val="002749A7"/>
    <w:rsid w:val="00274E4F"/>
    <w:rsid w:val="00276143"/>
    <w:rsid w:val="00276A50"/>
    <w:rsid w:val="00276FA0"/>
    <w:rsid w:val="002770F1"/>
    <w:rsid w:val="002773A2"/>
    <w:rsid w:val="0028103E"/>
    <w:rsid w:val="002821D8"/>
    <w:rsid w:val="00283858"/>
    <w:rsid w:val="00283D19"/>
    <w:rsid w:val="0028487B"/>
    <w:rsid w:val="00285A69"/>
    <w:rsid w:val="002869A9"/>
    <w:rsid w:val="00290BEA"/>
    <w:rsid w:val="00290FF9"/>
    <w:rsid w:val="00291884"/>
    <w:rsid w:val="00293C28"/>
    <w:rsid w:val="00293C83"/>
    <w:rsid w:val="002943D5"/>
    <w:rsid w:val="00297252"/>
    <w:rsid w:val="002A05A4"/>
    <w:rsid w:val="002A082C"/>
    <w:rsid w:val="002A2E5C"/>
    <w:rsid w:val="002A5C80"/>
    <w:rsid w:val="002A7845"/>
    <w:rsid w:val="002A7C30"/>
    <w:rsid w:val="002A7CF6"/>
    <w:rsid w:val="002B0EB8"/>
    <w:rsid w:val="002B1A70"/>
    <w:rsid w:val="002B2D51"/>
    <w:rsid w:val="002B400B"/>
    <w:rsid w:val="002B4ACD"/>
    <w:rsid w:val="002B4CAE"/>
    <w:rsid w:val="002B6E69"/>
    <w:rsid w:val="002B7276"/>
    <w:rsid w:val="002B7A8D"/>
    <w:rsid w:val="002C0FDF"/>
    <w:rsid w:val="002C12B2"/>
    <w:rsid w:val="002C2922"/>
    <w:rsid w:val="002C369D"/>
    <w:rsid w:val="002C6FB5"/>
    <w:rsid w:val="002C7C32"/>
    <w:rsid w:val="002D2DD1"/>
    <w:rsid w:val="002D3F01"/>
    <w:rsid w:val="002D612A"/>
    <w:rsid w:val="002D648A"/>
    <w:rsid w:val="002E1381"/>
    <w:rsid w:val="002E2993"/>
    <w:rsid w:val="002E3382"/>
    <w:rsid w:val="002E38E5"/>
    <w:rsid w:val="002E3A6E"/>
    <w:rsid w:val="002E5190"/>
    <w:rsid w:val="002E787D"/>
    <w:rsid w:val="002F1741"/>
    <w:rsid w:val="002F17E3"/>
    <w:rsid w:val="002F20BB"/>
    <w:rsid w:val="002F238E"/>
    <w:rsid w:val="002F2594"/>
    <w:rsid w:val="002F2C82"/>
    <w:rsid w:val="002F3336"/>
    <w:rsid w:val="002F3DA3"/>
    <w:rsid w:val="002F4F3B"/>
    <w:rsid w:val="002F522B"/>
    <w:rsid w:val="002F52F9"/>
    <w:rsid w:val="002F639F"/>
    <w:rsid w:val="002F77A2"/>
    <w:rsid w:val="00301EBC"/>
    <w:rsid w:val="00302565"/>
    <w:rsid w:val="003028A3"/>
    <w:rsid w:val="00302B34"/>
    <w:rsid w:val="00302D1C"/>
    <w:rsid w:val="00303A0E"/>
    <w:rsid w:val="00303BA2"/>
    <w:rsid w:val="00304997"/>
    <w:rsid w:val="00304B39"/>
    <w:rsid w:val="00304CD7"/>
    <w:rsid w:val="00304DE5"/>
    <w:rsid w:val="0030563F"/>
    <w:rsid w:val="00305BA4"/>
    <w:rsid w:val="00305C85"/>
    <w:rsid w:val="0030646E"/>
    <w:rsid w:val="00307686"/>
    <w:rsid w:val="00307E78"/>
    <w:rsid w:val="00311514"/>
    <w:rsid w:val="00312B04"/>
    <w:rsid w:val="00312C10"/>
    <w:rsid w:val="00314E60"/>
    <w:rsid w:val="00315C5F"/>
    <w:rsid w:val="00322E01"/>
    <w:rsid w:val="00323D95"/>
    <w:rsid w:val="00326BC6"/>
    <w:rsid w:val="00327574"/>
    <w:rsid w:val="003277FB"/>
    <w:rsid w:val="0033140F"/>
    <w:rsid w:val="00331AE1"/>
    <w:rsid w:val="00332540"/>
    <w:rsid w:val="0033479E"/>
    <w:rsid w:val="003349A7"/>
    <w:rsid w:val="00334C85"/>
    <w:rsid w:val="00334FC7"/>
    <w:rsid w:val="00335087"/>
    <w:rsid w:val="00337267"/>
    <w:rsid w:val="00340E4C"/>
    <w:rsid w:val="00341648"/>
    <w:rsid w:val="003418B2"/>
    <w:rsid w:val="00341979"/>
    <w:rsid w:val="00341B8F"/>
    <w:rsid w:val="00345B2B"/>
    <w:rsid w:val="00346038"/>
    <w:rsid w:val="0034605D"/>
    <w:rsid w:val="003460B1"/>
    <w:rsid w:val="0034683D"/>
    <w:rsid w:val="0034751C"/>
    <w:rsid w:val="00347DC3"/>
    <w:rsid w:val="00350A8B"/>
    <w:rsid w:val="00350FC8"/>
    <w:rsid w:val="0035201C"/>
    <w:rsid w:val="00352A1B"/>
    <w:rsid w:val="0035547A"/>
    <w:rsid w:val="003566FC"/>
    <w:rsid w:val="00357516"/>
    <w:rsid w:val="00360829"/>
    <w:rsid w:val="00361325"/>
    <w:rsid w:val="00361CF9"/>
    <w:rsid w:val="003658FB"/>
    <w:rsid w:val="00365EBF"/>
    <w:rsid w:val="00371690"/>
    <w:rsid w:val="003718F0"/>
    <w:rsid w:val="00372103"/>
    <w:rsid w:val="00373407"/>
    <w:rsid w:val="003745D5"/>
    <w:rsid w:val="0037489F"/>
    <w:rsid w:val="003748F8"/>
    <w:rsid w:val="00374971"/>
    <w:rsid w:val="00375373"/>
    <w:rsid w:val="003757B3"/>
    <w:rsid w:val="00376404"/>
    <w:rsid w:val="0037709C"/>
    <w:rsid w:val="0038057A"/>
    <w:rsid w:val="00380C00"/>
    <w:rsid w:val="00380C16"/>
    <w:rsid w:val="00382E2D"/>
    <w:rsid w:val="00384981"/>
    <w:rsid w:val="003853CA"/>
    <w:rsid w:val="00387188"/>
    <w:rsid w:val="00390FD2"/>
    <w:rsid w:val="00391818"/>
    <w:rsid w:val="00391E64"/>
    <w:rsid w:val="00392386"/>
    <w:rsid w:val="00393BF2"/>
    <w:rsid w:val="00394050"/>
    <w:rsid w:val="003945A5"/>
    <w:rsid w:val="00394EA8"/>
    <w:rsid w:val="00395525"/>
    <w:rsid w:val="0039632A"/>
    <w:rsid w:val="00396663"/>
    <w:rsid w:val="00396CBF"/>
    <w:rsid w:val="00396CD3"/>
    <w:rsid w:val="0039701E"/>
    <w:rsid w:val="003A1B98"/>
    <w:rsid w:val="003A7219"/>
    <w:rsid w:val="003B0754"/>
    <w:rsid w:val="003B09D9"/>
    <w:rsid w:val="003B1BEF"/>
    <w:rsid w:val="003B7850"/>
    <w:rsid w:val="003B7A07"/>
    <w:rsid w:val="003C0BF9"/>
    <w:rsid w:val="003C1C94"/>
    <w:rsid w:val="003C3946"/>
    <w:rsid w:val="003C4577"/>
    <w:rsid w:val="003C5C05"/>
    <w:rsid w:val="003C6374"/>
    <w:rsid w:val="003C6597"/>
    <w:rsid w:val="003C7C0A"/>
    <w:rsid w:val="003D2BCA"/>
    <w:rsid w:val="003D3B6E"/>
    <w:rsid w:val="003D5AF4"/>
    <w:rsid w:val="003D5DC5"/>
    <w:rsid w:val="003D73AC"/>
    <w:rsid w:val="003D7802"/>
    <w:rsid w:val="003D7C2F"/>
    <w:rsid w:val="003E04AF"/>
    <w:rsid w:val="003E0D6A"/>
    <w:rsid w:val="003E2ADF"/>
    <w:rsid w:val="003E3425"/>
    <w:rsid w:val="003E3D06"/>
    <w:rsid w:val="003E3DEC"/>
    <w:rsid w:val="003E4997"/>
    <w:rsid w:val="003E49E1"/>
    <w:rsid w:val="003E75D1"/>
    <w:rsid w:val="003F082B"/>
    <w:rsid w:val="003F0830"/>
    <w:rsid w:val="003F0851"/>
    <w:rsid w:val="003F31E3"/>
    <w:rsid w:val="003F36B8"/>
    <w:rsid w:val="003F3EAD"/>
    <w:rsid w:val="003F4C74"/>
    <w:rsid w:val="003F5229"/>
    <w:rsid w:val="003F5316"/>
    <w:rsid w:val="003F5456"/>
    <w:rsid w:val="003F57EF"/>
    <w:rsid w:val="003F71EB"/>
    <w:rsid w:val="003F7A81"/>
    <w:rsid w:val="004017E3"/>
    <w:rsid w:val="00401AB7"/>
    <w:rsid w:val="0040221F"/>
    <w:rsid w:val="00402FCE"/>
    <w:rsid w:val="004045C4"/>
    <w:rsid w:val="004045DE"/>
    <w:rsid w:val="00404637"/>
    <w:rsid w:val="00406F36"/>
    <w:rsid w:val="00407762"/>
    <w:rsid w:val="004100C8"/>
    <w:rsid w:val="004109E4"/>
    <w:rsid w:val="00410A60"/>
    <w:rsid w:val="0041223B"/>
    <w:rsid w:val="004151C8"/>
    <w:rsid w:val="00416835"/>
    <w:rsid w:val="00416DE6"/>
    <w:rsid w:val="00420867"/>
    <w:rsid w:val="0042100D"/>
    <w:rsid w:val="00422F8F"/>
    <w:rsid w:val="0042346A"/>
    <w:rsid w:val="0042605A"/>
    <w:rsid w:val="00427E22"/>
    <w:rsid w:val="00430273"/>
    <w:rsid w:val="00430498"/>
    <w:rsid w:val="004315E4"/>
    <w:rsid w:val="00432325"/>
    <w:rsid w:val="00432335"/>
    <w:rsid w:val="004329AB"/>
    <w:rsid w:val="00432E08"/>
    <w:rsid w:val="00433FDE"/>
    <w:rsid w:val="00434776"/>
    <w:rsid w:val="00434E37"/>
    <w:rsid w:val="0043748C"/>
    <w:rsid w:val="004376FC"/>
    <w:rsid w:val="00437EC7"/>
    <w:rsid w:val="004407B7"/>
    <w:rsid w:val="00440890"/>
    <w:rsid w:val="00442740"/>
    <w:rsid w:val="004427AC"/>
    <w:rsid w:val="00443CA4"/>
    <w:rsid w:val="004446C2"/>
    <w:rsid w:val="00444947"/>
    <w:rsid w:val="00445026"/>
    <w:rsid w:val="004467EF"/>
    <w:rsid w:val="004476A5"/>
    <w:rsid w:val="00447B89"/>
    <w:rsid w:val="004501B6"/>
    <w:rsid w:val="00450476"/>
    <w:rsid w:val="00451B1E"/>
    <w:rsid w:val="0045269B"/>
    <w:rsid w:val="00453740"/>
    <w:rsid w:val="0045397A"/>
    <w:rsid w:val="00455896"/>
    <w:rsid w:val="004562D2"/>
    <w:rsid w:val="00456CB1"/>
    <w:rsid w:val="00457533"/>
    <w:rsid w:val="004604C9"/>
    <w:rsid w:val="00462205"/>
    <w:rsid w:val="00464AA1"/>
    <w:rsid w:val="00465700"/>
    <w:rsid w:val="004659FB"/>
    <w:rsid w:val="00470766"/>
    <w:rsid w:val="00471B5A"/>
    <w:rsid w:val="0047387D"/>
    <w:rsid w:val="00473BBD"/>
    <w:rsid w:val="00473E6E"/>
    <w:rsid w:val="004757B7"/>
    <w:rsid w:val="0047657D"/>
    <w:rsid w:val="00476693"/>
    <w:rsid w:val="00482045"/>
    <w:rsid w:val="00482D68"/>
    <w:rsid w:val="00482E39"/>
    <w:rsid w:val="00483988"/>
    <w:rsid w:val="004839FF"/>
    <w:rsid w:val="004869C8"/>
    <w:rsid w:val="00486C5F"/>
    <w:rsid w:val="00486C63"/>
    <w:rsid w:val="00487FF9"/>
    <w:rsid w:val="00490A06"/>
    <w:rsid w:val="0049166A"/>
    <w:rsid w:val="00491D82"/>
    <w:rsid w:val="0049352E"/>
    <w:rsid w:val="004935D8"/>
    <w:rsid w:val="00493CBF"/>
    <w:rsid w:val="004943A9"/>
    <w:rsid w:val="00494459"/>
    <w:rsid w:val="0049573F"/>
    <w:rsid w:val="00495D83"/>
    <w:rsid w:val="004A23B7"/>
    <w:rsid w:val="004A3003"/>
    <w:rsid w:val="004A42B9"/>
    <w:rsid w:val="004A4615"/>
    <w:rsid w:val="004A5792"/>
    <w:rsid w:val="004B00C7"/>
    <w:rsid w:val="004B25EB"/>
    <w:rsid w:val="004B2783"/>
    <w:rsid w:val="004B2B2C"/>
    <w:rsid w:val="004B33F7"/>
    <w:rsid w:val="004B38BD"/>
    <w:rsid w:val="004B491E"/>
    <w:rsid w:val="004B4DD8"/>
    <w:rsid w:val="004B509F"/>
    <w:rsid w:val="004B631B"/>
    <w:rsid w:val="004B6517"/>
    <w:rsid w:val="004B6957"/>
    <w:rsid w:val="004B7356"/>
    <w:rsid w:val="004B7718"/>
    <w:rsid w:val="004B7D11"/>
    <w:rsid w:val="004B7F99"/>
    <w:rsid w:val="004C01A3"/>
    <w:rsid w:val="004C04C5"/>
    <w:rsid w:val="004C0D27"/>
    <w:rsid w:val="004C13DE"/>
    <w:rsid w:val="004C20DC"/>
    <w:rsid w:val="004C22A1"/>
    <w:rsid w:val="004C258E"/>
    <w:rsid w:val="004C385D"/>
    <w:rsid w:val="004C4103"/>
    <w:rsid w:val="004C6671"/>
    <w:rsid w:val="004C79BC"/>
    <w:rsid w:val="004C7B7A"/>
    <w:rsid w:val="004C7DFA"/>
    <w:rsid w:val="004D07CA"/>
    <w:rsid w:val="004D30E9"/>
    <w:rsid w:val="004D31AE"/>
    <w:rsid w:val="004D3DE6"/>
    <w:rsid w:val="004D481C"/>
    <w:rsid w:val="004D656B"/>
    <w:rsid w:val="004D6B20"/>
    <w:rsid w:val="004D785A"/>
    <w:rsid w:val="004D798F"/>
    <w:rsid w:val="004D7F9B"/>
    <w:rsid w:val="004E0715"/>
    <w:rsid w:val="004E12F7"/>
    <w:rsid w:val="004E1EE2"/>
    <w:rsid w:val="004E2098"/>
    <w:rsid w:val="004E26E3"/>
    <w:rsid w:val="004E2788"/>
    <w:rsid w:val="004E3240"/>
    <w:rsid w:val="004E405C"/>
    <w:rsid w:val="004E43E3"/>
    <w:rsid w:val="004E484D"/>
    <w:rsid w:val="004E5F5D"/>
    <w:rsid w:val="004E6884"/>
    <w:rsid w:val="004E7BBE"/>
    <w:rsid w:val="004F1553"/>
    <w:rsid w:val="004F2270"/>
    <w:rsid w:val="004F3312"/>
    <w:rsid w:val="004F38D9"/>
    <w:rsid w:val="004F3C57"/>
    <w:rsid w:val="004F3DF1"/>
    <w:rsid w:val="004F4193"/>
    <w:rsid w:val="004F4308"/>
    <w:rsid w:val="004F43CF"/>
    <w:rsid w:val="004F447B"/>
    <w:rsid w:val="004F4C66"/>
    <w:rsid w:val="004F5BC2"/>
    <w:rsid w:val="004F6ECE"/>
    <w:rsid w:val="00500099"/>
    <w:rsid w:val="005003D2"/>
    <w:rsid w:val="0050143C"/>
    <w:rsid w:val="005014B7"/>
    <w:rsid w:val="00503EA9"/>
    <w:rsid w:val="00503EB1"/>
    <w:rsid w:val="0050433B"/>
    <w:rsid w:val="0050447D"/>
    <w:rsid w:val="005045CF"/>
    <w:rsid w:val="005049BF"/>
    <w:rsid w:val="0050570F"/>
    <w:rsid w:val="00505853"/>
    <w:rsid w:val="00505D70"/>
    <w:rsid w:val="00506025"/>
    <w:rsid w:val="00510BB6"/>
    <w:rsid w:val="00511982"/>
    <w:rsid w:val="00511BEB"/>
    <w:rsid w:val="00513376"/>
    <w:rsid w:val="0051368A"/>
    <w:rsid w:val="00513851"/>
    <w:rsid w:val="00513FC5"/>
    <w:rsid w:val="00513FEC"/>
    <w:rsid w:val="005156B6"/>
    <w:rsid w:val="00515E12"/>
    <w:rsid w:val="00515FF7"/>
    <w:rsid w:val="00516841"/>
    <w:rsid w:val="00516E5B"/>
    <w:rsid w:val="0052000C"/>
    <w:rsid w:val="005202A3"/>
    <w:rsid w:val="00521784"/>
    <w:rsid w:val="0052181E"/>
    <w:rsid w:val="00521928"/>
    <w:rsid w:val="00522D44"/>
    <w:rsid w:val="0052339B"/>
    <w:rsid w:val="00523689"/>
    <w:rsid w:val="005237CB"/>
    <w:rsid w:val="00523F89"/>
    <w:rsid w:val="00523FCC"/>
    <w:rsid w:val="005240C9"/>
    <w:rsid w:val="00525406"/>
    <w:rsid w:val="0052575C"/>
    <w:rsid w:val="00526942"/>
    <w:rsid w:val="005269CA"/>
    <w:rsid w:val="00527406"/>
    <w:rsid w:val="00530D52"/>
    <w:rsid w:val="00532299"/>
    <w:rsid w:val="00534300"/>
    <w:rsid w:val="0053557E"/>
    <w:rsid w:val="00536836"/>
    <w:rsid w:val="00536AB9"/>
    <w:rsid w:val="005372F1"/>
    <w:rsid w:val="00541E77"/>
    <w:rsid w:val="00544E95"/>
    <w:rsid w:val="005460BA"/>
    <w:rsid w:val="00546501"/>
    <w:rsid w:val="00546BCA"/>
    <w:rsid w:val="005479AA"/>
    <w:rsid w:val="00547CC8"/>
    <w:rsid w:val="00551049"/>
    <w:rsid w:val="005523BE"/>
    <w:rsid w:val="00552EA6"/>
    <w:rsid w:val="00554DA2"/>
    <w:rsid w:val="0055692A"/>
    <w:rsid w:val="0055779F"/>
    <w:rsid w:val="0056048B"/>
    <w:rsid w:val="00562E70"/>
    <w:rsid w:val="00564F3B"/>
    <w:rsid w:val="00565565"/>
    <w:rsid w:val="005658D3"/>
    <w:rsid w:val="00566DC1"/>
    <w:rsid w:val="00567022"/>
    <w:rsid w:val="00570C56"/>
    <w:rsid w:val="00570CB4"/>
    <w:rsid w:val="005718BB"/>
    <w:rsid w:val="00571A73"/>
    <w:rsid w:val="00572AE4"/>
    <w:rsid w:val="00572AE5"/>
    <w:rsid w:val="005746D2"/>
    <w:rsid w:val="00574B84"/>
    <w:rsid w:val="00574E08"/>
    <w:rsid w:val="00574EAD"/>
    <w:rsid w:val="00577AD0"/>
    <w:rsid w:val="00577B14"/>
    <w:rsid w:val="005803E7"/>
    <w:rsid w:val="005805F1"/>
    <w:rsid w:val="00580CB3"/>
    <w:rsid w:val="00581421"/>
    <w:rsid w:val="00582C49"/>
    <w:rsid w:val="00582D01"/>
    <w:rsid w:val="00582E70"/>
    <w:rsid w:val="00584084"/>
    <w:rsid w:val="00584B87"/>
    <w:rsid w:val="00585236"/>
    <w:rsid w:val="00585DDB"/>
    <w:rsid w:val="005860EA"/>
    <w:rsid w:val="0058679B"/>
    <w:rsid w:val="00586F79"/>
    <w:rsid w:val="005871E3"/>
    <w:rsid w:val="00587BCF"/>
    <w:rsid w:val="00587E8C"/>
    <w:rsid w:val="005904CD"/>
    <w:rsid w:val="005924C6"/>
    <w:rsid w:val="005925CD"/>
    <w:rsid w:val="00592C2A"/>
    <w:rsid w:val="00593F40"/>
    <w:rsid w:val="005955A0"/>
    <w:rsid w:val="005968F1"/>
    <w:rsid w:val="005A1875"/>
    <w:rsid w:val="005A466D"/>
    <w:rsid w:val="005A5914"/>
    <w:rsid w:val="005A5AED"/>
    <w:rsid w:val="005A67CB"/>
    <w:rsid w:val="005A79AE"/>
    <w:rsid w:val="005B14AE"/>
    <w:rsid w:val="005B30B5"/>
    <w:rsid w:val="005B334F"/>
    <w:rsid w:val="005B41A7"/>
    <w:rsid w:val="005B4B94"/>
    <w:rsid w:val="005B51B6"/>
    <w:rsid w:val="005B6A8C"/>
    <w:rsid w:val="005B721E"/>
    <w:rsid w:val="005C25E0"/>
    <w:rsid w:val="005C41F7"/>
    <w:rsid w:val="005C45A4"/>
    <w:rsid w:val="005C60FF"/>
    <w:rsid w:val="005C76DB"/>
    <w:rsid w:val="005C77A7"/>
    <w:rsid w:val="005D0251"/>
    <w:rsid w:val="005D04F3"/>
    <w:rsid w:val="005D0A01"/>
    <w:rsid w:val="005D0EF5"/>
    <w:rsid w:val="005D2019"/>
    <w:rsid w:val="005D3802"/>
    <w:rsid w:val="005D516A"/>
    <w:rsid w:val="005D7AC1"/>
    <w:rsid w:val="005E0980"/>
    <w:rsid w:val="005E0B08"/>
    <w:rsid w:val="005E2045"/>
    <w:rsid w:val="005E2D96"/>
    <w:rsid w:val="005E4DE9"/>
    <w:rsid w:val="005E5FAC"/>
    <w:rsid w:val="005E6D87"/>
    <w:rsid w:val="005E7874"/>
    <w:rsid w:val="005E7994"/>
    <w:rsid w:val="005E7EDC"/>
    <w:rsid w:val="005F00D9"/>
    <w:rsid w:val="005F1FB9"/>
    <w:rsid w:val="005F2FEB"/>
    <w:rsid w:val="005F3186"/>
    <w:rsid w:val="005F34F3"/>
    <w:rsid w:val="005F4A58"/>
    <w:rsid w:val="005F606E"/>
    <w:rsid w:val="00600F7F"/>
    <w:rsid w:val="006012D2"/>
    <w:rsid w:val="00601AC4"/>
    <w:rsid w:val="00601C34"/>
    <w:rsid w:val="00602124"/>
    <w:rsid w:val="00602423"/>
    <w:rsid w:val="00602684"/>
    <w:rsid w:val="0060476D"/>
    <w:rsid w:val="00605411"/>
    <w:rsid w:val="0060681B"/>
    <w:rsid w:val="006106F9"/>
    <w:rsid w:val="00610C48"/>
    <w:rsid w:val="00615C1E"/>
    <w:rsid w:val="006167AC"/>
    <w:rsid w:val="006171C4"/>
    <w:rsid w:val="006179CF"/>
    <w:rsid w:val="00620F92"/>
    <w:rsid w:val="006224C6"/>
    <w:rsid w:val="00623924"/>
    <w:rsid w:val="00624403"/>
    <w:rsid w:val="006249CF"/>
    <w:rsid w:val="00625723"/>
    <w:rsid w:val="0062585B"/>
    <w:rsid w:val="00625DDF"/>
    <w:rsid w:val="00626566"/>
    <w:rsid w:val="00626D57"/>
    <w:rsid w:val="00626D5E"/>
    <w:rsid w:val="00627859"/>
    <w:rsid w:val="006312B6"/>
    <w:rsid w:val="00634774"/>
    <w:rsid w:val="00635423"/>
    <w:rsid w:val="006356F9"/>
    <w:rsid w:val="00636970"/>
    <w:rsid w:val="00637616"/>
    <w:rsid w:val="00637E6C"/>
    <w:rsid w:val="00641FAB"/>
    <w:rsid w:val="00642304"/>
    <w:rsid w:val="00642349"/>
    <w:rsid w:val="00642582"/>
    <w:rsid w:val="00642A7B"/>
    <w:rsid w:val="00643DF8"/>
    <w:rsid w:val="006447F9"/>
    <w:rsid w:val="00646C0F"/>
    <w:rsid w:val="00647854"/>
    <w:rsid w:val="00650540"/>
    <w:rsid w:val="00650652"/>
    <w:rsid w:val="00650B74"/>
    <w:rsid w:val="0065358C"/>
    <w:rsid w:val="00654B9D"/>
    <w:rsid w:val="0065556A"/>
    <w:rsid w:val="0065728C"/>
    <w:rsid w:val="0065732A"/>
    <w:rsid w:val="006601EF"/>
    <w:rsid w:val="006635F3"/>
    <w:rsid w:val="006643E2"/>
    <w:rsid w:val="0066561F"/>
    <w:rsid w:val="0066709A"/>
    <w:rsid w:val="006675E6"/>
    <w:rsid w:val="006712D7"/>
    <w:rsid w:val="006724BF"/>
    <w:rsid w:val="00672927"/>
    <w:rsid w:val="00672A48"/>
    <w:rsid w:val="00672C1B"/>
    <w:rsid w:val="00674B1D"/>
    <w:rsid w:val="00674FBC"/>
    <w:rsid w:val="00676041"/>
    <w:rsid w:val="00676BB8"/>
    <w:rsid w:val="00682C7E"/>
    <w:rsid w:val="00683479"/>
    <w:rsid w:val="00684EAD"/>
    <w:rsid w:val="00685C46"/>
    <w:rsid w:val="006904CD"/>
    <w:rsid w:val="00691B40"/>
    <w:rsid w:val="00692B34"/>
    <w:rsid w:val="00693626"/>
    <w:rsid w:val="00693A7E"/>
    <w:rsid w:val="006955B1"/>
    <w:rsid w:val="006966CC"/>
    <w:rsid w:val="006A166C"/>
    <w:rsid w:val="006A2DFD"/>
    <w:rsid w:val="006A5037"/>
    <w:rsid w:val="006A6F85"/>
    <w:rsid w:val="006A73F2"/>
    <w:rsid w:val="006A76C3"/>
    <w:rsid w:val="006A7B1F"/>
    <w:rsid w:val="006B0814"/>
    <w:rsid w:val="006B0C4C"/>
    <w:rsid w:val="006B168E"/>
    <w:rsid w:val="006B323F"/>
    <w:rsid w:val="006B459C"/>
    <w:rsid w:val="006B4FA3"/>
    <w:rsid w:val="006B5069"/>
    <w:rsid w:val="006B62E5"/>
    <w:rsid w:val="006B6B9B"/>
    <w:rsid w:val="006B6CE6"/>
    <w:rsid w:val="006B7A6B"/>
    <w:rsid w:val="006B7F21"/>
    <w:rsid w:val="006C0880"/>
    <w:rsid w:val="006C1B3D"/>
    <w:rsid w:val="006C2906"/>
    <w:rsid w:val="006C2B7F"/>
    <w:rsid w:val="006C2E62"/>
    <w:rsid w:val="006C353D"/>
    <w:rsid w:val="006C3885"/>
    <w:rsid w:val="006C4D3F"/>
    <w:rsid w:val="006D0A68"/>
    <w:rsid w:val="006D160C"/>
    <w:rsid w:val="006D229E"/>
    <w:rsid w:val="006D364A"/>
    <w:rsid w:val="006D3BD8"/>
    <w:rsid w:val="006D4521"/>
    <w:rsid w:val="006D46C9"/>
    <w:rsid w:val="006D4952"/>
    <w:rsid w:val="006D4EBB"/>
    <w:rsid w:val="006D566F"/>
    <w:rsid w:val="006D795A"/>
    <w:rsid w:val="006D7BC6"/>
    <w:rsid w:val="006E036F"/>
    <w:rsid w:val="006E07EB"/>
    <w:rsid w:val="006E0B15"/>
    <w:rsid w:val="006E1067"/>
    <w:rsid w:val="006E212B"/>
    <w:rsid w:val="006E28C4"/>
    <w:rsid w:val="006E2B49"/>
    <w:rsid w:val="006E3D7F"/>
    <w:rsid w:val="006E42A3"/>
    <w:rsid w:val="006E4B6B"/>
    <w:rsid w:val="006E586D"/>
    <w:rsid w:val="006E6F99"/>
    <w:rsid w:val="006E77A9"/>
    <w:rsid w:val="006F00BD"/>
    <w:rsid w:val="006F11CD"/>
    <w:rsid w:val="006F13B0"/>
    <w:rsid w:val="006F3402"/>
    <w:rsid w:val="006F60BC"/>
    <w:rsid w:val="006F722E"/>
    <w:rsid w:val="00701CFA"/>
    <w:rsid w:val="00703115"/>
    <w:rsid w:val="0070312A"/>
    <w:rsid w:val="00703AC0"/>
    <w:rsid w:val="00703BC5"/>
    <w:rsid w:val="0070431D"/>
    <w:rsid w:val="00704CE7"/>
    <w:rsid w:val="00704FF9"/>
    <w:rsid w:val="00705318"/>
    <w:rsid w:val="00705DDA"/>
    <w:rsid w:val="00706DC8"/>
    <w:rsid w:val="007073F5"/>
    <w:rsid w:val="00707C8F"/>
    <w:rsid w:val="007108A2"/>
    <w:rsid w:val="007119B7"/>
    <w:rsid w:val="00712A13"/>
    <w:rsid w:val="007131A4"/>
    <w:rsid w:val="00713767"/>
    <w:rsid w:val="00717DFE"/>
    <w:rsid w:val="0072010B"/>
    <w:rsid w:val="007201EF"/>
    <w:rsid w:val="007203BA"/>
    <w:rsid w:val="0072250C"/>
    <w:rsid w:val="00725BA6"/>
    <w:rsid w:val="00725BDF"/>
    <w:rsid w:val="00727275"/>
    <w:rsid w:val="00730E7F"/>
    <w:rsid w:val="007320D5"/>
    <w:rsid w:val="007321B7"/>
    <w:rsid w:val="00732492"/>
    <w:rsid w:val="007331F0"/>
    <w:rsid w:val="007342E8"/>
    <w:rsid w:val="0073442A"/>
    <w:rsid w:val="00734B1A"/>
    <w:rsid w:val="007353E6"/>
    <w:rsid w:val="00735C67"/>
    <w:rsid w:val="007365DB"/>
    <w:rsid w:val="007372B4"/>
    <w:rsid w:val="00740454"/>
    <w:rsid w:val="007407C9"/>
    <w:rsid w:val="00741E08"/>
    <w:rsid w:val="00742213"/>
    <w:rsid w:val="0074272F"/>
    <w:rsid w:val="00742879"/>
    <w:rsid w:val="007430B5"/>
    <w:rsid w:val="00743130"/>
    <w:rsid w:val="00743799"/>
    <w:rsid w:val="00745162"/>
    <w:rsid w:val="007457FF"/>
    <w:rsid w:val="00746A49"/>
    <w:rsid w:val="00746C1C"/>
    <w:rsid w:val="00751561"/>
    <w:rsid w:val="00751CCE"/>
    <w:rsid w:val="00754018"/>
    <w:rsid w:val="007562E0"/>
    <w:rsid w:val="0075694C"/>
    <w:rsid w:val="00756DC4"/>
    <w:rsid w:val="007600AB"/>
    <w:rsid w:val="007618BB"/>
    <w:rsid w:val="007618DB"/>
    <w:rsid w:val="007634FA"/>
    <w:rsid w:val="00763C05"/>
    <w:rsid w:val="007640C1"/>
    <w:rsid w:val="007652AF"/>
    <w:rsid w:val="00765386"/>
    <w:rsid w:val="00765E5C"/>
    <w:rsid w:val="0076609A"/>
    <w:rsid w:val="0076686D"/>
    <w:rsid w:val="00766AF5"/>
    <w:rsid w:val="00766BBB"/>
    <w:rsid w:val="00767989"/>
    <w:rsid w:val="007704B6"/>
    <w:rsid w:val="00771756"/>
    <w:rsid w:val="00773B3D"/>
    <w:rsid w:val="00774402"/>
    <w:rsid w:val="00777219"/>
    <w:rsid w:val="007779B8"/>
    <w:rsid w:val="00777D8B"/>
    <w:rsid w:val="0078027A"/>
    <w:rsid w:val="00780E30"/>
    <w:rsid w:val="0078235E"/>
    <w:rsid w:val="00783554"/>
    <w:rsid w:val="0078372C"/>
    <w:rsid w:val="00785A27"/>
    <w:rsid w:val="00785F05"/>
    <w:rsid w:val="00786293"/>
    <w:rsid w:val="00786CE2"/>
    <w:rsid w:val="00787233"/>
    <w:rsid w:val="00787593"/>
    <w:rsid w:val="007908AF"/>
    <w:rsid w:val="00790E21"/>
    <w:rsid w:val="00790E68"/>
    <w:rsid w:val="00791D2D"/>
    <w:rsid w:val="00792024"/>
    <w:rsid w:val="007935A3"/>
    <w:rsid w:val="007947E2"/>
    <w:rsid w:val="00794BC0"/>
    <w:rsid w:val="00794DE1"/>
    <w:rsid w:val="007955AF"/>
    <w:rsid w:val="00795EC6"/>
    <w:rsid w:val="0079605E"/>
    <w:rsid w:val="00796BC5"/>
    <w:rsid w:val="00797982"/>
    <w:rsid w:val="00797FD9"/>
    <w:rsid w:val="007A0293"/>
    <w:rsid w:val="007A0AE8"/>
    <w:rsid w:val="007A0FA7"/>
    <w:rsid w:val="007A164D"/>
    <w:rsid w:val="007A218D"/>
    <w:rsid w:val="007A337E"/>
    <w:rsid w:val="007A3D0B"/>
    <w:rsid w:val="007A3FB3"/>
    <w:rsid w:val="007A5C32"/>
    <w:rsid w:val="007B1EC9"/>
    <w:rsid w:val="007B216E"/>
    <w:rsid w:val="007B46C6"/>
    <w:rsid w:val="007B5418"/>
    <w:rsid w:val="007B630A"/>
    <w:rsid w:val="007B63A6"/>
    <w:rsid w:val="007B653C"/>
    <w:rsid w:val="007B6A59"/>
    <w:rsid w:val="007B6BD2"/>
    <w:rsid w:val="007C0DBD"/>
    <w:rsid w:val="007C13A5"/>
    <w:rsid w:val="007C1A39"/>
    <w:rsid w:val="007C26E0"/>
    <w:rsid w:val="007C28F5"/>
    <w:rsid w:val="007C2D7E"/>
    <w:rsid w:val="007C3212"/>
    <w:rsid w:val="007C4A1C"/>
    <w:rsid w:val="007C4C5D"/>
    <w:rsid w:val="007C5938"/>
    <w:rsid w:val="007C5B14"/>
    <w:rsid w:val="007C5BB9"/>
    <w:rsid w:val="007C5E3C"/>
    <w:rsid w:val="007D054D"/>
    <w:rsid w:val="007D115A"/>
    <w:rsid w:val="007D161E"/>
    <w:rsid w:val="007D1DFF"/>
    <w:rsid w:val="007D2C91"/>
    <w:rsid w:val="007D35CB"/>
    <w:rsid w:val="007D495C"/>
    <w:rsid w:val="007D49B0"/>
    <w:rsid w:val="007D5227"/>
    <w:rsid w:val="007E15BF"/>
    <w:rsid w:val="007E1915"/>
    <w:rsid w:val="007E2F89"/>
    <w:rsid w:val="007E3BBE"/>
    <w:rsid w:val="007E5393"/>
    <w:rsid w:val="007E5B52"/>
    <w:rsid w:val="007E602A"/>
    <w:rsid w:val="007F05A8"/>
    <w:rsid w:val="007F0795"/>
    <w:rsid w:val="007F0DEF"/>
    <w:rsid w:val="007F1D17"/>
    <w:rsid w:val="007F3135"/>
    <w:rsid w:val="007F3155"/>
    <w:rsid w:val="007F3527"/>
    <w:rsid w:val="007F3C07"/>
    <w:rsid w:val="007F4069"/>
    <w:rsid w:val="007F595F"/>
    <w:rsid w:val="007F6AA9"/>
    <w:rsid w:val="007F70D7"/>
    <w:rsid w:val="007F7190"/>
    <w:rsid w:val="00802D40"/>
    <w:rsid w:val="008044C4"/>
    <w:rsid w:val="00806107"/>
    <w:rsid w:val="00810953"/>
    <w:rsid w:val="0081100E"/>
    <w:rsid w:val="008138FD"/>
    <w:rsid w:val="00815291"/>
    <w:rsid w:val="008164FA"/>
    <w:rsid w:val="00820CD3"/>
    <w:rsid w:val="00821645"/>
    <w:rsid w:val="00821CC0"/>
    <w:rsid w:val="00821DFB"/>
    <w:rsid w:val="00822BC0"/>
    <w:rsid w:val="00823C1B"/>
    <w:rsid w:val="00825165"/>
    <w:rsid w:val="00825650"/>
    <w:rsid w:val="00825C1E"/>
    <w:rsid w:val="008261AE"/>
    <w:rsid w:val="00826FCD"/>
    <w:rsid w:val="008276C9"/>
    <w:rsid w:val="00827BFB"/>
    <w:rsid w:val="008309F1"/>
    <w:rsid w:val="00830B7F"/>
    <w:rsid w:val="00831690"/>
    <w:rsid w:val="00832320"/>
    <w:rsid w:val="00833D89"/>
    <w:rsid w:val="00835665"/>
    <w:rsid w:val="0083595E"/>
    <w:rsid w:val="00836DA5"/>
    <w:rsid w:val="00837873"/>
    <w:rsid w:val="008379AE"/>
    <w:rsid w:val="00837E7F"/>
    <w:rsid w:val="00840FCD"/>
    <w:rsid w:val="008410B5"/>
    <w:rsid w:val="0084603F"/>
    <w:rsid w:val="008469C3"/>
    <w:rsid w:val="00850A05"/>
    <w:rsid w:val="00850A88"/>
    <w:rsid w:val="00852857"/>
    <w:rsid w:val="008535BE"/>
    <w:rsid w:val="00853E61"/>
    <w:rsid w:val="008554F4"/>
    <w:rsid w:val="0085636D"/>
    <w:rsid w:val="00856506"/>
    <w:rsid w:val="00857EC1"/>
    <w:rsid w:val="0086021E"/>
    <w:rsid w:val="00860D11"/>
    <w:rsid w:val="00861B22"/>
    <w:rsid w:val="00862347"/>
    <w:rsid w:val="008631A7"/>
    <w:rsid w:val="00863A0E"/>
    <w:rsid w:val="00864121"/>
    <w:rsid w:val="00864222"/>
    <w:rsid w:val="0086445D"/>
    <w:rsid w:val="00866008"/>
    <w:rsid w:val="00867009"/>
    <w:rsid w:val="00867161"/>
    <w:rsid w:val="00870FBC"/>
    <w:rsid w:val="008711AD"/>
    <w:rsid w:val="00872571"/>
    <w:rsid w:val="0087271F"/>
    <w:rsid w:val="00874CFA"/>
    <w:rsid w:val="00875BAF"/>
    <w:rsid w:val="008771BE"/>
    <w:rsid w:val="008826EB"/>
    <w:rsid w:val="00883226"/>
    <w:rsid w:val="00884146"/>
    <w:rsid w:val="0088684D"/>
    <w:rsid w:val="00890053"/>
    <w:rsid w:val="008925E4"/>
    <w:rsid w:val="0089282C"/>
    <w:rsid w:val="008A0499"/>
    <w:rsid w:val="008A1826"/>
    <w:rsid w:val="008A1F7B"/>
    <w:rsid w:val="008A2C7D"/>
    <w:rsid w:val="008A2DF1"/>
    <w:rsid w:val="008A3D63"/>
    <w:rsid w:val="008A48C4"/>
    <w:rsid w:val="008A4D14"/>
    <w:rsid w:val="008A4F21"/>
    <w:rsid w:val="008A702C"/>
    <w:rsid w:val="008A7653"/>
    <w:rsid w:val="008A7CA7"/>
    <w:rsid w:val="008A7FC7"/>
    <w:rsid w:val="008B0F17"/>
    <w:rsid w:val="008B1EDC"/>
    <w:rsid w:val="008B2356"/>
    <w:rsid w:val="008B2D0B"/>
    <w:rsid w:val="008B3DF7"/>
    <w:rsid w:val="008B4133"/>
    <w:rsid w:val="008B507B"/>
    <w:rsid w:val="008B595B"/>
    <w:rsid w:val="008B5C1F"/>
    <w:rsid w:val="008B5CBE"/>
    <w:rsid w:val="008B60DC"/>
    <w:rsid w:val="008B663D"/>
    <w:rsid w:val="008B683A"/>
    <w:rsid w:val="008B714A"/>
    <w:rsid w:val="008B764D"/>
    <w:rsid w:val="008B7CA2"/>
    <w:rsid w:val="008B7E1E"/>
    <w:rsid w:val="008C11E3"/>
    <w:rsid w:val="008C14DB"/>
    <w:rsid w:val="008C265D"/>
    <w:rsid w:val="008C2C10"/>
    <w:rsid w:val="008C3E4A"/>
    <w:rsid w:val="008C4205"/>
    <w:rsid w:val="008C4E41"/>
    <w:rsid w:val="008C5299"/>
    <w:rsid w:val="008D1931"/>
    <w:rsid w:val="008D19BF"/>
    <w:rsid w:val="008D26AB"/>
    <w:rsid w:val="008D2704"/>
    <w:rsid w:val="008D417A"/>
    <w:rsid w:val="008D49A3"/>
    <w:rsid w:val="008D4A39"/>
    <w:rsid w:val="008D51B0"/>
    <w:rsid w:val="008D53D6"/>
    <w:rsid w:val="008D5CD9"/>
    <w:rsid w:val="008D67C7"/>
    <w:rsid w:val="008D68BC"/>
    <w:rsid w:val="008D6B0D"/>
    <w:rsid w:val="008D6E69"/>
    <w:rsid w:val="008E1B2B"/>
    <w:rsid w:val="008E21E8"/>
    <w:rsid w:val="008E2254"/>
    <w:rsid w:val="008E22DA"/>
    <w:rsid w:val="008E30D2"/>
    <w:rsid w:val="008E3B35"/>
    <w:rsid w:val="008E5349"/>
    <w:rsid w:val="008E5441"/>
    <w:rsid w:val="008E5FCD"/>
    <w:rsid w:val="008E6482"/>
    <w:rsid w:val="008E7402"/>
    <w:rsid w:val="008E772F"/>
    <w:rsid w:val="008F1F2F"/>
    <w:rsid w:val="008F30AF"/>
    <w:rsid w:val="008F47AA"/>
    <w:rsid w:val="008F6108"/>
    <w:rsid w:val="008F685A"/>
    <w:rsid w:val="008F6C53"/>
    <w:rsid w:val="008F7659"/>
    <w:rsid w:val="008F77E0"/>
    <w:rsid w:val="008F7AB2"/>
    <w:rsid w:val="0090084B"/>
    <w:rsid w:val="0090089A"/>
    <w:rsid w:val="0090175E"/>
    <w:rsid w:val="00902051"/>
    <w:rsid w:val="0090360C"/>
    <w:rsid w:val="00907333"/>
    <w:rsid w:val="00907D97"/>
    <w:rsid w:val="00907EFD"/>
    <w:rsid w:val="00907F57"/>
    <w:rsid w:val="0091149A"/>
    <w:rsid w:val="00912BE3"/>
    <w:rsid w:val="00912C8F"/>
    <w:rsid w:val="0091336C"/>
    <w:rsid w:val="00914B1E"/>
    <w:rsid w:val="00915976"/>
    <w:rsid w:val="00917D4F"/>
    <w:rsid w:val="00917DC0"/>
    <w:rsid w:val="0092110E"/>
    <w:rsid w:val="0092122C"/>
    <w:rsid w:val="00921EC0"/>
    <w:rsid w:val="00922145"/>
    <w:rsid w:val="00922194"/>
    <w:rsid w:val="00922783"/>
    <w:rsid w:val="00924E9A"/>
    <w:rsid w:val="009250A8"/>
    <w:rsid w:val="009254EA"/>
    <w:rsid w:val="00926576"/>
    <w:rsid w:val="00930029"/>
    <w:rsid w:val="00930665"/>
    <w:rsid w:val="00930E4F"/>
    <w:rsid w:val="00931B62"/>
    <w:rsid w:val="00932E41"/>
    <w:rsid w:val="00934547"/>
    <w:rsid w:val="0093595C"/>
    <w:rsid w:val="009360A5"/>
    <w:rsid w:val="00936387"/>
    <w:rsid w:val="00936894"/>
    <w:rsid w:val="009402E3"/>
    <w:rsid w:val="00940305"/>
    <w:rsid w:val="009438FC"/>
    <w:rsid w:val="00944AE6"/>
    <w:rsid w:val="00945F4C"/>
    <w:rsid w:val="0094689A"/>
    <w:rsid w:val="00947ADD"/>
    <w:rsid w:val="00951498"/>
    <w:rsid w:val="009523D8"/>
    <w:rsid w:val="00953CDC"/>
    <w:rsid w:val="00955672"/>
    <w:rsid w:val="00956A9E"/>
    <w:rsid w:val="0095743D"/>
    <w:rsid w:val="009575F0"/>
    <w:rsid w:val="00957D6E"/>
    <w:rsid w:val="009602A5"/>
    <w:rsid w:val="00960C90"/>
    <w:rsid w:val="0096579C"/>
    <w:rsid w:val="0096585F"/>
    <w:rsid w:val="00965DD9"/>
    <w:rsid w:val="009664FC"/>
    <w:rsid w:val="009668FD"/>
    <w:rsid w:val="00967311"/>
    <w:rsid w:val="00967E82"/>
    <w:rsid w:val="009713ED"/>
    <w:rsid w:val="00971C29"/>
    <w:rsid w:val="00972185"/>
    <w:rsid w:val="00973B21"/>
    <w:rsid w:val="00973FC8"/>
    <w:rsid w:val="00974352"/>
    <w:rsid w:val="00975BD6"/>
    <w:rsid w:val="0097603E"/>
    <w:rsid w:val="009763A3"/>
    <w:rsid w:val="0097642A"/>
    <w:rsid w:val="009769F5"/>
    <w:rsid w:val="00976DB2"/>
    <w:rsid w:val="00977445"/>
    <w:rsid w:val="00977F5A"/>
    <w:rsid w:val="00980EE9"/>
    <w:rsid w:val="009825F4"/>
    <w:rsid w:val="00983BFC"/>
    <w:rsid w:val="00984218"/>
    <w:rsid w:val="00984B5B"/>
    <w:rsid w:val="00985297"/>
    <w:rsid w:val="00986D83"/>
    <w:rsid w:val="00987291"/>
    <w:rsid w:val="00990C17"/>
    <w:rsid w:val="00990D41"/>
    <w:rsid w:val="00991B63"/>
    <w:rsid w:val="00991F9A"/>
    <w:rsid w:val="0099483B"/>
    <w:rsid w:val="00995708"/>
    <w:rsid w:val="009957AE"/>
    <w:rsid w:val="00997983"/>
    <w:rsid w:val="009A0D01"/>
    <w:rsid w:val="009A178A"/>
    <w:rsid w:val="009A3561"/>
    <w:rsid w:val="009A3CB2"/>
    <w:rsid w:val="009A5611"/>
    <w:rsid w:val="009A59BC"/>
    <w:rsid w:val="009A5BBB"/>
    <w:rsid w:val="009A63F4"/>
    <w:rsid w:val="009A740E"/>
    <w:rsid w:val="009A7D79"/>
    <w:rsid w:val="009A7EFC"/>
    <w:rsid w:val="009B0F53"/>
    <w:rsid w:val="009B25D5"/>
    <w:rsid w:val="009B2C0F"/>
    <w:rsid w:val="009B4050"/>
    <w:rsid w:val="009B42CF"/>
    <w:rsid w:val="009B58C2"/>
    <w:rsid w:val="009C0A99"/>
    <w:rsid w:val="009C1FEF"/>
    <w:rsid w:val="009C2192"/>
    <w:rsid w:val="009C2BE9"/>
    <w:rsid w:val="009C30F1"/>
    <w:rsid w:val="009C3C85"/>
    <w:rsid w:val="009C3E28"/>
    <w:rsid w:val="009C4291"/>
    <w:rsid w:val="009C4485"/>
    <w:rsid w:val="009C577B"/>
    <w:rsid w:val="009C5E57"/>
    <w:rsid w:val="009C6E96"/>
    <w:rsid w:val="009C7996"/>
    <w:rsid w:val="009D0360"/>
    <w:rsid w:val="009D2283"/>
    <w:rsid w:val="009D3477"/>
    <w:rsid w:val="009D3E84"/>
    <w:rsid w:val="009D74C6"/>
    <w:rsid w:val="009D7FAD"/>
    <w:rsid w:val="009E091E"/>
    <w:rsid w:val="009E16F4"/>
    <w:rsid w:val="009E1723"/>
    <w:rsid w:val="009E3908"/>
    <w:rsid w:val="009E3E11"/>
    <w:rsid w:val="009E4B99"/>
    <w:rsid w:val="009E4F39"/>
    <w:rsid w:val="009E50BD"/>
    <w:rsid w:val="009E580D"/>
    <w:rsid w:val="009E6E42"/>
    <w:rsid w:val="009E70A8"/>
    <w:rsid w:val="009E73D5"/>
    <w:rsid w:val="009F0061"/>
    <w:rsid w:val="009F0314"/>
    <w:rsid w:val="009F0F85"/>
    <w:rsid w:val="009F1363"/>
    <w:rsid w:val="009F1C00"/>
    <w:rsid w:val="009F24DE"/>
    <w:rsid w:val="009F61BA"/>
    <w:rsid w:val="009F7DC6"/>
    <w:rsid w:val="00A002A3"/>
    <w:rsid w:val="00A0077E"/>
    <w:rsid w:val="00A01921"/>
    <w:rsid w:val="00A0272D"/>
    <w:rsid w:val="00A02C6B"/>
    <w:rsid w:val="00A034C1"/>
    <w:rsid w:val="00A0379C"/>
    <w:rsid w:val="00A04B67"/>
    <w:rsid w:val="00A05966"/>
    <w:rsid w:val="00A06698"/>
    <w:rsid w:val="00A0773C"/>
    <w:rsid w:val="00A07E45"/>
    <w:rsid w:val="00A117AB"/>
    <w:rsid w:val="00A119A3"/>
    <w:rsid w:val="00A128F8"/>
    <w:rsid w:val="00A12C2E"/>
    <w:rsid w:val="00A13A22"/>
    <w:rsid w:val="00A13F71"/>
    <w:rsid w:val="00A141DE"/>
    <w:rsid w:val="00A17AA5"/>
    <w:rsid w:val="00A20273"/>
    <w:rsid w:val="00A204D0"/>
    <w:rsid w:val="00A20595"/>
    <w:rsid w:val="00A20E85"/>
    <w:rsid w:val="00A220F8"/>
    <w:rsid w:val="00A222E6"/>
    <w:rsid w:val="00A223B1"/>
    <w:rsid w:val="00A24519"/>
    <w:rsid w:val="00A25537"/>
    <w:rsid w:val="00A260AB"/>
    <w:rsid w:val="00A278CF"/>
    <w:rsid w:val="00A27E47"/>
    <w:rsid w:val="00A312EF"/>
    <w:rsid w:val="00A325B5"/>
    <w:rsid w:val="00A33192"/>
    <w:rsid w:val="00A34747"/>
    <w:rsid w:val="00A35226"/>
    <w:rsid w:val="00A354F1"/>
    <w:rsid w:val="00A36181"/>
    <w:rsid w:val="00A3755E"/>
    <w:rsid w:val="00A379C5"/>
    <w:rsid w:val="00A37CA6"/>
    <w:rsid w:val="00A37FDD"/>
    <w:rsid w:val="00A40909"/>
    <w:rsid w:val="00A42A58"/>
    <w:rsid w:val="00A432E1"/>
    <w:rsid w:val="00A43C5C"/>
    <w:rsid w:val="00A4408D"/>
    <w:rsid w:val="00A440AD"/>
    <w:rsid w:val="00A450F9"/>
    <w:rsid w:val="00A458F6"/>
    <w:rsid w:val="00A4647B"/>
    <w:rsid w:val="00A507AE"/>
    <w:rsid w:val="00A50935"/>
    <w:rsid w:val="00A515A6"/>
    <w:rsid w:val="00A53EA6"/>
    <w:rsid w:val="00A55AC3"/>
    <w:rsid w:val="00A55F29"/>
    <w:rsid w:val="00A572A8"/>
    <w:rsid w:val="00A572B7"/>
    <w:rsid w:val="00A57E78"/>
    <w:rsid w:val="00A57FCE"/>
    <w:rsid w:val="00A60148"/>
    <w:rsid w:val="00A60AF0"/>
    <w:rsid w:val="00A6179E"/>
    <w:rsid w:val="00A61D82"/>
    <w:rsid w:val="00A61E46"/>
    <w:rsid w:val="00A61EA7"/>
    <w:rsid w:val="00A61F77"/>
    <w:rsid w:val="00A61FED"/>
    <w:rsid w:val="00A62BF7"/>
    <w:rsid w:val="00A63216"/>
    <w:rsid w:val="00A65595"/>
    <w:rsid w:val="00A65769"/>
    <w:rsid w:val="00A65957"/>
    <w:rsid w:val="00A65FE5"/>
    <w:rsid w:val="00A66113"/>
    <w:rsid w:val="00A67F96"/>
    <w:rsid w:val="00A67FCF"/>
    <w:rsid w:val="00A7154F"/>
    <w:rsid w:val="00A72A03"/>
    <w:rsid w:val="00A73082"/>
    <w:rsid w:val="00A732AF"/>
    <w:rsid w:val="00A73DFD"/>
    <w:rsid w:val="00A759FF"/>
    <w:rsid w:val="00A80C1A"/>
    <w:rsid w:val="00A82065"/>
    <w:rsid w:val="00A82424"/>
    <w:rsid w:val="00A84324"/>
    <w:rsid w:val="00A85494"/>
    <w:rsid w:val="00A85CA5"/>
    <w:rsid w:val="00A8640B"/>
    <w:rsid w:val="00A868DC"/>
    <w:rsid w:val="00A91523"/>
    <w:rsid w:val="00A91BA4"/>
    <w:rsid w:val="00A921A1"/>
    <w:rsid w:val="00A93F52"/>
    <w:rsid w:val="00A962A6"/>
    <w:rsid w:val="00A97784"/>
    <w:rsid w:val="00AA0F15"/>
    <w:rsid w:val="00AA1C54"/>
    <w:rsid w:val="00AA27BC"/>
    <w:rsid w:val="00AA2AED"/>
    <w:rsid w:val="00AA43AF"/>
    <w:rsid w:val="00AA473B"/>
    <w:rsid w:val="00AA567D"/>
    <w:rsid w:val="00AA67A1"/>
    <w:rsid w:val="00AA6DE2"/>
    <w:rsid w:val="00AB035D"/>
    <w:rsid w:val="00AB2141"/>
    <w:rsid w:val="00AB39AA"/>
    <w:rsid w:val="00AB3D89"/>
    <w:rsid w:val="00AB3F47"/>
    <w:rsid w:val="00AB45A0"/>
    <w:rsid w:val="00AB56B7"/>
    <w:rsid w:val="00AB70DA"/>
    <w:rsid w:val="00AB71AC"/>
    <w:rsid w:val="00AC062F"/>
    <w:rsid w:val="00AC070D"/>
    <w:rsid w:val="00AC0884"/>
    <w:rsid w:val="00AC0D3B"/>
    <w:rsid w:val="00AC1A1D"/>
    <w:rsid w:val="00AC1A44"/>
    <w:rsid w:val="00AC2A40"/>
    <w:rsid w:val="00AC2CFE"/>
    <w:rsid w:val="00AC35BB"/>
    <w:rsid w:val="00AC373D"/>
    <w:rsid w:val="00AC3F41"/>
    <w:rsid w:val="00AC4925"/>
    <w:rsid w:val="00AC50E9"/>
    <w:rsid w:val="00AC5552"/>
    <w:rsid w:val="00AC6562"/>
    <w:rsid w:val="00AC6F5D"/>
    <w:rsid w:val="00AC7124"/>
    <w:rsid w:val="00AD0561"/>
    <w:rsid w:val="00AD13E8"/>
    <w:rsid w:val="00AD14B3"/>
    <w:rsid w:val="00AD1D02"/>
    <w:rsid w:val="00AD2C5D"/>
    <w:rsid w:val="00AD36DA"/>
    <w:rsid w:val="00AD5920"/>
    <w:rsid w:val="00AD5A87"/>
    <w:rsid w:val="00AD651D"/>
    <w:rsid w:val="00AE1177"/>
    <w:rsid w:val="00AE1D79"/>
    <w:rsid w:val="00AE2061"/>
    <w:rsid w:val="00AE22C7"/>
    <w:rsid w:val="00AE6BE5"/>
    <w:rsid w:val="00AF0366"/>
    <w:rsid w:val="00AF1B81"/>
    <w:rsid w:val="00AF350A"/>
    <w:rsid w:val="00AF64FB"/>
    <w:rsid w:val="00B00BE4"/>
    <w:rsid w:val="00B03730"/>
    <w:rsid w:val="00B03CCB"/>
    <w:rsid w:val="00B03EAC"/>
    <w:rsid w:val="00B06C72"/>
    <w:rsid w:val="00B0749F"/>
    <w:rsid w:val="00B07607"/>
    <w:rsid w:val="00B07E92"/>
    <w:rsid w:val="00B10332"/>
    <w:rsid w:val="00B12628"/>
    <w:rsid w:val="00B13626"/>
    <w:rsid w:val="00B13E99"/>
    <w:rsid w:val="00B14651"/>
    <w:rsid w:val="00B15074"/>
    <w:rsid w:val="00B1782E"/>
    <w:rsid w:val="00B22B2F"/>
    <w:rsid w:val="00B26335"/>
    <w:rsid w:val="00B26DCE"/>
    <w:rsid w:val="00B27A65"/>
    <w:rsid w:val="00B27BE9"/>
    <w:rsid w:val="00B30F14"/>
    <w:rsid w:val="00B31C3D"/>
    <w:rsid w:val="00B322A6"/>
    <w:rsid w:val="00B349FD"/>
    <w:rsid w:val="00B34EB2"/>
    <w:rsid w:val="00B40072"/>
    <w:rsid w:val="00B41306"/>
    <w:rsid w:val="00B416BE"/>
    <w:rsid w:val="00B416E1"/>
    <w:rsid w:val="00B41A36"/>
    <w:rsid w:val="00B4261E"/>
    <w:rsid w:val="00B443A6"/>
    <w:rsid w:val="00B449C6"/>
    <w:rsid w:val="00B473FA"/>
    <w:rsid w:val="00B47556"/>
    <w:rsid w:val="00B503F0"/>
    <w:rsid w:val="00B508AA"/>
    <w:rsid w:val="00B53D58"/>
    <w:rsid w:val="00B540DD"/>
    <w:rsid w:val="00B54BFB"/>
    <w:rsid w:val="00B56FC3"/>
    <w:rsid w:val="00B57409"/>
    <w:rsid w:val="00B57E6B"/>
    <w:rsid w:val="00B60351"/>
    <w:rsid w:val="00B60D57"/>
    <w:rsid w:val="00B64E39"/>
    <w:rsid w:val="00B65971"/>
    <w:rsid w:val="00B65A86"/>
    <w:rsid w:val="00B661F0"/>
    <w:rsid w:val="00B668B6"/>
    <w:rsid w:val="00B66934"/>
    <w:rsid w:val="00B715A1"/>
    <w:rsid w:val="00B71B72"/>
    <w:rsid w:val="00B73A4B"/>
    <w:rsid w:val="00B7404F"/>
    <w:rsid w:val="00B750B2"/>
    <w:rsid w:val="00B75933"/>
    <w:rsid w:val="00B76CFE"/>
    <w:rsid w:val="00B77A64"/>
    <w:rsid w:val="00B832D2"/>
    <w:rsid w:val="00B84760"/>
    <w:rsid w:val="00B867C6"/>
    <w:rsid w:val="00B86CDF"/>
    <w:rsid w:val="00B8738F"/>
    <w:rsid w:val="00B87558"/>
    <w:rsid w:val="00B87FB6"/>
    <w:rsid w:val="00B9048F"/>
    <w:rsid w:val="00B90D07"/>
    <w:rsid w:val="00B90E11"/>
    <w:rsid w:val="00B91216"/>
    <w:rsid w:val="00B91C96"/>
    <w:rsid w:val="00B91E51"/>
    <w:rsid w:val="00B92471"/>
    <w:rsid w:val="00B93BF6"/>
    <w:rsid w:val="00B93E67"/>
    <w:rsid w:val="00B967AD"/>
    <w:rsid w:val="00B969F9"/>
    <w:rsid w:val="00B97007"/>
    <w:rsid w:val="00B979F4"/>
    <w:rsid w:val="00B97DB8"/>
    <w:rsid w:val="00BA04B9"/>
    <w:rsid w:val="00BA12D6"/>
    <w:rsid w:val="00BA2F1A"/>
    <w:rsid w:val="00BA3A0A"/>
    <w:rsid w:val="00BA3F10"/>
    <w:rsid w:val="00BA5073"/>
    <w:rsid w:val="00BA5A99"/>
    <w:rsid w:val="00BA5F87"/>
    <w:rsid w:val="00BA6979"/>
    <w:rsid w:val="00BA6F6C"/>
    <w:rsid w:val="00BA796A"/>
    <w:rsid w:val="00BA7E97"/>
    <w:rsid w:val="00BB0740"/>
    <w:rsid w:val="00BB0A46"/>
    <w:rsid w:val="00BB0A6F"/>
    <w:rsid w:val="00BB2D61"/>
    <w:rsid w:val="00BB5D9F"/>
    <w:rsid w:val="00BB7751"/>
    <w:rsid w:val="00BC0C6F"/>
    <w:rsid w:val="00BC422B"/>
    <w:rsid w:val="00BC454D"/>
    <w:rsid w:val="00BC5329"/>
    <w:rsid w:val="00BC6721"/>
    <w:rsid w:val="00BC7B8E"/>
    <w:rsid w:val="00BD02FA"/>
    <w:rsid w:val="00BD1A2E"/>
    <w:rsid w:val="00BD2AE5"/>
    <w:rsid w:val="00BD2C7F"/>
    <w:rsid w:val="00BD47AB"/>
    <w:rsid w:val="00BD7421"/>
    <w:rsid w:val="00BD76B5"/>
    <w:rsid w:val="00BE04BE"/>
    <w:rsid w:val="00BE0F39"/>
    <w:rsid w:val="00BE1600"/>
    <w:rsid w:val="00BE1F3C"/>
    <w:rsid w:val="00BE3B9D"/>
    <w:rsid w:val="00BE480E"/>
    <w:rsid w:val="00BE7BF8"/>
    <w:rsid w:val="00BE7CEA"/>
    <w:rsid w:val="00BF04A9"/>
    <w:rsid w:val="00BF0D6D"/>
    <w:rsid w:val="00BF3A44"/>
    <w:rsid w:val="00BF3FCD"/>
    <w:rsid w:val="00BF4A27"/>
    <w:rsid w:val="00BF4BCB"/>
    <w:rsid w:val="00BF5425"/>
    <w:rsid w:val="00BF6444"/>
    <w:rsid w:val="00BF6616"/>
    <w:rsid w:val="00BF67FB"/>
    <w:rsid w:val="00BF6802"/>
    <w:rsid w:val="00BF6DE4"/>
    <w:rsid w:val="00BF7339"/>
    <w:rsid w:val="00BF74E0"/>
    <w:rsid w:val="00BF7707"/>
    <w:rsid w:val="00C00314"/>
    <w:rsid w:val="00C00C92"/>
    <w:rsid w:val="00C018EC"/>
    <w:rsid w:val="00C0199E"/>
    <w:rsid w:val="00C02388"/>
    <w:rsid w:val="00C0288C"/>
    <w:rsid w:val="00C03FFF"/>
    <w:rsid w:val="00C0468C"/>
    <w:rsid w:val="00C052C5"/>
    <w:rsid w:val="00C05710"/>
    <w:rsid w:val="00C05815"/>
    <w:rsid w:val="00C05FB6"/>
    <w:rsid w:val="00C07F22"/>
    <w:rsid w:val="00C1096F"/>
    <w:rsid w:val="00C10A1F"/>
    <w:rsid w:val="00C11717"/>
    <w:rsid w:val="00C11B2D"/>
    <w:rsid w:val="00C128D9"/>
    <w:rsid w:val="00C13088"/>
    <w:rsid w:val="00C1358C"/>
    <w:rsid w:val="00C144C1"/>
    <w:rsid w:val="00C14910"/>
    <w:rsid w:val="00C14C8D"/>
    <w:rsid w:val="00C16DF4"/>
    <w:rsid w:val="00C17734"/>
    <w:rsid w:val="00C22C29"/>
    <w:rsid w:val="00C22F80"/>
    <w:rsid w:val="00C256C7"/>
    <w:rsid w:val="00C265CF"/>
    <w:rsid w:val="00C26774"/>
    <w:rsid w:val="00C275CF"/>
    <w:rsid w:val="00C27DCB"/>
    <w:rsid w:val="00C31188"/>
    <w:rsid w:val="00C31650"/>
    <w:rsid w:val="00C31880"/>
    <w:rsid w:val="00C31BA6"/>
    <w:rsid w:val="00C31F01"/>
    <w:rsid w:val="00C32128"/>
    <w:rsid w:val="00C32148"/>
    <w:rsid w:val="00C34313"/>
    <w:rsid w:val="00C34FE5"/>
    <w:rsid w:val="00C35667"/>
    <w:rsid w:val="00C3669A"/>
    <w:rsid w:val="00C43CB9"/>
    <w:rsid w:val="00C443B4"/>
    <w:rsid w:val="00C44ABD"/>
    <w:rsid w:val="00C45603"/>
    <w:rsid w:val="00C45E0F"/>
    <w:rsid w:val="00C46768"/>
    <w:rsid w:val="00C53C3F"/>
    <w:rsid w:val="00C552E5"/>
    <w:rsid w:val="00C559A8"/>
    <w:rsid w:val="00C5648E"/>
    <w:rsid w:val="00C57354"/>
    <w:rsid w:val="00C57BF5"/>
    <w:rsid w:val="00C57C3A"/>
    <w:rsid w:val="00C62C0D"/>
    <w:rsid w:val="00C643D7"/>
    <w:rsid w:val="00C65E28"/>
    <w:rsid w:val="00C663CA"/>
    <w:rsid w:val="00C66ADA"/>
    <w:rsid w:val="00C671E0"/>
    <w:rsid w:val="00C7182D"/>
    <w:rsid w:val="00C72376"/>
    <w:rsid w:val="00C731A1"/>
    <w:rsid w:val="00C732EE"/>
    <w:rsid w:val="00C745FF"/>
    <w:rsid w:val="00C74ED0"/>
    <w:rsid w:val="00C77737"/>
    <w:rsid w:val="00C77CCF"/>
    <w:rsid w:val="00C80433"/>
    <w:rsid w:val="00C80AAE"/>
    <w:rsid w:val="00C810E0"/>
    <w:rsid w:val="00C811A4"/>
    <w:rsid w:val="00C8224E"/>
    <w:rsid w:val="00C82774"/>
    <w:rsid w:val="00C84189"/>
    <w:rsid w:val="00C84550"/>
    <w:rsid w:val="00C84D65"/>
    <w:rsid w:val="00C866E7"/>
    <w:rsid w:val="00C86A6E"/>
    <w:rsid w:val="00C86BDC"/>
    <w:rsid w:val="00C87103"/>
    <w:rsid w:val="00C8750D"/>
    <w:rsid w:val="00C87856"/>
    <w:rsid w:val="00C90734"/>
    <w:rsid w:val="00C927F3"/>
    <w:rsid w:val="00C93E86"/>
    <w:rsid w:val="00C94842"/>
    <w:rsid w:val="00C95DD0"/>
    <w:rsid w:val="00C963DB"/>
    <w:rsid w:val="00C96DDA"/>
    <w:rsid w:val="00C973E5"/>
    <w:rsid w:val="00C9779A"/>
    <w:rsid w:val="00C97C91"/>
    <w:rsid w:val="00CA00F9"/>
    <w:rsid w:val="00CA02CD"/>
    <w:rsid w:val="00CA0B12"/>
    <w:rsid w:val="00CA3772"/>
    <w:rsid w:val="00CA489E"/>
    <w:rsid w:val="00CA50BF"/>
    <w:rsid w:val="00CA5564"/>
    <w:rsid w:val="00CA5BEA"/>
    <w:rsid w:val="00CA5FF7"/>
    <w:rsid w:val="00CA7F00"/>
    <w:rsid w:val="00CB0640"/>
    <w:rsid w:val="00CB1434"/>
    <w:rsid w:val="00CB59BA"/>
    <w:rsid w:val="00CB6393"/>
    <w:rsid w:val="00CB665D"/>
    <w:rsid w:val="00CB6936"/>
    <w:rsid w:val="00CB78E3"/>
    <w:rsid w:val="00CB793D"/>
    <w:rsid w:val="00CC1741"/>
    <w:rsid w:val="00CC1787"/>
    <w:rsid w:val="00CC58EC"/>
    <w:rsid w:val="00CC5DE2"/>
    <w:rsid w:val="00CC799F"/>
    <w:rsid w:val="00CC7AF8"/>
    <w:rsid w:val="00CC7B14"/>
    <w:rsid w:val="00CC7F37"/>
    <w:rsid w:val="00CD01A7"/>
    <w:rsid w:val="00CD02F6"/>
    <w:rsid w:val="00CD2212"/>
    <w:rsid w:val="00CD2C95"/>
    <w:rsid w:val="00CD3EF8"/>
    <w:rsid w:val="00CD4722"/>
    <w:rsid w:val="00CD4ED1"/>
    <w:rsid w:val="00CD5458"/>
    <w:rsid w:val="00CD5706"/>
    <w:rsid w:val="00CD68CC"/>
    <w:rsid w:val="00CE07F5"/>
    <w:rsid w:val="00CE72F6"/>
    <w:rsid w:val="00CE73DD"/>
    <w:rsid w:val="00CF1498"/>
    <w:rsid w:val="00CF2067"/>
    <w:rsid w:val="00CF2F85"/>
    <w:rsid w:val="00CF33EE"/>
    <w:rsid w:val="00CF425E"/>
    <w:rsid w:val="00CF505C"/>
    <w:rsid w:val="00CF5E44"/>
    <w:rsid w:val="00CF644B"/>
    <w:rsid w:val="00CF7866"/>
    <w:rsid w:val="00CF7EF1"/>
    <w:rsid w:val="00D002EE"/>
    <w:rsid w:val="00D00C43"/>
    <w:rsid w:val="00D01165"/>
    <w:rsid w:val="00D015F4"/>
    <w:rsid w:val="00D01F53"/>
    <w:rsid w:val="00D02706"/>
    <w:rsid w:val="00D04C95"/>
    <w:rsid w:val="00D063AE"/>
    <w:rsid w:val="00D06EAD"/>
    <w:rsid w:val="00D06EB7"/>
    <w:rsid w:val="00D06FC9"/>
    <w:rsid w:val="00D077EB"/>
    <w:rsid w:val="00D10394"/>
    <w:rsid w:val="00D10609"/>
    <w:rsid w:val="00D10A50"/>
    <w:rsid w:val="00D10DF4"/>
    <w:rsid w:val="00D12BE0"/>
    <w:rsid w:val="00D1383D"/>
    <w:rsid w:val="00D138C8"/>
    <w:rsid w:val="00D13CDE"/>
    <w:rsid w:val="00D13E45"/>
    <w:rsid w:val="00D141DE"/>
    <w:rsid w:val="00D143EC"/>
    <w:rsid w:val="00D14C84"/>
    <w:rsid w:val="00D17439"/>
    <w:rsid w:val="00D200B8"/>
    <w:rsid w:val="00D2121B"/>
    <w:rsid w:val="00D21C69"/>
    <w:rsid w:val="00D22DF9"/>
    <w:rsid w:val="00D23286"/>
    <w:rsid w:val="00D23B3B"/>
    <w:rsid w:val="00D24146"/>
    <w:rsid w:val="00D24393"/>
    <w:rsid w:val="00D24BFD"/>
    <w:rsid w:val="00D25BE7"/>
    <w:rsid w:val="00D25EB1"/>
    <w:rsid w:val="00D26F66"/>
    <w:rsid w:val="00D30086"/>
    <w:rsid w:val="00D32032"/>
    <w:rsid w:val="00D324C8"/>
    <w:rsid w:val="00D36681"/>
    <w:rsid w:val="00D41681"/>
    <w:rsid w:val="00D426D5"/>
    <w:rsid w:val="00D43353"/>
    <w:rsid w:val="00D4341F"/>
    <w:rsid w:val="00D434B5"/>
    <w:rsid w:val="00D4545E"/>
    <w:rsid w:val="00D45ABC"/>
    <w:rsid w:val="00D46290"/>
    <w:rsid w:val="00D4647B"/>
    <w:rsid w:val="00D465DB"/>
    <w:rsid w:val="00D46622"/>
    <w:rsid w:val="00D467FC"/>
    <w:rsid w:val="00D475D8"/>
    <w:rsid w:val="00D503A0"/>
    <w:rsid w:val="00D50460"/>
    <w:rsid w:val="00D5058D"/>
    <w:rsid w:val="00D50709"/>
    <w:rsid w:val="00D50FEF"/>
    <w:rsid w:val="00D51B82"/>
    <w:rsid w:val="00D52383"/>
    <w:rsid w:val="00D52DB3"/>
    <w:rsid w:val="00D53AD0"/>
    <w:rsid w:val="00D5417C"/>
    <w:rsid w:val="00D542FC"/>
    <w:rsid w:val="00D54810"/>
    <w:rsid w:val="00D54AE8"/>
    <w:rsid w:val="00D5557A"/>
    <w:rsid w:val="00D605BC"/>
    <w:rsid w:val="00D60BE7"/>
    <w:rsid w:val="00D61174"/>
    <w:rsid w:val="00D628CE"/>
    <w:rsid w:val="00D63F3E"/>
    <w:rsid w:val="00D65486"/>
    <w:rsid w:val="00D6690A"/>
    <w:rsid w:val="00D66B4C"/>
    <w:rsid w:val="00D701EF"/>
    <w:rsid w:val="00D7144A"/>
    <w:rsid w:val="00D71540"/>
    <w:rsid w:val="00D71FDF"/>
    <w:rsid w:val="00D72F97"/>
    <w:rsid w:val="00D737AC"/>
    <w:rsid w:val="00D74D89"/>
    <w:rsid w:val="00D7714C"/>
    <w:rsid w:val="00D8515B"/>
    <w:rsid w:val="00D85763"/>
    <w:rsid w:val="00D85C16"/>
    <w:rsid w:val="00D86F84"/>
    <w:rsid w:val="00D87708"/>
    <w:rsid w:val="00D9010E"/>
    <w:rsid w:val="00D9081E"/>
    <w:rsid w:val="00D90F85"/>
    <w:rsid w:val="00D91F2E"/>
    <w:rsid w:val="00D92051"/>
    <w:rsid w:val="00D92A8D"/>
    <w:rsid w:val="00D93187"/>
    <w:rsid w:val="00D93362"/>
    <w:rsid w:val="00D95E13"/>
    <w:rsid w:val="00D9721F"/>
    <w:rsid w:val="00DA0E7A"/>
    <w:rsid w:val="00DA201C"/>
    <w:rsid w:val="00DA262D"/>
    <w:rsid w:val="00DA296C"/>
    <w:rsid w:val="00DA2ABE"/>
    <w:rsid w:val="00DA2B0F"/>
    <w:rsid w:val="00DA2ECC"/>
    <w:rsid w:val="00DA3700"/>
    <w:rsid w:val="00DA6D60"/>
    <w:rsid w:val="00DB11D4"/>
    <w:rsid w:val="00DB1C5E"/>
    <w:rsid w:val="00DB21CA"/>
    <w:rsid w:val="00DB2957"/>
    <w:rsid w:val="00DB302E"/>
    <w:rsid w:val="00DB3C06"/>
    <w:rsid w:val="00DB4476"/>
    <w:rsid w:val="00DB4CA4"/>
    <w:rsid w:val="00DB598B"/>
    <w:rsid w:val="00DB6873"/>
    <w:rsid w:val="00DB689F"/>
    <w:rsid w:val="00DB69FD"/>
    <w:rsid w:val="00DB7318"/>
    <w:rsid w:val="00DC135A"/>
    <w:rsid w:val="00DC2E4D"/>
    <w:rsid w:val="00DC338C"/>
    <w:rsid w:val="00DC3D7E"/>
    <w:rsid w:val="00DC4103"/>
    <w:rsid w:val="00DC6F20"/>
    <w:rsid w:val="00DD05AE"/>
    <w:rsid w:val="00DD0A47"/>
    <w:rsid w:val="00DD1C93"/>
    <w:rsid w:val="00DD297E"/>
    <w:rsid w:val="00DD49D9"/>
    <w:rsid w:val="00DD4D1C"/>
    <w:rsid w:val="00DD5D57"/>
    <w:rsid w:val="00DD7693"/>
    <w:rsid w:val="00DE3213"/>
    <w:rsid w:val="00DE47AF"/>
    <w:rsid w:val="00DF01AE"/>
    <w:rsid w:val="00DF04B4"/>
    <w:rsid w:val="00DF0B3C"/>
    <w:rsid w:val="00DF223A"/>
    <w:rsid w:val="00DF2C78"/>
    <w:rsid w:val="00DF4005"/>
    <w:rsid w:val="00DF5B5F"/>
    <w:rsid w:val="00DF63AB"/>
    <w:rsid w:val="00DF65AE"/>
    <w:rsid w:val="00DF7532"/>
    <w:rsid w:val="00E038B1"/>
    <w:rsid w:val="00E03E42"/>
    <w:rsid w:val="00E07635"/>
    <w:rsid w:val="00E115A2"/>
    <w:rsid w:val="00E12248"/>
    <w:rsid w:val="00E12335"/>
    <w:rsid w:val="00E12F0B"/>
    <w:rsid w:val="00E136AF"/>
    <w:rsid w:val="00E14A5B"/>
    <w:rsid w:val="00E14E1E"/>
    <w:rsid w:val="00E208EC"/>
    <w:rsid w:val="00E20B4C"/>
    <w:rsid w:val="00E210A1"/>
    <w:rsid w:val="00E235C5"/>
    <w:rsid w:val="00E2611B"/>
    <w:rsid w:val="00E306A1"/>
    <w:rsid w:val="00E31144"/>
    <w:rsid w:val="00E31E58"/>
    <w:rsid w:val="00E33EE2"/>
    <w:rsid w:val="00E341A6"/>
    <w:rsid w:val="00E34DB3"/>
    <w:rsid w:val="00E36246"/>
    <w:rsid w:val="00E3666D"/>
    <w:rsid w:val="00E3679A"/>
    <w:rsid w:val="00E371FB"/>
    <w:rsid w:val="00E37FF2"/>
    <w:rsid w:val="00E407E3"/>
    <w:rsid w:val="00E42D2E"/>
    <w:rsid w:val="00E447B4"/>
    <w:rsid w:val="00E44BF3"/>
    <w:rsid w:val="00E44C74"/>
    <w:rsid w:val="00E45712"/>
    <w:rsid w:val="00E458AA"/>
    <w:rsid w:val="00E458FE"/>
    <w:rsid w:val="00E46022"/>
    <w:rsid w:val="00E46970"/>
    <w:rsid w:val="00E47124"/>
    <w:rsid w:val="00E47205"/>
    <w:rsid w:val="00E478D7"/>
    <w:rsid w:val="00E47986"/>
    <w:rsid w:val="00E52568"/>
    <w:rsid w:val="00E532DE"/>
    <w:rsid w:val="00E57127"/>
    <w:rsid w:val="00E573F7"/>
    <w:rsid w:val="00E57467"/>
    <w:rsid w:val="00E5795D"/>
    <w:rsid w:val="00E606E9"/>
    <w:rsid w:val="00E60EB1"/>
    <w:rsid w:val="00E61F97"/>
    <w:rsid w:val="00E62AF3"/>
    <w:rsid w:val="00E63851"/>
    <w:rsid w:val="00E64EEF"/>
    <w:rsid w:val="00E658BC"/>
    <w:rsid w:val="00E66536"/>
    <w:rsid w:val="00E6740B"/>
    <w:rsid w:val="00E67ABB"/>
    <w:rsid w:val="00E70B7A"/>
    <w:rsid w:val="00E71658"/>
    <w:rsid w:val="00E7269F"/>
    <w:rsid w:val="00E73901"/>
    <w:rsid w:val="00E73E1F"/>
    <w:rsid w:val="00E7416E"/>
    <w:rsid w:val="00E74A32"/>
    <w:rsid w:val="00E75A66"/>
    <w:rsid w:val="00E76B37"/>
    <w:rsid w:val="00E76D2D"/>
    <w:rsid w:val="00E7727F"/>
    <w:rsid w:val="00E80643"/>
    <w:rsid w:val="00E8073E"/>
    <w:rsid w:val="00E8084B"/>
    <w:rsid w:val="00E8322F"/>
    <w:rsid w:val="00E841D1"/>
    <w:rsid w:val="00E84B9D"/>
    <w:rsid w:val="00E86B0B"/>
    <w:rsid w:val="00E87054"/>
    <w:rsid w:val="00E90DE7"/>
    <w:rsid w:val="00E90F54"/>
    <w:rsid w:val="00E957E6"/>
    <w:rsid w:val="00E96D28"/>
    <w:rsid w:val="00EA0357"/>
    <w:rsid w:val="00EA094A"/>
    <w:rsid w:val="00EA1C74"/>
    <w:rsid w:val="00EA28AF"/>
    <w:rsid w:val="00EA2C97"/>
    <w:rsid w:val="00EA50D4"/>
    <w:rsid w:val="00EA5A88"/>
    <w:rsid w:val="00EA5D6D"/>
    <w:rsid w:val="00EA60F6"/>
    <w:rsid w:val="00EA6298"/>
    <w:rsid w:val="00EA6669"/>
    <w:rsid w:val="00EA6690"/>
    <w:rsid w:val="00EA7274"/>
    <w:rsid w:val="00EB0D85"/>
    <w:rsid w:val="00EB101E"/>
    <w:rsid w:val="00EB1547"/>
    <w:rsid w:val="00EB172A"/>
    <w:rsid w:val="00EB2104"/>
    <w:rsid w:val="00EB492B"/>
    <w:rsid w:val="00EB50D1"/>
    <w:rsid w:val="00EB6D3C"/>
    <w:rsid w:val="00EB72F9"/>
    <w:rsid w:val="00EB7E72"/>
    <w:rsid w:val="00EC0599"/>
    <w:rsid w:val="00EC077F"/>
    <w:rsid w:val="00EC0793"/>
    <w:rsid w:val="00EC0D34"/>
    <w:rsid w:val="00EC0D92"/>
    <w:rsid w:val="00EC15C7"/>
    <w:rsid w:val="00EC256C"/>
    <w:rsid w:val="00EC31C0"/>
    <w:rsid w:val="00EC39AB"/>
    <w:rsid w:val="00EC51E1"/>
    <w:rsid w:val="00EC5403"/>
    <w:rsid w:val="00EC56FB"/>
    <w:rsid w:val="00EC657F"/>
    <w:rsid w:val="00EC6C22"/>
    <w:rsid w:val="00EC7FAA"/>
    <w:rsid w:val="00ED14C3"/>
    <w:rsid w:val="00ED2680"/>
    <w:rsid w:val="00ED3C17"/>
    <w:rsid w:val="00ED451D"/>
    <w:rsid w:val="00ED4A0A"/>
    <w:rsid w:val="00ED4D51"/>
    <w:rsid w:val="00ED55DC"/>
    <w:rsid w:val="00ED799F"/>
    <w:rsid w:val="00ED7B71"/>
    <w:rsid w:val="00ED7C1C"/>
    <w:rsid w:val="00EE04A4"/>
    <w:rsid w:val="00EE332E"/>
    <w:rsid w:val="00EE35C9"/>
    <w:rsid w:val="00EE4D85"/>
    <w:rsid w:val="00EE5519"/>
    <w:rsid w:val="00EE7135"/>
    <w:rsid w:val="00EF0BD6"/>
    <w:rsid w:val="00EF0FFF"/>
    <w:rsid w:val="00EF106E"/>
    <w:rsid w:val="00EF5596"/>
    <w:rsid w:val="00EF5EF0"/>
    <w:rsid w:val="00EF7CAC"/>
    <w:rsid w:val="00F008D4"/>
    <w:rsid w:val="00F00C3A"/>
    <w:rsid w:val="00F021A9"/>
    <w:rsid w:val="00F02696"/>
    <w:rsid w:val="00F027C8"/>
    <w:rsid w:val="00F0303C"/>
    <w:rsid w:val="00F04BAF"/>
    <w:rsid w:val="00F05609"/>
    <w:rsid w:val="00F0741A"/>
    <w:rsid w:val="00F076AE"/>
    <w:rsid w:val="00F10CFE"/>
    <w:rsid w:val="00F10D88"/>
    <w:rsid w:val="00F11A77"/>
    <w:rsid w:val="00F11C89"/>
    <w:rsid w:val="00F1277F"/>
    <w:rsid w:val="00F12D38"/>
    <w:rsid w:val="00F13CC8"/>
    <w:rsid w:val="00F15362"/>
    <w:rsid w:val="00F17D1E"/>
    <w:rsid w:val="00F21DA3"/>
    <w:rsid w:val="00F2529F"/>
    <w:rsid w:val="00F25D96"/>
    <w:rsid w:val="00F266B2"/>
    <w:rsid w:val="00F26C26"/>
    <w:rsid w:val="00F3043D"/>
    <w:rsid w:val="00F3103A"/>
    <w:rsid w:val="00F3282B"/>
    <w:rsid w:val="00F36FAB"/>
    <w:rsid w:val="00F36FD3"/>
    <w:rsid w:val="00F371D8"/>
    <w:rsid w:val="00F41991"/>
    <w:rsid w:val="00F41FA7"/>
    <w:rsid w:val="00F4227C"/>
    <w:rsid w:val="00F44242"/>
    <w:rsid w:val="00F44612"/>
    <w:rsid w:val="00F4517B"/>
    <w:rsid w:val="00F47B69"/>
    <w:rsid w:val="00F5063C"/>
    <w:rsid w:val="00F50B72"/>
    <w:rsid w:val="00F51A63"/>
    <w:rsid w:val="00F51DE8"/>
    <w:rsid w:val="00F53A17"/>
    <w:rsid w:val="00F53CB9"/>
    <w:rsid w:val="00F56477"/>
    <w:rsid w:val="00F56B98"/>
    <w:rsid w:val="00F5719B"/>
    <w:rsid w:val="00F6016F"/>
    <w:rsid w:val="00F605C6"/>
    <w:rsid w:val="00F614CF"/>
    <w:rsid w:val="00F626EC"/>
    <w:rsid w:val="00F62AC0"/>
    <w:rsid w:val="00F63037"/>
    <w:rsid w:val="00F636AE"/>
    <w:rsid w:val="00F64031"/>
    <w:rsid w:val="00F64427"/>
    <w:rsid w:val="00F64953"/>
    <w:rsid w:val="00F65CA5"/>
    <w:rsid w:val="00F66EA7"/>
    <w:rsid w:val="00F67318"/>
    <w:rsid w:val="00F677C3"/>
    <w:rsid w:val="00F704DE"/>
    <w:rsid w:val="00F71647"/>
    <w:rsid w:val="00F71E7C"/>
    <w:rsid w:val="00F72144"/>
    <w:rsid w:val="00F72B06"/>
    <w:rsid w:val="00F74FCF"/>
    <w:rsid w:val="00F758A9"/>
    <w:rsid w:val="00F76CEC"/>
    <w:rsid w:val="00F776C7"/>
    <w:rsid w:val="00F80529"/>
    <w:rsid w:val="00F80610"/>
    <w:rsid w:val="00F81C48"/>
    <w:rsid w:val="00F8262B"/>
    <w:rsid w:val="00F857DD"/>
    <w:rsid w:val="00F85AEB"/>
    <w:rsid w:val="00F85DB5"/>
    <w:rsid w:val="00F87FCF"/>
    <w:rsid w:val="00F90787"/>
    <w:rsid w:val="00F913AB"/>
    <w:rsid w:val="00F9340F"/>
    <w:rsid w:val="00F9431D"/>
    <w:rsid w:val="00F94F16"/>
    <w:rsid w:val="00F96035"/>
    <w:rsid w:val="00FA0CF4"/>
    <w:rsid w:val="00FA2467"/>
    <w:rsid w:val="00FA2B3B"/>
    <w:rsid w:val="00FA30EA"/>
    <w:rsid w:val="00FA3498"/>
    <w:rsid w:val="00FA53FD"/>
    <w:rsid w:val="00FA5BBE"/>
    <w:rsid w:val="00FA6190"/>
    <w:rsid w:val="00FA6893"/>
    <w:rsid w:val="00FA6A45"/>
    <w:rsid w:val="00FA6C3E"/>
    <w:rsid w:val="00FA6E34"/>
    <w:rsid w:val="00FA70EF"/>
    <w:rsid w:val="00FA7BB8"/>
    <w:rsid w:val="00FB180F"/>
    <w:rsid w:val="00FB258A"/>
    <w:rsid w:val="00FB4A9B"/>
    <w:rsid w:val="00FB5C59"/>
    <w:rsid w:val="00FB666A"/>
    <w:rsid w:val="00FC00DB"/>
    <w:rsid w:val="00FC2135"/>
    <w:rsid w:val="00FC4419"/>
    <w:rsid w:val="00FC5F15"/>
    <w:rsid w:val="00FC6299"/>
    <w:rsid w:val="00FC6A10"/>
    <w:rsid w:val="00FC6FBD"/>
    <w:rsid w:val="00FC74E8"/>
    <w:rsid w:val="00FD07E5"/>
    <w:rsid w:val="00FD0C47"/>
    <w:rsid w:val="00FD1932"/>
    <w:rsid w:val="00FD2787"/>
    <w:rsid w:val="00FD283E"/>
    <w:rsid w:val="00FD3BBA"/>
    <w:rsid w:val="00FD425D"/>
    <w:rsid w:val="00FD5E3E"/>
    <w:rsid w:val="00FD7C1B"/>
    <w:rsid w:val="00FE003D"/>
    <w:rsid w:val="00FE2681"/>
    <w:rsid w:val="00FE359B"/>
    <w:rsid w:val="00FE5252"/>
    <w:rsid w:val="00FE6CD9"/>
    <w:rsid w:val="00FE7B90"/>
    <w:rsid w:val="00FF02C4"/>
    <w:rsid w:val="00FF0BC1"/>
    <w:rsid w:val="00FF24F0"/>
    <w:rsid w:val="00FF2F09"/>
    <w:rsid w:val="00FF37BA"/>
    <w:rsid w:val="00FF4DF2"/>
    <w:rsid w:val="00FF5793"/>
    <w:rsid w:val="00FF5852"/>
    <w:rsid w:val="00FF5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b54a,#1869b2"/>
    </o:shapedefaults>
    <o:shapelayout v:ext="edit">
      <o:idmap v:ext="edit" data="1"/>
    </o:shapelayout>
  </w:shapeDefaults>
  <w:decimalSymbol w:val="."/>
  <w:listSeparator w:val=","/>
  <w14:docId w14:val="6B7E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06"/>
    <w:pPr>
      <w:spacing w:before="120" w:after="120"/>
    </w:pPr>
    <w:rPr>
      <w:rFonts w:ascii="Calibri" w:hAnsi="Calibri"/>
      <w:sz w:val="22"/>
      <w:szCs w:val="24"/>
    </w:rPr>
  </w:style>
  <w:style w:type="paragraph" w:styleId="Heading1">
    <w:name w:val="heading 1"/>
    <w:basedOn w:val="Normal"/>
    <w:next w:val="Normal"/>
    <w:uiPriority w:val="9"/>
    <w:qFormat/>
    <w:rsid w:val="007908AF"/>
    <w:pPr>
      <w:jc w:val="center"/>
      <w:outlineLvl w:val="0"/>
    </w:pPr>
    <w:rPr>
      <w:b/>
      <w:sz w:val="52"/>
      <w:szCs w:val="36"/>
    </w:rPr>
  </w:style>
  <w:style w:type="paragraph" w:styleId="Heading2">
    <w:name w:val="heading 2"/>
    <w:basedOn w:val="Normal"/>
    <w:next w:val="Normal"/>
    <w:link w:val="Heading2Char"/>
    <w:qFormat/>
    <w:rsid w:val="008A48C4"/>
    <w:pPr>
      <w:numPr>
        <w:numId w:val="12"/>
      </w:numPr>
      <w:spacing w:before="240" w:after="240"/>
      <w:outlineLvl w:val="1"/>
    </w:pPr>
    <w:rPr>
      <w:rFonts w:eastAsiaTheme="majorEastAsia" w:cstheme="majorBidi"/>
      <w:b/>
      <w:bCs/>
      <w:sz w:val="28"/>
      <w:szCs w:val="28"/>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semiHidden/>
    <w:unhideWhenUsed/>
    <w:qFormat/>
    <w:rsid w:val="001A6F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5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basedOn w:val="DefaultParagraphFont"/>
    <w:link w:val="Heading2"/>
    <w:rsid w:val="008A48C4"/>
    <w:rPr>
      <w:rFonts w:ascii="Calibri" w:eastAsiaTheme="majorEastAsia" w:hAnsi="Calibri" w:cstheme="majorBidi"/>
      <w:b/>
      <w:bCs/>
      <w:sz w:val="28"/>
      <w:szCs w:val="28"/>
    </w:rPr>
  </w:style>
  <w:style w:type="paragraph" w:styleId="TOC2">
    <w:name w:val="toc 2"/>
    <w:basedOn w:val="Normal"/>
    <w:next w:val="Normal"/>
    <w:autoRedefine/>
    <w:uiPriority w:val="39"/>
    <w:rsid w:val="00260F43"/>
    <w:pPr>
      <w:tabs>
        <w:tab w:val="left" w:pos="660"/>
        <w:tab w:val="right" w:pos="9637"/>
      </w:tabs>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link w:val="BalloonTextChar"/>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883226"/>
    <w:pPr>
      <w:tabs>
        <w:tab w:val="left" w:pos="709"/>
        <w:tab w:val="right" w:pos="9627"/>
      </w:tabs>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ind w:left="0" w:firstLine="0"/>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642A7B"/>
    <w:pPr>
      <w:tabs>
        <w:tab w:val="left" w:pos="1276"/>
        <w:tab w:val="right" w:pos="9016"/>
      </w:tabs>
      <w:spacing w:before="0" w:after="0"/>
      <w:ind w:left="709"/>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qFormat/>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uiPriority w:val="9"/>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numPr>
        <w:numId w:val="7"/>
      </w:numPr>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Heading4Char">
    <w:name w:val="Heading 4 Char"/>
    <w:basedOn w:val="DefaultParagraphFont"/>
    <w:link w:val="Heading4"/>
    <w:semiHidden/>
    <w:rsid w:val="001A6F2D"/>
    <w:rPr>
      <w:rFonts w:asciiTheme="majorHAnsi" w:eastAsiaTheme="majorEastAsia" w:hAnsiTheme="majorHAnsi" w:cstheme="majorBidi"/>
      <w:i/>
      <w:iCs/>
      <w:color w:val="365F91" w:themeColor="accent1" w:themeShade="BF"/>
      <w:sz w:val="22"/>
      <w:szCs w:val="24"/>
    </w:rPr>
  </w:style>
  <w:style w:type="paragraph" w:customStyle="1" w:styleId="guidelinedeedref">
    <w:name w:val="guideline deed ref"/>
    <w:basedOn w:val="Normal"/>
    <w:link w:val="guidelinedeedrefChar"/>
    <w:qFormat/>
    <w:rsid w:val="001A6F2D"/>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1A6F2D"/>
    <w:rPr>
      <w:rFonts w:ascii="Garamond" w:eastAsiaTheme="minorHAnsi" w:hAnsi="Garamond" w:cstheme="minorBidi"/>
      <w:szCs w:val="22"/>
      <w:lang w:eastAsia="en-US"/>
    </w:rPr>
  </w:style>
  <w:style w:type="paragraph" w:customStyle="1" w:styleId="2a1Amanual">
    <w:name w:val="2a. 1A manual"/>
    <w:basedOn w:val="Normal"/>
    <w:link w:val="2a1AmanualChar"/>
    <w:rsid w:val="001A6F2D"/>
    <w:pPr>
      <w:keepNext/>
      <w:keepLines/>
      <w:suppressAutoHyphens/>
      <w:spacing w:before="240" w:line="264" w:lineRule="auto"/>
      <w:ind w:left="737" w:hanging="737"/>
      <w:outlineLvl w:val="0"/>
    </w:pPr>
    <w:rPr>
      <w:b/>
      <w:szCs w:val="20"/>
    </w:rPr>
  </w:style>
  <w:style w:type="character" w:customStyle="1" w:styleId="2a1AmanualChar">
    <w:name w:val="2a. 1A manual Char"/>
    <w:basedOn w:val="DefaultParagraphFont"/>
    <w:link w:val="2a1Amanual"/>
    <w:rsid w:val="001A6F2D"/>
    <w:rPr>
      <w:rFonts w:ascii="Calibri" w:hAnsi="Calibri"/>
      <w:b/>
      <w:sz w:val="22"/>
    </w:rPr>
  </w:style>
  <w:style w:type="character" w:customStyle="1" w:styleId="CommentTextChar">
    <w:name w:val="Comment Text Char"/>
    <w:basedOn w:val="DefaultParagraphFont"/>
    <w:link w:val="CommentText"/>
    <w:uiPriority w:val="99"/>
    <w:rsid w:val="00237E1D"/>
    <w:rPr>
      <w:rFonts w:ascii="Calibri" w:hAnsi="Calibri"/>
    </w:rPr>
  </w:style>
  <w:style w:type="table" w:customStyle="1" w:styleId="GridTable2-Accent11">
    <w:name w:val="Grid Table 2 - Accent 11"/>
    <w:basedOn w:val="TableNormal"/>
    <w:uiPriority w:val="47"/>
    <w:rsid w:val="00DA2ECC"/>
    <w:pPr>
      <w:spacing w:before="120"/>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810E0"/>
    <w:rPr>
      <w:color w:val="800080" w:themeColor="followedHyperlink"/>
      <w:u w:val="single"/>
    </w:rPr>
  </w:style>
  <w:style w:type="paragraph" w:customStyle="1" w:styleId="WHS">
    <w:name w:val="WHS"/>
    <w:basedOn w:val="guidelinetext"/>
    <w:link w:val="WHSChar"/>
    <w:qFormat/>
    <w:rsid w:val="00D10DF4"/>
    <w:pPr>
      <w:numPr>
        <w:numId w:val="9"/>
      </w:numPr>
      <w:ind w:left="1418" w:hanging="1418"/>
    </w:pPr>
  </w:style>
  <w:style w:type="character" w:customStyle="1" w:styleId="WHSChar">
    <w:name w:val="WHS Char"/>
    <w:basedOn w:val="DefaultParagraphFont"/>
    <w:link w:val="WHS"/>
    <w:rsid w:val="00D10DF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3CDC"/>
    <w:rPr>
      <w:rFonts w:ascii="Calibri" w:hAnsi="Calibri"/>
      <w:color w:val="808080" w:themeColor="background1" w:themeShade="80"/>
      <w:sz w:val="22"/>
      <w:szCs w:val="24"/>
    </w:rPr>
  </w:style>
  <w:style w:type="paragraph" w:customStyle="1" w:styleId="Bullet">
    <w:name w:val="Bullet"/>
    <w:basedOn w:val="ListBullet"/>
    <w:link w:val="BulletChar"/>
    <w:qFormat/>
    <w:rsid w:val="001C637D"/>
    <w:pPr>
      <w:tabs>
        <w:tab w:val="num" w:pos="2835"/>
      </w:tabs>
      <w:spacing w:before="0" w:after="0"/>
      <w:ind w:left="2835" w:hanging="360"/>
      <w:contextualSpacing/>
    </w:pPr>
  </w:style>
  <w:style w:type="character" w:customStyle="1" w:styleId="BulletChar">
    <w:name w:val="Bullet Char"/>
    <w:basedOn w:val="DefaultParagraphFont"/>
    <w:link w:val="Bullet"/>
    <w:rsid w:val="001C637D"/>
    <w:rPr>
      <w:rFonts w:ascii="Calibri" w:hAnsi="Calibri"/>
      <w:sz w:val="22"/>
      <w:szCs w:val="24"/>
    </w:rPr>
  </w:style>
  <w:style w:type="paragraph" w:customStyle="1" w:styleId="StyleListBullet3Arial">
    <w:name w:val="Style List Bullet 3 + Arial"/>
    <w:basedOn w:val="Normal"/>
    <w:rsid w:val="00A002A3"/>
    <w:pPr>
      <w:numPr>
        <w:ilvl w:val="1"/>
        <w:numId w:val="10"/>
      </w:numPr>
      <w:spacing w:before="0" w:after="0"/>
    </w:pPr>
    <w:rPr>
      <w:sz w:val="24"/>
    </w:rPr>
  </w:style>
  <w:style w:type="paragraph" w:customStyle="1" w:styleId="Systemstep">
    <w:name w:val="System step"/>
    <w:basedOn w:val="guidelinetext"/>
    <w:link w:val="SystemstepChar"/>
    <w:qFormat/>
    <w:rsid w:val="00565565"/>
    <w:pPr>
      <w:ind w:left="0"/>
    </w:pPr>
  </w:style>
  <w:style w:type="character" w:customStyle="1" w:styleId="SystemstepChar">
    <w:name w:val="System step Char"/>
    <w:basedOn w:val="guidelinetextChar"/>
    <w:link w:val="Systemstep"/>
    <w:rsid w:val="00565565"/>
    <w:rPr>
      <w:rFonts w:asciiTheme="minorHAnsi" w:eastAsiaTheme="minorHAnsi" w:hAnsiTheme="minorHAnsi" w:cstheme="minorBidi"/>
      <w:sz w:val="22"/>
      <w:szCs w:val="22"/>
      <w:lang w:eastAsia="en-US"/>
    </w:rPr>
  </w:style>
  <w:style w:type="paragraph" w:styleId="NormalWeb">
    <w:name w:val="Normal (Web)"/>
    <w:basedOn w:val="Normal"/>
    <w:uiPriority w:val="99"/>
    <w:rsid w:val="00DB4476"/>
    <w:pPr>
      <w:spacing w:before="0" w:after="0"/>
    </w:pPr>
    <w:rPr>
      <w:sz w:val="24"/>
    </w:rPr>
  </w:style>
  <w:style w:type="numbering" w:customStyle="1" w:styleId="LeftColumnBullet">
    <w:name w:val="Left Column Bullet"/>
    <w:basedOn w:val="NoList"/>
    <w:rsid w:val="006167AC"/>
    <w:pPr>
      <w:numPr>
        <w:numId w:val="11"/>
      </w:numPr>
    </w:pPr>
  </w:style>
  <w:style w:type="paragraph" w:customStyle="1" w:styleId="ItalicHeading">
    <w:name w:val="Italic Heading"/>
    <w:basedOn w:val="Normal"/>
    <w:link w:val="ItalicHeadingChar"/>
    <w:qFormat/>
    <w:rsid w:val="006167AC"/>
    <w:pPr>
      <w:autoSpaceDE w:val="0"/>
      <w:autoSpaceDN w:val="0"/>
      <w:adjustRightInd w:val="0"/>
      <w:spacing w:before="0" w:after="0"/>
    </w:pPr>
    <w:rPr>
      <w:rFonts w:cs="Calibri"/>
      <w:b/>
      <w:bCs/>
      <w:i/>
      <w:iCs/>
      <w:color w:val="000000"/>
      <w:sz w:val="24"/>
      <w:szCs w:val="22"/>
    </w:rPr>
  </w:style>
  <w:style w:type="character" w:customStyle="1" w:styleId="ItalicHeadingChar">
    <w:name w:val="Italic Heading Char"/>
    <w:basedOn w:val="DefaultParagraphFont"/>
    <w:link w:val="ItalicHeading"/>
    <w:rsid w:val="006167AC"/>
    <w:rPr>
      <w:rFonts w:ascii="Calibri" w:hAnsi="Calibri" w:cs="Calibri"/>
      <w:b/>
      <w:bCs/>
      <w:i/>
      <w:iCs/>
      <w:color w:val="000000"/>
      <w:sz w:val="24"/>
      <w:szCs w:val="22"/>
    </w:rPr>
  </w:style>
  <w:style w:type="paragraph" w:customStyle="1" w:styleId="BoldBody">
    <w:name w:val="Bold Body"/>
    <w:basedOn w:val="Normal"/>
    <w:link w:val="BoldBodyChar"/>
    <w:qFormat/>
    <w:rsid w:val="006167AC"/>
    <w:pPr>
      <w:spacing w:before="0" w:after="0"/>
    </w:pPr>
    <w:rPr>
      <w:b/>
      <w:sz w:val="24"/>
    </w:rPr>
  </w:style>
  <w:style w:type="character" w:customStyle="1" w:styleId="BoldBodyChar">
    <w:name w:val="Bold Body Char"/>
    <w:basedOn w:val="DefaultParagraphFont"/>
    <w:link w:val="BoldBody"/>
    <w:rsid w:val="006167AC"/>
    <w:rPr>
      <w:rFonts w:ascii="Calibri" w:hAnsi="Calibri"/>
      <w:b/>
      <w:sz w:val="24"/>
      <w:szCs w:val="24"/>
    </w:rPr>
  </w:style>
  <w:style w:type="character" w:customStyle="1" w:styleId="BalloonTextChar">
    <w:name w:val="Balloon Text Char"/>
    <w:basedOn w:val="DefaultParagraphFont"/>
    <w:link w:val="BalloonText"/>
    <w:rsid w:val="00191DC0"/>
    <w:rPr>
      <w:rFonts w:ascii="Tahoma" w:hAnsi="Tahoma" w:cs="Tahoma"/>
      <w:sz w:val="16"/>
      <w:szCs w:val="16"/>
    </w:rPr>
  </w:style>
  <w:style w:type="paragraph" w:customStyle="1" w:styleId="Level2NumberBullet">
    <w:name w:val="Level 2 Number Bullet"/>
    <w:basedOn w:val="List2"/>
    <w:link w:val="Level2NumberBulletChar"/>
    <w:qFormat/>
    <w:rsid w:val="00C22F80"/>
    <w:pPr>
      <w:numPr>
        <w:ilvl w:val="1"/>
        <w:numId w:val="0"/>
      </w:numPr>
      <w:tabs>
        <w:tab w:val="num" w:pos="1440"/>
      </w:tabs>
      <w:spacing w:before="0" w:after="0"/>
      <w:ind w:left="1440" w:hanging="360"/>
    </w:pPr>
  </w:style>
  <w:style w:type="character" w:customStyle="1" w:styleId="Level2NumberBulletChar">
    <w:name w:val="Level 2 Number Bullet Char"/>
    <w:basedOn w:val="DefaultParagraphFont"/>
    <w:link w:val="Level2NumberBullet"/>
    <w:rsid w:val="00C22F80"/>
    <w:rPr>
      <w:rFonts w:ascii="Calibri" w:hAnsi="Calibri"/>
      <w:sz w:val="22"/>
      <w:szCs w:val="24"/>
    </w:rPr>
  </w:style>
  <w:style w:type="character" w:customStyle="1" w:styleId="HeaderChar">
    <w:name w:val="Header Char"/>
    <w:basedOn w:val="DefaultParagraphFont"/>
    <w:link w:val="Header"/>
    <w:uiPriority w:val="99"/>
    <w:rsid w:val="004C0D27"/>
    <w:rPr>
      <w:rFonts w:ascii="Calibri" w:hAnsi="Calibri"/>
      <w:sz w:val="22"/>
      <w:szCs w:val="24"/>
    </w:rPr>
  </w:style>
  <w:style w:type="paragraph" w:styleId="BodyText">
    <w:name w:val="Body Text"/>
    <w:basedOn w:val="Normal"/>
    <w:link w:val="BodyTextChar"/>
    <w:uiPriority w:val="1"/>
    <w:qFormat/>
    <w:rsid w:val="0020479E"/>
    <w:pPr>
      <w:widowControl w:val="0"/>
      <w:autoSpaceDE w:val="0"/>
      <w:autoSpaceDN w:val="0"/>
      <w:spacing w:before="0" w:after="0"/>
    </w:pPr>
    <w:rPr>
      <w:rFonts w:ascii="Arial" w:eastAsia="Calibri" w:hAnsi="Arial" w:cs="Calibri"/>
      <w:sz w:val="24"/>
      <w:szCs w:val="22"/>
      <w:lang w:val="en-US" w:eastAsia="en-US"/>
    </w:rPr>
  </w:style>
  <w:style w:type="character" w:customStyle="1" w:styleId="BodyTextChar">
    <w:name w:val="Body Text Char"/>
    <w:basedOn w:val="DefaultParagraphFont"/>
    <w:link w:val="BodyText"/>
    <w:uiPriority w:val="1"/>
    <w:rsid w:val="0020479E"/>
    <w:rPr>
      <w:rFonts w:ascii="Arial" w:eastAsia="Calibri" w:hAnsi="Arial" w:cs="Calibri"/>
      <w:sz w:val="24"/>
      <w:szCs w:val="22"/>
      <w:lang w:val="en-US" w:eastAsia="en-US"/>
    </w:rPr>
  </w:style>
  <w:style w:type="table" w:customStyle="1" w:styleId="ListTable3-Accent11">
    <w:name w:val="List Table 3 - Accent 11"/>
    <w:basedOn w:val="TableNormal"/>
    <w:uiPriority w:val="48"/>
    <w:rsid w:val="00571A73"/>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MACtable">
    <w:name w:val="MAC table"/>
    <w:basedOn w:val="TableNormal"/>
    <w:uiPriority w:val="99"/>
    <w:rsid w:val="00577AD0"/>
    <w:rPr>
      <w:rFonts w:ascii="Arial" w:eastAsiaTheme="minorHAnsi" w:hAnsi="Arial" w:cstheme="minorBidi"/>
      <w:sz w:val="24"/>
      <w:szCs w:val="22"/>
      <w:lang w:eastAsia="en-US"/>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table" w:customStyle="1" w:styleId="ListTable3-Accent111">
    <w:name w:val="List Table 3 - Accent 111"/>
    <w:basedOn w:val="TableNormal"/>
    <w:uiPriority w:val="48"/>
    <w:rsid w:val="00A82065"/>
    <w:rPr>
      <w:rFonts w:ascii="Tms Rmn" w:hAnsi="Tms Rm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014EB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E6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3F7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1111">
    <w:name w:val="List Table 3 - Accent 1111"/>
    <w:basedOn w:val="TableNormal"/>
    <w:uiPriority w:val="48"/>
    <w:rsid w:val="007E602A"/>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ListTable3-Accent1112">
    <w:name w:val="List Table 3 - Accent 1112"/>
    <w:basedOn w:val="TableNormal"/>
    <w:uiPriority w:val="48"/>
    <w:rsid w:val="007E602A"/>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ListTable3-Accent1113">
    <w:name w:val="List Table 3 - Accent 1113"/>
    <w:basedOn w:val="TableNormal"/>
    <w:uiPriority w:val="48"/>
    <w:rsid w:val="007E602A"/>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ListTable3-Accent1114">
    <w:name w:val="List Table 3 - Accent 1114"/>
    <w:basedOn w:val="TableNormal"/>
    <w:uiPriority w:val="48"/>
    <w:rsid w:val="007E602A"/>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ListTable3-Accent1115">
    <w:name w:val="List Table 3 - Accent 1115"/>
    <w:basedOn w:val="TableNormal"/>
    <w:uiPriority w:val="48"/>
    <w:rsid w:val="00214BD5"/>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character" w:customStyle="1" w:styleId="ui-provider">
    <w:name w:val="ui-provider"/>
    <w:basedOn w:val="DefaultParagraphFont"/>
    <w:rsid w:val="003745D5"/>
  </w:style>
  <w:style w:type="table" w:styleId="GridTable4">
    <w:name w:val="Grid Table 4"/>
    <w:basedOn w:val="TableNormal"/>
    <w:uiPriority w:val="49"/>
    <w:rsid w:val="00233C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765E5C"/>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Spacing">
    <w:name w:val="No Spacing"/>
    <w:basedOn w:val="Normal"/>
    <w:link w:val="NoSpacingChar"/>
    <w:uiPriority w:val="1"/>
    <w:qFormat/>
    <w:rsid w:val="00513FC5"/>
    <w:pPr>
      <w:spacing w:before="0" w:after="0"/>
    </w:pPr>
    <w:rPr>
      <w:rFonts w:ascii="Arial" w:eastAsiaTheme="minorHAnsi" w:hAnsi="Arial" w:cstheme="minorBidi"/>
      <w:szCs w:val="22"/>
      <w:lang w:eastAsia="en-US"/>
    </w:rPr>
  </w:style>
  <w:style w:type="character" w:customStyle="1" w:styleId="NoSpacingChar">
    <w:name w:val="No Spacing Char"/>
    <w:basedOn w:val="DefaultParagraphFont"/>
    <w:link w:val="NoSpacing"/>
    <w:uiPriority w:val="1"/>
    <w:rsid w:val="00513FC5"/>
    <w:rPr>
      <w:rFonts w:ascii="Arial" w:eastAsiaTheme="minorHAnsi" w:hAnsi="Arial" w:cstheme="minorBidi"/>
      <w:sz w:val="22"/>
      <w:szCs w:val="22"/>
      <w:lang w:eastAsia="en-US"/>
    </w:rPr>
  </w:style>
  <w:style w:type="paragraph" w:customStyle="1" w:styleId="CM16">
    <w:name w:val="CM16"/>
    <w:basedOn w:val="Normal"/>
    <w:uiPriority w:val="99"/>
    <w:rsid w:val="00B7404F"/>
    <w:pPr>
      <w:autoSpaceDE w:val="0"/>
      <w:autoSpaceDN w:val="0"/>
      <w:spacing w:before="0" w:after="0"/>
    </w:pPr>
    <w:rPr>
      <w:rFonts w:eastAsiaTheme="minorHAnsi" w:cs="Calibri"/>
      <w:sz w:val="24"/>
      <w:lang w:eastAsia="en-US"/>
    </w:rPr>
  </w:style>
  <w:style w:type="paragraph" w:customStyle="1" w:styleId="CM17">
    <w:name w:val="CM17"/>
    <w:basedOn w:val="Normal"/>
    <w:uiPriority w:val="99"/>
    <w:rsid w:val="00B7404F"/>
    <w:pPr>
      <w:autoSpaceDE w:val="0"/>
      <w:autoSpaceDN w:val="0"/>
      <w:spacing w:before="0" w:after="0"/>
    </w:pPr>
    <w:rPr>
      <w:rFonts w:eastAsiaTheme="minorHAnsi" w:cs="Calibri"/>
      <w:sz w:val="24"/>
      <w:lang w:eastAsia="en-US"/>
    </w:rPr>
  </w:style>
  <w:style w:type="paragraph" w:styleId="FootnoteText">
    <w:name w:val="footnote text"/>
    <w:basedOn w:val="Normal"/>
    <w:link w:val="FootnoteTextChar"/>
    <w:semiHidden/>
    <w:unhideWhenUsed/>
    <w:rsid w:val="00A325B5"/>
    <w:pPr>
      <w:spacing w:before="0" w:after="0"/>
    </w:pPr>
    <w:rPr>
      <w:sz w:val="20"/>
      <w:szCs w:val="20"/>
    </w:rPr>
  </w:style>
  <w:style w:type="character" w:customStyle="1" w:styleId="FootnoteTextChar">
    <w:name w:val="Footnote Text Char"/>
    <w:basedOn w:val="DefaultParagraphFont"/>
    <w:link w:val="FootnoteText"/>
    <w:semiHidden/>
    <w:rsid w:val="00A325B5"/>
    <w:rPr>
      <w:rFonts w:ascii="Calibri" w:hAnsi="Calibri"/>
    </w:rPr>
  </w:style>
  <w:style w:type="character" w:styleId="FootnoteReference">
    <w:name w:val="footnote reference"/>
    <w:basedOn w:val="DefaultParagraphFont"/>
    <w:semiHidden/>
    <w:unhideWhenUsed/>
    <w:rsid w:val="00A325B5"/>
    <w:rPr>
      <w:vertAlign w:val="superscript"/>
    </w:rPr>
  </w:style>
  <w:style w:type="table" w:customStyle="1" w:styleId="ListTable3-Accent11111">
    <w:name w:val="List Table 3 - Accent 11111"/>
    <w:basedOn w:val="TableNormal"/>
    <w:uiPriority w:val="48"/>
    <w:rsid w:val="00785A27"/>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ListTable3-Accent111111">
    <w:name w:val="List Table 3 - Accent 111111"/>
    <w:basedOn w:val="TableNormal"/>
    <w:uiPriority w:val="48"/>
    <w:rsid w:val="00785A27"/>
    <w:rPr>
      <w:rFonts w:ascii="Tms Rmn" w:hAnsi="Tms Rmn"/>
    </w:rPr>
    <w:tblPr>
      <w:tblStyleRowBandSize w:val="1"/>
      <w:tblStyleColBandSize w:val="1"/>
      <w:tblBorders>
        <w:top w:val="single" w:sz="4" w:space="0" w:color="005A70"/>
        <w:left w:val="single" w:sz="4" w:space="0" w:color="005A70"/>
        <w:bottom w:val="single" w:sz="4" w:space="0" w:color="005A70"/>
        <w:right w:val="single" w:sz="4" w:space="0" w:color="005A70"/>
      </w:tblBorders>
    </w:tblPr>
    <w:tblStylePr w:type="firstRow">
      <w:rPr>
        <w:b/>
        <w:bCs/>
        <w:color w:val="FFFFFF"/>
      </w:rPr>
      <w:tblPr/>
      <w:tcPr>
        <w:shd w:val="clear" w:color="auto" w:fill="005A70"/>
      </w:tcPr>
    </w:tblStylePr>
    <w:tblStylePr w:type="lastRow">
      <w:rPr>
        <w:b/>
        <w:bCs/>
      </w:rPr>
      <w:tblPr/>
      <w:tcPr>
        <w:tcBorders>
          <w:top w:val="double" w:sz="4" w:space="0" w:color="005A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A70"/>
          <w:right w:val="single" w:sz="4" w:space="0" w:color="005A70"/>
        </w:tcBorders>
      </w:tcPr>
    </w:tblStylePr>
    <w:tblStylePr w:type="band1Horz">
      <w:tblPr/>
      <w:tcPr>
        <w:tcBorders>
          <w:top w:val="single" w:sz="4" w:space="0" w:color="005A70"/>
          <w:bottom w:val="single" w:sz="4" w:space="0" w:color="005A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left w:val="nil"/>
        </w:tcBorders>
      </w:tcPr>
    </w:tblStylePr>
    <w:tblStylePr w:type="swCell">
      <w:tblPr/>
      <w:tcPr>
        <w:tcBorders>
          <w:top w:val="double" w:sz="4" w:space="0" w:color="005A70"/>
          <w:right w:val="nil"/>
        </w:tcBorders>
      </w:tcPr>
    </w:tblStylePr>
  </w:style>
  <w:style w:type="table" w:customStyle="1" w:styleId="TableGrid3">
    <w:name w:val="Table Grid3"/>
    <w:basedOn w:val="TableNormal"/>
    <w:next w:val="TableGrid"/>
    <w:uiPriority w:val="59"/>
    <w:rsid w:val="008A70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70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C6A7B"/>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5136">
      <w:bodyDiv w:val="1"/>
      <w:marLeft w:val="0"/>
      <w:marRight w:val="0"/>
      <w:marTop w:val="0"/>
      <w:marBottom w:val="0"/>
      <w:divBdr>
        <w:top w:val="none" w:sz="0" w:space="0" w:color="auto"/>
        <w:left w:val="none" w:sz="0" w:space="0" w:color="auto"/>
        <w:bottom w:val="none" w:sz="0" w:space="0" w:color="auto"/>
        <w:right w:val="none" w:sz="0" w:space="0" w:color="auto"/>
      </w:divBdr>
    </w:div>
    <w:div w:id="270817506">
      <w:bodyDiv w:val="1"/>
      <w:marLeft w:val="0"/>
      <w:marRight w:val="0"/>
      <w:marTop w:val="0"/>
      <w:marBottom w:val="0"/>
      <w:divBdr>
        <w:top w:val="none" w:sz="0" w:space="0" w:color="auto"/>
        <w:left w:val="none" w:sz="0" w:space="0" w:color="auto"/>
        <w:bottom w:val="none" w:sz="0" w:space="0" w:color="auto"/>
        <w:right w:val="none" w:sz="0" w:space="0" w:color="auto"/>
      </w:divBdr>
    </w:div>
    <w:div w:id="296569630">
      <w:bodyDiv w:val="1"/>
      <w:marLeft w:val="0"/>
      <w:marRight w:val="0"/>
      <w:marTop w:val="0"/>
      <w:marBottom w:val="0"/>
      <w:divBdr>
        <w:top w:val="none" w:sz="0" w:space="0" w:color="auto"/>
        <w:left w:val="none" w:sz="0" w:space="0" w:color="auto"/>
        <w:bottom w:val="none" w:sz="0" w:space="0" w:color="auto"/>
        <w:right w:val="none" w:sz="0" w:space="0" w:color="auto"/>
      </w:divBdr>
    </w:div>
    <w:div w:id="326054332">
      <w:bodyDiv w:val="1"/>
      <w:marLeft w:val="0"/>
      <w:marRight w:val="0"/>
      <w:marTop w:val="0"/>
      <w:marBottom w:val="0"/>
      <w:divBdr>
        <w:top w:val="none" w:sz="0" w:space="0" w:color="auto"/>
        <w:left w:val="none" w:sz="0" w:space="0" w:color="auto"/>
        <w:bottom w:val="none" w:sz="0" w:space="0" w:color="auto"/>
        <w:right w:val="none" w:sz="0" w:space="0" w:color="auto"/>
      </w:divBdr>
    </w:div>
    <w:div w:id="594443041">
      <w:bodyDiv w:val="1"/>
      <w:marLeft w:val="0"/>
      <w:marRight w:val="0"/>
      <w:marTop w:val="0"/>
      <w:marBottom w:val="0"/>
      <w:divBdr>
        <w:top w:val="none" w:sz="0" w:space="0" w:color="auto"/>
        <w:left w:val="none" w:sz="0" w:space="0" w:color="auto"/>
        <w:bottom w:val="none" w:sz="0" w:space="0" w:color="auto"/>
        <w:right w:val="none" w:sz="0" w:space="0" w:color="auto"/>
      </w:divBdr>
    </w:div>
    <w:div w:id="850267258">
      <w:bodyDiv w:val="1"/>
      <w:marLeft w:val="0"/>
      <w:marRight w:val="0"/>
      <w:marTop w:val="0"/>
      <w:marBottom w:val="0"/>
      <w:divBdr>
        <w:top w:val="none" w:sz="0" w:space="0" w:color="auto"/>
        <w:left w:val="none" w:sz="0" w:space="0" w:color="auto"/>
        <w:bottom w:val="none" w:sz="0" w:space="0" w:color="auto"/>
        <w:right w:val="none" w:sz="0" w:space="0" w:color="auto"/>
      </w:divBdr>
    </w:div>
    <w:div w:id="1354916408">
      <w:bodyDiv w:val="1"/>
      <w:marLeft w:val="0"/>
      <w:marRight w:val="0"/>
      <w:marTop w:val="0"/>
      <w:marBottom w:val="0"/>
      <w:divBdr>
        <w:top w:val="none" w:sz="0" w:space="0" w:color="auto"/>
        <w:left w:val="none" w:sz="0" w:space="0" w:color="auto"/>
        <w:bottom w:val="none" w:sz="0" w:space="0" w:color="auto"/>
        <w:right w:val="none" w:sz="0" w:space="0" w:color="auto"/>
      </w:divBdr>
    </w:div>
    <w:div w:id="1423527689">
      <w:bodyDiv w:val="1"/>
      <w:marLeft w:val="0"/>
      <w:marRight w:val="0"/>
      <w:marTop w:val="0"/>
      <w:marBottom w:val="0"/>
      <w:divBdr>
        <w:top w:val="none" w:sz="0" w:space="0" w:color="auto"/>
        <w:left w:val="none" w:sz="0" w:space="0" w:color="auto"/>
        <w:bottom w:val="none" w:sz="0" w:space="0" w:color="auto"/>
        <w:right w:val="none" w:sz="0" w:space="0" w:color="auto"/>
      </w:divBdr>
    </w:div>
    <w:div w:id="1510870374">
      <w:bodyDiv w:val="1"/>
      <w:marLeft w:val="0"/>
      <w:marRight w:val="0"/>
      <w:marTop w:val="0"/>
      <w:marBottom w:val="0"/>
      <w:divBdr>
        <w:top w:val="none" w:sz="0" w:space="0" w:color="auto"/>
        <w:left w:val="none" w:sz="0" w:space="0" w:color="auto"/>
        <w:bottom w:val="none" w:sz="0" w:space="0" w:color="auto"/>
        <w:right w:val="none" w:sz="0" w:space="0" w:color="auto"/>
      </w:divBdr>
    </w:div>
    <w:div w:id="1577789181">
      <w:bodyDiv w:val="1"/>
      <w:marLeft w:val="0"/>
      <w:marRight w:val="0"/>
      <w:marTop w:val="0"/>
      <w:marBottom w:val="0"/>
      <w:divBdr>
        <w:top w:val="none" w:sz="0" w:space="0" w:color="auto"/>
        <w:left w:val="none" w:sz="0" w:space="0" w:color="auto"/>
        <w:bottom w:val="none" w:sz="0" w:space="0" w:color="auto"/>
        <w:right w:val="none" w:sz="0" w:space="0" w:color="auto"/>
      </w:divBdr>
    </w:div>
    <w:div w:id="1902641520">
      <w:bodyDiv w:val="1"/>
      <w:marLeft w:val="0"/>
      <w:marRight w:val="0"/>
      <w:marTop w:val="0"/>
      <w:marBottom w:val="0"/>
      <w:divBdr>
        <w:top w:val="none" w:sz="0" w:space="0" w:color="auto"/>
        <w:left w:val="none" w:sz="0" w:space="0" w:color="auto"/>
        <w:bottom w:val="none" w:sz="0" w:space="0" w:color="auto"/>
        <w:right w:val="none" w:sz="0" w:space="0" w:color="auto"/>
      </w:divBdr>
    </w:div>
    <w:div w:id="20238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DF4B-0DAE-49B8-A48B-A0BF3FF2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6332</Words>
  <Characters>37562</Characters>
  <Application>Microsoft Office Word</Application>
  <DocSecurity>0</DocSecurity>
  <Lines>1158</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43639</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Quality Guidelines</dc:title>
  <dc:subject/>
  <dc:creator/>
  <cp:keywords>[SEC=OFFICIAL]</cp:keywords>
  <dc:description/>
  <cp:lastModifiedBy/>
  <cp:revision>1</cp:revision>
  <dcterms:created xsi:type="dcterms:W3CDTF">2024-02-06T03:22:00Z</dcterms:created>
  <dcterms:modified xsi:type="dcterms:W3CDTF">2024-02-06T03:23:00Z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14BF7C1BEFC34BCB81CC4428457D0946</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2024-02-06T03:23:07Z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866893ABEDA93D698BB75CE50CAD0272</vt:lpwstr>
  </property>
  <property fmtid="{D5CDD505-2E9C-101B-9397-08002B2CF9AE}" pid="21" name="PM_Hash_Salt">
    <vt:lpwstr>851E9D4765AE8ED95D17224CC83E17F9</vt:lpwstr>
  </property>
  <property fmtid="{D5CDD505-2E9C-101B-9397-08002B2CF9AE}" pid="22" name="PM_Hash_SHA1">
    <vt:lpwstr>DF000BBD667A18BDD0173079A8ED9181CFF07DD8</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