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972" w:rsidRDefault="00010972">
      <w:pPr>
        <w:pBdr>
          <w:top w:val="nil"/>
          <w:left w:val="nil"/>
          <w:bottom w:val="nil"/>
          <w:right w:val="nil"/>
          <w:between w:val="nil"/>
          <w:bar w:val="nil"/>
        </w:pBdr>
        <w:rPr>
          <w:rFonts w:ascii="Calibri" w:eastAsia="Calibri" w:hAnsi="Calibri" w:cs="Arial"/>
          <w:bdr w:val="nil"/>
        </w:rPr>
      </w:pPr>
    </w:p>
    <w:p w:rsidR="00587062" w:rsidRPr="006F5BE1" w:rsidRDefault="00D5482E" w:rsidP="00587062">
      <w:pPr>
        <w:pStyle w:val="TPHeading1"/>
        <w:pBdr>
          <w:top w:val="nil"/>
          <w:left w:val="nil"/>
          <w:bottom w:val="nil"/>
          <w:right w:val="nil"/>
          <w:between w:val="nil"/>
          <w:bar w:val="nil"/>
        </w:pBdr>
        <w:spacing w:before="3960"/>
        <w:ind w:left="0"/>
        <w:jc w:val="center"/>
        <w:rPr>
          <w:rFonts w:ascii="Garamond" w:hAnsi="Garamond"/>
          <w:b w:val="0"/>
          <w:sz w:val="56"/>
          <w:szCs w:val="56"/>
          <w:bdr w:val="nil"/>
        </w:rPr>
      </w:pPr>
      <w:r w:rsidRPr="006F5BE1">
        <w:rPr>
          <w:rFonts w:ascii="Garamond" w:hAnsi="Garamond"/>
          <w:b w:val="0"/>
          <w:caps w:val="0"/>
          <w:sz w:val="56"/>
          <w:szCs w:val="56"/>
          <w:bdr w:val="nil"/>
        </w:rPr>
        <w:t>Portfolio Additional</w:t>
      </w:r>
      <w:r w:rsidRPr="006F5BE1">
        <w:rPr>
          <w:rFonts w:ascii="Garamond" w:hAnsi="Garamond"/>
          <w:b w:val="0"/>
          <w:caps w:val="0"/>
          <w:sz w:val="56"/>
          <w:szCs w:val="56"/>
          <w:bdr w:val="nil"/>
        </w:rPr>
        <w:br/>
        <w:t>Estimates Statements</w:t>
      </w:r>
      <w:r>
        <w:rPr>
          <w:rFonts w:ascii="Garamond" w:hAnsi="Garamond"/>
          <w:b w:val="0"/>
          <w:caps w:val="0"/>
          <w:sz w:val="56"/>
          <w:szCs w:val="56"/>
          <w:bdr w:val="nil"/>
        </w:rPr>
        <w:t xml:space="preserve"> </w:t>
      </w:r>
      <w:r w:rsidRPr="006F5BE1">
        <w:rPr>
          <w:rFonts w:ascii="Garamond" w:hAnsi="Garamond"/>
          <w:b w:val="0"/>
          <w:sz w:val="56"/>
          <w:szCs w:val="56"/>
          <w:bdr w:val="nil"/>
        </w:rPr>
        <w:t>2020-21</w:t>
      </w:r>
    </w:p>
    <w:p w:rsidR="00587062" w:rsidRDefault="00D5482E" w:rsidP="00587062">
      <w:pPr>
        <w:pStyle w:val="TPHeading2"/>
        <w:pBdr>
          <w:top w:val="nil"/>
          <w:left w:val="nil"/>
          <w:bottom w:val="nil"/>
          <w:right w:val="nil"/>
          <w:between w:val="nil"/>
          <w:bar w:val="nil"/>
        </w:pBdr>
        <w:spacing w:before="480"/>
        <w:ind w:left="0"/>
        <w:jc w:val="center"/>
        <w:rPr>
          <w:rFonts w:ascii="Garamond" w:hAnsi="Garamond"/>
          <w:bdr w:val="nil"/>
        </w:rPr>
      </w:pPr>
      <w:r>
        <w:rPr>
          <w:rFonts w:ascii="Garamond" w:hAnsi="Garamond"/>
          <w:caps w:val="0"/>
          <w:bdr w:val="nil"/>
        </w:rPr>
        <w:t>Social Services Portfolio</w:t>
      </w:r>
    </w:p>
    <w:p w:rsidR="00587062" w:rsidRDefault="00D5482E" w:rsidP="00587062">
      <w:pPr>
        <w:pStyle w:val="TPHeading3"/>
        <w:pBdr>
          <w:top w:val="nil"/>
          <w:left w:val="nil"/>
          <w:bottom w:val="nil"/>
          <w:right w:val="nil"/>
          <w:between w:val="nil"/>
          <w:bar w:val="nil"/>
        </w:pBdr>
        <w:spacing w:before="3969"/>
        <w:ind w:left="0"/>
        <w:jc w:val="center"/>
        <w:rPr>
          <w:rFonts w:ascii="Garamond" w:hAnsi="Garamond"/>
          <w:bdr w:val="nil"/>
        </w:rPr>
      </w:pPr>
      <w:r>
        <w:rPr>
          <w:rFonts w:ascii="Garamond" w:hAnsi="Garamond"/>
          <w:caps w:val="0"/>
          <w:bdr w:val="nil"/>
        </w:rPr>
        <w:t xml:space="preserve">Explanations of Additional Estimates </w:t>
      </w:r>
      <w:r>
        <w:rPr>
          <w:rFonts w:ascii="Garamond" w:hAnsi="Garamond"/>
          <w:bdr w:val="nil"/>
        </w:rPr>
        <w:t>2020-21</w:t>
      </w:r>
    </w:p>
    <w:p w:rsidR="00D86095" w:rsidRPr="00D239AD" w:rsidRDefault="00D86095">
      <w:pPr>
        <w:pBdr>
          <w:top w:val="nil"/>
          <w:left w:val="nil"/>
          <w:bottom w:val="nil"/>
          <w:right w:val="nil"/>
          <w:between w:val="nil"/>
          <w:bar w:val="nil"/>
        </w:pBdr>
        <w:rPr>
          <w:rFonts w:ascii="Calibri" w:eastAsia="Calibri" w:hAnsi="Calibri" w:cs="Arial"/>
          <w:b/>
          <w:bdr w:val="nil"/>
        </w:rPr>
      </w:pPr>
    </w:p>
    <w:p w:rsidR="00C92247" w:rsidRPr="00C92247" w:rsidRDefault="00D5482E" w:rsidP="00AF690E">
      <w:pPr>
        <w:pageBreakBefore/>
        <w:pBdr>
          <w:top w:val="nil"/>
          <w:left w:val="nil"/>
          <w:bottom w:val="nil"/>
          <w:right w:val="nil"/>
          <w:between w:val="nil"/>
          <w:bar w:val="nil"/>
        </w:pBdr>
        <w:spacing w:line="240" w:lineRule="auto"/>
        <w:jc w:val="both"/>
        <w:rPr>
          <w:rFonts w:ascii="Book Antiqua" w:eastAsia="Calibri" w:hAnsi="Book Antiqua" w:cs="Arial"/>
          <w:sz w:val="20"/>
          <w:szCs w:val="20"/>
          <w:bdr w:val="nil"/>
        </w:rPr>
      </w:pPr>
      <w:r>
        <w:rPr>
          <w:rFonts w:ascii="Book Antiqua" w:eastAsia="Calibri" w:hAnsi="Book Antiqua" w:cs="Arial"/>
          <w:sz w:val="20"/>
          <w:szCs w:val="20"/>
          <w:bdr w:val="nil"/>
        </w:rPr>
        <w:lastRenderedPageBreak/>
        <w:t>© Commonwealth of Australia 2021</w:t>
      </w:r>
    </w:p>
    <w:p w:rsidR="00C92247" w:rsidRDefault="00D5482E" w:rsidP="00AF690E">
      <w:pPr>
        <w:pBdr>
          <w:top w:val="nil"/>
          <w:left w:val="nil"/>
          <w:bottom w:val="nil"/>
          <w:right w:val="nil"/>
          <w:between w:val="nil"/>
          <w:bar w:val="nil"/>
        </w:pBdr>
        <w:spacing w:after="0" w:line="240" w:lineRule="auto"/>
        <w:jc w:val="both"/>
        <w:rPr>
          <w:rFonts w:ascii="Book Antiqua" w:eastAsia="Calibri" w:hAnsi="Book Antiqua" w:cs="Arial"/>
          <w:sz w:val="20"/>
          <w:szCs w:val="20"/>
          <w:bdr w:val="nil"/>
        </w:rPr>
      </w:pPr>
      <w:r w:rsidRPr="00C92247">
        <w:rPr>
          <w:rFonts w:ascii="Book Antiqua" w:eastAsia="Calibri" w:hAnsi="Book Antiqua" w:cs="Arial"/>
          <w:sz w:val="20"/>
          <w:szCs w:val="20"/>
          <w:bdr w:val="nil"/>
        </w:rPr>
        <w:t>ISBN</w:t>
      </w:r>
      <w:r>
        <w:rPr>
          <w:rFonts w:ascii="Book Antiqua" w:eastAsia="Calibri" w:hAnsi="Book Antiqua" w:cs="Arial"/>
          <w:sz w:val="20"/>
          <w:szCs w:val="20"/>
          <w:bdr w:val="nil"/>
        </w:rPr>
        <w:t xml:space="preserve"> (Print)</w:t>
      </w:r>
      <w:r w:rsidRPr="00C92247">
        <w:rPr>
          <w:rFonts w:ascii="Book Antiqua" w:eastAsia="Calibri" w:hAnsi="Book Antiqua" w:cs="Arial"/>
          <w:sz w:val="20"/>
          <w:szCs w:val="20"/>
          <w:bdr w:val="nil"/>
        </w:rPr>
        <w:tab/>
      </w:r>
      <w:r w:rsidRPr="0086073A">
        <w:rPr>
          <w:rFonts w:ascii="Book Antiqua" w:eastAsia="Calibri" w:hAnsi="Book Antiqua" w:cs="Arial"/>
          <w:sz w:val="20"/>
          <w:szCs w:val="20"/>
          <w:bdr w:val="nil"/>
        </w:rPr>
        <w:t>978-1-921130-03-8</w:t>
      </w:r>
    </w:p>
    <w:p w:rsidR="00201A2D" w:rsidRPr="00C92247" w:rsidRDefault="00D5482E" w:rsidP="00AF690E">
      <w:pPr>
        <w:pBdr>
          <w:top w:val="nil"/>
          <w:left w:val="nil"/>
          <w:bottom w:val="nil"/>
          <w:right w:val="nil"/>
          <w:between w:val="nil"/>
          <w:bar w:val="nil"/>
        </w:pBdr>
        <w:spacing w:line="240" w:lineRule="auto"/>
        <w:jc w:val="both"/>
        <w:rPr>
          <w:rStyle w:val="ExampletextCharChar"/>
          <w:rFonts w:eastAsia="Calibri"/>
          <w:i w:val="0"/>
          <w:color w:val="auto"/>
          <w:bdr w:val="nil"/>
        </w:rPr>
      </w:pPr>
      <w:r>
        <w:rPr>
          <w:rFonts w:ascii="Book Antiqua" w:eastAsia="Calibri" w:hAnsi="Book Antiqua" w:cs="Arial"/>
          <w:sz w:val="20"/>
          <w:szCs w:val="20"/>
          <w:bdr w:val="nil"/>
        </w:rPr>
        <w:t xml:space="preserve">ISBN (Online) </w:t>
      </w:r>
      <w:r>
        <w:rPr>
          <w:rFonts w:ascii="Book Antiqua" w:eastAsia="Calibri" w:hAnsi="Book Antiqua" w:cs="Arial"/>
          <w:sz w:val="20"/>
          <w:szCs w:val="20"/>
          <w:bdr w:val="nil"/>
        </w:rPr>
        <w:tab/>
      </w:r>
      <w:r w:rsidRPr="0086073A">
        <w:rPr>
          <w:rFonts w:ascii="Book Antiqua" w:eastAsia="Calibri" w:hAnsi="Book Antiqua" w:cs="Arial"/>
          <w:sz w:val="20"/>
          <w:szCs w:val="20"/>
          <w:bdr w:val="nil"/>
        </w:rPr>
        <w:t>978-1-921130-04-5</w:t>
      </w:r>
    </w:p>
    <w:p w:rsidR="00D87356" w:rsidRDefault="00D5482E" w:rsidP="00AF690E">
      <w:pPr>
        <w:pBdr>
          <w:top w:val="nil"/>
          <w:left w:val="nil"/>
          <w:bottom w:val="nil"/>
          <w:right w:val="nil"/>
          <w:between w:val="nil"/>
          <w:bar w:val="nil"/>
        </w:pBdr>
        <w:spacing w:before="100" w:beforeAutospacing="1" w:after="0" w:line="240" w:lineRule="auto"/>
        <w:jc w:val="both"/>
        <w:rPr>
          <w:rStyle w:val="A5"/>
          <w:rFonts w:ascii="Book Antiqua" w:eastAsia="Calibri" w:hAnsi="Book Antiqua" w:cs="Calibri"/>
          <w:szCs w:val="20"/>
          <w:bdr w:val="nil"/>
        </w:rPr>
      </w:pPr>
      <w:r w:rsidRPr="00C92247">
        <w:rPr>
          <w:rFonts w:ascii="Book Antiqua" w:eastAsia="Calibri" w:hAnsi="Book Antiqua" w:cs="Arial"/>
          <w:sz w:val="20"/>
          <w:szCs w:val="20"/>
          <w:bdr w:val="nil"/>
        </w:rPr>
        <w:t>This publication is available for your use under a</w:t>
      </w:r>
      <w:r w:rsidRPr="00C92247">
        <w:rPr>
          <w:rStyle w:val="A5"/>
          <w:rFonts w:ascii="Book Antiqua" w:eastAsia="Calibri" w:hAnsi="Book Antiqua" w:cs="Calibri"/>
          <w:szCs w:val="20"/>
          <w:bdr w:val="nil"/>
        </w:rPr>
        <w:t xml:space="preserve"> </w:t>
      </w:r>
      <w:r w:rsidRPr="00C92247">
        <w:rPr>
          <w:rFonts w:ascii="Book Antiqua" w:eastAsia="Calibri" w:hAnsi="Book Antiqua" w:cs="Arial"/>
          <w:sz w:val="20"/>
          <w:szCs w:val="20"/>
          <w:bdr w:val="nil"/>
        </w:rPr>
        <w:t>Creative Commons BY Attribution 3.0 Australia</w:t>
      </w:r>
      <w:r w:rsidRPr="00C92247">
        <w:rPr>
          <w:rStyle w:val="A5"/>
          <w:rFonts w:ascii="Book Antiqua" w:eastAsia="Calibri" w:hAnsi="Book Antiqua" w:cs="Calibri"/>
          <w:szCs w:val="20"/>
          <w:bdr w:val="nil"/>
        </w:rPr>
        <w:t xml:space="preserve"> </w:t>
      </w:r>
      <w:proofErr w:type="spellStart"/>
      <w:r w:rsidRPr="00C92247">
        <w:rPr>
          <w:rFonts w:ascii="Book Antiqua" w:eastAsia="Calibri" w:hAnsi="Book Antiqua" w:cs="Arial"/>
          <w:sz w:val="20"/>
          <w:szCs w:val="20"/>
          <w:bdr w:val="nil"/>
        </w:rPr>
        <w:t>licence</w:t>
      </w:r>
      <w:proofErr w:type="spellEnd"/>
      <w:r w:rsidRPr="00C92247">
        <w:rPr>
          <w:rFonts w:ascii="Book Antiqua" w:eastAsia="Calibri" w:hAnsi="Book Antiqua" w:cs="Arial"/>
          <w:sz w:val="20"/>
          <w:szCs w:val="20"/>
          <w:bdr w:val="nil"/>
        </w:rPr>
        <w:t xml:space="preserve">, with the exception of the Commonwealth Coat of Arms, </w:t>
      </w:r>
      <w:r>
        <w:rPr>
          <w:rFonts w:ascii="Book Antiqua" w:eastAsia="Calibri" w:hAnsi="Book Antiqua" w:cs="Arial"/>
          <w:sz w:val="20"/>
          <w:szCs w:val="20"/>
          <w:bdr w:val="nil"/>
        </w:rPr>
        <w:t xml:space="preserve">the </w:t>
      </w:r>
      <w:r w:rsidRPr="00DC35F9">
        <w:rPr>
          <w:rFonts w:ascii="Book Antiqua" w:eastAsia="Calibri" w:hAnsi="Book Antiqua" w:cs="Arial"/>
          <w:sz w:val="20"/>
          <w:szCs w:val="20"/>
          <w:bdr w:val="nil"/>
        </w:rPr>
        <w:t>Department of Social Services</w:t>
      </w:r>
      <w:r>
        <w:rPr>
          <w:rFonts w:ascii="Book Antiqua" w:eastAsia="Calibri" w:hAnsi="Book Antiqua" w:cs="Arial"/>
          <w:sz w:val="20"/>
          <w:szCs w:val="20"/>
          <w:bdr w:val="nil"/>
        </w:rPr>
        <w:t xml:space="preserve"> </w:t>
      </w:r>
      <w:r w:rsidRPr="00C92247">
        <w:rPr>
          <w:rFonts w:ascii="Book Antiqua" w:eastAsia="Calibri" w:hAnsi="Book Antiqua" w:cs="Arial"/>
          <w:sz w:val="20"/>
          <w:szCs w:val="20"/>
          <w:bdr w:val="nil"/>
        </w:rPr>
        <w:t xml:space="preserve">logo, photographs, images, </w:t>
      </w:r>
      <w:r>
        <w:rPr>
          <w:rFonts w:ascii="Book Antiqua" w:eastAsia="Calibri" w:hAnsi="Book Antiqua" w:cs="Arial"/>
          <w:sz w:val="20"/>
          <w:szCs w:val="20"/>
          <w:bdr w:val="nil"/>
        </w:rPr>
        <w:t>signatures </w:t>
      </w:r>
      <w:r w:rsidRPr="00C92247">
        <w:rPr>
          <w:rFonts w:ascii="Book Antiqua" w:eastAsia="Calibri" w:hAnsi="Book Antiqua" w:cs="Arial"/>
          <w:sz w:val="20"/>
          <w:szCs w:val="20"/>
          <w:bdr w:val="nil"/>
        </w:rPr>
        <w:t>and where otherwise</w:t>
      </w:r>
      <w:r>
        <w:rPr>
          <w:rFonts w:ascii="Book Antiqua" w:eastAsia="Calibri" w:hAnsi="Book Antiqua" w:cs="Arial"/>
          <w:sz w:val="20"/>
          <w:szCs w:val="20"/>
          <w:bdr w:val="nil"/>
        </w:rPr>
        <w:t xml:space="preserve"> stated. The full </w:t>
      </w:r>
      <w:proofErr w:type="spellStart"/>
      <w:r>
        <w:rPr>
          <w:rFonts w:ascii="Book Antiqua" w:eastAsia="Calibri" w:hAnsi="Book Antiqua" w:cs="Arial"/>
          <w:sz w:val="20"/>
          <w:szCs w:val="20"/>
          <w:bdr w:val="nil"/>
        </w:rPr>
        <w:t>licence</w:t>
      </w:r>
      <w:proofErr w:type="spellEnd"/>
      <w:r>
        <w:rPr>
          <w:rFonts w:ascii="Book Antiqua" w:eastAsia="Calibri" w:hAnsi="Book Antiqua" w:cs="Arial"/>
          <w:sz w:val="20"/>
          <w:szCs w:val="20"/>
          <w:bdr w:val="nil"/>
        </w:rPr>
        <w:t xml:space="preserve"> terms </w:t>
      </w:r>
      <w:r w:rsidRPr="00C92247">
        <w:rPr>
          <w:rFonts w:ascii="Book Antiqua" w:eastAsia="Calibri" w:hAnsi="Book Antiqua" w:cs="Arial"/>
          <w:sz w:val="20"/>
          <w:szCs w:val="20"/>
          <w:bdr w:val="nil"/>
        </w:rPr>
        <w:t>are available from</w:t>
      </w:r>
      <w:r w:rsidRPr="00C92247">
        <w:rPr>
          <w:rStyle w:val="A5"/>
          <w:rFonts w:ascii="Book Antiqua" w:eastAsia="Calibri" w:hAnsi="Book Antiqua" w:cs="Calibri"/>
          <w:szCs w:val="20"/>
          <w:bdr w:val="nil"/>
        </w:rPr>
        <w:t xml:space="preserve"> </w:t>
      </w:r>
    </w:p>
    <w:p w:rsidR="00C92247" w:rsidRDefault="00C05C05" w:rsidP="00AF690E">
      <w:pPr>
        <w:pBdr>
          <w:top w:val="nil"/>
          <w:left w:val="nil"/>
          <w:bottom w:val="nil"/>
          <w:right w:val="nil"/>
          <w:between w:val="nil"/>
          <w:bar w:val="nil"/>
        </w:pBdr>
        <w:spacing w:after="100" w:afterAutospacing="1" w:line="240" w:lineRule="auto"/>
        <w:jc w:val="both"/>
        <w:rPr>
          <w:rFonts w:ascii="Book Antiqua" w:eastAsia="Calibri" w:hAnsi="Book Antiqua" w:cs="Arial"/>
          <w:sz w:val="20"/>
          <w:szCs w:val="20"/>
          <w:bdr w:val="nil"/>
        </w:rPr>
      </w:pPr>
      <w:hyperlink r:id="rId7" w:history="1">
        <w:r w:rsidR="00D5482E" w:rsidRPr="00C92247">
          <w:rPr>
            <w:rStyle w:val="Hyperlink"/>
            <w:rFonts w:eastAsia="Calibri" w:cs="Arial"/>
            <w:szCs w:val="20"/>
            <w:bdr w:val="nil"/>
          </w:rPr>
          <w:t>http://creativecommons.org/licenses/by/3.0/au/legalcode</w:t>
        </w:r>
      </w:hyperlink>
      <w:r w:rsidR="00D5482E" w:rsidRPr="00C92247">
        <w:rPr>
          <w:rFonts w:ascii="Book Antiqua" w:eastAsia="Calibri" w:hAnsi="Book Antiqua" w:cs="Arial"/>
          <w:sz w:val="20"/>
          <w:szCs w:val="20"/>
          <w:bdr w:val="nil"/>
        </w:rPr>
        <w:t>.</w:t>
      </w:r>
      <w:r w:rsidR="00D5482E">
        <w:rPr>
          <w:rFonts w:ascii="Book Antiqua" w:eastAsia="Calibri" w:hAnsi="Book Antiqua" w:cs="Arial"/>
          <w:sz w:val="20"/>
          <w:szCs w:val="20"/>
          <w:bdr w:val="nil"/>
        </w:rPr>
        <w:br/>
      </w:r>
    </w:p>
    <w:p w:rsidR="00C92247" w:rsidRPr="00C92247" w:rsidRDefault="00D5482E" w:rsidP="00AF690E">
      <w:pPr>
        <w:pBdr>
          <w:top w:val="nil"/>
          <w:left w:val="nil"/>
          <w:bottom w:val="nil"/>
          <w:right w:val="nil"/>
          <w:between w:val="nil"/>
          <w:bar w:val="nil"/>
        </w:pBdr>
        <w:spacing w:before="100" w:beforeAutospacing="1" w:line="240" w:lineRule="auto"/>
        <w:jc w:val="both"/>
        <w:rPr>
          <w:rFonts w:ascii="Book Antiqua" w:eastAsia="Calibri" w:hAnsi="Book Antiqua" w:cs="Arial"/>
          <w:sz w:val="20"/>
          <w:szCs w:val="20"/>
          <w:bdr w:val="nil"/>
        </w:rPr>
      </w:pPr>
      <w:r w:rsidRPr="00C92247">
        <w:rPr>
          <w:rFonts w:ascii="Book Antiqua" w:eastAsia="Calibri" w:hAnsi="Book Antiqua" w:cs="Arial"/>
          <w:sz w:val="20"/>
          <w:szCs w:val="20"/>
          <w:bdr w:val="nil"/>
        </w:rPr>
        <w:br/>
      </w:r>
      <w:r w:rsidRPr="00C92247">
        <w:rPr>
          <w:rFonts w:ascii="Book Antiqua" w:eastAsia="Calibri" w:hAnsi="Book Antiqua" w:cs="Arial"/>
          <w:noProof/>
          <w:sz w:val="20"/>
          <w:szCs w:val="20"/>
          <w:bdr w:val="nil"/>
          <w:lang w:val="en-AU" w:eastAsia="en-AU"/>
        </w:rPr>
        <w:drawing>
          <wp:anchor distT="0" distB="0" distL="114300" distR="114300" simplePos="0" relativeHeight="251658240" behindDoc="0" locked="0" layoutInCell="1" allowOverlap="1">
            <wp:simplePos x="0" y="0"/>
            <wp:positionH relativeFrom="column">
              <wp:posOffset>20320</wp:posOffset>
            </wp:positionH>
            <wp:positionV relativeFrom="paragraph">
              <wp:posOffset>-226060</wp:posOffset>
            </wp:positionV>
            <wp:extent cx="1066800" cy="361950"/>
            <wp:effectExtent l="0" t="0" r="0" b="0"/>
            <wp:wrapSquare wrapText="bothSides"/>
            <wp:docPr id="2" name="Picture 2" descr="Description: 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83686" name="Picture 1" descr="Description: Creative Commons Licens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66800" cy="361950"/>
                    </a:xfrm>
                    <a:prstGeom prst="rect">
                      <a:avLst/>
                    </a:prstGeom>
                    <a:noFill/>
                  </pic:spPr>
                </pic:pic>
              </a:graphicData>
            </a:graphic>
          </wp:anchor>
        </w:drawing>
      </w:r>
      <w:r w:rsidRPr="00C92247">
        <w:rPr>
          <w:rFonts w:ascii="Book Antiqua" w:eastAsia="Calibri" w:hAnsi="Book Antiqua" w:cs="Arial"/>
          <w:sz w:val="20"/>
          <w:szCs w:val="20"/>
          <w:bdr w:val="nil"/>
        </w:rPr>
        <w:t xml:space="preserve">Use of </w:t>
      </w:r>
      <w:r w:rsidRPr="00DC35F9">
        <w:rPr>
          <w:rFonts w:ascii="Book Antiqua" w:eastAsia="Calibri" w:hAnsi="Book Antiqua" w:cs="Arial"/>
          <w:sz w:val="20"/>
          <w:szCs w:val="20"/>
          <w:bdr w:val="nil"/>
        </w:rPr>
        <w:t>Department of Social Services</w:t>
      </w:r>
      <w:r w:rsidRPr="00C92247">
        <w:rPr>
          <w:rFonts w:ascii="Book Antiqua" w:eastAsia="Calibri" w:hAnsi="Book Antiqua" w:cs="Arial"/>
          <w:snapToGrid w:val="0"/>
          <w:sz w:val="20"/>
          <w:szCs w:val="20"/>
          <w:bdr w:val="nil"/>
        </w:rPr>
        <w:t xml:space="preserve"> </w:t>
      </w:r>
      <w:r w:rsidRPr="00C92247">
        <w:rPr>
          <w:rFonts w:ascii="Book Antiqua" w:eastAsia="Calibri" w:hAnsi="Book Antiqua" w:cs="Arial"/>
          <w:sz w:val="20"/>
          <w:szCs w:val="20"/>
          <w:bdr w:val="nil"/>
        </w:rPr>
        <w:t xml:space="preserve">material under a Creative Commons BY Attribution 3.0 Australia </w:t>
      </w:r>
      <w:proofErr w:type="spellStart"/>
      <w:r w:rsidRPr="00C92247">
        <w:rPr>
          <w:rFonts w:ascii="Book Antiqua" w:eastAsia="Calibri" w:hAnsi="Book Antiqua" w:cs="Arial"/>
          <w:sz w:val="20"/>
          <w:szCs w:val="20"/>
          <w:bdr w:val="nil"/>
        </w:rPr>
        <w:t>licence</w:t>
      </w:r>
      <w:proofErr w:type="spellEnd"/>
      <w:r w:rsidRPr="00C92247">
        <w:rPr>
          <w:rFonts w:ascii="Book Antiqua" w:eastAsia="Calibri" w:hAnsi="Book Antiqua" w:cs="Arial"/>
          <w:sz w:val="20"/>
          <w:szCs w:val="20"/>
          <w:bdr w:val="nil"/>
        </w:rPr>
        <w:t xml:space="preserve"> requires you to attribute the work (but not in any way that suggests that </w:t>
      </w:r>
      <w:r w:rsidRPr="00C92247">
        <w:rPr>
          <w:rFonts w:ascii="Book Antiqua" w:eastAsia="Calibri" w:hAnsi="Book Antiqua" w:cs="Arial"/>
          <w:snapToGrid w:val="0"/>
          <w:sz w:val="20"/>
          <w:szCs w:val="20"/>
          <w:bdr w:val="nil"/>
        </w:rPr>
        <w:t xml:space="preserve">the </w:t>
      </w:r>
      <w:r>
        <w:rPr>
          <w:rFonts w:ascii="Book Antiqua" w:eastAsia="Calibri" w:hAnsi="Book Antiqua" w:cs="Arial"/>
          <w:snapToGrid w:val="0"/>
          <w:sz w:val="20"/>
          <w:szCs w:val="20"/>
          <w:bdr w:val="nil"/>
        </w:rPr>
        <w:t xml:space="preserve">Department of Social Services </w:t>
      </w:r>
      <w:r w:rsidRPr="00C92247">
        <w:rPr>
          <w:rFonts w:ascii="Book Antiqua" w:eastAsia="Calibri" w:hAnsi="Book Antiqua" w:cs="Arial"/>
          <w:sz w:val="20"/>
          <w:szCs w:val="20"/>
          <w:bdr w:val="nil"/>
        </w:rPr>
        <w:t xml:space="preserve">endorses you or your use of the work). </w:t>
      </w:r>
    </w:p>
    <w:p w:rsidR="001C1629" w:rsidRPr="001C1629" w:rsidRDefault="00D5482E" w:rsidP="00A33ED4">
      <w:pPr>
        <w:pBdr>
          <w:top w:val="nil"/>
          <w:left w:val="nil"/>
          <w:bottom w:val="nil"/>
          <w:right w:val="nil"/>
          <w:between w:val="nil"/>
          <w:bar w:val="nil"/>
        </w:pBdr>
        <w:spacing w:line="240" w:lineRule="auto"/>
        <w:ind w:firstLine="720"/>
        <w:rPr>
          <w:rFonts w:ascii="Book Antiqua" w:eastAsia="Calibri" w:hAnsi="Book Antiqua" w:cs="Arial"/>
          <w:i/>
          <w:sz w:val="20"/>
          <w:szCs w:val="20"/>
          <w:bdr w:val="nil"/>
        </w:rPr>
      </w:pPr>
      <w:r w:rsidRPr="001C1629">
        <w:rPr>
          <w:rFonts w:ascii="Book Antiqua" w:eastAsia="Calibri" w:hAnsi="Book Antiqua" w:cs="Arial"/>
          <w:i/>
          <w:sz w:val="20"/>
          <w:szCs w:val="20"/>
          <w:bdr w:val="nil"/>
        </w:rPr>
        <w:t>Department of Social Services material used ‘as supplied’</w:t>
      </w:r>
    </w:p>
    <w:p w:rsidR="001C1629" w:rsidRPr="001C1629" w:rsidRDefault="00D5482E" w:rsidP="00AF690E">
      <w:pPr>
        <w:pBdr>
          <w:top w:val="nil"/>
          <w:left w:val="nil"/>
          <w:bottom w:val="nil"/>
          <w:right w:val="nil"/>
          <w:between w:val="nil"/>
          <w:bar w:val="nil"/>
        </w:pBdr>
        <w:spacing w:line="240" w:lineRule="auto"/>
        <w:jc w:val="both"/>
        <w:rPr>
          <w:rFonts w:ascii="Book Antiqua" w:eastAsia="Calibri" w:hAnsi="Book Antiqua" w:cs="Arial"/>
          <w:sz w:val="20"/>
          <w:szCs w:val="20"/>
          <w:bdr w:val="nil"/>
        </w:rPr>
      </w:pPr>
      <w:r w:rsidRPr="00C92247">
        <w:rPr>
          <w:rFonts w:ascii="Book Antiqua" w:eastAsia="Calibri" w:hAnsi="Book Antiqua" w:cs="Arial"/>
          <w:sz w:val="20"/>
          <w:szCs w:val="20"/>
          <w:bdr w:val="nil"/>
        </w:rPr>
        <w:t>Provided you have not modified or transformed</w:t>
      </w:r>
      <w:r>
        <w:rPr>
          <w:rFonts w:ascii="Book Antiqua" w:eastAsia="Calibri" w:hAnsi="Book Antiqua" w:cs="Arial"/>
          <w:sz w:val="20"/>
          <w:szCs w:val="20"/>
          <w:bdr w:val="nil"/>
        </w:rPr>
        <w:t xml:space="preserve"> the </w:t>
      </w:r>
      <w:r w:rsidRPr="00DC35F9">
        <w:rPr>
          <w:rFonts w:ascii="Book Antiqua" w:eastAsia="Calibri" w:hAnsi="Book Antiqua" w:cs="Arial"/>
          <w:sz w:val="20"/>
          <w:szCs w:val="20"/>
          <w:bdr w:val="nil"/>
        </w:rPr>
        <w:t>Department of Social Services</w:t>
      </w:r>
      <w:r w:rsidRPr="00C92247">
        <w:rPr>
          <w:rFonts w:ascii="Book Antiqua" w:eastAsia="Calibri" w:hAnsi="Book Antiqua" w:cs="Arial"/>
          <w:sz w:val="20"/>
          <w:szCs w:val="20"/>
          <w:bdr w:val="nil"/>
        </w:rPr>
        <w:t xml:space="preserve">’ material in any way including, for example, by changing the Department of Social Services’ text; calculating percentage changes; graphing or charting data; or deriving new statistics from published </w:t>
      </w:r>
      <w:r w:rsidRPr="00DC35F9">
        <w:rPr>
          <w:rFonts w:ascii="Book Antiqua" w:eastAsia="Calibri" w:hAnsi="Book Antiqua" w:cs="Arial"/>
          <w:sz w:val="20"/>
          <w:szCs w:val="20"/>
          <w:bdr w:val="nil"/>
        </w:rPr>
        <w:t>Department of Social Services</w:t>
      </w:r>
      <w:r>
        <w:rPr>
          <w:rFonts w:ascii="Book Antiqua" w:eastAsia="Calibri" w:hAnsi="Book Antiqua" w:cs="Arial"/>
          <w:sz w:val="20"/>
          <w:szCs w:val="20"/>
          <w:bdr w:val="nil"/>
        </w:rPr>
        <w:t xml:space="preserve"> </w:t>
      </w:r>
      <w:r w:rsidRPr="00C92247">
        <w:rPr>
          <w:rFonts w:ascii="Book Antiqua" w:eastAsia="Calibri" w:hAnsi="Book Antiqua" w:cs="Arial"/>
          <w:sz w:val="20"/>
          <w:szCs w:val="20"/>
          <w:bdr w:val="nil"/>
        </w:rPr>
        <w:t xml:space="preserve">statistics </w:t>
      </w:r>
      <w:r>
        <w:rPr>
          <w:rFonts w:ascii="Book Antiqua" w:eastAsia="Calibri" w:hAnsi="Book Antiqua" w:cs="Arial"/>
          <w:sz w:val="20"/>
          <w:szCs w:val="20"/>
          <w:bdr w:val="nil"/>
        </w:rPr>
        <w:t>—</w:t>
      </w:r>
      <w:r w:rsidRPr="00C92247">
        <w:rPr>
          <w:rFonts w:ascii="Book Antiqua" w:eastAsia="Calibri" w:hAnsi="Book Antiqua" w:cs="Arial"/>
          <w:sz w:val="20"/>
          <w:szCs w:val="20"/>
          <w:bdr w:val="nil"/>
        </w:rPr>
        <w:t xml:space="preserve"> then </w:t>
      </w:r>
      <w:r w:rsidRPr="00C92247">
        <w:rPr>
          <w:rFonts w:ascii="Book Antiqua" w:eastAsia="Calibri" w:hAnsi="Book Antiqua" w:cs="Arial"/>
          <w:snapToGrid w:val="0"/>
          <w:sz w:val="20"/>
          <w:szCs w:val="20"/>
          <w:bdr w:val="nil"/>
        </w:rPr>
        <w:t xml:space="preserve">the </w:t>
      </w:r>
      <w:r w:rsidRPr="00DC35F9">
        <w:rPr>
          <w:rFonts w:ascii="Book Antiqua" w:eastAsia="Calibri" w:hAnsi="Book Antiqua" w:cs="Arial"/>
          <w:snapToGrid w:val="0"/>
          <w:sz w:val="20"/>
          <w:szCs w:val="20"/>
          <w:bdr w:val="nil"/>
        </w:rPr>
        <w:t>Department of Social Services</w:t>
      </w:r>
      <w:r w:rsidRPr="00C92247">
        <w:rPr>
          <w:rFonts w:ascii="Book Antiqua" w:eastAsia="Calibri" w:hAnsi="Book Antiqua" w:cs="Arial"/>
          <w:sz w:val="20"/>
          <w:szCs w:val="20"/>
          <w:bdr w:val="nil"/>
        </w:rPr>
        <w:t xml:space="preserve"> prefers the following attribution: </w:t>
      </w:r>
    </w:p>
    <w:p w:rsidR="00C92247" w:rsidRPr="00C92247" w:rsidRDefault="00D5482E" w:rsidP="00AF690E">
      <w:pPr>
        <w:pBdr>
          <w:top w:val="nil"/>
          <w:left w:val="nil"/>
          <w:bottom w:val="nil"/>
          <w:right w:val="nil"/>
          <w:between w:val="nil"/>
          <w:bar w:val="nil"/>
        </w:pBdr>
        <w:spacing w:line="240" w:lineRule="auto"/>
        <w:ind w:firstLine="720"/>
        <w:jc w:val="both"/>
        <w:rPr>
          <w:rFonts w:ascii="Book Antiqua" w:eastAsia="Calibri" w:hAnsi="Book Antiqua" w:cs="Arial"/>
          <w:i/>
          <w:sz w:val="20"/>
          <w:szCs w:val="20"/>
          <w:bdr w:val="nil"/>
        </w:rPr>
      </w:pPr>
      <w:r w:rsidRPr="00C92247">
        <w:rPr>
          <w:rFonts w:ascii="Book Antiqua" w:eastAsia="Calibri" w:hAnsi="Book Antiqua" w:cs="Arial"/>
          <w:i/>
          <w:sz w:val="20"/>
          <w:szCs w:val="20"/>
          <w:bdr w:val="nil"/>
        </w:rPr>
        <w:t xml:space="preserve">Source: The </w:t>
      </w:r>
      <w:r w:rsidRPr="00C92247">
        <w:rPr>
          <w:rFonts w:ascii="Book Antiqua" w:eastAsia="Calibri" w:hAnsi="Book Antiqua" w:cs="Arial"/>
          <w:i/>
          <w:iCs/>
          <w:sz w:val="20"/>
          <w:szCs w:val="20"/>
          <w:bdr w:val="nil"/>
        </w:rPr>
        <w:t>Australian Government </w:t>
      </w:r>
      <w:r w:rsidRPr="00DC35F9">
        <w:rPr>
          <w:rFonts w:ascii="Book Antiqua" w:eastAsia="Calibri" w:hAnsi="Book Antiqua" w:cs="Arial"/>
          <w:i/>
          <w:iCs/>
          <w:sz w:val="20"/>
          <w:szCs w:val="20"/>
          <w:bdr w:val="nil"/>
        </w:rPr>
        <w:t>Department of Social Services</w:t>
      </w:r>
      <w:r>
        <w:rPr>
          <w:rFonts w:ascii="Book Antiqua" w:eastAsia="Calibri" w:hAnsi="Book Antiqua" w:cs="Arial"/>
          <w:i/>
          <w:iCs/>
          <w:sz w:val="20"/>
          <w:szCs w:val="20"/>
          <w:bdr w:val="nil"/>
        </w:rPr>
        <w:t>.</w:t>
      </w:r>
    </w:p>
    <w:p w:rsidR="00C92247" w:rsidRPr="001C1629" w:rsidRDefault="00D5482E" w:rsidP="00AF690E">
      <w:pPr>
        <w:pBdr>
          <w:top w:val="nil"/>
          <w:left w:val="nil"/>
          <w:bottom w:val="nil"/>
          <w:right w:val="nil"/>
          <w:between w:val="nil"/>
          <w:bar w:val="nil"/>
        </w:pBdr>
        <w:spacing w:line="240" w:lineRule="auto"/>
        <w:jc w:val="both"/>
        <w:rPr>
          <w:rFonts w:ascii="Book Antiqua" w:eastAsia="Calibri" w:hAnsi="Book Antiqua" w:cs="Arial"/>
          <w:i/>
          <w:sz w:val="20"/>
          <w:szCs w:val="20"/>
          <w:bdr w:val="nil"/>
        </w:rPr>
      </w:pPr>
      <w:r w:rsidRPr="001C1629">
        <w:rPr>
          <w:rFonts w:ascii="Book Antiqua" w:eastAsia="Calibri" w:hAnsi="Book Antiqua" w:cs="Arial"/>
          <w:i/>
          <w:sz w:val="20"/>
          <w:szCs w:val="20"/>
          <w:bdr w:val="nil"/>
        </w:rPr>
        <w:t>Derivative material</w:t>
      </w:r>
    </w:p>
    <w:p w:rsidR="00C92247" w:rsidRPr="00C92247" w:rsidRDefault="00D5482E" w:rsidP="00AF690E">
      <w:pPr>
        <w:pBdr>
          <w:top w:val="nil"/>
          <w:left w:val="nil"/>
          <w:bottom w:val="nil"/>
          <w:right w:val="nil"/>
          <w:between w:val="nil"/>
          <w:bar w:val="nil"/>
        </w:pBdr>
        <w:spacing w:line="240" w:lineRule="auto"/>
        <w:jc w:val="both"/>
        <w:rPr>
          <w:rFonts w:ascii="Book Antiqua" w:eastAsia="Calibri" w:hAnsi="Book Antiqua" w:cs="Arial"/>
          <w:sz w:val="20"/>
          <w:szCs w:val="20"/>
          <w:bdr w:val="nil"/>
        </w:rPr>
      </w:pPr>
      <w:r w:rsidRPr="00C92247">
        <w:rPr>
          <w:rFonts w:ascii="Book Antiqua" w:eastAsia="Calibri" w:hAnsi="Book Antiqua" w:cs="Arial"/>
          <w:sz w:val="20"/>
          <w:szCs w:val="20"/>
          <w:bdr w:val="nil"/>
        </w:rPr>
        <w:t xml:space="preserve">If you have modified or transformed the </w:t>
      </w:r>
      <w:r w:rsidRPr="00DC35F9">
        <w:rPr>
          <w:rFonts w:ascii="Book Antiqua" w:eastAsia="Calibri" w:hAnsi="Book Antiqua" w:cs="Arial"/>
          <w:sz w:val="20"/>
          <w:szCs w:val="20"/>
          <w:bdr w:val="nil"/>
        </w:rPr>
        <w:t>Department of Social Services</w:t>
      </w:r>
      <w:r>
        <w:rPr>
          <w:rFonts w:ascii="Book Antiqua" w:eastAsia="Calibri" w:hAnsi="Book Antiqua" w:cs="Arial"/>
          <w:sz w:val="20"/>
          <w:szCs w:val="20"/>
          <w:bdr w:val="nil"/>
        </w:rPr>
        <w:t xml:space="preserve">’ </w:t>
      </w:r>
      <w:r w:rsidRPr="00C92247">
        <w:rPr>
          <w:rFonts w:ascii="Book Antiqua" w:eastAsia="Calibri" w:hAnsi="Book Antiqua" w:cs="Arial"/>
          <w:sz w:val="20"/>
          <w:szCs w:val="20"/>
          <w:bdr w:val="nil"/>
        </w:rPr>
        <w:t xml:space="preserve">material, or derived new material from </w:t>
      </w:r>
      <w:r>
        <w:rPr>
          <w:rFonts w:ascii="Book Antiqua" w:eastAsia="Calibri" w:hAnsi="Book Antiqua" w:cs="Arial"/>
          <w:sz w:val="20"/>
          <w:szCs w:val="20"/>
          <w:bdr w:val="nil"/>
        </w:rPr>
        <w:t xml:space="preserve">those of </w:t>
      </w:r>
      <w:r w:rsidRPr="00C92247">
        <w:rPr>
          <w:rFonts w:ascii="Book Antiqua" w:eastAsia="Calibri" w:hAnsi="Book Antiqua" w:cs="Arial"/>
          <w:sz w:val="20"/>
          <w:szCs w:val="20"/>
          <w:bdr w:val="nil"/>
        </w:rPr>
        <w:t xml:space="preserve">the </w:t>
      </w:r>
      <w:r w:rsidRPr="00DC35F9">
        <w:rPr>
          <w:rFonts w:ascii="Book Antiqua" w:eastAsia="Calibri" w:hAnsi="Book Antiqua" w:cs="Arial"/>
          <w:sz w:val="20"/>
          <w:szCs w:val="20"/>
          <w:bdr w:val="nil"/>
        </w:rPr>
        <w:t>Department of Social Services</w:t>
      </w:r>
      <w:r>
        <w:rPr>
          <w:rFonts w:ascii="Book Antiqua" w:eastAsia="Calibri" w:hAnsi="Book Antiqua" w:cs="Arial"/>
          <w:sz w:val="20"/>
          <w:szCs w:val="20"/>
          <w:bdr w:val="nil"/>
        </w:rPr>
        <w:t xml:space="preserve"> </w:t>
      </w:r>
      <w:r w:rsidRPr="00C92247">
        <w:rPr>
          <w:rFonts w:ascii="Book Antiqua" w:eastAsia="Calibri" w:hAnsi="Book Antiqua" w:cs="Arial"/>
          <w:sz w:val="20"/>
          <w:szCs w:val="20"/>
          <w:bdr w:val="nil"/>
        </w:rPr>
        <w:t xml:space="preserve">in any way, then </w:t>
      </w:r>
      <w:r w:rsidRPr="00C92247">
        <w:rPr>
          <w:rFonts w:ascii="Book Antiqua" w:eastAsia="Calibri" w:hAnsi="Book Antiqua" w:cs="Arial"/>
          <w:snapToGrid w:val="0"/>
          <w:sz w:val="20"/>
          <w:szCs w:val="20"/>
          <w:bdr w:val="nil"/>
        </w:rPr>
        <w:t xml:space="preserve">the </w:t>
      </w:r>
      <w:r w:rsidRPr="00DC35F9">
        <w:rPr>
          <w:rFonts w:ascii="Book Antiqua" w:eastAsia="Calibri" w:hAnsi="Book Antiqua" w:cs="Arial"/>
          <w:snapToGrid w:val="0"/>
          <w:sz w:val="20"/>
          <w:szCs w:val="20"/>
          <w:bdr w:val="nil"/>
        </w:rPr>
        <w:t>Department of Social Services</w:t>
      </w:r>
      <w:r>
        <w:rPr>
          <w:rFonts w:ascii="Book Antiqua" w:eastAsia="Calibri" w:hAnsi="Book Antiqua" w:cs="Arial"/>
          <w:snapToGrid w:val="0"/>
          <w:sz w:val="20"/>
          <w:szCs w:val="20"/>
          <w:bdr w:val="nil"/>
        </w:rPr>
        <w:t xml:space="preserve"> </w:t>
      </w:r>
      <w:r w:rsidRPr="00C92247">
        <w:rPr>
          <w:rFonts w:ascii="Book Antiqua" w:eastAsia="Calibri" w:hAnsi="Book Antiqua" w:cs="Arial"/>
          <w:sz w:val="20"/>
          <w:szCs w:val="20"/>
          <w:bdr w:val="nil"/>
        </w:rPr>
        <w:t xml:space="preserve">prefers the following attribution: </w:t>
      </w:r>
    </w:p>
    <w:p w:rsidR="00C92247" w:rsidRPr="00C92247" w:rsidRDefault="00D5482E" w:rsidP="00AF690E">
      <w:pPr>
        <w:pBdr>
          <w:top w:val="nil"/>
          <w:left w:val="nil"/>
          <w:bottom w:val="nil"/>
          <w:right w:val="nil"/>
          <w:between w:val="nil"/>
          <w:bar w:val="nil"/>
        </w:pBdr>
        <w:spacing w:line="240" w:lineRule="auto"/>
        <w:ind w:firstLine="720"/>
        <w:jc w:val="both"/>
        <w:rPr>
          <w:rFonts w:ascii="Book Antiqua" w:eastAsia="Calibri" w:hAnsi="Book Antiqua" w:cs="Arial"/>
          <w:sz w:val="20"/>
          <w:szCs w:val="20"/>
          <w:bdr w:val="nil"/>
        </w:rPr>
      </w:pPr>
      <w:r>
        <w:rPr>
          <w:rFonts w:ascii="Book Antiqua" w:eastAsia="Calibri" w:hAnsi="Book Antiqua" w:cs="Arial"/>
          <w:i/>
          <w:sz w:val="20"/>
          <w:szCs w:val="20"/>
          <w:bdr w:val="nil"/>
        </w:rPr>
        <w:t>Based on the Australian Government</w:t>
      </w:r>
      <w:r w:rsidRPr="00C92247">
        <w:rPr>
          <w:rFonts w:ascii="Book Antiqua" w:eastAsia="Calibri" w:hAnsi="Book Antiqua" w:cs="Arial"/>
          <w:i/>
          <w:sz w:val="20"/>
          <w:szCs w:val="20"/>
          <w:bdr w:val="nil"/>
        </w:rPr>
        <w:t xml:space="preserve"> </w:t>
      </w:r>
      <w:r w:rsidRPr="00DC35F9">
        <w:rPr>
          <w:rFonts w:ascii="Book Antiqua" w:eastAsia="Calibri" w:hAnsi="Book Antiqua" w:cs="Arial"/>
          <w:i/>
          <w:sz w:val="20"/>
          <w:szCs w:val="20"/>
          <w:bdr w:val="nil"/>
        </w:rPr>
        <w:t>Department of Social Services</w:t>
      </w:r>
      <w:r>
        <w:rPr>
          <w:rFonts w:ascii="Book Antiqua" w:eastAsia="Calibri" w:hAnsi="Book Antiqua" w:cs="Arial"/>
          <w:i/>
          <w:sz w:val="20"/>
          <w:szCs w:val="20"/>
          <w:bdr w:val="nil"/>
        </w:rPr>
        <w:t xml:space="preserve"> data.</w:t>
      </w:r>
    </w:p>
    <w:p w:rsidR="00C92247" w:rsidRPr="00C92247" w:rsidRDefault="00D5482E" w:rsidP="00AF690E">
      <w:pPr>
        <w:pBdr>
          <w:top w:val="nil"/>
          <w:left w:val="nil"/>
          <w:bottom w:val="nil"/>
          <w:right w:val="nil"/>
          <w:between w:val="nil"/>
          <w:bar w:val="nil"/>
        </w:pBdr>
        <w:spacing w:after="40" w:line="240" w:lineRule="auto"/>
        <w:jc w:val="both"/>
        <w:rPr>
          <w:rFonts w:ascii="Book Antiqua" w:eastAsia="Calibri" w:hAnsi="Book Antiqua" w:cs="Arial"/>
          <w:b/>
          <w:sz w:val="20"/>
          <w:szCs w:val="20"/>
          <w:bdr w:val="nil"/>
        </w:rPr>
      </w:pPr>
      <w:r w:rsidRPr="00C92247">
        <w:rPr>
          <w:rFonts w:ascii="Book Antiqua" w:eastAsia="Calibri" w:hAnsi="Book Antiqua" w:cs="Arial"/>
          <w:b/>
          <w:sz w:val="20"/>
          <w:szCs w:val="20"/>
          <w:bdr w:val="nil"/>
        </w:rPr>
        <w:t>Use of the Coat of Arms</w:t>
      </w:r>
    </w:p>
    <w:p w:rsidR="00C92247" w:rsidRDefault="00D5482E" w:rsidP="00AF690E">
      <w:pPr>
        <w:pBdr>
          <w:top w:val="nil"/>
          <w:left w:val="nil"/>
          <w:bottom w:val="nil"/>
          <w:right w:val="nil"/>
          <w:between w:val="nil"/>
          <w:bar w:val="nil"/>
        </w:pBdr>
        <w:spacing w:after="0" w:line="240" w:lineRule="auto"/>
        <w:jc w:val="both"/>
        <w:rPr>
          <w:rFonts w:ascii="Book Antiqua" w:eastAsia="Calibri" w:hAnsi="Book Antiqua" w:cs="Arial"/>
          <w:sz w:val="20"/>
          <w:szCs w:val="20"/>
          <w:bdr w:val="nil"/>
        </w:rPr>
      </w:pPr>
      <w:r w:rsidRPr="00C92247">
        <w:rPr>
          <w:rFonts w:ascii="Book Antiqua" w:eastAsia="Calibri" w:hAnsi="Book Antiqua" w:cs="Arial"/>
          <w:sz w:val="20"/>
          <w:szCs w:val="20"/>
          <w:bdr w:val="nil"/>
        </w:rPr>
        <w:t xml:space="preserve">The terms under which the Coat of Arms can be used are set out on the </w:t>
      </w:r>
      <w:r w:rsidRPr="001C1629">
        <w:rPr>
          <w:rFonts w:ascii="Book Antiqua" w:eastAsia="Calibri" w:hAnsi="Book Antiqua" w:cs="Arial"/>
          <w:sz w:val="20"/>
          <w:szCs w:val="20"/>
          <w:bdr w:val="nil"/>
        </w:rPr>
        <w:t>Department of the Prime Minister and Cabinet website</w:t>
      </w:r>
    </w:p>
    <w:p w:rsidR="001C1629" w:rsidRPr="00C92247" w:rsidRDefault="00D5482E" w:rsidP="00AF690E">
      <w:pPr>
        <w:pBdr>
          <w:top w:val="nil"/>
          <w:left w:val="nil"/>
          <w:bottom w:val="nil"/>
          <w:right w:val="nil"/>
          <w:between w:val="nil"/>
          <w:bar w:val="nil"/>
        </w:pBdr>
        <w:spacing w:line="240" w:lineRule="auto"/>
        <w:jc w:val="both"/>
        <w:rPr>
          <w:rFonts w:ascii="Book Antiqua" w:eastAsia="Calibri" w:hAnsi="Book Antiqua" w:cs="Arial"/>
          <w:sz w:val="20"/>
          <w:szCs w:val="20"/>
          <w:bdr w:val="nil"/>
        </w:rPr>
      </w:pPr>
      <w:r w:rsidRPr="001C1629">
        <w:rPr>
          <w:rFonts w:ascii="Book Antiqua" w:eastAsia="Calibri" w:hAnsi="Book Antiqua" w:cs="Arial"/>
          <w:sz w:val="20"/>
          <w:szCs w:val="20"/>
          <w:bdr w:val="nil"/>
        </w:rPr>
        <w:t>(see www.pmc.gov.au/government/commonwealth-coat-arms)</w:t>
      </w:r>
    </w:p>
    <w:p w:rsidR="00C92247" w:rsidRPr="00C92247" w:rsidRDefault="00D5482E" w:rsidP="00AF690E">
      <w:pPr>
        <w:pBdr>
          <w:top w:val="nil"/>
          <w:left w:val="nil"/>
          <w:bottom w:val="nil"/>
          <w:right w:val="nil"/>
          <w:between w:val="nil"/>
          <w:bar w:val="nil"/>
        </w:pBdr>
        <w:spacing w:after="40" w:line="240" w:lineRule="auto"/>
        <w:jc w:val="both"/>
        <w:rPr>
          <w:rFonts w:ascii="Book Antiqua" w:eastAsia="Calibri" w:hAnsi="Book Antiqua" w:cs="Arial"/>
          <w:b/>
          <w:sz w:val="20"/>
          <w:szCs w:val="20"/>
          <w:bdr w:val="nil"/>
        </w:rPr>
      </w:pPr>
      <w:r w:rsidRPr="00C92247">
        <w:rPr>
          <w:rFonts w:ascii="Book Antiqua" w:eastAsia="Calibri" w:hAnsi="Book Antiqua" w:cs="Arial"/>
          <w:b/>
          <w:sz w:val="20"/>
          <w:szCs w:val="20"/>
          <w:bdr w:val="nil"/>
        </w:rPr>
        <w:t>Other uses</w:t>
      </w:r>
    </w:p>
    <w:p w:rsidR="00C92247" w:rsidRPr="00C92247" w:rsidRDefault="00D5482E" w:rsidP="00AF690E">
      <w:pPr>
        <w:pBdr>
          <w:top w:val="nil"/>
          <w:left w:val="nil"/>
          <w:bottom w:val="nil"/>
          <w:right w:val="nil"/>
          <w:between w:val="nil"/>
          <w:bar w:val="nil"/>
        </w:pBdr>
        <w:spacing w:after="0" w:line="240" w:lineRule="auto"/>
        <w:jc w:val="both"/>
        <w:rPr>
          <w:rFonts w:ascii="Book Antiqua" w:eastAsia="Calibri" w:hAnsi="Book Antiqua" w:cs="Arial"/>
          <w:sz w:val="20"/>
          <w:szCs w:val="20"/>
          <w:bdr w:val="nil"/>
        </w:rPr>
      </w:pPr>
      <w:r w:rsidRPr="00C92247">
        <w:rPr>
          <w:rFonts w:ascii="Book Antiqua" w:eastAsia="Calibri" w:hAnsi="Book Antiqua" w:cs="Arial"/>
          <w:sz w:val="20"/>
          <w:szCs w:val="20"/>
          <w:bdr w:val="nil"/>
        </w:rPr>
        <w:t xml:space="preserve">Inquiries </w:t>
      </w:r>
      <w:r w:rsidRPr="00C92247">
        <w:rPr>
          <w:rFonts w:ascii="Book Antiqua" w:eastAsia="Calibri" w:hAnsi="Book Antiqua" w:cs="Arial"/>
          <w:snapToGrid w:val="0"/>
          <w:sz w:val="20"/>
          <w:szCs w:val="20"/>
          <w:bdr w:val="nil"/>
        </w:rPr>
        <w:t>regarding</w:t>
      </w:r>
      <w:r w:rsidRPr="00C92247">
        <w:rPr>
          <w:rFonts w:ascii="Book Antiqua" w:eastAsia="Calibri" w:hAnsi="Book Antiqua" w:cs="Arial"/>
          <w:sz w:val="20"/>
          <w:szCs w:val="20"/>
          <w:bdr w:val="nil"/>
        </w:rPr>
        <w:t xml:space="preserve"> this </w:t>
      </w:r>
      <w:proofErr w:type="spellStart"/>
      <w:r w:rsidRPr="00C92247">
        <w:rPr>
          <w:rFonts w:ascii="Book Antiqua" w:eastAsia="Calibri" w:hAnsi="Book Antiqua" w:cs="Arial"/>
          <w:sz w:val="20"/>
          <w:szCs w:val="20"/>
          <w:bdr w:val="nil"/>
        </w:rPr>
        <w:t>licence</w:t>
      </w:r>
      <w:proofErr w:type="spellEnd"/>
      <w:r w:rsidRPr="00C92247">
        <w:rPr>
          <w:rFonts w:ascii="Book Antiqua" w:eastAsia="Calibri" w:hAnsi="Book Antiqua" w:cs="Arial"/>
          <w:sz w:val="20"/>
          <w:szCs w:val="20"/>
          <w:bdr w:val="nil"/>
        </w:rPr>
        <w:t xml:space="preserve"> and any other use of this document are welcome at:</w:t>
      </w:r>
    </w:p>
    <w:p w:rsidR="00122A50" w:rsidRDefault="00D5482E" w:rsidP="00AF690E">
      <w:pPr>
        <w:pBdr>
          <w:top w:val="nil"/>
          <w:left w:val="nil"/>
          <w:bottom w:val="nil"/>
          <w:right w:val="nil"/>
          <w:between w:val="nil"/>
          <w:bar w:val="nil"/>
        </w:pBdr>
        <w:spacing w:after="240" w:line="240" w:lineRule="auto"/>
        <w:ind w:left="720"/>
        <w:rPr>
          <w:rFonts w:ascii="Book Antiqua" w:eastAsia="Calibri" w:hAnsi="Book Antiqua" w:cs="Arial"/>
          <w:sz w:val="20"/>
          <w:szCs w:val="20"/>
          <w:bdr w:val="nil"/>
        </w:rPr>
      </w:pPr>
      <w:r>
        <w:rPr>
          <w:rFonts w:ascii="Book Antiqua" w:eastAsia="Calibri" w:hAnsi="Book Antiqua" w:cs="Arial"/>
          <w:i/>
          <w:sz w:val="20"/>
          <w:szCs w:val="20"/>
          <w:bdr w:val="nil"/>
        </w:rPr>
        <w:t>Andrew Harvey</w:t>
      </w:r>
      <w:r w:rsidRPr="00C92247">
        <w:rPr>
          <w:rFonts w:ascii="Book Antiqua" w:eastAsia="Calibri" w:hAnsi="Book Antiqua" w:cs="Arial"/>
          <w:i/>
          <w:sz w:val="20"/>
          <w:szCs w:val="20"/>
          <w:bdr w:val="nil"/>
        </w:rPr>
        <w:t>,</w:t>
      </w:r>
      <w:r>
        <w:rPr>
          <w:rFonts w:ascii="Book Antiqua" w:eastAsia="Calibri" w:hAnsi="Book Antiqua" w:cs="Arial"/>
          <w:i/>
          <w:sz w:val="20"/>
          <w:szCs w:val="20"/>
          <w:bdr w:val="nil"/>
        </w:rPr>
        <w:t xml:space="preserve"> Chief Finance Officer, </w:t>
      </w:r>
      <w:r w:rsidRPr="00DC35F9">
        <w:rPr>
          <w:rFonts w:ascii="Book Antiqua" w:eastAsia="Calibri" w:hAnsi="Book Antiqua" w:cs="Arial"/>
          <w:i/>
          <w:sz w:val="20"/>
          <w:szCs w:val="20"/>
          <w:bdr w:val="nil"/>
        </w:rPr>
        <w:t>Department of Social Services</w:t>
      </w:r>
      <w:r w:rsidRPr="00C92247">
        <w:rPr>
          <w:rFonts w:ascii="Book Antiqua" w:eastAsia="Calibri" w:hAnsi="Book Antiqua" w:cs="Arial"/>
          <w:i/>
          <w:sz w:val="20"/>
          <w:szCs w:val="20"/>
          <w:bdr w:val="nil"/>
        </w:rPr>
        <w:br/>
      </w:r>
      <w:r w:rsidRPr="00DC35F9">
        <w:rPr>
          <w:rFonts w:ascii="Book Antiqua" w:eastAsia="Calibri" w:hAnsi="Book Antiqua" w:cs="Arial"/>
          <w:i/>
          <w:sz w:val="20"/>
          <w:szCs w:val="20"/>
          <w:bdr w:val="nil"/>
        </w:rPr>
        <w:t>1300 653 227</w:t>
      </w:r>
      <w:r w:rsidRPr="00C92247">
        <w:rPr>
          <w:rFonts w:ascii="Book Antiqua" w:eastAsia="Calibri" w:hAnsi="Book Antiqua" w:cs="Arial"/>
          <w:i/>
          <w:sz w:val="20"/>
          <w:szCs w:val="20"/>
          <w:bdr w:val="nil"/>
        </w:rPr>
        <w:t>.</w:t>
      </w:r>
    </w:p>
    <w:p w:rsidR="00A51081" w:rsidRPr="00A51081" w:rsidRDefault="00A51081" w:rsidP="00A51081">
      <w:pPr>
        <w:pBdr>
          <w:top w:val="nil"/>
          <w:left w:val="nil"/>
          <w:bottom w:val="nil"/>
          <w:right w:val="nil"/>
          <w:between w:val="nil"/>
          <w:bar w:val="nil"/>
        </w:pBdr>
        <w:spacing w:after="240" w:line="240" w:lineRule="auto"/>
        <w:rPr>
          <w:rFonts w:ascii="Book Antiqua" w:eastAsia="Calibri" w:hAnsi="Book Antiqua" w:cs="Arial"/>
          <w:sz w:val="20"/>
          <w:szCs w:val="20"/>
          <w:bdr w:val="nil"/>
        </w:rPr>
      </w:pPr>
      <w:r>
        <w:rPr>
          <w:rFonts w:ascii="Book Antiqua" w:eastAsia="Calibri" w:hAnsi="Book Antiqua" w:cs="Arial"/>
          <w:sz w:val="20"/>
          <w:szCs w:val="20"/>
          <w:bdr w:val="nil"/>
        </w:rPr>
        <w:t xml:space="preserve">Printed by </w:t>
      </w:r>
      <w:proofErr w:type="spellStart"/>
      <w:r>
        <w:rPr>
          <w:rFonts w:ascii="Book Antiqua" w:eastAsia="Calibri" w:hAnsi="Book Antiqua" w:cs="Arial"/>
          <w:sz w:val="20"/>
          <w:szCs w:val="20"/>
          <w:bdr w:val="nil"/>
        </w:rPr>
        <w:t>CanPrint</w:t>
      </w:r>
      <w:proofErr w:type="spellEnd"/>
      <w:r>
        <w:rPr>
          <w:rFonts w:ascii="Book Antiqua" w:eastAsia="Calibri" w:hAnsi="Book Antiqua" w:cs="Arial"/>
          <w:sz w:val="20"/>
          <w:szCs w:val="20"/>
          <w:bdr w:val="nil"/>
        </w:rPr>
        <w:t xml:space="preserve"> Communications Pty Ltd</w:t>
      </w:r>
    </w:p>
    <w:p w:rsidR="00A375C2" w:rsidRPr="001709AE" w:rsidRDefault="00ED4174" w:rsidP="001709AE">
      <w:pPr>
        <w:pBdr>
          <w:top w:val="nil"/>
          <w:left w:val="nil"/>
          <w:bottom w:val="nil"/>
          <w:right w:val="nil"/>
          <w:between w:val="nil"/>
          <w:bar w:val="nil"/>
        </w:pBdr>
        <w:rPr>
          <w:rFonts w:ascii="Calibri" w:eastAsia="Calibri" w:hAnsi="Calibri" w:cs="Arial"/>
          <w:bdr w:val="nil"/>
        </w:rPr>
        <w:sectPr w:rsidR="00A375C2" w:rsidRPr="001709AE" w:rsidSect="001C56C9">
          <w:headerReference w:type="even" r:id="rId9"/>
          <w:headerReference w:type="default" r:id="rId10"/>
          <w:footerReference w:type="even" r:id="rId11"/>
          <w:footerReference w:type="default" r:id="rId12"/>
          <w:headerReference w:type="first" r:id="rId13"/>
          <w:footerReference w:type="first" r:id="rId14"/>
          <w:type w:val="continuous"/>
          <w:pgSz w:w="11906" w:h="16838"/>
          <w:pgMar w:top="2466" w:right="2098" w:bottom="2466" w:left="2098" w:header="1899" w:footer="1899" w:gutter="0"/>
          <w:pgBorders>
            <w:top w:val="nil"/>
            <w:left w:val="nil"/>
            <w:bottom w:val="nil"/>
            <w:right w:val="nil"/>
          </w:pgBorders>
          <w:cols w:space="720"/>
          <w:docGrid w:linePitch="360"/>
        </w:sectPr>
      </w:pPr>
      <w:r>
        <w:rPr>
          <w:noProof/>
          <w:lang w:val="en-AU" w:eastAsia="en-AU"/>
        </w:rPr>
        <w:lastRenderedPageBreak/>
        <w:drawing>
          <wp:inline distT="0" distB="0" distL="0" distR="0" wp14:anchorId="28A46319" wp14:editId="02972993">
            <wp:extent cx="4895850" cy="6736715"/>
            <wp:effectExtent l="0" t="0" r="0" b="6985"/>
            <wp:docPr id="1" name="Picture 1" descr="Start letter&#10;&#10;Senator the Hon Anne Ruston &#10;Minister for Families and Social Services &#10;Senator for South Australian Government&#10;Manager of Government Business in the Senate&#10;&#10;The Hon Stuart Robert MP&#10;Minister for the National Disability Insurance Scheme&#10;Minister for Government Services &#10;&#10;PARLIAMENT HOUSE&#10;CANBERRA 2600&#10;&#10;President of the Senate&#10;Australian Senate&#10;Parliament House&#10;CANBERRA ACT 2600&#10;&#10;&#10;Speaker&#10;House of Representatives&#10;Parliament House&#10;CANBERRA ACT 2600&#10;                                                                                                                                          &#10;&#10;Dear Mr President&#10;Dear Mr Speaker&#10;&#10;We hereby submit Portfolio Additional Estimates Statements in support of the 2020 21 Additional Estimates for the Social Services Portfolio.&#10;&#10;These statements have been developed, and are submitted to the Parliament, as a statement on the funding requirements being sought for the Portfolio.&#10;&#10;We present these statements by virtue of our ministerial responsibility for accountability to the Parliament and, through it, the public.&#10;&#10;Yours sincerely&#10;&#10;Senator the Hon Anne Ruston and The Hon Stuart Robert MP&#10;&#10;End letter" title="Letter of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20000"/>
                              </a14:imgEffect>
                            </a14:imgLayer>
                          </a14:imgProps>
                        </a:ext>
                      </a:extLst>
                    </a:blip>
                    <a:stretch>
                      <a:fillRect/>
                    </a:stretch>
                  </pic:blipFill>
                  <pic:spPr>
                    <a:xfrm>
                      <a:off x="0" y="0"/>
                      <a:ext cx="4895850" cy="6736715"/>
                    </a:xfrm>
                    <a:prstGeom prst="rect">
                      <a:avLst/>
                    </a:prstGeom>
                  </pic:spPr>
                </pic:pic>
              </a:graphicData>
            </a:graphic>
          </wp:inline>
        </w:drawing>
      </w:r>
    </w:p>
    <w:p w:rsidR="005D5A8C" w:rsidRPr="0039605A" w:rsidRDefault="00D5482E" w:rsidP="00EF1139">
      <w:pPr>
        <w:pStyle w:val="Heading3"/>
        <w:pageBreakBefore/>
        <w:pBdr>
          <w:top w:val="nil"/>
          <w:left w:val="nil"/>
          <w:bottom w:val="nil"/>
          <w:right w:val="nil"/>
          <w:between w:val="nil"/>
          <w:bar w:val="nil"/>
        </w:pBdr>
        <w:jc w:val="center"/>
        <w:rPr>
          <w:sz w:val="34"/>
          <w:szCs w:val="34"/>
          <w:bdr w:val="nil"/>
        </w:rPr>
      </w:pPr>
      <w:r w:rsidRPr="0039605A">
        <w:rPr>
          <w:sz w:val="34"/>
          <w:szCs w:val="34"/>
          <w:bdr w:val="nil"/>
        </w:rPr>
        <w:lastRenderedPageBreak/>
        <w:t>Abbreviations and conventions</w:t>
      </w:r>
    </w:p>
    <w:p w:rsidR="005D5A8C" w:rsidRPr="005D5A8C" w:rsidRDefault="00D5482E" w:rsidP="00EF1139">
      <w:pPr>
        <w:pBdr>
          <w:top w:val="nil"/>
          <w:left w:val="nil"/>
          <w:bottom w:val="nil"/>
          <w:right w:val="nil"/>
          <w:between w:val="nil"/>
          <w:bar w:val="nil"/>
        </w:pBdr>
        <w:tabs>
          <w:tab w:val="left" w:pos="567"/>
        </w:tabs>
        <w:spacing w:after="240" w:line="240" w:lineRule="auto"/>
        <w:jc w:val="both"/>
        <w:rPr>
          <w:rFonts w:ascii="Book Antiqua" w:eastAsia="Calibri" w:hAnsi="Book Antiqua" w:cs="Arial"/>
          <w:sz w:val="20"/>
          <w:bdr w:val="nil"/>
        </w:rPr>
      </w:pPr>
      <w:r w:rsidRPr="005D5A8C">
        <w:rPr>
          <w:rFonts w:ascii="Book Antiqua" w:eastAsia="Calibri" w:hAnsi="Book Antiqua" w:cs="Arial"/>
          <w:sz w:val="20"/>
          <w:bdr w:val="nil"/>
        </w:rPr>
        <w:t>The following notations may be used:</w:t>
      </w:r>
    </w:p>
    <w:p w:rsidR="005D5A8C" w:rsidRPr="005D5A8C" w:rsidRDefault="00D5482E" w:rsidP="00EF1139">
      <w:pPr>
        <w:pBdr>
          <w:top w:val="nil"/>
          <w:left w:val="nil"/>
          <w:bottom w:val="nil"/>
          <w:right w:val="nil"/>
          <w:between w:val="nil"/>
          <w:bar w:val="nil"/>
        </w:pBdr>
        <w:tabs>
          <w:tab w:val="left" w:pos="567"/>
          <w:tab w:val="left" w:pos="1701"/>
        </w:tabs>
        <w:spacing w:after="60" w:line="240" w:lineRule="auto"/>
        <w:ind w:left="567"/>
        <w:rPr>
          <w:rFonts w:ascii="Book Antiqua" w:eastAsia="Calibri" w:hAnsi="Book Antiqua" w:cs="Arial"/>
          <w:sz w:val="20"/>
          <w:bdr w:val="nil"/>
        </w:rPr>
      </w:pPr>
      <w:r w:rsidRPr="005D5A8C">
        <w:rPr>
          <w:rFonts w:ascii="Book Antiqua" w:eastAsia="Calibri" w:hAnsi="Book Antiqua" w:cs="Arial"/>
          <w:sz w:val="20"/>
          <w:bdr w:val="nil"/>
        </w:rPr>
        <w:t>NEC/</w:t>
      </w:r>
      <w:proofErr w:type="spellStart"/>
      <w:r w:rsidRPr="005D5A8C">
        <w:rPr>
          <w:rFonts w:ascii="Book Antiqua" w:eastAsia="Calibri" w:hAnsi="Book Antiqua" w:cs="Arial"/>
          <w:sz w:val="20"/>
          <w:bdr w:val="nil"/>
        </w:rPr>
        <w:t>nec</w:t>
      </w:r>
      <w:proofErr w:type="spellEnd"/>
      <w:r w:rsidRPr="005D5A8C">
        <w:rPr>
          <w:rFonts w:ascii="Book Antiqua" w:eastAsia="Calibri" w:hAnsi="Book Antiqua" w:cs="Arial"/>
          <w:sz w:val="20"/>
          <w:bdr w:val="nil"/>
        </w:rPr>
        <w:tab/>
        <w:t>not elsewhere classified</w:t>
      </w:r>
    </w:p>
    <w:p w:rsidR="005D5A8C" w:rsidRPr="005D5A8C" w:rsidRDefault="00D5482E" w:rsidP="00EF1139">
      <w:pPr>
        <w:pBdr>
          <w:top w:val="nil"/>
          <w:left w:val="nil"/>
          <w:bottom w:val="nil"/>
          <w:right w:val="nil"/>
          <w:between w:val="nil"/>
          <w:bar w:val="nil"/>
        </w:pBdr>
        <w:tabs>
          <w:tab w:val="left" w:pos="567"/>
          <w:tab w:val="left" w:pos="1701"/>
        </w:tabs>
        <w:spacing w:after="60" w:line="240" w:lineRule="auto"/>
        <w:ind w:left="567"/>
        <w:rPr>
          <w:rFonts w:ascii="Book Antiqua" w:eastAsia="Calibri" w:hAnsi="Book Antiqua" w:cs="Arial"/>
          <w:sz w:val="20"/>
          <w:bdr w:val="nil"/>
        </w:rPr>
      </w:pPr>
      <w:r>
        <w:rPr>
          <w:rFonts w:ascii="Book Antiqua" w:eastAsia="Calibri" w:hAnsi="Book Antiqua" w:cs="Arial"/>
          <w:sz w:val="20"/>
          <w:bdr w:val="nil"/>
        </w:rPr>
        <w:t>–</w:t>
      </w:r>
      <w:r w:rsidRPr="005D5A8C">
        <w:rPr>
          <w:rFonts w:ascii="Book Antiqua" w:eastAsia="Calibri" w:hAnsi="Book Antiqua" w:cs="Arial"/>
          <w:sz w:val="20"/>
          <w:bdr w:val="nil"/>
        </w:rPr>
        <w:tab/>
        <w:t>nil</w:t>
      </w:r>
    </w:p>
    <w:p w:rsidR="005D5A8C" w:rsidRPr="005D5A8C" w:rsidRDefault="00D5482E" w:rsidP="00EF1139">
      <w:pPr>
        <w:pBdr>
          <w:top w:val="nil"/>
          <w:left w:val="nil"/>
          <w:bottom w:val="nil"/>
          <w:right w:val="nil"/>
          <w:between w:val="nil"/>
          <w:bar w:val="nil"/>
        </w:pBdr>
        <w:tabs>
          <w:tab w:val="left" w:pos="567"/>
          <w:tab w:val="left" w:pos="1701"/>
        </w:tabs>
        <w:spacing w:after="60" w:line="240" w:lineRule="auto"/>
        <w:ind w:left="567"/>
        <w:rPr>
          <w:rFonts w:ascii="Book Antiqua" w:eastAsia="Calibri" w:hAnsi="Book Antiqua" w:cs="Arial"/>
          <w:sz w:val="20"/>
          <w:bdr w:val="nil"/>
        </w:rPr>
      </w:pPr>
      <w:r w:rsidRPr="005D5A8C">
        <w:rPr>
          <w:rFonts w:ascii="Book Antiqua" w:eastAsia="Calibri" w:hAnsi="Book Antiqua" w:cs="Arial"/>
          <w:sz w:val="20"/>
          <w:bdr w:val="nil"/>
        </w:rPr>
        <w:t>..</w:t>
      </w:r>
      <w:r w:rsidRPr="005D5A8C">
        <w:rPr>
          <w:rFonts w:ascii="Book Antiqua" w:eastAsia="Calibri" w:hAnsi="Book Antiqua" w:cs="Arial"/>
          <w:sz w:val="20"/>
          <w:bdr w:val="nil"/>
        </w:rPr>
        <w:tab/>
        <w:t>not zero, but rounded to zero</w:t>
      </w:r>
    </w:p>
    <w:p w:rsidR="005D5A8C" w:rsidRPr="005D5A8C" w:rsidRDefault="00D5482E" w:rsidP="00EF1139">
      <w:pPr>
        <w:pBdr>
          <w:top w:val="nil"/>
          <w:left w:val="nil"/>
          <w:bottom w:val="nil"/>
          <w:right w:val="nil"/>
          <w:between w:val="nil"/>
          <w:bar w:val="nil"/>
        </w:pBdr>
        <w:tabs>
          <w:tab w:val="left" w:pos="567"/>
          <w:tab w:val="left" w:pos="1701"/>
        </w:tabs>
        <w:spacing w:after="60" w:line="240" w:lineRule="auto"/>
        <w:ind w:left="567"/>
        <w:rPr>
          <w:rFonts w:ascii="Book Antiqua" w:eastAsia="Calibri" w:hAnsi="Book Antiqua" w:cs="Arial"/>
          <w:sz w:val="20"/>
          <w:bdr w:val="nil"/>
        </w:rPr>
      </w:pPr>
      <w:proofErr w:type="spellStart"/>
      <w:r w:rsidRPr="005D5A8C">
        <w:rPr>
          <w:rFonts w:ascii="Book Antiqua" w:eastAsia="Calibri" w:hAnsi="Book Antiqua" w:cs="Arial"/>
          <w:sz w:val="20"/>
          <w:bdr w:val="nil"/>
        </w:rPr>
        <w:t>na</w:t>
      </w:r>
      <w:proofErr w:type="spellEnd"/>
      <w:r w:rsidRPr="005D5A8C">
        <w:rPr>
          <w:rFonts w:ascii="Book Antiqua" w:eastAsia="Calibri" w:hAnsi="Book Antiqua" w:cs="Arial"/>
          <w:sz w:val="20"/>
          <w:bdr w:val="nil"/>
        </w:rPr>
        <w:tab/>
        <w:t>not applicable (unless otherwise specified)</w:t>
      </w:r>
    </w:p>
    <w:p w:rsidR="005D5A8C" w:rsidRPr="005D5A8C" w:rsidRDefault="00D5482E" w:rsidP="00EF1139">
      <w:pPr>
        <w:pBdr>
          <w:top w:val="nil"/>
          <w:left w:val="nil"/>
          <w:bottom w:val="nil"/>
          <w:right w:val="nil"/>
          <w:between w:val="nil"/>
          <w:bar w:val="nil"/>
        </w:pBdr>
        <w:tabs>
          <w:tab w:val="left" w:pos="567"/>
          <w:tab w:val="left" w:pos="1701"/>
        </w:tabs>
        <w:spacing w:after="60" w:line="240" w:lineRule="auto"/>
        <w:ind w:left="567"/>
        <w:rPr>
          <w:rFonts w:ascii="Book Antiqua" w:eastAsia="Calibri" w:hAnsi="Book Antiqua" w:cs="Arial"/>
          <w:sz w:val="20"/>
          <w:bdr w:val="nil"/>
        </w:rPr>
      </w:pPr>
      <w:r w:rsidRPr="005D5A8C">
        <w:rPr>
          <w:rFonts w:ascii="Book Antiqua" w:eastAsia="Calibri" w:hAnsi="Book Antiqua" w:cs="Arial"/>
          <w:sz w:val="20"/>
          <w:bdr w:val="nil"/>
        </w:rPr>
        <w:t>nfp</w:t>
      </w:r>
      <w:r w:rsidRPr="005D5A8C">
        <w:rPr>
          <w:rFonts w:ascii="Book Antiqua" w:eastAsia="Calibri" w:hAnsi="Book Antiqua" w:cs="Arial"/>
          <w:sz w:val="20"/>
          <w:bdr w:val="nil"/>
        </w:rPr>
        <w:tab/>
        <w:t>not for publication</w:t>
      </w:r>
    </w:p>
    <w:p w:rsidR="005D5A8C" w:rsidRPr="005D5A8C" w:rsidRDefault="00D5482E" w:rsidP="00EF1139">
      <w:pPr>
        <w:pBdr>
          <w:top w:val="nil"/>
          <w:left w:val="nil"/>
          <w:bottom w:val="nil"/>
          <w:right w:val="nil"/>
          <w:between w:val="nil"/>
          <w:bar w:val="nil"/>
        </w:pBdr>
        <w:tabs>
          <w:tab w:val="left" w:pos="567"/>
          <w:tab w:val="left" w:pos="1701"/>
        </w:tabs>
        <w:spacing w:after="60" w:line="240" w:lineRule="auto"/>
        <w:ind w:left="567"/>
        <w:rPr>
          <w:rFonts w:ascii="Book Antiqua" w:eastAsia="Calibri" w:hAnsi="Book Antiqua" w:cs="Arial"/>
          <w:sz w:val="20"/>
          <w:bdr w:val="nil"/>
        </w:rPr>
      </w:pPr>
      <w:r w:rsidRPr="005D5A8C">
        <w:rPr>
          <w:rFonts w:ascii="Book Antiqua" w:eastAsia="Calibri" w:hAnsi="Book Antiqua" w:cs="Arial"/>
          <w:sz w:val="20"/>
          <w:bdr w:val="nil"/>
        </w:rPr>
        <w:t>$m</w:t>
      </w:r>
      <w:r w:rsidRPr="005D5A8C">
        <w:rPr>
          <w:rFonts w:ascii="Book Antiqua" w:eastAsia="Calibri" w:hAnsi="Book Antiqua" w:cs="Arial"/>
          <w:sz w:val="20"/>
          <w:bdr w:val="nil"/>
        </w:rPr>
        <w:tab/>
        <w:t>$ million</w:t>
      </w:r>
    </w:p>
    <w:p w:rsidR="005D5A8C" w:rsidRPr="005D5A8C" w:rsidRDefault="00D5482E" w:rsidP="00EF1139">
      <w:pPr>
        <w:pBdr>
          <w:top w:val="nil"/>
          <w:left w:val="nil"/>
          <w:bottom w:val="nil"/>
          <w:right w:val="nil"/>
          <w:between w:val="nil"/>
          <w:bar w:val="nil"/>
        </w:pBdr>
        <w:tabs>
          <w:tab w:val="left" w:pos="567"/>
          <w:tab w:val="left" w:pos="1701"/>
        </w:tabs>
        <w:spacing w:after="240" w:line="240" w:lineRule="auto"/>
        <w:ind w:left="567"/>
        <w:rPr>
          <w:rFonts w:ascii="Book Antiqua" w:eastAsia="Calibri" w:hAnsi="Book Antiqua" w:cs="Arial"/>
          <w:sz w:val="20"/>
          <w:bdr w:val="nil"/>
        </w:rPr>
      </w:pPr>
      <w:r w:rsidRPr="005D5A8C">
        <w:rPr>
          <w:rFonts w:ascii="Book Antiqua" w:eastAsia="Calibri" w:hAnsi="Book Antiqua" w:cs="Arial"/>
          <w:sz w:val="20"/>
          <w:bdr w:val="nil"/>
        </w:rPr>
        <w:t>$b</w:t>
      </w:r>
      <w:r w:rsidRPr="005D5A8C">
        <w:rPr>
          <w:rFonts w:ascii="Book Antiqua" w:eastAsia="Calibri" w:hAnsi="Book Antiqua" w:cs="Arial"/>
          <w:sz w:val="20"/>
          <w:bdr w:val="nil"/>
        </w:rPr>
        <w:tab/>
        <w:t>$ billion</w:t>
      </w:r>
    </w:p>
    <w:p w:rsidR="005D5A8C" w:rsidRPr="005D5A8C" w:rsidRDefault="00D5482E" w:rsidP="00EF1139">
      <w:pPr>
        <w:pBdr>
          <w:top w:val="nil"/>
          <w:left w:val="nil"/>
          <w:bottom w:val="nil"/>
          <w:right w:val="nil"/>
          <w:between w:val="nil"/>
          <w:bar w:val="nil"/>
        </w:pBdr>
        <w:spacing w:after="240" w:line="240" w:lineRule="auto"/>
        <w:jc w:val="both"/>
        <w:rPr>
          <w:rFonts w:ascii="Book Antiqua" w:eastAsia="Calibri" w:hAnsi="Book Antiqua" w:cs="Arial"/>
          <w:sz w:val="20"/>
          <w:bdr w:val="nil"/>
        </w:rPr>
      </w:pPr>
      <w:r w:rsidRPr="005D5A8C">
        <w:rPr>
          <w:rFonts w:ascii="Book Antiqua" w:eastAsia="Calibri" w:hAnsi="Book Antiqua" w:cs="Arial"/>
          <w:sz w:val="20"/>
          <w:bdr w:val="nil"/>
        </w:rPr>
        <w:t>Figures in tables and in the text may be rounded. Figures in text are generally rounded to one decimal place, whereas figures in tables are generally rounded to the nearest thousand. Discrepancies in tables between totals and sums of components are due to rounding.</w:t>
      </w:r>
    </w:p>
    <w:p w:rsidR="005D5A8C" w:rsidRPr="0039605A" w:rsidRDefault="00D5482E" w:rsidP="00EF1139">
      <w:pPr>
        <w:pStyle w:val="Heading3"/>
        <w:pBdr>
          <w:top w:val="nil"/>
          <w:left w:val="nil"/>
          <w:bottom w:val="nil"/>
          <w:right w:val="nil"/>
          <w:between w:val="nil"/>
          <w:bar w:val="nil"/>
        </w:pBdr>
        <w:rPr>
          <w:b w:val="0"/>
          <w:smallCaps w:val="0"/>
          <w:sz w:val="30"/>
          <w:szCs w:val="26"/>
          <w:bdr w:val="nil"/>
        </w:rPr>
      </w:pPr>
      <w:bookmarkStart w:id="0" w:name="_Toc210646442"/>
      <w:bookmarkStart w:id="1" w:name="_Toc210698421"/>
      <w:bookmarkStart w:id="2" w:name="_Toc210700992"/>
      <w:bookmarkStart w:id="3" w:name="_Toc210703165"/>
      <w:bookmarkStart w:id="4" w:name="_Toc210703206"/>
      <w:r w:rsidRPr="0039605A">
        <w:rPr>
          <w:b w:val="0"/>
          <w:smallCaps w:val="0"/>
          <w:sz w:val="30"/>
          <w:szCs w:val="26"/>
          <w:bdr w:val="nil"/>
        </w:rPr>
        <w:t>Enquiries</w:t>
      </w:r>
      <w:bookmarkEnd w:id="0"/>
      <w:bookmarkEnd w:id="1"/>
      <w:bookmarkEnd w:id="2"/>
      <w:bookmarkEnd w:id="3"/>
      <w:bookmarkEnd w:id="4"/>
    </w:p>
    <w:p w:rsidR="005D5A8C" w:rsidRPr="004C73CC" w:rsidRDefault="00D5482E" w:rsidP="00EF1139">
      <w:pPr>
        <w:pBdr>
          <w:top w:val="nil"/>
          <w:left w:val="nil"/>
          <w:bottom w:val="nil"/>
          <w:right w:val="nil"/>
          <w:between w:val="nil"/>
          <w:bar w:val="nil"/>
        </w:pBdr>
        <w:spacing w:after="240" w:line="240" w:lineRule="auto"/>
        <w:jc w:val="both"/>
        <w:rPr>
          <w:rFonts w:ascii="Book Antiqua" w:eastAsia="Calibri" w:hAnsi="Book Antiqua" w:cs="Arial"/>
          <w:sz w:val="20"/>
          <w:szCs w:val="20"/>
          <w:bdr w:val="nil"/>
        </w:rPr>
      </w:pPr>
      <w:r>
        <w:rPr>
          <w:rFonts w:ascii="Book Antiqua" w:eastAsia="Calibri" w:hAnsi="Book Antiqua" w:cs="Arial"/>
          <w:sz w:val="20"/>
          <w:szCs w:val="20"/>
          <w:bdr w:val="nil"/>
        </w:rPr>
        <w:t>Should</w:t>
      </w:r>
      <w:r w:rsidRPr="004C73CC">
        <w:rPr>
          <w:rFonts w:ascii="Book Antiqua" w:eastAsia="Calibri" w:hAnsi="Book Antiqua" w:cs="Arial"/>
          <w:sz w:val="20"/>
          <w:szCs w:val="20"/>
          <w:bdr w:val="nil"/>
        </w:rPr>
        <w:t xml:space="preserve"> you have any enquiries regarding this </w:t>
      </w:r>
      <w:r>
        <w:rPr>
          <w:rFonts w:ascii="Book Antiqua" w:eastAsia="Calibri" w:hAnsi="Book Antiqua" w:cs="Arial"/>
          <w:sz w:val="20"/>
          <w:szCs w:val="20"/>
          <w:bdr w:val="nil"/>
        </w:rPr>
        <w:t>publication, please contact Andrew Harvey, Chief Finance Officer</w:t>
      </w:r>
      <w:r w:rsidRPr="004C73CC">
        <w:rPr>
          <w:rFonts w:ascii="Book Antiqua" w:eastAsia="Calibri" w:hAnsi="Book Antiqua" w:cs="Arial"/>
          <w:sz w:val="20"/>
          <w:szCs w:val="20"/>
          <w:bdr w:val="nil"/>
        </w:rPr>
        <w:t>,</w:t>
      </w:r>
      <w:r>
        <w:rPr>
          <w:rFonts w:ascii="Book Antiqua" w:eastAsia="Calibri" w:hAnsi="Book Antiqua" w:cs="Arial"/>
          <w:sz w:val="20"/>
          <w:szCs w:val="20"/>
          <w:bdr w:val="nil"/>
        </w:rPr>
        <w:t xml:space="preserve"> in the Department of Social Services on</w:t>
      </w:r>
      <w:r w:rsidRPr="004C73CC">
        <w:rPr>
          <w:rFonts w:ascii="Book Antiqua" w:eastAsia="Calibri" w:hAnsi="Book Antiqua" w:cs="Arial"/>
          <w:sz w:val="20"/>
          <w:szCs w:val="20"/>
          <w:bdr w:val="nil"/>
        </w:rPr>
        <w:t xml:space="preserve"> </w:t>
      </w:r>
      <w:r>
        <w:rPr>
          <w:rFonts w:ascii="Book Antiqua" w:eastAsia="Calibri" w:hAnsi="Book Antiqua" w:cs="Arial"/>
          <w:sz w:val="20"/>
          <w:szCs w:val="20"/>
          <w:bdr w:val="nil"/>
        </w:rPr>
        <w:t>1300 653 227.</w:t>
      </w:r>
    </w:p>
    <w:p w:rsidR="005D5A8C" w:rsidRPr="004C73CC" w:rsidRDefault="00D5482E" w:rsidP="00EF1139">
      <w:pPr>
        <w:pBdr>
          <w:top w:val="nil"/>
          <w:left w:val="nil"/>
          <w:bottom w:val="nil"/>
          <w:right w:val="nil"/>
          <w:between w:val="nil"/>
          <w:bar w:val="nil"/>
        </w:pBdr>
        <w:spacing w:after="240" w:line="240" w:lineRule="auto"/>
        <w:jc w:val="both"/>
        <w:rPr>
          <w:rFonts w:ascii="Book Antiqua" w:eastAsia="Calibri" w:hAnsi="Book Antiqua" w:cs="Arial"/>
          <w:sz w:val="20"/>
          <w:szCs w:val="20"/>
          <w:bdr w:val="nil"/>
        </w:rPr>
      </w:pPr>
      <w:r>
        <w:rPr>
          <w:rFonts w:ascii="Book Antiqua" w:eastAsia="Calibri" w:hAnsi="Book Antiqua" w:cs="Arial"/>
          <w:sz w:val="20"/>
          <w:szCs w:val="20"/>
          <w:bdr w:val="nil"/>
        </w:rPr>
        <w:t xml:space="preserve">Links to Portfolio Budget Statements (including Portfolio Additional Estimates Statements and Portfolio Supplementary Additional Estimates Statements) can be </w:t>
      </w:r>
      <w:r w:rsidRPr="004C73CC">
        <w:rPr>
          <w:rFonts w:ascii="Book Antiqua" w:eastAsia="Calibri" w:hAnsi="Book Antiqua" w:cs="Arial"/>
          <w:sz w:val="20"/>
          <w:szCs w:val="20"/>
          <w:bdr w:val="nil"/>
        </w:rPr>
        <w:t>found on the Australi</w:t>
      </w:r>
      <w:r>
        <w:rPr>
          <w:rFonts w:ascii="Book Antiqua" w:eastAsia="Calibri" w:hAnsi="Book Antiqua" w:cs="Arial"/>
          <w:sz w:val="20"/>
          <w:szCs w:val="20"/>
          <w:bdr w:val="nil"/>
        </w:rPr>
        <w:t xml:space="preserve">an Government Budget website at </w:t>
      </w:r>
      <w:hyperlink r:id="rId17" w:history="1">
        <w:r w:rsidRPr="004C73CC">
          <w:rPr>
            <w:rStyle w:val="Hyperlink"/>
            <w:rFonts w:eastAsia="Calibri" w:cs="Arial"/>
            <w:szCs w:val="20"/>
            <w:bdr w:val="nil"/>
          </w:rPr>
          <w:t>www.budget.gov.au</w:t>
        </w:r>
      </w:hyperlink>
      <w:r>
        <w:rPr>
          <w:rFonts w:ascii="Calibri" w:eastAsia="Calibri" w:hAnsi="Calibri" w:cs="Arial"/>
          <w:bdr w:val="nil"/>
        </w:rPr>
        <w:t>.</w:t>
      </w:r>
    </w:p>
    <w:p w:rsidR="00D86095" w:rsidRDefault="00D86095" w:rsidP="00EF1139">
      <w:pPr>
        <w:pBdr>
          <w:top w:val="nil"/>
          <w:left w:val="nil"/>
          <w:bottom w:val="nil"/>
          <w:right w:val="nil"/>
          <w:between w:val="nil"/>
          <w:bar w:val="nil"/>
        </w:pBdr>
        <w:spacing w:line="240" w:lineRule="auto"/>
        <w:rPr>
          <w:rFonts w:ascii="Calibri" w:eastAsia="Calibri" w:hAnsi="Calibri" w:cs="Arial"/>
          <w:bdr w:val="nil"/>
        </w:rPr>
        <w:sectPr w:rsidR="00D86095" w:rsidSect="001C56C9">
          <w:headerReference w:type="even" r:id="rId18"/>
          <w:headerReference w:type="default" r:id="rId19"/>
          <w:footerReference w:type="even" r:id="rId20"/>
          <w:footerReference w:type="default" r:id="rId21"/>
          <w:headerReference w:type="first" r:id="rId22"/>
          <w:footerReference w:type="first" r:id="rId23"/>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p>
    <w:p w:rsidR="0070703B" w:rsidRDefault="0070703B" w:rsidP="009F410F">
      <w:pPr>
        <w:pStyle w:val="PartHeading-NoTOC"/>
        <w:pageBreakBefore/>
        <w:pBdr>
          <w:top w:val="nil"/>
          <w:left w:val="nil"/>
          <w:bottom w:val="nil"/>
          <w:right w:val="nil"/>
          <w:between w:val="nil"/>
          <w:bar w:val="nil"/>
        </w:pBdr>
        <w:rPr>
          <w:bdr w:val="nil"/>
        </w:rPr>
      </w:pPr>
    </w:p>
    <w:p w:rsidR="0070703B" w:rsidRDefault="0070703B" w:rsidP="009F410F">
      <w:pPr>
        <w:pStyle w:val="PartHeading-NoTOC"/>
        <w:pBdr>
          <w:top w:val="nil"/>
          <w:left w:val="nil"/>
          <w:bottom w:val="nil"/>
          <w:right w:val="nil"/>
          <w:between w:val="nil"/>
          <w:bar w:val="nil"/>
        </w:pBdr>
        <w:rPr>
          <w:bdr w:val="nil"/>
        </w:rPr>
      </w:pPr>
    </w:p>
    <w:p w:rsidR="0070703B" w:rsidRDefault="0070703B" w:rsidP="009F410F">
      <w:pPr>
        <w:pStyle w:val="PartHeading-NoTOC"/>
        <w:pBdr>
          <w:top w:val="nil"/>
          <w:left w:val="nil"/>
          <w:bottom w:val="nil"/>
          <w:right w:val="nil"/>
          <w:between w:val="nil"/>
          <w:bar w:val="nil"/>
        </w:pBdr>
        <w:rPr>
          <w:bdr w:val="nil"/>
        </w:rPr>
      </w:pPr>
    </w:p>
    <w:p w:rsidR="0070703B" w:rsidRDefault="0070703B" w:rsidP="009F410F">
      <w:pPr>
        <w:pStyle w:val="PartHeading-NoTOC"/>
        <w:pBdr>
          <w:top w:val="nil"/>
          <w:left w:val="nil"/>
          <w:bottom w:val="nil"/>
          <w:right w:val="nil"/>
          <w:between w:val="nil"/>
          <w:bar w:val="nil"/>
        </w:pBdr>
        <w:rPr>
          <w:bdr w:val="nil"/>
        </w:rPr>
      </w:pPr>
    </w:p>
    <w:p w:rsidR="0070703B" w:rsidRDefault="0070703B" w:rsidP="009F410F">
      <w:pPr>
        <w:pStyle w:val="PartHeading-NoTOC"/>
        <w:pBdr>
          <w:top w:val="nil"/>
          <w:left w:val="nil"/>
          <w:bottom w:val="nil"/>
          <w:right w:val="nil"/>
          <w:between w:val="nil"/>
          <w:bar w:val="nil"/>
        </w:pBdr>
        <w:rPr>
          <w:bdr w:val="nil"/>
        </w:rPr>
      </w:pPr>
    </w:p>
    <w:p w:rsidR="006D6214" w:rsidRPr="009F410F" w:rsidRDefault="00D5482E" w:rsidP="009F410F">
      <w:pPr>
        <w:pStyle w:val="PartHeading-NoTOC"/>
        <w:pBdr>
          <w:top w:val="nil"/>
          <w:left w:val="nil"/>
          <w:bottom w:val="nil"/>
          <w:right w:val="nil"/>
          <w:between w:val="nil"/>
          <w:bar w:val="nil"/>
        </w:pBdr>
        <w:rPr>
          <w:bdr w:val="nil"/>
        </w:rPr>
        <w:sectPr w:rsidR="006D6214" w:rsidRPr="009F410F" w:rsidSect="0070703B">
          <w:headerReference w:type="even" r:id="rId24"/>
          <w:headerReference w:type="default" r:id="rId25"/>
          <w:footerReference w:type="even" r:id="rId26"/>
          <w:footerReference w:type="default" r:id="rId27"/>
          <w:headerReference w:type="first" r:id="rId28"/>
          <w:footerReference w:type="first" r:id="rId29"/>
          <w:type w:val="continuous"/>
          <w:pgSz w:w="11906" w:h="16838"/>
          <w:pgMar w:top="2466" w:right="2098" w:bottom="2466" w:left="2098" w:header="1899" w:footer="1899" w:gutter="0"/>
          <w:pgBorders>
            <w:top w:val="nil"/>
            <w:left w:val="nil"/>
            <w:bottom w:val="nil"/>
            <w:right w:val="nil"/>
          </w:pgBorders>
          <w:cols w:space="720"/>
          <w:docGrid w:linePitch="360"/>
        </w:sectPr>
      </w:pPr>
      <w:r>
        <w:rPr>
          <w:bdr w:val="nil"/>
        </w:rPr>
        <w:t>User guide</w:t>
      </w:r>
      <w:r>
        <w:rPr>
          <w:bdr w:val="nil"/>
        </w:rPr>
        <w:br/>
        <w:t>to the</w:t>
      </w:r>
      <w:r>
        <w:rPr>
          <w:bdr w:val="nil"/>
        </w:rPr>
        <w:br/>
        <w:t>Portfolio Additional</w:t>
      </w:r>
      <w:r>
        <w:rPr>
          <w:bdr w:val="nil"/>
        </w:rPr>
        <w:br/>
        <w:t>Estimate Statements</w:t>
      </w:r>
    </w:p>
    <w:p w:rsidR="00DE34D5" w:rsidRDefault="00DE34D5">
      <w:pPr>
        <w:pageBreakBefore/>
        <w:pBdr>
          <w:top w:val="nil"/>
          <w:left w:val="nil"/>
          <w:bottom w:val="nil"/>
          <w:right w:val="nil"/>
          <w:between w:val="nil"/>
          <w:bar w:val="nil"/>
        </w:pBdr>
        <w:rPr>
          <w:rFonts w:ascii="Calibri" w:eastAsia="Calibri" w:hAnsi="Calibri" w:cs="Arial"/>
          <w:bdr w:val="nil"/>
        </w:rPr>
        <w:sectPr w:rsidR="00DE34D5" w:rsidSect="00D86095">
          <w:headerReference w:type="even" r:id="rId30"/>
          <w:headerReference w:type="default" r:id="rId31"/>
          <w:footerReference w:type="even" r:id="rId32"/>
          <w:footerReference w:type="default" r:id="rId33"/>
          <w:headerReference w:type="first" r:id="rId34"/>
          <w:footerReference w:type="first" r:id="rId35"/>
          <w:type w:val="continuous"/>
          <w:pgSz w:w="11906" w:h="16838"/>
          <w:pgMar w:top="2466" w:right="2098" w:bottom="2466" w:left="2098" w:header="1899" w:footer="1899" w:gutter="0"/>
          <w:pgBorders>
            <w:top w:val="nil"/>
            <w:left w:val="nil"/>
            <w:bottom w:val="nil"/>
            <w:right w:val="nil"/>
          </w:pgBorders>
          <w:cols w:space="720"/>
          <w:docGrid w:linePitch="360"/>
        </w:sectPr>
      </w:pPr>
    </w:p>
    <w:p w:rsidR="00DC6A9E" w:rsidRDefault="00D5482E" w:rsidP="00DC6A9E">
      <w:pPr>
        <w:pStyle w:val="Heading1"/>
        <w:pageBreakBefore/>
        <w:pBdr>
          <w:top w:val="nil"/>
          <w:left w:val="nil"/>
          <w:bottom w:val="nil"/>
          <w:right w:val="nil"/>
          <w:between w:val="nil"/>
          <w:bar w:val="nil"/>
        </w:pBdr>
        <w:rPr>
          <w:kern w:val="0"/>
          <w:bdr w:val="nil"/>
          <w:lang w:val="en-US"/>
        </w:rPr>
      </w:pPr>
      <w:r>
        <w:rPr>
          <w:kern w:val="0"/>
          <w:bdr w:val="nil"/>
          <w:lang w:val="en-US"/>
        </w:rPr>
        <w:lastRenderedPageBreak/>
        <w:t>User Guide</w:t>
      </w:r>
    </w:p>
    <w:p w:rsidR="006B6F42" w:rsidRPr="006B6F42" w:rsidRDefault="00D5482E" w:rsidP="006B6F42">
      <w:pPr>
        <w:pBdr>
          <w:top w:val="nil"/>
          <w:left w:val="nil"/>
          <w:bottom w:val="nil"/>
          <w:right w:val="nil"/>
          <w:between w:val="nil"/>
          <w:bar w:val="nil"/>
        </w:pBdr>
        <w:tabs>
          <w:tab w:val="right" w:pos="7088"/>
        </w:tabs>
        <w:jc w:val="both"/>
        <w:rPr>
          <w:rFonts w:ascii="Book Antiqua" w:eastAsia="Calibri" w:hAnsi="Book Antiqua" w:cs="Arial"/>
          <w:sz w:val="20"/>
          <w:szCs w:val="20"/>
          <w:bdr w:val="nil"/>
        </w:rPr>
      </w:pPr>
      <w:r w:rsidRPr="006B6F42">
        <w:rPr>
          <w:rFonts w:ascii="Book Antiqua" w:eastAsia="Calibri" w:hAnsi="Book Antiqua" w:cs="Arial"/>
          <w:sz w:val="20"/>
          <w:szCs w:val="20"/>
          <w:bdr w:val="nil"/>
        </w:rPr>
        <w:t xml:space="preserve">The purpose of the </w:t>
      </w:r>
      <w:r w:rsidRPr="00452F98">
        <w:rPr>
          <w:rFonts w:ascii="Book Antiqua" w:eastAsia="Calibri" w:hAnsi="Book Antiqua" w:cs="Arial"/>
          <w:i/>
          <w:sz w:val="20"/>
          <w:szCs w:val="20"/>
          <w:bdr w:val="nil"/>
        </w:rPr>
        <w:t>2020-21 Portfolio Additional Estimates Statements</w:t>
      </w:r>
      <w:r w:rsidRPr="006B6F42">
        <w:rPr>
          <w:rFonts w:ascii="Book Antiqua" w:eastAsia="Calibri" w:hAnsi="Book Antiqua" w:cs="Arial"/>
          <w:sz w:val="20"/>
          <w:szCs w:val="20"/>
          <w:bdr w:val="nil"/>
        </w:rPr>
        <w:t xml:space="preserve"> (PAES), like that of the Portfolio Budget Statements, is to inform Senators and Members of Parliament of the proposed allocation of resources to Government outcomes by entities within the portfolio. The focus of the PAES differs from the P</w:t>
      </w:r>
      <w:r>
        <w:rPr>
          <w:rFonts w:ascii="Book Antiqua" w:eastAsia="Calibri" w:hAnsi="Book Antiqua" w:cs="Arial"/>
          <w:sz w:val="20"/>
          <w:szCs w:val="20"/>
          <w:bdr w:val="nil"/>
        </w:rPr>
        <w:t xml:space="preserve">ortfolio </w:t>
      </w:r>
      <w:r w:rsidRPr="006B6F42">
        <w:rPr>
          <w:rFonts w:ascii="Book Antiqua" w:eastAsia="Calibri" w:hAnsi="Book Antiqua" w:cs="Arial"/>
          <w:sz w:val="20"/>
          <w:szCs w:val="20"/>
          <w:bdr w:val="nil"/>
        </w:rPr>
        <w:t>B</w:t>
      </w:r>
      <w:r>
        <w:rPr>
          <w:rFonts w:ascii="Book Antiqua" w:eastAsia="Calibri" w:hAnsi="Book Antiqua" w:cs="Arial"/>
          <w:sz w:val="20"/>
          <w:szCs w:val="20"/>
          <w:bdr w:val="nil"/>
        </w:rPr>
        <w:t>udget</w:t>
      </w:r>
      <w:r w:rsidRPr="006B6F42">
        <w:rPr>
          <w:rFonts w:ascii="Book Antiqua" w:eastAsia="Calibri" w:hAnsi="Book Antiqua" w:cs="Arial"/>
          <w:sz w:val="20"/>
          <w:szCs w:val="20"/>
          <w:bdr w:val="nil"/>
        </w:rPr>
        <w:t xml:space="preserve"> Statements in one important aspect. While the PAES include an Entity Resource Statement to inform Parliament of the revised estimate of the total resources available to an entity, the focus of the PAES is on explaining the changes in resourcing by outcome(s) since the Budget. As such, the PAES provides information on new measures and th</w:t>
      </w:r>
      <w:r w:rsidR="001C56C9">
        <w:rPr>
          <w:rFonts w:ascii="Book Antiqua" w:eastAsia="Calibri" w:hAnsi="Book Antiqua" w:cs="Arial"/>
          <w:sz w:val="20"/>
          <w:szCs w:val="20"/>
          <w:bdr w:val="nil"/>
        </w:rPr>
        <w:t>eir impact on the financial and/</w:t>
      </w:r>
      <w:r w:rsidRPr="006B6F42">
        <w:rPr>
          <w:rFonts w:ascii="Book Antiqua" w:eastAsia="Calibri" w:hAnsi="Book Antiqua" w:cs="Arial"/>
          <w:sz w:val="20"/>
          <w:szCs w:val="20"/>
          <w:bdr w:val="nil"/>
        </w:rPr>
        <w:t>or non</w:t>
      </w:r>
      <w:r w:rsidRPr="006B6F42">
        <w:rPr>
          <w:rFonts w:ascii="Book Antiqua" w:eastAsia="Calibri" w:hAnsi="Book Antiqua" w:cs="Arial"/>
          <w:sz w:val="20"/>
          <w:szCs w:val="20"/>
          <w:bdr w:val="nil"/>
        </w:rPr>
        <w:noBreakHyphen/>
        <w:t>financial planned performance of programs supporting those outcomes.</w:t>
      </w:r>
    </w:p>
    <w:p w:rsidR="006B6F42" w:rsidRPr="006B6F42" w:rsidRDefault="00D5482E" w:rsidP="006B6F42">
      <w:pPr>
        <w:pBdr>
          <w:top w:val="nil"/>
          <w:left w:val="nil"/>
          <w:bottom w:val="nil"/>
          <w:right w:val="nil"/>
          <w:between w:val="nil"/>
          <w:bar w:val="nil"/>
        </w:pBdr>
        <w:tabs>
          <w:tab w:val="right" w:pos="7088"/>
        </w:tabs>
        <w:jc w:val="both"/>
        <w:rPr>
          <w:rFonts w:ascii="Book Antiqua" w:eastAsia="Calibri" w:hAnsi="Book Antiqua" w:cs="Arial"/>
          <w:sz w:val="20"/>
          <w:szCs w:val="20"/>
          <w:bdr w:val="nil"/>
        </w:rPr>
      </w:pPr>
      <w:r w:rsidRPr="006B6F42">
        <w:rPr>
          <w:rFonts w:ascii="Book Antiqua" w:eastAsia="Calibri" w:hAnsi="Book Antiqua" w:cs="Arial"/>
          <w:sz w:val="20"/>
          <w:szCs w:val="20"/>
          <w:bdr w:val="nil"/>
        </w:rPr>
        <w:t>The PAES facilitate understanding of the proposed appropriations in Appropriation Bills (Nos. 3 and 4)</w:t>
      </w:r>
      <w:r w:rsidRPr="006B6F42">
        <w:rPr>
          <w:rFonts w:ascii="Book Antiqua" w:eastAsia="Calibri" w:hAnsi="Book Antiqua" w:cs="Arial"/>
          <w:i/>
          <w:sz w:val="20"/>
          <w:szCs w:val="20"/>
          <w:bdr w:val="nil"/>
        </w:rPr>
        <w:t xml:space="preserve"> </w:t>
      </w:r>
      <w:r w:rsidRPr="006B6F42">
        <w:rPr>
          <w:rFonts w:ascii="Book Antiqua" w:eastAsia="Calibri" w:hAnsi="Book Antiqua" w:cs="Arial"/>
          <w:sz w:val="20"/>
          <w:szCs w:val="20"/>
          <w:bdr w:val="nil"/>
        </w:rPr>
        <w:t>and Appropriation (Parliamentary Departments) Bill (No. 2</w:t>
      </w:r>
      <w:r w:rsidRPr="006B6F42">
        <w:rPr>
          <w:rFonts w:ascii="Book Antiqua" w:eastAsia="Calibri" w:hAnsi="Book Antiqua" w:cs="Arial"/>
          <w:i/>
          <w:sz w:val="20"/>
          <w:szCs w:val="20"/>
          <w:bdr w:val="nil"/>
        </w:rPr>
        <w:t xml:space="preserve">) </w:t>
      </w:r>
      <w:r w:rsidRPr="006B6F42">
        <w:rPr>
          <w:rFonts w:ascii="Book Antiqua" w:eastAsia="Calibri" w:hAnsi="Book Antiqua" w:cs="Arial"/>
          <w:sz w:val="20"/>
          <w:szCs w:val="20"/>
          <w:bdr w:val="nil"/>
        </w:rPr>
        <w:br/>
      </w:r>
      <w:r w:rsidRPr="003B06C4">
        <w:rPr>
          <w:rFonts w:ascii="Book Antiqua" w:eastAsia="Calibri" w:hAnsi="Book Antiqua" w:cs="Arial"/>
          <w:sz w:val="20"/>
          <w:szCs w:val="20"/>
          <w:bdr w:val="nil"/>
        </w:rPr>
        <w:t>2020-2021</w:t>
      </w:r>
      <w:r w:rsidRPr="006B6F42">
        <w:rPr>
          <w:rFonts w:ascii="Book Antiqua" w:eastAsia="Calibri" w:hAnsi="Book Antiqua" w:cs="Arial"/>
          <w:sz w:val="20"/>
          <w:szCs w:val="20"/>
          <w:bdr w:val="nil"/>
        </w:rPr>
        <w:t xml:space="preserve">. In this sense, the PAES is declared by the Additional Estimates Appropriation Bills to be a ‘relevant document’ to the interpretation of the Bills according to section 15AB of the </w:t>
      </w:r>
      <w:r w:rsidRPr="006B6F42">
        <w:rPr>
          <w:rFonts w:ascii="Book Antiqua" w:eastAsia="Calibri" w:hAnsi="Book Antiqua" w:cs="Arial"/>
          <w:i/>
          <w:sz w:val="20"/>
          <w:szCs w:val="20"/>
          <w:bdr w:val="nil"/>
        </w:rPr>
        <w:t>Acts Interpretation Act 1901</w:t>
      </w:r>
      <w:r w:rsidRPr="006B6F42">
        <w:rPr>
          <w:rFonts w:ascii="Book Antiqua" w:eastAsia="Calibri" w:hAnsi="Book Antiqua" w:cs="Arial"/>
          <w:sz w:val="20"/>
          <w:szCs w:val="20"/>
          <w:bdr w:val="nil"/>
        </w:rPr>
        <w:t>.</w:t>
      </w:r>
    </w:p>
    <w:p w:rsidR="006B6F42" w:rsidRPr="006B6F42" w:rsidRDefault="00D5482E" w:rsidP="006B6F42">
      <w:pPr>
        <w:pBdr>
          <w:top w:val="nil"/>
          <w:left w:val="nil"/>
          <w:bottom w:val="nil"/>
          <w:right w:val="nil"/>
          <w:between w:val="nil"/>
          <w:bar w:val="nil"/>
        </w:pBdr>
        <w:tabs>
          <w:tab w:val="right" w:pos="7088"/>
        </w:tabs>
        <w:jc w:val="both"/>
        <w:rPr>
          <w:rFonts w:ascii="Book Antiqua" w:eastAsia="Calibri" w:hAnsi="Book Antiqua" w:cs="Arial"/>
          <w:sz w:val="20"/>
          <w:szCs w:val="20"/>
          <w:bdr w:val="nil"/>
        </w:rPr>
      </w:pPr>
      <w:r w:rsidRPr="006B6F42">
        <w:rPr>
          <w:rFonts w:ascii="Book Antiqua" w:eastAsia="Calibri" w:hAnsi="Book Antiqua" w:cs="Arial"/>
          <w:sz w:val="20"/>
          <w:szCs w:val="20"/>
          <w:bdr w:val="nil"/>
        </w:rPr>
        <w:t xml:space="preserve">Whereas the </w:t>
      </w:r>
      <w:r w:rsidRPr="006B6F42">
        <w:rPr>
          <w:rFonts w:ascii="Book Antiqua" w:eastAsia="Calibri" w:hAnsi="Book Antiqua" w:cs="Arial"/>
          <w:i/>
          <w:sz w:val="20"/>
          <w:szCs w:val="20"/>
          <w:bdr w:val="nil"/>
        </w:rPr>
        <w:t>Mid</w:t>
      </w:r>
      <w:r w:rsidRPr="006B6F42">
        <w:rPr>
          <w:rFonts w:ascii="Book Antiqua" w:eastAsia="Calibri" w:hAnsi="Book Antiqua" w:cs="Arial"/>
          <w:i/>
          <w:sz w:val="20"/>
          <w:szCs w:val="20"/>
          <w:bdr w:val="nil"/>
        </w:rPr>
        <w:noBreakHyphen/>
        <w:t>Year Economic and Fiscal Outlook (MYEFO) 2020-21</w:t>
      </w:r>
      <w:r w:rsidRPr="006B6F42">
        <w:rPr>
          <w:rFonts w:ascii="Book Antiqua" w:eastAsia="Calibri" w:hAnsi="Book Antiqua" w:cs="Arial"/>
          <w:sz w:val="20"/>
          <w:szCs w:val="20"/>
          <w:bdr w:val="nil"/>
        </w:rPr>
        <w:t xml:space="preserve"> is a mid</w:t>
      </w:r>
      <w:r w:rsidRPr="006B6F42">
        <w:rPr>
          <w:rFonts w:ascii="Book Antiqua" w:eastAsia="Calibri" w:hAnsi="Book Antiqua" w:cs="Arial"/>
          <w:sz w:val="20"/>
          <w:szCs w:val="20"/>
          <w:bdr w:val="nil"/>
        </w:rPr>
        <w:noBreakHyphen/>
        <w:t>year budget report which provides updated information to allow the assessment of the Government’s fiscal performance against its fiscal strategy, the PAES update the most recent budget appropriations for entities within the portfolio.</w:t>
      </w:r>
    </w:p>
    <w:p w:rsidR="00745E2A" w:rsidRPr="00745E2A" w:rsidRDefault="00745E2A" w:rsidP="006B3CBA">
      <w:pPr>
        <w:pBdr>
          <w:top w:val="nil"/>
          <w:left w:val="nil"/>
          <w:bottom w:val="nil"/>
          <w:right w:val="nil"/>
          <w:between w:val="nil"/>
          <w:bar w:val="nil"/>
        </w:pBdr>
        <w:tabs>
          <w:tab w:val="right" w:pos="7088"/>
        </w:tabs>
        <w:spacing w:after="240" w:line="260" w:lineRule="exact"/>
        <w:jc w:val="both"/>
        <w:rPr>
          <w:rFonts w:ascii="Book Antiqua" w:eastAsia="Times New Roman" w:hAnsi="Book Antiqua" w:cs="Times New Roman"/>
          <w:sz w:val="2"/>
          <w:szCs w:val="20"/>
          <w:bdr w:val="nil"/>
          <w:lang w:val="en-AU" w:eastAsia="en-AU"/>
        </w:rPr>
        <w:sectPr w:rsidR="00745E2A" w:rsidRPr="00745E2A" w:rsidSect="001C56C9">
          <w:headerReference w:type="even" r:id="rId36"/>
          <w:headerReference w:type="default" r:id="rId37"/>
          <w:footerReference w:type="even" r:id="rId38"/>
          <w:footerReference w:type="default" r:id="rId39"/>
          <w:headerReference w:type="first" r:id="rId40"/>
          <w:footerReference w:type="first" r:id="rId41"/>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p>
    <w:p w:rsidR="00A24D85" w:rsidRDefault="00D5482E" w:rsidP="00656B65">
      <w:pPr>
        <w:pStyle w:val="Heading2"/>
        <w:pageBreakBefore/>
        <w:pBdr>
          <w:top w:val="nil"/>
          <w:left w:val="nil"/>
          <w:bottom w:val="nil"/>
          <w:right w:val="nil"/>
          <w:between w:val="nil"/>
          <w:bar w:val="nil"/>
        </w:pBdr>
        <w:rPr>
          <w:bdr w:val="nil"/>
        </w:rPr>
      </w:pPr>
      <w:r>
        <w:rPr>
          <w:bdr w:val="nil"/>
        </w:rPr>
        <w:lastRenderedPageBreak/>
        <w:t>Structure of the Portfolio Additional Estimates Statements</w:t>
      </w:r>
    </w:p>
    <w:p w:rsidR="00A24D85" w:rsidRDefault="00D5482E" w:rsidP="00656B65">
      <w:pPr>
        <w:pBdr>
          <w:top w:val="nil"/>
          <w:left w:val="nil"/>
          <w:bottom w:val="nil"/>
          <w:right w:val="nil"/>
          <w:between w:val="nil"/>
          <w:bar w:val="nil"/>
        </w:pBdr>
        <w:spacing w:after="240" w:line="260" w:lineRule="exact"/>
        <w:jc w:val="both"/>
        <w:rPr>
          <w:rFonts w:ascii="Book Antiqua" w:eastAsia="Calibri" w:hAnsi="Book Antiqua" w:cs="Arial"/>
          <w:sz w:val="20"/>
          <w:bdr w:val="nil"/>
        </w:rPr>
      </w:pPr>
      <w:r w:rsidRPr="00A24D85">
        <w:rPr>
          <w:rFonts w:ascii="Book Antiqua" w:eastAsia="Calibri" w:hAnsi="Book Antiqua" w:cs="Arial"/>
          <w:sz w:val="20"/>
          <w:bdr w:val="nil"/>
        </w:rPr>
        <w:t>The PAES are presented in three parts with subsections.</w:t>
      </w:r>
    </w:p>
    <w:tbl>
      <w:tblPr>
        <w:tblpPr w:leftFromText="180" w:rightFromText="180" w:vertAnchor="text" w:horzAnchor="margin" w:tblpY="86"/>
        <w:tblW w:w="0" w:type="auto"/>
        <w:tblLayout w:type="fixed"/>
        <w:tblCellMar>
          <w:top w:w="11" w:type="dxa"/>
          <w:bottom w:w="11" w:type="dxa"/>
        </w:tblCellMar>
        <w:tblLook w:val="04A0" w:firstRow="1" w:lastRow="0" w:firstColumn="1" w:lastColumn="0" w:noHBand="0" w:noVBand="1"/>
      </w:tblPr>
      <w:tblGrid>
        <w:gridCol w:w="2268"/>
        <w:gridCol w:w="5443"/>
      </w:tblGrid>
      <w:tr w:rsidR="00010972" w:rsidTr="006E3253">
        <w:trPr>
          <w:cantSplit/>
        </w:trPr>
        <w:tc>
          <w:tcPr>
            <w:tcW w:w="7711" w:type="dxa"/>
            <w:gridSpan w:val="2"/>
            <w:shd w:val="clear" w:color="auto" w:fill="E6E6E6"/>
            <w:hideMark/>
          </w:tcPr>
          <w:p w:rsidR="00A24D85" w:rsidRPr="00855DCC" w:rsidRDefault="00D5482E" w:rsidP="006E3253">
            <w:pPr>
              <w:pBdr>
                <w:top w:val="nil"/>
                <w:left w:val="nil"/>
                <w:bottom w:val="nil"/>
                <w:right w:val="nil"/>
                <w:between w:val="nil"/>
                <w:bar w:val="nil"/>
              </w:pBdr>
              <w:spacing w:before="120" w:after="120" w:line="240" w:lineRule="auto"/>
              <w:rPr>
                <w:rFonts w:ascii="Book Antiqua" w:eastAsia="Calibri" w:hAnsi="Book Antiqua" w:cs="Arial"/>
                <w:b/>
                <w:sz w:val="18"/>
                <w:bdr w:val="nil"/>
              </w:rPr>
            </w:pPr>
            <w:r w:rsidRPr="00855DCC">
              <w:rPr>
                <w:rFonts w:ascii="Book Antiqua" w:eastAsia="Calibri" w:hAnsi="Book Antiqua" w:cs="Arial"/>
                <w:b/>
                <w:sz w:val="18"/>
                <w:bdr w:val="nil"/>
              </w:rPr>
              <w:t xml:space="preserve">User </w:t>
            </w:r>
            <w:r>
              <w:rPr>
                <w:rFonts w:ascii="Book Antiqua" w:eastAsia="Calibri" w:hAnsi="Book Antiqua" w:cs="Arial"/>
                <w:b/>
                <w:sz w:val="18"/>
                <w:bdr w:val="nil"/>
              </w:rPr>
              <w:t>g</w:t>
            </w:r>
            <w:r w:rsidRPr="00855DCC">
              <w:rPr>
                <w:rFonts w:ascii="Book Antiqua" w:eastAsia="Calibri" w:hAnsi="Book Antiqua" w:cs="Arial"/>
                <w:b/>
                <w:sz w:val="18"/>
                <w:bdr w:val="nil"/>
              </w:rPr>
              <w:t>uide</w:t>
            </w:r>
          </w:p>
        </w:tc>
      </w:tr>
      <w:tr w:rsidR="00010972" w:rsidTr="006E3253">
        <w:trPr>
          <w:cantSplit/>
        </w:trPr>
        <w:tc>
          <w:tcPr>
            <w:tcW w:w="7711" w:type="dxa"/>
            <w:gridSpan w:val="2"/>
            <w:hideMark/>
          </w:tcPr>
          <w:p w:rsidR="00A24D85" w:rsidRPr="00855DCC" w:rsidRDefault="00D5482E" w:rsidP="006E3253">
            <w:pPr>
              <w:pBdr>
                <w:top w:val="nil"/>
                <w:left w:val="nil"/>
                <w:bottom w:val="nil"/>
                <w:right w:val="nil"/>
                <w:between w:val="nil"/>
                <w:bar w:val="nil"/>
              </w:pBdr>
              <w:spacing w:before="100" w:after="100" w:line="250" w:lineRule="exact"/>
              <w:jc w:val="both"/>
              <w:rPr>
                <w:rFonts w:ascii="Book Antiqua" w:eastAsia="Calibri" w:hAnsi="Book Antiqua" w:cs="Arial"/>
                <w:sz w:val="18"/>
                <w:bdr w:val="nil"/>
              </w:rPr>
            </w:pPr>
            <w:r w:rsidRPr="00855DCC">
              <w:rPr>
                <w:rFonts w:ascii="Book Antiqua" w:eastAsia="Calibri" w:hAnsi="Book Antiqua" w:cs="Arial"/>
                <w:sz w:val="18"/>
                <w:bdr w:val="nil"/>
              </w:rPr>
              <w:t>Provides a brief introduction explaining the purpose of the PAES.</w:t>
            </w:r>
          </w:p>
        </w:tc>
      </w:tr>
      <w:tr w:rsidR="00010972" w:rsidTr="006E3253">
        <w:trPr>
          <w:cantSplit/>
        </w:trPr>
        <w:tc>
          <w:tcPr>
            <w:tcW w:w="2268" w:type="dxa"/>
            <w:shd w:val="clear" w:color="auto" w:fill="E6E6E6"/>
            <w:hideMark/>
          </w:tcPr>
          <w:p w:rsidR="00A24D85" w:rsidRPr="00855DCC" w:rsidRDefault="00D5482E" w:rsidP="006E3253">
            <w:pPr>
              <w:pBdr>
                <w:top w:val="nil"/>
                <w:left w:val="nil"/>
                <w:bottom w:val="nil"/>
                <w:right w:val="nil"/>
                <w:between w:val="nil"/>
                <w:bar w:val="nil"/>
              </w:pBdr>
              <w:spacing w:before="120" w:after="120" w:line="240" w:lineRule="auto"/>
              <w:rPr>
                <w:rFonts w:ascii="Book Antiqua" w:eastAsia="Calibri" w:hAnsi="Book Antiqua" w:cs="Arial"/>
                <w:b/>
                <w:sz w:val="18"/>
                <w:bdr w:val="nil"/>
              </w:rPr>
            </w:pPr>
            <w:r w:rsidRPr="00855DCC">
              <w:rPr>
                <w:rFonts w:ascii="Book Antiqua" w:eastAsia="Calibri" w:hAnsi="Book Antiqua" w:cs="Arial"/>
                <w:b/>
                <w:sz w:val="18"/>
                <w:bdr w:val="nil"/>
              </w:rPr>
              <w:t>Portfolio Overview</w:t>
            </w:r>
          </w:p>
        </w:tc>
        <w:tc>
          <w:tcPr>
            <w:tcW w:w="5443" w:type="dxa"/>
            <w:shd w:val="clear" w:color="auto" w:fill="E6E6E6"/>
          </w:tcPr>
          <w:p w:rsidR="00A24D85" w:rsidRPr="00855DCC" w:rsidRDefault="00A24D85" w:rsidP="006E3253">
            <w:pPr>
              <w:spacing w:after="240" w:line="260" w:lineRule="exact"/>
              <w:jc w:val="both"/>
              <w:rPr>
                <w:rFonts w:ascii="Book Antiqua" w:eastAsia="Calibri" w:hAnsi="Book Antiqua" w:cs="Times New Roman"/>
                <w:bdr w:val="nil"/>
              </w:rPr>
            </w:pPr>
          </w:p>
        </w:tc>
      </w:tr>
      <w:tr w:rsidR="00010972" w:rsidTr="006E3253">
        <w:trPr>
          <w:cantSplit/>
        </w:trPr>
        <w:tc>
          <w:tcPr>
            <w:tcW w:w="7711" w:type="dxa"/>
            <w:gridSpan w:val="2"/>
            <w:hideMark/>
          </w:tcPr>
          <w:p w:rsidR="00A24D85" w:rsidRPr="00855DCC" w:rsidRDefault="00D5482E" w:rsidP="006E3253">
            <w:pPr>
              <w:pBdr>
                <w:top w:val="nil"/>
                <w:left w:val="nil"/>
                <w:bottom w:val="nil"/>
                <w:right w:val="nil"/>
                <w:between w:val="nil"/>
                <w:bar w:val="nil"/>
              </w:pBdr>
              <w:spacing w:before="100" w:after="100" w:line="250" w:lineRule="exact"/>
              <w:jc w:val="both"/>
              <w:rPr>
                <w:rFonts w:ascii="Book Antiqua" w:eastAsia="Calibri" w:hAnsi="Book Antiqua" w:cs="Arial"/>
                <w:sz w:val="18"/>
                <w:bdr w:val="nil"/>
              </w:rPr>
            </w:pPr>
            <w:r w:rsidRPr="00855DCC">
              <w:rPr>
                <w:rFonts w:ascii="Book Antiqua" w:eastAsia="Calibri" w:hAnsi="Book Antiqua" w:cs="Arial"/>
                <w:sz w:val="18"/>
                <w:bdr w:val="nil"/>
              </w:rPr>
              <w:t xml:space="preserve">Provides an overview of the portfolio, including a chart that outlines the outcomes for </w:t>
            </w:r>
            <w:r>
              <w:rPr>
                <w:rFonts w:ascii="Book Antiqua" w:eastAsia="Calibri" w:hAnsi="Book Antiqua" w:cs="Arial"/>
                <w:sz w:val="18"/>
                <w:bdr w:val="nil"/>
              </w:rPr>
              <w:t xml:space="preserve">entities </w:t>
            </w:r>
            <w:r w:rsidRPr="00855DCC">
              <w:rPr>
                <w:rFonts w:ascii="Book Antiqua" w:eastAsia="Calibri" w:hAnsi="Book Antiqua" w:cs="Arial"/>
                <w:sz w:val="18"/>
                <w:bdr w:val="nil"/>
              </w:rPr>
              <w:t>in the portfolio.</w:t>
            </w:r>
          </w:p>
        </w:tc>
      </w:tr>
      <w:tr w:rsidR="00010972" w:rsidTr="006E3253">
        <w:trPr>
          <w:cantSplit/>
        </w:trPr>
        <w:tc>
          <w:tcPr>
            <w:tcW w:w="7711" w:type="dxa"/>
            <w:gridSpan w:val="2"/>
            <w:shd w:val="clear" w:color="auto" w:fill="E6E6E6"/>
            <w:hideMark/>
          </w:tcPr>
          <w:p w:rsidR="00A24D85" w:rsidRPr="00855DCC" w:rsidRDefault="00D5482E" w:rsidP="006E3253">
            <w:pPr>
              <w:pBdr>
                <w:top w:val="nil"/>
                <w:left w:val="nil"/>
                <w:bottom w:val="nil"/>
                <w:right w:val="nil"/>
                <w:between w:val="nil"/>
                <w:bar w:val="nil"/>
              </w:pBdr>
              <w:spacing w:before="120" w:after="120" w:line="240" w:lineRule="auto"/>
              <w:rPr>
                <w:rFonts w:ascii="Book Antiqua" w:eastAsia="Calibri" w:hAnsi="Book Antiqua" w:cs="Arial"/>
                <w:b/>
                <w:sz w:val="18"/>
                <w:bdr w:val="nil"/>
              </w:rPr>
            </w:pPr>
            <w:r>
              <w:rPr>
                <w:rFonts w:ascii="Book Antiqua" w:eastAsia="Calibri" w:hAnsi="Book Antiqua" w:cs="Arial"/>
                <w:b/>
                <w:sz w:val="18"/>
                <w:bdr w:val="nil"/>
              </w:rPr>
              <w:t>Entity</w:t>
            </w:r>
            <w:r w:rsidRPr="00855DCC">
              <w:rPr>
                <w:rFonts w:ascii="Book Antiqua" w:eastAsia="Calibri" w:hAnsi="Book Antiqua" w:cs="Arial"/>
                <w:b/>
                <w:sz w:val="18"/>
                <w:bdr w:val="nil"/>
              </w:rPr>
              <w:t xml:space="preserve"> Additional Estimates Statements</w:t>
            </w:r>
          </w:p>
        </w:tc>
      </w:tr>
      <w:tr w:rsidR="00010972" w:rsidTr="006E3253">
        <w:trPr>
          <w:cantSplit/>
        </w:trPr>
        <w:tc>
          <w:tcPr>
            <w:tcW w:w="7711" w:type="dxa"/>
            <w:gridSpan w:val="2"/>
            <w:tcBorders>
              <w:top w:val="nil"/>
              <w:left w:val="nil"/>
              <w:bottom w:val="single" w:sz="2" w:space="0" w:color="999999"/>
              <w:right w:val="nil"/>
            </w:tcBorders>
            <w:hideMark/>
          </w:tcPr>
          <w:p w:rsidR="00A24D85" w:rsidRPr="00855DCC" w:rsidRDefault="00D5482E" w:rsidP="006E3253">
            <w:pPr>
              <w:pBdr>
                <w:top w:val="nil"/>
                <w:left w:val="nil"/>
                <w:bottom w:val="nil"/>
                <w:right w:val="nil"/>
                <w:between w:val="nil"/>
                <w:bar w:val="nil"/>
              </w:pBdr>
              <w:spacing w:before="100" w:after="100" w:line="250" w:lineRule="exact"/>
              <w:rPr>
                <w:rFonts w:ascii="Book Antiqua" w:eastAsia="Calibri" w:hAnsi="Book Antiqua" w:cs="Arial"/>
                <w:sz w:val="18"/>
                <w:bdr w:val="nil"/>
              </w:rPr>
            </w:pPr>
            <w:r w:rsidRPr="00855DCC">
              <w:rPr>
                <w:rFonts w:ascii="Book Antiqua" w:eastAsia="Calibri" w:hAnsi="Book Antiqua" w:cs="Arial"/>
                <w:sz w:val="18"/>
                <w:bdr w:val="nil"/>
              </w:rPr>
              <w:t xml:space="preserve">A statement (under the name of the </w:t>
            </w:r>
            <w:r>
              <w:rPr>
                <w:rFonts w:ascii="Book Antiqua" w:eastAsia="Calibri" w:hAnsi="Book Antiqua" w:cs="Arial"/>
                <w:sz w:val="18"/>
                <w:bdr w:val="nil"/>
              </w:rPr>
              <w:t>entity</w:t>
            </w:r>
            <w:r w:rsidRPr="00855DCC">
              <w:rPr>
                <w:rFonts w:ascii="Book Antiqua" w:eastAsia="Calibri" w:hAnsi="Book Antiqua" w:cs="Arial"/>
                <w:sz w:val="18"/>
                <w:bdr w:val="nil"/>
              </w:rPr>
              <w:t xml:space="preserve">) for each </w:t>
            </w:r>
            <w:r>
              <w:rPr>
                <w:rFonts w:ascii="Book Antiqua" w:eastAsia="Calibri" w:hAnsi="Book Antiqua" w:cs="Arial"/>
                <w:sz w:val="18"/>
                <w:bdr w:val="nil"/>
              </w:rPr>
              <w:t>entity</w:t>
            </w:r>
            <w:r w:rsidRPr="00855DCC">
              <w:rPr>
                <w:rFonts w:ascii="Book Antiqua" w:eastAsia="Calibri" w:hAnsi="Book Antiqua" w:cs="Arial"/>
                <w:sz w:val="18"/>
                <w:bdr w:val="nil"/>
              </w:rPr>
              <w:t xml:space="preserve"> affected by Additional Estimates.</w:t>
            </w:r>
          </w:p>
        </w:tc>
      </w:tr>
      <w:tr w:rsidR="00010972" w:rsidTr="006E3253">
        <w:trPr>
          <w:cantSplit/>
        </w:trPr>
        <w:tc>
          <w:tcPr>
            <w:tcW w:w="2268" w:type="dxa"/>
            <w:tcBorders>
              <w:top w:val="single" w:sz="2" w:space="0" w:color="999999"/>
              <w:left w:val="nil"/>
              <w:bottom w:val="single" w:sz="2" w:space="0" w:color="999999"/>
              <w:right w:val="nil"/>
            </w:tcBorders>
            <w:hideMark/>
          </w:tcPr>
          <w:p w:rsidR="00A24D85" w:rsidRPr="00855DCC" w:rsidRDefault="00D5482E" w:rsidP="006E3253">
            <w:pPr>
              <w:pBdr>
                <w:top w:val="nil"/>
                <w:left w:val="nil"/>
                <w:bottom w:val="nil"/>
                <w:right w:val="nil"/>
                <w:between w:val="nil"/>
                <w:bar w:val="nil"/>
              </w:pBdr>
              <w:spacing w:before="100" w:after="100" w:line="250" w:lineRule="exact"/>
              <w:rPr>
                <w:rFonts w:ascii="Book Antiqua" w:eastAsia="Calibri" w:hAnsi="Book Antiqua" w:cs="Arial"/>
                <w:b/>
                <w:sz w:val="18"/>
                <w:bdr w:val="nil"/>
              </w:rPr>
            </w:pPr>
            <w:r w:rsidRPr="00855DCC">
              <w:rPr>
                <w:rFonts w:ascii="Book Antiqua" w:eastAsia="Calibri" w:hAnsi="Book Antiqua" w:cs="Arial"/>
                <w:b/>
                <w:sz w:val="18"/>
                <w:bdr w:val="nil"/>
              </w:rPr>
              <w:t xml:space="preserve">Section 1: </w:t>
            </w:r>
            <w:r>
              <w:rPr>
                <w:rFonts w:ascii="Book Antiqua" w:eastAsia="Calibri" w:hAnsi="Book Antiqua" w:cs="Arial"/>
                <w:b/>
                <w:sz w:val="18"/>
                <w:bdr w:val="nil"/>
              </w:rPr>
              <w:t>Entity</w:t>
            </w:r>
            <w:r w:rsidRPr="00855DCC">
              <w:rPr>
                <w:rFonts w:ascii="Book Antiqua" w:eastAsia="Calibri" w:hAnsi="Book Antiqua" w:cs="Arial"/>
                <w:b/>
                <w:sz w:val="18"/>
                <w:bdr w:val="nil"/>
              </w:rPr>
              <w:t xml:space="preserve"> </w:t>
            </w:r>
            <w:r>
              <w:rPr>
                <w:rFonts w:ascii="Book Antiqua" w:eastAsia="Calibri" w:hAnsi="Book Antiqua" w:cs="Arial"/>
                <w:b/>
                <w:sz w:val="18"/>
                <w:bdr w:val="nil"/>
              </w:rPr>
              <w:t>o</w:t>
            </w:r>
            <w:r w:rsidRPr="00855DCC">
              <w:rPr>
                <w:rFonts w:ascii="Book Antiqua" w:eastAsia="Calibri" w:hAnsi="Book Antiqua" w:cs="Arial"/>
                <w:b/>
                <w:sz w:val="18"/>
                <w:bdr w:val="nil"/>
              </w:rPr>
              <w:t xml:space="preserve">verview and </w:t>
            </w:r>
            <w:r>
              <w:rPr>
                <w:rFonts w:ascii="Book Antiqua" w:eastAsia="Calibri" w:hAnsi="Book Antiqua" w:cs="Arial"/>
                <w:b/>
                <w:sz w:val="18"/>
                <w:bdr w:val="nil"/>
              </w:rPr>
              <w:t>r</w:t>
            </w:r>
            <w:r w:rsidRPr="00855DCC">
              <w:rPr>
                <w:rFonts w:ascii="Book Antiqua" w:eastAsia="Calibri" w:hAnsi="Book Antiqua" w:cs="Arial"/>
                <w:b/>
                <w:sz w:val="18"/>
                <w:bdr w:val="nil"/>
              </w:rPr>
              <w:t>esources</w:t>
            </w:r>
          </w:p>
        </w:tc>
        <w:tc>
          <w:tcPr>
            <w:tcW w:w="5443" w:type="dxa"/>
            <w:tcBorders>
              <w:top w:val="single" w:sz="2" w:space="0" w:color="999999"/>
              <w:left w:val="nil"/>
              <w:bottom w:val="single" w:sz="2" w:space="0" w:color="999999"/>
              <w:right w:val="nil"/>
            </w:tcBorders>
            <w:hideMark/>
          </w:tcPr>
          <w:p w:rsidR="00A24D85" w:rsidRPr="00855DCC" w:rsidRDefault="00D5482E" w:rsidP="006E3253">
            <w:pPr>
              <w:pBdr>
                <w:top w:val="nil"/>
                <w:left w:val="nil"/>
                <w:bottom w:val="nil"/>
                <w:right w:val="nil"/>
                <w:between w:val="nil"/>
                <w:bar w:val="nil"/>
              </w:pBdr>
              <w:spacing w:before="100" w:after="100" w:line="250" w:lineRule="exact"/>
              <w:jc w:val="both"/>
              <w:rPr>
                <w:rFonts w:ascii="Book Antiqua" w:eastAsia="Calibri" w:hAnsi="Book Antiqua" w:cs="Arial"/>
                <w:sz w:val="18"/>
                <w:bdr w:val="nil"/>
              </w:rPr>
            </w:pPr>
            <w:r w:rsidRPr="00855DCC">
              <w:rPr>
                <w:rFonts w:ascii="Book Antiqua" w:eastAsia="Calibri" w:hAnsi="Book Antiqua" w:cs="Arial"/>
                <w:sz w:val="18"/>
                <w:bdr w:val="nil"/>
              </w:rPr>
              <w:t xml:space="preserve">This section details the </w:t>
            </w:r>
            <w:r>
              <w:rPr>
                <w:rFonts w:ascii="Book Antiqua" w:eastAsia="Calibri" w:hAnsi="Book Antiqua" w:cs="Arial"/>
                <w:sz w:val="18"/>
                <w:bdr w:val="nil"/>
              </w:rPr>
              <w:t xml:space="preserve">changes in </w:t>
            </w:r>
            <w:r w:rsidRPr="00855DCC">
              <w:rPr>
                <w:rFonts w:ascii="Book Antiqua" w:eastAsia="Calibri" w:hAnsi="Book Antiqua" w:cs="Arial"/>
                <w:sz w:val="18"/>
                <w:bdr w:val="nil"/>
              </w:rPr>
              <w:t xml:space="preserve">total resources available to an </w:t>
            </w:r>
            <w:r>
              <w:rPr>
                <w:rFonts w:ascii="Book Antiqua" w:eastAsia="Calibri" w:hAnsi="Book Antiqua" w:cs="Arial"/>
                <w:sz w:val="18"/>
                <w:bdr w:val="nil"/>
              </w:rPr>
              <w:t>entity</w:t>
            </w:r>
            <w:r w:rsidRPr="00855DCC">
              <w:rPr>
                <w:rFonts w:ascii="Book Antiqua" w:eastAsia="Calibri" w:hAnsi="Book Antiqua" w:cs="Arial"/>
                <w:sz w:val="18"/>
                <w:bdr w:val="nil"/>
              </w:rPr>
              <w:t>, the impact of any measures since Budget, and i</w:t>
            </w:r>
            <w:r>
              <w:rPr>
                <w:rFonts w:ascii="Book Antiqua" w:eastAsia="Calibri" w:hAnsi="Book Antiqua" w:cs="Arial"/>
                <w:sz w:val="18"/>
                <w:bdr w:val="nil"/>
              </w:rPr>
              <w:t>mpact on Appropriation Bills No</w:t>
            </w:r>
            <w:r w:rsidRPr="00855DCC">
              <w:rPr>
                <w:rFonts w:ascii="Book Antiqua" w:eastAsia="Calibri" w:hAnsi="Book Antiqua" w:cs="Arial"/>
                <w:sz w:val="18"/>
                <w:bdr w:val="nil"/>
              </w:rPr>
              <w:t>. 3 and 4.</w:t>
            </w:r>
          </w:p>
        </w:tc>
      </w:tr>
      <w:tr w:rsidR="00010972" w:rsidTr="006E3253">
        <w:trPr>
          <w:cantSplit/>
        </w:trPr>
        <w:tc>
          <w:tcPr>
            <w:tcW w:w="2268" w:type="dxa"/>
            <w:tcBorders>
              <w:top w:val="single" w:sz="2" w:space="0" w:color="999999"/>
              <w:left w:val="nil"/>
              <w:bottom w:val="single" w:sz="2" w:space="0" w:color="999999"/>
              <w:right w:val="nil"/>
            </w:tcBorders>
            <w:hideMark/>
          </w:tcPr>
          <w:p w:rsidR="00A24D85" w:rsidRPr="00855DCC" w:rsidRDefault="00D5482E" w:rsidP="006E3253">
            <w:pPr>
              <w:pBdr>
                <w:top w:val="nil"/>
                <w:left w:val="nil"/>
                <w:bottom w:val="nil"/>
                <w:right w:val="nil"/>
                <w:between w:val="nil"/>
                <w:bar w:val="nil"/>
              </w:pBdr>
              <w:spacing w:before="100" w:after="100" w:line="250" w:lineRule="exact"/>
              <w:rPr>
                <w:rFonts w:ascii="Book Antiqua" w:eastAsia="Calibri" w:hAnsi="Book Antiqua" w:cs="Arial"/>
                <w:b/>
                <w:sz w:val="18"/>
                <w:bdr w:val="nil"/>
              </w:rPr>
            </w:pPr>
            <w:r>
              <w:rPr>
                <w:rFonts w:ascii="Book Antiqua" w:eastAsia="Calibri" w:hAnsi="Book Antiqua" w:cs="Arial"/>
                <w:b/>
                <w:sz w:val="18"/>
                <w:bdr w:val="nil"/>
              </w:rPr>
              <w:t>Section 2: Revisions to o</w:t>
            </w:r>
            <w:r w:rsidRPr="00855DCC">
              <w:rPr>
                <w:rFonts w:ascii="Book Antiqua" w:eastAsia="Calibri" w:hAnsi="Book Antiqua" w:cs="Arial"/>
                <w:b/>
                <w:sz w:val="18"/>
                <w:bdr w:val="nil"/>
              </w:rPr>
              <w:t xml:space="preserve">utcomes and </w:t>
            </w:r>
            <w:r>
              <w:rPr>
                <w:rFonts w:ascii="Book Antiqua" w:eastAsia="Calibri" w:hAnsi="Book Antiqua" w:cs="Arial"/>
                <w:b/>
                <w:sz w:val="18"/>
                <w:bdr w:val="nil"/>
              </w:rPr>
              <w:t>planned p</w:t>
            </w:r>
            <w:r w:rsidRPr="00855DCC">
              <w:rPr>
                <w:rFonts w:ascii="Book Antiqua" w:eastAsia="Calibri" w:hAnsi="Book Antiqua" w:cs="Arial"/>
                <w:b/>
                <w:sz w:val="18"/>
                <w:bdr w:val="nil"/>
              </w:rPr>
              <w:t>erformance</w:t>
            </w:r>
          </w:p>
        </w:tc>
        <w:tc>
          <w:tcPr>
            <w:tcW w:w="5443" w:type="dxa"/>
            <w:tcBorders>
              <w:top w:val="single" w:sz="2" w:space="0" w:color="999999"/>
              <w:left w:val="nil"/>
              <w:bottom w:val="single" w:sz="2" w:space="0" w:color="999999"/>
              <w:right w:val="nil"/>
            </w:tcBorders>
            <w:hideMark/>
          </w:tcPr>
          <w:p w:rsidR="00A24D85" w:rsidRPr="00855DCC" w:rsidRDefault="00D5482E" w:rsidP="006E3253">
            <w:pPr>
              <w:pBdr>
                <w:top w:val="nil"/>
                <w:left w:val="nil"/>
                <w:bottom w:val="nil"/>
                <w:right w:val="nil"/>
                <w:between w:val="nil"/>
                <w:bar w:val="nil"/>
              </w:pBdr>
              <w:spacing w:before="100" w:after="100" w:line="250" w:lineRule="exact"/>
              <w:jc w:val="both"/>
              <w:rPr>
                <w:rFonts w:ascii="Book Antiqua" w:eastAsia="Calibri" w:hAnsi="Book Antiqua" w:cs="Arial"/>
                <w:sz w:val="18"/>
                <w:bdr w:val="nil"/>
              </w:rPr>
            </w:pPr>
            <w:r w:rsidRPr="00855DCC">
              <w:rPr>
                <w:rFonts w:ascii="Book Antiqua" w:eastAsia="Calibri" w:hAnsi="Book Antiqua" w:cs="Arial"/>
                <w:sz w:val="18"/>
                <w:bdr w:val="nil"/>
              </w:rPr>
              <w:t xml:space="preserve">This section details </w:t>
            </w:r>
            <w:r w:rsidRPr="00893078">
              <w:rPr>
                <w:rFonts w:ascii="Book Antiqua" w:eastAsia="Calibri" w:hAnsi="Book Antiqua" w:cs="Arial"/>
                <w:b/>
                <w:sz w:val="18"/>
                <w:bdr w:val="nil"/>
              </w:rPr>
              <w:t>changes</w:t>
            </w:r>
            <w:r w:rsidRPr="00855DCC">
              <w:rPr>
                <w:rFonts w:ascii="Book Antiqua" w:eastAsia="Calibri" w:hAnsi="Book Antiqua" w:cs="Arial"/>
                <w:sz w:val="18"/>
                <w:bdr w:val="nil"/>
              </w:rPr>
              <w:t xml:space="preserve"> to Government outcomes and/or </w:t>
            </w:r>
            <w:r w:rsidRPr="00893078">
              <w:rPr>
                <w:rFonts w:ascii="Book Antiqua" w:eastAsia="Calibri" w:hAnsi="Book Antiqua" w:cs="Arial"/>
                <w:b/>
                <w:sz w:val="18"/>
                <w:bdr w:val="nil"/>
              </w:rPr>
              <w:t>changes</w:t>
            </w:r>
            <w:r w:rsidRPr="00855DCC">
              <w:rPr>
                <w:rFonts w:ascii="Book Antiqua" w:eastAsia="Calibri" w:hAnsi="Book Antiqua" w:cs="Arial"/>
                <w:sz w:val="18"/>
                <w:bdr w:val="nil"/>
              </w:rPr>
              <w:t xml:space="preserve"> to the planned performance of </w:t>
            </w:r>
            <w:r>
              <w:rPr>
                <w:rFonts w:ascii="Book Antiqua" w:eastAsia="Calibri" w:hAnsi="Book Antiqua" w:cs="Arial"/>
                <w:sz w:val="18"/>
                <w:bdr w:val="nil"/>
              </w:rPr>
              <w:t>entity</w:t>
            </w:r>
            <w:r w:rsidRPr="00855DCC">
              <w:rPr>
                <w:rFonts w:ascii="Book Antiqua" w:eastAsia="Calibri" w:hAnsi="Book Antiqua" w:cs="Arial"/>
                <w:sz w:val="18"/>
                <w:bdr w:val="nil"/>
              </w:rPr>
              <w:t xml:space="preserve"> </w:t>
            </w:r>
            <w:r>
              <w:rPr>
                <w:rFonts w:ascii="Book Antiqua" w:eastAsia="Calibri" w:hAnsi="Book Antiqua" w:cs="Arial"/>
                <w:sz w:val="18"/>
                <w:bdr w:val="nil"/>
              </w:rPr>
              <w:t>programs</w:t>
            </w:r>
            <w:r w:rsidRPr="00855DCC">
              <w:rPr>
                <w:rFonts w:ascii="Book Antiqua" w:eastAsia="Calibri" w:hAnsi="Book Antiqua" w:cs="Arial"/>
                <w:sz w:val="18"/>
                <w:bdr w:val="nil"/>
              </w:rPr>
              <w:t>.</w:t>
            </w:r>
          </w:p>
        </w:tc>
      </w:tr>
      <w:tr w:rsidR="00010972" w:rsidTr="006E3253">
        <w:trPr>
          <w:cantSplit/>
        </w:trPr>
        <w:tc>
          <w:tcPr>
            <w:tcW w:w="2268" w:type="dxa"/>
            <w:tcBorders>
              <w:top w:val="single" w:sz="2" w:space="0" w:color="999999"/>
              <w:left w:val="nil"/>
              <w:right w:val="nil"/>
            </w:tcBorders>
            <w:hideMark/>
          </w:tcPr>
          <w:p w:rsidR="00A24D85" w:rsidRPr="00855DCC" w:rsidRDefault="00D5482E" w:rsidP="006E3253">
            <w:pPr>
              <w:pBdr>
                <w:top w:val="nil"/>
                <w:left w:val="nil"/>
                <w:bottom w:val="nil"/>
                <w:right w:val="nil"/>
                <w:between w:val="nil"/>
                <w:bar w:val="nil"/>
              </w:pBdr>
              <w:spacing w:before="100" w:after="100" w:line="250" w:lineRule="exact"/>
              <w:rPr>
                <w:rFonts w:ascii="Book Antiqua" w:eastAsia="Calibri" w:hAnsi="Book Antiqua" w:cs="Arial"/>
                <w:b/>
                <w:sz w:val="18"/>
                <w:bdr w:val="nil"/>
              </w:rPr>
            </w:pPr>
            <w:r w:rsidRPr="00855DCC">
              <w:rPr>
                <w:rFonts w:ascii="Book Antiqua" w:eastAsia="Calibri" w:hAnsi="Book Antiqua" w:cs="Arial"/>
                <w:b/>
                <w:sz w:val="18"/>
                <w:bdr w:val="nil"/>
              </w:rPr>
              <w:t xml:space="preserve">Section 3: </w:t>
            </w:r>
            <w:r>
              <w:rPr>
                <w:rFonts w:ascii="Book Antiqua" w:eastAsia="Calibri" w:hAnsi="Book Antiqua" w:cs="Arial"/>
                <w:b/>
                <w:sz w:val="18"/>
                <w:bdr w:val="nil"/>
              </w:rPr>
              <w:t>Special account flows and b</w:t>
            </w:r>
            <w:r w:rsidRPr="00855DCC">
              <w:rPr>
                <w:rFonts w:ascii="Book Antiqua" w:eastAsia="Calibri" w:hAnsi="Book Antiqua" w:cs="Arial"/>
                <w:b/>
                <w:sz w:val="18"/>
                <w:bdr w:val="nil"/>
              </w:rPr>
              <w:t xml:space="preserve">udgeted </w:t>
            </w:r>
            <w:r>
              <w:rPr>
                <w:rFonts w:ascii="Book Antiqua" w:eastAsia="Calibri" w:hAnsi="Book Antiqua" w:cs="Arial"/>
                <w:b/>
                <w:sz w:val="18"/>
                <w:bdr w:val="nil"/>
              </w:rPr>
              <w:t>f</w:t>
            </w:r>
            <w:r w:rsidRPr="00855DCC">
              <w:rPr>
                <w:rFonts w:ascii="Book Antiqua" w:eastAsia="Calibri" w:hAnsi="Book Antiqua" w:cs="Arial"/>
                <w:b/>
                <w:sz w:val="18"/>
                <w:bdr w:val="nil"/>
              </w:rPr>
              <w:t xml:space="preserve">inancial </w:t>
            </w:r>
            <w:r>
              <w:rPr>
                <w:rFonts w:ascii="Book Antiqua" w:eastAsia="Calibri" w:hAnsi="Book Antiqua" w:cs="Arial"/>
                <w:b/>
                <w:sz w:val="18"/>
                <w:bdr w:val="nil"/>
              </w:rPr>
              <w:t>s</w:t>
            </w:r>
            <w:r w:rsidRPr="00855DCC">
              <w:rPr>
                <w:rFonts w:ascii="Book Antiqua" w:eastAsia="Calibri" w:hAnsi="Book Antiqua" w:cs="Arial"/>
                <w:b/>
                <w:sz w:val="18"/>
                <w:bdr w:val="nil"/>
              </w:rPr>
              <w:t>tatements</w:t>
            </w:r>
          </w:p>
        </w:tc>
        <w:tc>
          <w:tcPr>
            <w:tcW w:w="5443" w:type="dxa"/>
            <w:tcBorders>
              <w:top w:val="single" w:sz="2" w:space="0" w:color="999999"/>
              <w:left w:val="nil"/>
              <w:right w:val="nil"/>
            </w:tcBorders>
            <w:hideMark/>
          </w:tcPr>
          <w:p w:rsidR="00A24D85" w:rsidRPr="00855DCC" w:rsidRDefault="00D5482E" w:rsidP="006E3253">
            <w:pPr>
              <w:pBdr>
                <w:top w:val="nil"/>
                <w:left w:val="nil"/>
                <w:bottom w:val="nil"/>
                <w:right w:val="nil"/>
                <w:between w:val="nil"/>
                <w:bar w:val="nil"/>
              </w:pBdr>
              <w:spacing w:before="100" w:after="100" w:line="250" w:lineRule="exact"/>
              <w:jc w:val="both"/>
              <w:rPr>
                <w:rFonts w:ascii="Book Antiqua" w:eastAsia="Calibri" w:hAnsi="Book Antiqua" w:cs="Arial"/>
                <w:sz w:val="18"/>
                <w:bdr w:val="nil"/>
              </w:rPr>
            </w:pPr>
            <w:r w:rsidRPr="00855DCC">
              <w:rPr>
                <w:rFonts w:ascii="Book Antiqua" w:eastAsia="Calibri" w:hAnsi="Book Antiqua" w:cs="Arial"/>
                <w:sz w:val="18"/>
                <w:bdr w:val="nil"/>
              </w:rPr>
              <w:t>This section contains updated explanatory tables on special account flows and staffing levels and revisions to the budgeted financial statements.</w:t>
            </w:r>
          </w:p>
        </w:tc>
      </w:tr>
      <w:tr w:rsidR="00010972" w:rsidTr="006E3253">
        <w:trPr>
          <w:cantSplit/>
        </w:trPr>
        <w:tc>
          <w:tcPr>
            <w:tcW w:w="7711" w:type="dxa"/>
            <w:gridSpan w:val="2"/>
            <w:shd w:val="clear" w:color="auto" w:fill="E6E6E6"/>
            <w:hideMark/>
          </w:tcPr>
          <w:p w:rsidR="00072526" w:rsidRPr="00855DCC" w:rsidRDefault="00D5482E" w:rsidP="006E3253">
            <w:pPr>
              <w:pBdr>
                <w:top w:val="nil"/>
                <w:left w:val="nil"/>
                <w:bottom w:val="nil"/>
                <w:right w:val="nil"/>
                <w:between w:val="nil"/>
                <w:bar w:val="nil"/>
              </w:pBdr>
              <w:spacing w:before="120" w:after="120" w:line="240" w:lineRule="auto"/>
              <w:rPr>
                <w:rFonts w:ascii="Book Antiqua" w:eastAsia="Calibri" w:hAnsi="Book Antiqua" w:cs="Arial"/>
                <w:b/>
                <w:sz w:val="18"/>
                <w:bdr w:val="nil"/>
              </w:rPr>
            </w:pPr>
            <w:r>
              <w:rPr>
                <w:rFonts w:ascii="Book Antiqua" w:eastAsia="Calibri" w:hAnsi="Book Antiqua" w:cs="Arial"/>
                <w:b/>
                <w:sz w:val="18"/>
                <w:bdr w:val="nil"/>
              </w:rPr>
              <w:t>Portfolio glossary</w:t>
            </w:r>
          </w:p>
        </w:tc>
      </w:tr>
      <w:tr w:rsidR="00010972" w:rsidTr="006E3253">
        <w:trPr>
          <w:cantSplit/>
        </w:trPr>
        <w:tc>
          <w:tcPr>
            <w:tcW w:w="7711" w:type="dxa"/>
            <w:gridSpan w:val="2"/>
            <w:tcBorders>
              <w:bottom w:val="single" w:sz="4" w:space="0" w:color="A6A6A6" w:themeColor="background1" w:themeShade="A6"/>
            </w:tcBorders>
            <w:shd w:val="clear" w:color="auto" w:fill="auto"/>
          </w:tcPr>
          <w:p w:rsidR="00374050" w:rsidRPr="00374050" w:rsidRDefault="00D5482E" w:rsidP="006E3253">
            <w:pPr>
              <w:pBdr>
                <w:top w:val="nil"/>
                <w:left w:val="nil"/>
                <w:bottom w:val="nil"/>
                <w:right w:val="nil"/>
                <w:between w:val="nil"/>
                <w:bar w:val="nil"/>
              </w:pBdr>
              <w:spacing w:before="100" w:after="100"/>
              <w:rPr>
                <w:rFonts w:ascii="Book Antiqua" w:eastAsia="Calibri" w:hAnsi="Book Antiqua" w:cs="Arial"/>
                <w:sz w:val="20"/>
                <w:szCs w:val="20"/>
                <w:bdr w:val="nil"/>
              </w:rPr>
            </w:pPr>
            <w:r w:rsidRPr="00855DCC">
              <w:rPr>
                <w:rFonts w:ascii="Book Antiqua" w:eastAsia="Calibri" w:hAnsi="Book Antiqua" w:cs="Arial"/>
                <w:sz w:val="18"/>
                <w:bdr w:val="nil"/>
              </w:rPr>
              <w:t>Expl</w:t>
            </w:r>
            <w:r>
              <w:rPr>
                <w:rFonts w:ascii="Book Antiqua" w:eastAsia="Calibri" w:hAnsi="Book Antiqua" w:cs="Arial"/>
                <w:sz w:val="18"/>
                <w:bdr w:val="nil"/>
              </w:rPr>
              <w:t>ains key terms and acronyms relevant to the p</w:t>
            </w:r>
            <w:r w:rsidRPr="00855DCC">
              <w:rPr>
                <w:rFonts w:ascii="Book Antiqua" w:eastAsia="Calibri" w:hAnsi="Book Antiqua" w:cs="Arial"/>
                <w:sz w:val="18"/>
                <w:bdr w:val="nil"/>
              </w:rPr>
              <w:t>ortfolio</w:t>
            </w:r>
            <w:r>
              <w:rPr>
                <w:rFonts w:ascii="Book Antiqua" w:eastAsia="Calibri" w:hAnsi="Book Antiqua" w:cs="Arial"/>
                <w:sz w:val="18"/>
                <w:bdr w:val="nil"/>
              </w:rPr>
              <w:t>.</w:t>
            </w:r>
          </w:p>
        </w:tc>
      </w:tr>
    </w:tbl>
    <w:p w:rsidR="00072526" w:rsidRDefault="00072526" w:rsidP="00A24D85">
      <w:pPr>
        <w:pBdr>
          <w:top w:val="nil"/>
          <w:left w:val="nil"/>
          <w:bottom w:val="nil"/>
          <w:right w:val="nil"/>
          <w:between w:val="nil"/>
          <w:bar w:val="nil"/>
        </w:pBdr>
        <w:rPr>
          <w:rFonts w:ascii="Book Antiqua" w:eastAsia="Calibri" w:hAnsi="Book Antiqua" w:cs="Arial"/>
          <w:sz w:val="20"/>
          <w:szCs w:val="20"/>
          <w:bdr w:val="nil"/>
        </w:rPr>
      </w:pPr>
    </w:p>
    <w:p w:rsidR="00072526" w:rsidRDefault="00072526" w:rsidP="00A24D85">
      <w:pPr>
        <w:pBdr>
          <w:top w:val="nil"/>
          <w:left w:val="nil"/>
          <w:bottom w:val="nil"/>
          <w:right w:val="nil"/>
          <w:between w:val="nil"/>
          <w:bar w:val="nil"/>
        </w:pBdr>
        <w:rPr>
          <w:rFonts w:ascii="Book Antiqua" w:eastAsia="Calibri" w:hAnsi="Book Antiqua" w:cs="Arial"/>
          <w:sz w:val="20"/>
          <w:szCs w:val="20"/>
          <w:bdr w:val="nil"/>
        </w:rPr>
      </w:pPr>
    </w:p>
    <w:p w:rsidR="00D86095" w:rsidRDefault="00D86095">
      <w:pPr>
        <w:pBdr>
          <w:top w:val="nil"/>
          <w:left w:val="nil"/>
          <w:bottom w:val="nil"/>
          <w:right w:val="nil"/>
          <w:between w:val="nil"/>
          <w:bar w:val="nil"/>
        </w:pBdr>
        <w:rPr>
          <w:rFonts w:ascii="Calibri" w:eastAsia="Calibri" w:hAnsi="Calibri" w:cs="Arial"/>
          <w:bdr w:val="nil"/>
        </w:rPr>
        <w:sectPr w:rsidR="00D86095" w:rsidSect="001C56C9">
          <w:headerReference w:type="even" r:id="rId42"/>
          <w:headerReference w:type="default" r:id="rId43"/>
          <w:footerReference w:type="even" r:id="rId44"/>
          <w:footerReference w:type="default" r:id="rId45"/>
          <w:headerReference w:type="first" r:id="rId46"/>
          <w:footerReference w:type="first" r:id="rId47"/>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p>
    <w:p w:rsidR="001E610A" w:rsidRDefault="00D5482E" w:rsidP="001E610A">
      <w:pPr>
        <w:pStyle w:val="ContentsHeading"/>
        <w:pageBreakBefore/>
        <w:pBdr>
          <w:top w:val="nil"/>
          <w:left w:val="nil"/>
          <w:bottom w:val="nil"/>
          <w:right w:val="nil"/>
          <w:between w:val="nil"/>
          <w:bar w:val="nil"/>
        </w:pBdr>
        <w:rPr>
          <w:bdr w:val="nil"/>
        </w:rPr>
      </w:pPr>
      <w:r>
        <w:rPr>
          <w:bdr w:val="nil"/>
        </w:rPr>
        <w:lastRenderedPageBreak/>
        <w:t>C</w:t>
      </w:r>
      <w:r>
        <w:rPr>
          <w:snapToGrid w:val="0"/>
          <w:bdr w:val="nil"/>
        </w:rPr>
        <w:t>ontents</w:t>
      </w:r>
    </w:p>
    <w:p w:rsidR="001E610A" w:rsidRDefault="00D5482E" w:rsidP="001E610A">
      <w:pPr>
        <w:pStyle w:val="TOC1"/>
        <w:pBdr>
          <w:top w:val="nil"/>
          <w:left w:val="nil"/>
          <w:bottom w:val="nil"/>
          <w:right w:val="nil"/>
          <w:between w:val="nil"/>
          <w:bar w:val="nil"/>
        </w:pBdr>
        <w:rPr>
          <w:bdr w:val="nil"/>
        </w:rPr>
      </w:pPr>
      <w:r>
        <w:rPr>
          <w:bdr w:val="nil"/>
        </w:rPr>
        <w:t>Portfolio Overview</w:t>
      </w:r>
      <w:r>
        <w:rPr>
          <w:bdr w:val="nil"/>
        </w:rPr>
        <w:tab/>
        <w:t>1</w:t>
      </w:r>
    </w:p>
    <w:p w:rsidR="001E610A" w:rsidRDefault="00D5482E" w:rsidP="001E610A">
      <w:pPr>
        <w:pStyle w:val="TOC1"/>
        <w:pBdr>
          <w:top w:val="nil"/>
          <w:left w:val="nil"/>
          <w:bottom w:val="nil"/>
          <w:right w:val="nil"/>
          <w:between w:val="nil"/>
          <w:bar w:val="nil"/>
        </w:pBdr>
        <w:rPr>
          <w:bdr w:val="nil"/>
        </w:rPr>
      </w:pPr>
      <w:r>
        <w:rPr>
          <w:bdr w:val="nil"/>
        </w:rPr>
        <w:t>Social Services Additional Estimates Statements</w:t>
      </w:r>
      <w:r>
        <w:rPr>
          <w:bdr w:val="nil"/>
        </w:rPr>
        <w:tab/>
      </w:r>
      <w:r w:rsidRPr="008A788F">
        <w:rPr>
          <w:bdr w:val="nil"/>
        </w:rPr>
        <w:t>9</w:t>
      </w:r>
    </w:p>
    <w:p w:rsidR="001E610A" w:rsidRDefault="00D5482E" w:rsidP="001E610A">
      <w:pPr>
        <w:pStyle w:val="TOC2"/>
        <w:pBdr>
          <w:top w:val="nil"/>
          <w:left w:val="nil"/>
          <w:bottom w:val="nil"/>
          <w:right w:val="nil"/>
          <w:between w:val="nil"/>
          <w:bar w:val="nil"/>
        </w:pBdr>
        <w:rPr>
          <w:bdr w:val="nil"/>
        </w:rPr>
      </w:pPr>
      <w:r>
        <w:rPr>
          <w:bdr w:val="nil"/>
        </w:rPr>
        <w:t>Department of Social Services</w:t>
      </w:r>
      <w:r>
        <w:rPr>
          <w:bdr w:val="nil"/>
        </w:rPr>
        <w:tab/>
      </w:r>
      <w:r w:rsidRPr="008A788F">
        <w:rPr>
          <w:bdr w:val="nil"/>
        </w:rPr>
        <w:t>11</w:t>
      </w:r>
    </w:p>
    <w:p w:rsidR="00FA466B" w:rsidRPr="00FA466B" w:rsidRDefault="00D5482E" w:rsidP="00FA466B">
      <w:pPr>
        <w:pStyle w:val="TOC2"/>
        <w:pBdr>
          <w:top w:val="nil"/>
          <w:left w:val="nil"/>
          <w:bottom w:val="nil"/>
          <w:right w:val="nil"/>
          <w:between w:val="nil"/>
          <w:bar w:val="nil"/>
        </w:pBdr>
        <w:rPr>
          <w:bdr w:val="nil"/>
        </w:rPr>
      </w:pPr>
      <w:r>
        <w:rPr>
          <w:bdr w:val="nil"/>
        </w:rPr>
        <w:t>Services Australia</w:t>
      </w:r>
      <w:r>
        <w:rPr>
          <w:bdr w:val="nil"/>
        </w:rPr>
        <w:tab/>
        <w:t>101</w:t>
      </w:r>
    </w:p>
    <w:p w:rsidR="001E610A" w:rsidRDefault="00D5482E" w:rsidP="001E610A">
      <w:pPr>
        <w:pStyle w:val="TOC1"/>
        <w:pBdr>
          <w:top w:val="nil"/>
          <w:left w:val="nil"/>
          <w:bottom w:val="nil"/>
          <w:right w:val="nil"/>
          <w:between w:val="nil"/>
          <w:bar w:val="nil"/>
        </w:pBdr>
        <w:rPr>
          <w:bdr w:val="nil"/>
        </w:rPr>
      </w:pPr>
      <w:r>
        <w:rPr>
          <w:bdr w:val="nil"/>
        </w:rPr>
        <w:t>Portfolio Glossary</w:t>
      </w:r>
      <w:r>
        <w:rPr>
          <w:bdr w:val="nil"/>
        </w:rPr>
        <w:tab/>
      </w:r>
      <w:r w:rsidRPr="00D11A17">
        <w:rPr>
          <w:bdr w:val="nil"/>
        </w:rPr>
        <w:t>139</w:t>
      </w:r>
    </w:p>
    <w:p w:rsidR="001E610A" w:rsidRDefault="00D5482E" w:rsidP="001E610A">
      <w:pPr>
        <w:pStyle w:val="TOC1"/>
        <w:pBdr>
          <w:top w:val="nil"/>
          <w:left w:val="nil"/>
          <w:bottom w:val="nil"/>
          <w:right w:val="nil"/>
          <w:between w:val="nil"/>
          <w:bar w:val="nil"/>
        </w:pBdr>
        <w:rPr>
          <w:bdr w:val="nil"/>
        </w:rPr>
      </w:pPr>
      <w:r>
        <w:rPr>
          <w:bdr w:val="nil"/>
        </w:rPr>
        <w:t xml:space="preserve">Abbreviations </w:t>
      </w:r>
      <w:r>
        <w:rPr>
          <w:bdr w:val="nil"/>
        </w:rPr>
        <w:tab/>
        <w:t>143</w:t>
      </w:r>
    </w:p>
    <w:p w:rsidR="00B710DA" w:rsidRPr="00B710DA" w:rsidRDefault="00B710DA" w:rsidP="00B710DA">
      <w:pPr>
        <w:pBdr>
          <w:top w:val="nil"/>
          <w:left w:val="nil"/>
          <w:bottom w:val="nil"/>
          <w:right w:val="nil"/>
          <w:between w:val="nil"/>
          <w:bar w:val="nil"/>
        </w:pBdr>
        <w:rPr>
          <w:rFonts w:ascii="Calibri" w:eastAsia="Calibri" w:hAnsi="Calibri" w:cs="Arial"/>
          <w:bdr w:val="nil"/>
          <w:lang w:val="en-AU" w:eastAsia="en-AU"/>
        </w:rPr>
        <w:sectPr w:rsidR="00B710DA" w:rsidRPr="00B710DA" w:rsidSect="001C56C9">
          <w:headerReference w:type="even" r:id="rId48"/>
          <w:headerReference w:type="default" r:id="rId49"/>
          <w:footerReference w:type="even" r:id="rId50"/>
          <w:footerReference w:type="default" r:id="rId51"/>
          <w:headerReference w:type="first" r:id="rId52"/>
          <w:footerReference w:type="first" r:id="rId53"/>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p>
    <w:p w:rsidR="00D5189F" w:rsidRPr="00377D53" w:rsidRDefault="00D5482E" w:rsidP="00D5189F">
      <w:pPr>
        <w:pStyle w:val="PartHeading"/>
        <w:pageBreakBefore/>
        <w:pBdr>
          <w:top w:val="nil"/>
          <w:left w:val="nil"/>
          <w:bottom w:val="nil"/>
          <w:right w:val="nil"/>
          <w:between w:val="nil"/>
          <w:bar w:val="nil"/>
        </w:pBdr>
        <w:rPr>
          <w:color w:val="FFFFFF"/>
          <w:sz w:val="48"/>
          <w:szCs w:val="48"/>
          <w:bdr w:val="nil"/>
        </w:rPr>
      </w:pPr>
      <w:r w:rsidRPr="00377D53">
        <w:rPr>
          <w:color w:val="FFFFFF"/>
          <w:sz w:val="48"/>
          <w:szCs w:val="48"/>
          <w:bdr w:val="nil"/>
        </w:rPr>
        <w:lastRenderedPageBreak/>
        <w:t>Portfolio Overview</w:t>
      </w:r>
    </w:p>
    <w:p w:rsidR="00D5189F" w:rsidRPr="00377D53" w:rsidRDefault="00D5482E" w:rsidP="00D5189F">
      <w:pPr>
        <w:pStyle w:val="PartHeading"/>
        <w:pBdr>
          <w:top w:val="nil"/>
          <w:left w:val="nil"/>
          <w:bottom w:val="nil"/>
          <w:right w:val="nil"/>
          <w:between w:val="nil"/>
          <w:bar w:val="nil"/>
        </w:pBdr>
        <w:rPr>
          <w:color w:val="FFFFFF"/>
          <w:sz w:val="48"/>
          <w:szCs w:val="48"/>
          <w:bdr w:val="nil"/>
        </w:rPr>
      </w:pPr>
      <w:r w:rsidRPr="00377D53">
        <w:rPr>
          <w:color w:val="FFFFFF"/>
          <w:sz w:val="48"/>
          <w:szCs w:val="48"/>
          <w:bdr w:val="nil"/>
        </w:rPr>
        <w:t>Portfolio Overview</w:t>
      </w:r>
    </w:p>
    <w:p w:rsidR="00D5189F" w:rsidRPr="00377D53" w:rsidRDefault="00D5482E" w:rsidP="00D5189F">
      <w:pPr>
        <w:pStyle w:val="PartHeading"/>
        <w:pBdr>
          <w:top w:val="nil"/>
          <w:left w:val="nil"/>
          <w:bottom w:val="nil"/>
          <w:right w:val="nil"/>
          <w:between w:val="nil"/>
          <w:bar w:val="nil"/>
        </w:pBdr>
        <w:rPr>
          <w:color w:val="FFFFFF"/>
          <w:sz w:val="48"/>
          <w:szCs w:val="48"/>
          <w:bdr w:val="nil"/>
        </w:rPr>
      </w:pPr>
      <w:r w:rsidRPr="00377D53">
        <w:rPr>
          <w:color w:val="FFFFFF"/>
          <w:sz w:val="48"/>
          <w:szCs w:val="48"/>
          <w:bdr w:val="nil"/>
        </w:rPr>
        <w:t>Portfolio Overview</w:t>
      </w:r>
    </w:p>
    <w:p w:rsidR="00D5189F" w:rsidRPr="00377D53" w:rsidRDefault="00D5482E" w:rsidP="00D5189F">
      <w:pPr>
        <w:pStyle w:val="PartHeading"/>
        <w:pBdr>
          <w:top w:val="nil"/>
          <w:left w:val="nil"/>
          <w:bottom w:val="nil"/>
          <w:right w:val="nil"/>
          <w:between w:val="nil"/>
          <w:bar w:val="nil"/>
        </w:pBdr>
        <w:rPr>
          <w:color w:val="FFFFFF"/>
          <w:sz w:val="48"/>
          <w:szCs w:val="48"/>
          <w:bdr w:val="nil"/>
        </w:rPr>
      </w:pPr>
      <w:r w:rsidRPr="00377D53">
        <w:rPr>
          <w:color w:val="FFFFFF"/>
          <w:sz w:val="48"/>
          <w:szCs w:val="48"/>
          <w:bdr w:val="nil"/>
        </w:rPr>
        <w:t>Portfolio Overview</w:t>
      </w:r>
    </w:p>
    <w:p w:rsidR="00D5189F" w:rsidRDefault="00D5189F" w:rsidP="00D5189F">
      <w:pPr>
        <w:pStyle w:val="PartHeading"/>
        <w:pBdr>
          <w:top w:val="nil"/>
          <w:left w:val="nil"/>
          <w:bottom w:val="nil"/>
          <w:right w:val="nil"/>
          <w:between w:val="nil"/>
          <w:bar w:val="nil"/>
        </w:pBdr>
        <w:rPr>
          <w:sz w:val="48"/>
          <w:szCs w:val="48"/>
          <w:bdr w:val="nil"/>
        </w:rPr>
      </w:pPr>
    </w:p>
    <w:p w:rsidR="00491960" w:rsidRPr="00491960" w:rsidRDefault="00491960" w:rsidP="00491960">
      <w:pPr>
        <w:pBdr>
          <w:top w:val="nil"/>
          <w:left w:val="nil"/>
          <w:bottom w:val="nil"/>
          <w:right w:val="nil"/>
          <w:between w:val="nil"/>
          <w:bar w:val="nil"/>
        </w:pBdr>
        <w:rPr>
          <w:rFonts w:ascii="Calibri" w:eastAsia="Calibri" w:hAnsi="Calibri" w:cs="Arial"/>
          <w:bdr w:val="nil"/>
          <w:lang w:val="en-AU" w:eastAsia="en-AU"/>
        </w:rPr>
      </w:pPr>
    </w:p>
    <w:p w:rsidR="00D5189F" w:rsidRPr="009C6387" w:rsidRDefault="00D5482E" w:rsidP="00D5189F">
      <w:pPr>
        <w:pStyle w:val="PartHeading"/>
        <w:pBdr>
          <w:top w:val="nil"/>
          <w:left w:val="nil"/>
          <w:bottom w:val="nil"/>
          <w:right w:val="nil"/>
          <w:between w:val="nil"/>
          <w:bar w:val="nil"/>
        </w:pBdr>
        <w:rPr>
          <w:sz w:val="48"/>
          <w:szCs w:val="48"/>
          <w:bdr w:val="nil"/>
        </w:rPr>
      </w:pPr>
      <w:r>
        <w:rPr>
          <w:sz w:val="48"/>
          <w:szCs w:val="48"/>
          <w:bdr w:val="nil"/>
        </w:rPr>
        <w:t>Portfolio o</w:t>
      </w:r>
      <w:r w:rsidRPr="009C6387">
        <w:rPr>
          <w:sz w:val="48"/>
          <w:szCs w:val="48"/>
          <w:bdr w:val="nil"/>
        </w:rPr>
        <w:t>verview</w:t>
      </w:r>
    </w:p>
    <w:p w:rsidR="00B511FF" w:rsidRPr="00B511FF" w:rsidRDefault="00B511FF" w:rsidP="00B511FF">
      <w:pPr>
        <w:pBdr>
          <w:top w:val="nil"/>
          <w:left w:val="nil"/>
          <w:bottom w:val="nil"/>
          <w:right w:val="nil"/>
          <w:between w:val="nil"/>
          <w:bar w:val="nil"/>
        </w:pBdr>
        <w:rPr>
          <w:rFonts w:ascii="Calibri" w:eastAsia="Calibri" w:hAnsi="Calibri" w:cs="Arial"/>
          <w:vanish/>
          <w:bdr w:val="nil"/>
          <w:lang w:val="en-AU" w:eastAsia="en-AU"/>
        </w:rPr>
        <w:sectPr w:rsidR="00B511FF" w:rsidRPr="00B511FF" w:rsidSect="00D5189F">
          <w:headerReference w:type="even" r:id="rId54"/>
          <w:headerReference w:type="default" r:id="rId55"/>
          <w:footerReference w:type="even" r:id="rId56"/>
          <w:footerReference w:type="default" r:id="rId57"/>
          <w:headerReference w:type="first" r:id="rId58"/>
          <w:footerReference w:type="first" r:id="rId59"/>
          <w:type w:val="continuous"/>
          <w:pgSz w:w="11906" w:h="16838"/>
          <w:pgMar w:top="2466" w:right="2098" w:bottom="2466" w:left="2098" w:header="1899" w:footer="1899" w:gutter="0"/>
          <w:pgBorders>
            <w:top w:val="nil"/>
            <w:left w:val="nil"/>
            <w:bottom w:val="nil"/>
            <w:right w:val="nil"/>
          </w:pgBorders>
          <w:pgNumType w:start="1"/>
          <w:cols w:space="720"/>
          <w:docGrid w:linePitch="360"/>
        </w:sectPr>
      </w:pPr>
    </w:p>
    <w:p w:rsidR="00DE34D5" w:rsidRPr="000B7F5D" w:rsidRDefault="00DE34D5" w:rsidP="000B7F5D">
      <w:pPr>
        <w:pageBreakBefore/>
        <w:pBdr>
          <w:top w:val="nil"/>
          <w:left w:val="nil"/>
          <w:bottom w:val="nil"/>
          <w:right w:val="nil"/>
          <w:between w:val="nil"/>
          <w:bar w:val="nil"/>
        </w:pBdr>
        <w:rPr>
          <w:rFonts w:ascii="Calibri" w:eastAsia="Calibri" w:hAnsi="Calibri" w:cs="Arial"/>
          <w:bdr w:val="nil"/>
        </w:rPr>
        <w:sectPr w:rsidR="00DE34D5" w:rsidRPr="000B7F5D" w:rsidSect="00D86095">
          <w:headerReference w:type="even" r:id="rId60"/>
          <w:headerReference w:type="default" r:id="rId61"/>
          <w:footerReference w:type="even" r:id="rId62"/>
          <w:footerReference w:type="default" r:id="rId63"/>
          <w:headerReference w:type="first" r:id="rId64"/>
          <w:footerReference w:type="first" r:id="rId65"/>
          <w:type w:val="continuous"/>
          <w:pgSz w:w="11906" w:h="16838"/>
          <w:pgMar w:top="2466" w:right="2098" w:bottom="2466" w:left="2098" w:header="1899" w:footer="1899" w:gutter="0"/>
          <w:pgBorders>
            <w:top w:val="nil"/>
            <w:left w:val="nil"/>
            <w:bottom w:val="nil"/>
            <w:right w:val="nil"/>
          </w:pgBorders>
          <w:cols w:space="720"/>
          <w:docGrid w:linePitch="360"/>
        </w:sectPr>
      </w:pPr>
    </w:p>
    <w:p w:rsidR="00B3639E" w:rsidRDefault="00D5482E" w:rsidP="00AD321C">
      <w:pPr>
        <w:pStyle w:val="Heading1"/>
        <w:pageBreakBefore/>
        <w:pBdr>
          <w:top w:val="nil"/>
          <w:left w:val="nil"/>
          <w:bottom w:val="nil"/>
          <w:right w:val="nil"/>
          <w:between w:val="nil"/>
          <w:bar w:val="nil"/>
        </w:pBdr>
        <w:rPr>
          <w:bdr w:val="nil"/>
        </w:rPr>
      </w:pPr>
      <w:r>
        <w:rPr>
          <w:bdr w:val="nil"/>
        </w:rPr>
        <w:lastRenderedPageBreak/>
        <w:t xml:space="preserve">Social Services Portfolio </w:t>
      </w:r>
      <w:bookmarkStart w:id="5" w:name="_Toc436626775"/>
      <w:r>
        <w:rPr>
          <w:bdr w:val="nil"/>
        </w:rPr>
        <w:t>overview</w:t>
      </w:r>
      <w:bookmarkEnd w:id="5"/>
    </w:p>
    <w:p w:rsidR="00B3639E" w:rsidRDefault="00D5482E" w:rsidP="00A10D55">
      <w:pPr>
        <w:pBdr>
          <w:top w:val="nil"/>
          <w:left w:val="nil"/>
          <w:bottom w:val="nil"/>
          <w:right w:val="nil"/>
          <w:between w:val="nil"/>
          <w:bar w:val="nil"/>
        </w:pBdr>
        <w:spacing w:after="240" w:line="260" w:lineRule="exact"/>
        <w:jc w:val="both"/>
        <w:rPr>
          <w:rFonts w:eastAsia="Calibri" w:cs="Arial"/>
          <w:sz w:val="20"/>
          <w:bdr w:val="nil"/>
        </w:rPr>
      </w:pPr>
      <w:r w:rsidRPr="00B3639E">
        <w:rPr>
          <w:rFonts w:ascii="Book Antiqua" w:eastAsia="Calibri" w:hAnsi="Book Antiqua" w:cs="Arial"/>
          <w:sz w:val="20"/>
          <w:bdr w:val="nil"/>
        </w:rPr>
        <w:t xml:space="preserve">This document provides information about the changes within the </w:t>
      </w:r>
      <w:r>
        <w:rPr>
          <w:rFonts w:ascii="Book Antiqua" w:eastAsia="Calibri" w:hAnsi="Book Antiqua" w:cs="Arial"/>
          <w:sz w:val="20"/>
          <w:bdr w:val="nil"/>
        </w:rPr>
        <w:t>Social Services Portfolio</w:t>
      </w:r>
      <w:r w:rsidRPr="00B3639E">
        <w:rPr>
          <w:rFonts w:ascii="Book Antiqua" w:eastAsia="Calibri" w:hAnsi="Book Antiqua" w:cs="Arial"/>
          <w:sz w:val="20"/>
          <w:bdr w:val="nil"/>
        </w:rPr>
        <w:t xml:space="preserve"> since the publication of the 2020-21 Portfolio Budget Statements.</w:t>
      </w:r>
      <w:r>
        <w:rPr>
          <w:rFonts w:ascii="Book Antiqua" w:eastAsia="Calibri" w:hAnsi="Book Antiqua" w:cs="Arial"/>
          <w:sz w:val="20"/>
          <w:bdr w:val="nil"/>
        </w:rPr>
        <w:t xml:space="preserve"> </w:t>
      </w:r>
    </w:p>
    <w:p w:rsidR="00B3639E" w:rsidRDefault="00D5482E" w:rsidP="00A10D55">
      <w:pPr>
        <w:pStyle w:val="Heading2"/>
        <w:pBdr>
          <w:top w:val="nil"/>
          <w:left w:val="nil"/>
          <w:bottom w:val="nil"/>
          <w:right w:val="nil"/>
          <w:between w:val="nil"/>
          <w:bar w:val="nil"/>
        </w:pBdr>
        <w:spacing w:before="240" w:after="240"/>
        <w:jc w:val="both"/>
        <w:rPr>
          <w:bdr w:val="nil"/>
        </w:rPr>
      </w:pPr>
      <w:r>
        <w:rPr>
          <w:bdr w:val="nil"/>
        </w:rPr>
        <w:t>Ministers and portfolio responsibilities</w:t>
      </w:r>
    </w:p>
    <w:p w:rsidR="00556DF7" w:rsidRDefault="00D5482E" w:rsidP="00A10D55">
      <w:pPr>
        <w:pBdr>
          <w:top w:val="nil"/>
          <w:left w:val="nil"/>
          <w:bottom w:val="nil"/>
          <w:right w:val="nil"/>
          <w:between w:val="nil"/>
          <w:bar w:val="nil"/>
        </w:pBdr>
        <w:spacing w:after="240" w:line="260" w:lineRule="exact"/>
        <w:jc w:val="both"/>
        <w:rPr>
          <w:rFonts w:eastAsia="Calibri" w:cs="Arial"/>
          <w:sz w:val="20"/>
          <w:bdr w:val="nil"/>
        </w:rPr>
      </w:pPr>
      <w:r>
        <w:rPr>
          <w:rFonts w:ascii="Book Antiqua" w:eastAsia="Calibri" w:hAnsi="Book Antiqua" w:cs="Arial"/>
          <w:sz w:val="20"/>
          <w:bdr w:val="nil"/>
        </w:rPr>
        <w:t>The Hon Michael Sukkar MP was sworn in as the Minister for Homelessness, Social and Community Housing on 22 December 2020.  The Ministers and Assistant Ministers responsible for the Social Services portfolio and its entities are:</w:t>
      </w:r>
    </w:p>
    <w:p w:rsidR="00A10D55" w:rsidRDefault="00D5482E" w:rsidP="00A10D55">
      <w:pPr>
        <w:pStyle w:val="ListParagraph"/>
        <w:numPr>
          <w:ilvl w:val="0"/>
          <w:numId w:val="1"/>
        </w:numPr>
        <w:pBdr>
          <w:top w:val="nil"/>
          <w:left w:val="nil"/>
          <w:bottom w:val="nil"/>
          <w:right w:val="nil"/>
          <w:between w:val="nil"/>
          <w:bar w:val="nil"/>
        </w:pBdr>
        <w:spacing w:after="240" w:line="240" w:lineRule="exact"/>
        <w:ind w:left="425" w:hanging="425"/>
        <w:jc w:val="both"/>
        <w:rPr>
          <w:rFonts w:eastAsia="Calibri" w:cs="Arial"/>
          <w:sz w:val="20"/>
          <w:bdr w:val="nil"/>
        </w:rPr>
      </w:pPr>
      <w:r>
        <w:rPr>
          <w:rFonts w:eastAsia="Calibri" w:cs="Arial"/>
          <w:sz w:val="20"/>
          <w:bdr w:val="nil"/>
        </w:rPr>
        <w:t>Senator the Hon Anne Ruston, Minister for Families and Social Services</w:t>
      </w:r>
    </w:p>
    <w:p w:rsidR="00A10D55" w:rsidRDefault="00A10D55" w:rsidP="00A10D55">
      <w:pPr>
        <w:pStyle w:val="ListParagraph"/>
        <w:pBdr>
          <w:top w:val="nil"/>
          <w:left w:val="nil"/>
          <w:bottom w:val="nil"/>
          <w:right w:val="nil"/>
          <w:between w:val="nil"/>
          <w:bar w:val="nil"/>
        </w:pBdr>
        <w:spacing w:after="240" w:line="240" w:lineRule="exact"/>
        <w:ind w:left="425"/>
        <w:jc w:val="both"/>
        <w:rPr>
          <w:rFonts w:eastAsia="Calibri" w:cs="Arial"/>
          <w:sz w:val="20"/>
          <w:bdr w:val="nil"/>
        </w:rPr>
      </w:pPr>
    </w:p>
    <w:p w:rsidR="00A10D55" w:rsidRDefault="00D5482E" w:rsidP="00A10D55">
      <w:pPr>
        <w:pStyle w:val="ListParagraph"/>
        <w:numPr>
          <w:ilvl w:val="0"/>
          <w:numId w:val="1"/>
        </w:numPr>
        <w:pBdr>
          <w:top w:val="nil"/>
          <w:left w:val="nil"/>
          <w:bottom w:val="nil"/>
          <w:right w:val="nil"/>
          <w:between w:val="nil"/>
          <w:bar w:val="nil"/>
        </w:pBdr>
        <w:spacing w:after="240" w:line="240" w:lineRule="exact"/>
        <w:ind w:left="425" w:hanging="425"/>
        <w:jc w:val="both"/>
        <w:rPr>
          <w:rFonts w:eastAsia="Calibri" w:cs="Arial"/>
          <w:sz w:val="20"/>
          <w:bdr w:val="nil"/>
        </w:rPr>
      </w:pPr>
      <w:r>
        <w:rPr>
          <w:rFonts w:eastAsia="Calibri" w:cs="Arial"/>
          <w:sz w:val="20"/>
          <w:bdr w:val="nil"/>
        </w:rPr>
        <w:t>The Hon Stuart Robert MP, Minister for the National Disability Insurance Scheme and Minister for Government Services</w:t>
      </w:r>
    </w:p>
    <w:p w:rsidR="00A10D55" w:rsidRDefault="00A10D55" w:rsidP="00A10D55">
      <w:pPr>
        <w:pStyle w:val="ListParagraph"/>
        <w:pBdr>
          <w:top w:val="nil"/>
          <w:left w:val="nil"/>
          <w:bottom w:val="nil"/>
          <w:right w:val="nil"/>
          <w:between w:val="nil"/>
          <w:bar w:val="nil"/>
        </w:pBdr>
        <w:spacing w:after="240" w:line="240" w:lineRule="exact"/>
        <w:ind w:left="425"/>
        <w:jc w:val="both"/>
        <w:rPr>
          <w:rFonts w:eastAsia="Calibri" w:cs="Arial"/>
          <w:sz w:val="20"/>
          <w:bdr w:val="nil"/>
        </w:rPr>
      </w:pPr>
    </w:p>
    <w:p w:rsidR="007217A2" w:rsidRPr="007217A2" w:rsidRDefault="00D5482E" w:rsidP="007217A2">
      <w:pPr>
        <w:pStyle w:val="ListParagraph"/>
        <w:numPr>
          <w:ilvl w:val="0"/>
          <w:numId w:val="1"/>
        </w:numPr>
        <w:pBdr>
          <w:top w:val="nil"/>
          <w:left w:val="nil"/>
          <w:bottom w:val="nil"/>
          <w:right w:val="nil"/>
          <w:between w:val="nil"/>
          <w:bar w:val="nil"/>
        </w:pBdr>
        <w:spacing w:after="240" w:line="240" w:lineRule="exact"/>
        <w:ind w:left="425" w:hanging="425"/>
        <w:contextualSpacing w:val="0"/>
        <w:jc w:val="both"/>
        <w:rPr>
          <w:rFonts w:eastAsia="Calibri" w:cs="Arial"/>
          <w:sz w:val="20"/>
          <w:bdr w:val="nil"/>
        </w:rPr>
      </w:pPr>
      <w:r>
        <w:rPr>
          <w:rFonts w:eastAsia="Calibri" w:cs="Arial"/>
          <w:sz w:val="20"/>
          <w:bdr w:val="nil"/>
        </w:rPr>
        <w:t>The Hon Michael Sukkar MP, Minister for Homelessness, Social and Community Housing</w:t>
      </w:r>
    </w:p>
    <w:p w:rsidR="00A10D55" w:rsidRDefault="00D5482E" w:rsidP="007217A2">
      <w:pPr>
        <w:pStyle w:val="ListParagraph"/>
        <w:numPr>
          <w:ilvl w:val="0"/>
          <w:numId w:val="1"/>
        </w:numPr>
        <w:pBdr>
          <w:top w:val="nil"/>
          <w:left w:val="nil"/>
          <w:bottom w:val="nil"/>
          <w:right w:val="nil"/>
          <w:between w:val="nil"/>
          <w:bar w:val="nil"/>
        </w:pBdr>
        <w:spacing w:after="240" w:line="240" w:lineRule="exact"/>
        <w:ind w:left="425" w:hanging="425"/>
        <w:jc w:val="both"/>
        <w:rPr>
          <w:rFonts w:eastAsia="Calibri" w:cs="Arial"/>
          <w:sz w:val="20"/>
          <w:bdr w:val="nil"/>
        </w:rPr>
      </w:pPr>
      <w:r>
        <w:rPr>
          <w:rFonts w:eastAsia="Calibri" w:cs="Arial"/>
          <w:sz w:val="20"/>
          <w:bdr w:val="nil"/>
        </w:rPr>
        <w:t>The Hon Michelle Landry MP, Assistant Minister for Children and Families</w:t>
      </w:r>
    </w:p>
    <w:p w:rsidR="00B3639E" w:rsidRDefault="00D5482E" w:rsidP="00A10D55">
      <w:pPr>
        <w:pStyle w:val="Heading2"/>
        <w:pBdr>
          <w:top w:val="nil"/>
          <w:left w:val="nil"/>
          <w:bottom w:val="nil"/>
          <w:right w:val="nil"/>
          <w:between w:val="nil"/>
          <w:bar w:val="nil"/>
        </w:pBdr>
        <w:spacing w:before="240" w:after="240"/>
        <w:jc w:val="both"/>
        <w:rPr>
          <w:bdr w:val="nil"/>
        </w:rPr>
      </w:pPr>
      <w:r>
        <w:rPr>
          <w:bdr w:val="nil"/>
        </w:rPr>
        <w:t>Overview of additional estimates sought for the portfolio</w:t>
      </w:r>
    </w:p>
    <w:p w:rsidR="00B3639E" w:rsidRPr="00D97C83" w:rsidRDefault="00D5482E" w:rsidP="00A10D55">
      <w:pPr>
        <w:pBdr>
          <w:top w:val="nil"/>
          <w:left w:val="nil"/>
          <w:bottom w:val="nil"/>
          <w:right w:val="nil"/>
          <w:between w:val="nil"/>
          <w:bar w:val="nil"/>
        </w:pBdr>
        <w:spacing w:after="240" w:line="260" w:lineRule="exact"/>
        <w:jc w:val="both"/>
        <w:rPr>
          <w:rFonts w:eastAsia="Calibri" w:cs="Arial"/>
          <w:sz w:val="20"/>
          <w:bdr w:val="nil"/>
        </w:rPr>
      </w:pPr>
      <w:r w:rsidRPr="00D97C83">
        <w:rPr>
          <w:rFonts w:ascii="Book Antiqua" w:eastAsia="Calibri" w:hAnsi="Book Antiqua" w:cs="Arial"/>
          <w:sz w:val="20"/>
          <w:bdr w:val="nil"/>
        </w:rPr>
        <w:t>Additional appropriations of $</w:t>
      </w:r>
      <w:r w:rsidR="003D50F8">
        <w:rPr>
          <w:rFonts w:ascii="Book Antiqua" w:eastAsia="Calibri" w:hAnsi="Book Antiqua" w:cs="Arial"/>
          <w:sz w:val="20"/>
          <w:bdr w:val="nil"/>
        </w:rPr>
        <w:t>147</w:t>
      </w:r>
      <w:r w:rsidRPr="00D97C83">
        <w:rPr>
          <w:rFonts w:ascii="Book Antiqua" w:eastAsia="Calibri" w:hAnsi="Book Antiqua" w:cs="Arial"/>
          <w:sz w:val="20"/>
          <w:bdr w:val="nil"/>
        </w:rPr>
        <w:t xml:space="preserve"> million are being sought through Appropriation Bill (No. 3) </w:t>
      </w:r>
      <w:r>
        <w:rPr>
          <w:rFonts w:ascii="Book Antiqua" w:eastAsia="Calibri" w:hAnsi="Book Antiqua" w:cs="Arial"/>
          <w:sz w:val="20"/>
          <w:bdr w:val="nil"/>
        </w:rPr>
        <w:t>2020-2021</w:t>
      </w:r>
      <w:r w:rsidRPr="00D97C83">
        <w:rPr>
          <w:rFonts w:ascii="Book Antiqua" w:eastAsia="Calibri" w:hAnsi="Book Antiqua" w:cs="Arial"/>
          <w:sz w:val="20"/>
          <w:bdr w:val="nil"/>
        </w:rPr>
        <w:t xml:space="preserve"> </w:t>
      </w:r>
      <w:r w:rsidR="002E2971">
        <w:rPr>
          <w:rFonts w:ascii="Book Antiqua" w:eastAsia="Calibri" w:hAnsi="Book Antiqua" w:cs="Arial"/>
          <w:sz w:val="20"/>
          <w:bdr w:val="nil"/>
        </w:rPr>
        <w:t>and $2</w:t>
      </w:r>
      <w:r w:rsidR="00C923E5">
        <w:rPr>
          <w:rFonts w:ascii="Book Antiqua" w:eastAsia="Calibri" w:hAnsi="Book Antiqua" w:cs="Arial"/>
          <w:sz w:val="20"/>
          <w:bdr w:val="nil"/>
        </w:rPr>
        <w:t>2</w:t>
      </w:r>
      <w:r w:rsidR="00D74910">
        <w:rPr>
          <w:rFonts w:ascii="Book Antiqua" w:eastAsia="Calibri" w:hAnsi="Book Antiqua" w:cs="Arial"/>
          <w:sz w:val="20"/>
          <w:bdr w:val="nil"/>
        </w:rPr>
        <w:t xml:space="preserve"> </w:t>
      </w:r>
      <w:r w:rsidR="002E2971">
        <w:rPr>
          <w:rFonts w:ascii="Book Antiqua" w:eastAsia="Calibri" w:hAnsi="Book Antiqua" w:cs="Arial"/>
          <w:sz w:val="20"/>
          <w:bdr w:val="nil"/>
        </w:rPr>
        <w:t>m</w:t>
      </w:r>
      <w:r w:rsidR="00D74910">
        <w:rPr>
          <w:rFonts w:ascii="Book Antiqua" w:eastAsia="Calibri" w:hAnsi="Book Antiqua" w:cs="Arial"/>
          <w:sz w:val="20"/>
          <w:bdr w:val="nil"/>
        </w:rPr>
        <w:t>illion</w:t>
      </w:r>
      <w:r w:rsidR="002E2971">
        <w:rPr>
          <w:rFonts w:ascii="Book Antiqua" w:eastAsia="Calibri" w:hAnsi="Book Antiqua" w:cs="Arial"/>
          <w:sz w:val="20"/>
          <w:bdr w:val="nil"/>
        </w:rPr>
        <w:t xml:space="preserve"> through Appropriation Bill (No. 4) 2020-2021 </w:t>
      </w:r>
      <w:r w:rsidRPr="00D97C83">
        <w:rPr>
          <w:rFonts w:ascii="Book Antiqua" w:eastAsia="Calibri" w:hAnsi="Book Antiqua" w:cs="Arial"/>
          <w:sz w:val="20"/>
          <w:bdr w:val="nil"/>
        </w:rPr>
        <w:t xml:space="preserve">as a result of new measures and variations. In addition, these statements reflect </w:t>
      </w:r>
      <w:r w:rsidR="003D50F8">
        <w:rPr>
          <w:rFonts w:ascii="Book Antiqua" w:eastAsia="Calibri" w:hAnsi="Book Antiqua" w:cs="Arial"/>
          <w:sz w:val="20"/>
          <w:bdr w:val="nil"/>
        </w:rPr>
        <w:t>increased</w:t>
      </w:r>
      <w:r w:rsidRPr="00D97C83">
        <w:rPr>
          <w:rFonts w:ascii="Book Antiqua" w:eastAsia="Calibri" w:hAnsi="Book Antiqua" w:cs="Arial"/>
          <w:sz w:val="20"/>
          <w:bdr w:val="nil"/>
        </w:rPr>
        <w:t xml:space="preserve"> estimates of $</w:t>
      </w:r>
      <w:r w:rsidR="003D50F8">
        <w:rPr>
          <w:rFonts w:ascii="Book Antiqua" w:eastAsia="Calibri" w:hAnsi="Book Antiqua" w:cs="Arial"/>
          <w:sz w:val="20"/>
          <w:bdr w:val="nil"/>
        </w:rPr>
        <w:t>3,237</w:t>
      </w:r>
      <w:r w:rsidRPr="00D97C83">
        <w:rPr>
          <w:rFonts w:ascii="Book Antiqua" w:eastAsia="Calibri" w:hAnsi="Book Antiqua" w:cs="Arial"/>
          <w:sz w:val="20"/>
          <w:bdr w:val="nil"/>
        </w:rPr>
        <w:t xml:space="preserve"> </w:t>
      </w:r>
      <w:r>
        <w:rPr>
          <w:rFonts w:ascii="Book Antiqua" w:eastAsia="Calibri" w:hAnsi="Book Antiqua" w:cs="Arial"/>
          <w:sz w:val="20"/>
          <w:bdr w:val="nil"/>
        </w:rPr>
        <w:t>m</w:t>
      </w:r>
      <w:r w:rsidRPr="00D97C83">
        <w:rPr>
          <w:rFonts w:ascii="Book Antiqua" w:eastAsia="Calibri" w:hAnsi="Book Antiqua" w:cs="Arial"/>
          <w:sz w:val="20"/>
          <w:bdr w:val="nil"/>
        </w:rPr>
        <w:t>illion for the portfolio’s special appropriations.</w:t>
      </w:r>
    </w:p>
    <w:p w:rsidR="00B3639E" w:rsidRDefault="00D5482E" w:rsidP="00A10D55">
      <w:pPr>
        <w:pStyle w:val="Heading2"/>
        <w:pBdr>
          <w:top w:val="nil"/>
          <w:left w:val="nil"/>
          <w:bottom w:val="nil"/>
          <w:right w:val="nil"/>
          <w:between w:val="nil"/>
          <w:bar w:val="nil"/>
        </w:pBdr>
        <w:spacing w:before="240" w:after="240"/>
        <w:jc w:val="both"/>
        <w:rPr>
          <w:bdr w:val="nil"/>
        </w:rPr>
      </w:pPr>
      <w:r>
        <w:rPr>
          <w:bdr w:val="nil"/>
        </w:rPr>
        <w:t>Structure of the portfolio</w:t>
      </w:r>
    </w:p>
    <w:p w:rsidR="00A10D55" w:rsidRPr="00A10D55" w:rsidRDefault="00D5482E" w:rsidP="00A10D55">
      <w:pPr>
        <w:pBdr>
          <w:top w:val="nil"/>
          <w:left w:val="nil"/>
          <w:bottom w:val="nil"/>
          <w:right w:val="nil"/>
          <w:between w:val="nil"/>
          <w:bar w:val="nil"/>
        </w:pBdr>
        <w:jc w:val="both"/>
        <w:rPr>
          <w:rFonts w:eastAsia="Calibri" w:cs="Arial"/>
          <w:sz w:val="20"/>
          <w:bdr w:val="nil"/>
        </w:rPr>
      </w:pPr>
      <w:r w:rsidRPr="00A10D55">
        <w:rPr>
          <w:rFonts w:ascii="Book Antiqua" w:eastAsia="Calibri" w:hAnsi="Book Antiqua" w:cs="Arial"/>
          <w:sz w:val="20"/>
          <w:bdr w:val="nil"/>
        </w:rPr>
        <w:t xml:space="preserve">Under the </w:t>
      </w:r>
      <w:r w:rsidRPr="00A10D55">
        <w:rPr>
          <w:rFonts w:ascii="Book Antiqua" w:eastAsia="Calibri" w:hAnsi="Book Antiqua" w:cs="Arial"/>
          <w:i/>
          <w:sz w:val="20"/>
          <w:bdr w:val="nil"/>
        </w:rPr>
        <w:t>Public Governance, Performance and Accountability Act 2013</w:t>
      </w:r>
      <w:r w:rsidRPr="00A10D55">
        <w:rPr>
          <w:rFonts w:ascii="Book Antiqua" w:eastAsia="Calibri" w:hAnsi="Book Antiqua" w:cs="Arial"/>
          <w:sz w:val="20"/>
          <w:bdr w:val="nil"/>
        </w:rPr>
        <w:t xml:space="preserve"> (PGPA Act), </w:t>
      </w:r>
      <w:r w:rsidRPr="00A10D55">
        <w:rPr>
          <w:rFonts w:ascii="Book Antiqua" w:eastAsia="Calibri" w:hAnsi="Book Antiqua" w:cs="Arial"/>
          <w:sz w:val="20"/>
          <w:bdr w:val="nil"/>
        </w:rPr>
        <w:br/>
        <w:t>the portfolio comprises five non-corporate Commonwealth entities (one Department of State and four listed entities) and two corporate Commonwealth entities. Refer to Figure 1 for further information on the portfolio’s structure.</w:t>
      </w:r>
    </w:p>
    <w:p w:rsidR="00AD3BC9" w:rsidRDefault="00AD3BC9" w:rsidP="00A10D55">
      <w:pPr>
        <w:pBdr>
          <w:top w:val="nil"/>
          <w:left w:val="nil"/>
          <w:bottom w:val="nil"/>
          <w:right w:val="nil"/>
          <w:between w:val="nil"/>
          <w:bar w:val="nil"/>
        </w:pBdr>
        <w:spacing w:after="240" w:line="260" w:lineRule="exact"/>
        <w:jc w:val="both"/>
        <w:rPr>
          <w:rFonts w:eastAsia="Calibri" w:cs="Arial"/>
          <w:vanish/>
          <w:sz w:val="20"/>
          <w:bdr w:val="nil"/>
        </w:rPr>
        <w:sectPr w:rsidR="00AD3BC9" w:rsidSect="001C56C9">
          <w:headerReference w:type="even" r:id="rId66"/>
          <w:headerReference w:type="default" r:id="rId67"/>
          <w:footerReference w:type="even" r:id="rId68"/>
          <w:footerReference w:type="default" r:id="rId69"/>
          <w:headerReference w:type="first" r:id="rId70"/>
          <w:footerReference w:type="first" r:id="rId71"/>
          <w:type w:val="continuous"/>
          <w:pgSz w:w="11906" w:h="16838"/>
          <w:pgMar w:top="2466" w:right="2098" w:bottom="2466" w:left="2098" w:header="1899" w:footer="1899" w:gutter="0"/>
          <w:pgBorders>
            <w:top w:val="nil"/>
            <w:left w:val="nil"/>
            <w:bottom w:val="nil"/>
            <w:right w:val="nil"/>
          </w:pgBorders>
          <w:cols w:space="720"/>
          <w:docGrid w:linePitch="360"/>
        </w:sectPr>
      </w:pPr>
    </w:p>
    <w:p w:rsidR="00470378" w:rsidRPr="00470378" w:rsidRDefault="00D5482E" w:rsidP="000871BF">
      <w:pPr>
        <w:keepNext/>
        <w:keepLines/>
        <w:pageBreakBefore/>
        <w:pBdr>
          <w:top w:val="nil"/>
          <w:left w:val="nil"/>
          <w:bottom w:val="nil"/>
          <w:right w:val="nil"/>
          <w:between w:val="nil"/>
          <w:bar w:val="nil"/>
        </w:pBdr>
        <w:tabs>
          <w:tab w:val="left" w:pos="709"/>
        </w:tabs>
        <w:spacing w:after="240" w:line="240" w:lineRule="auto"/>
        <w:outlineLvl w:val="2"/>
        <w:rPr>
          <w:rFonts w:ascii="Arial" w:eastAsia="Times New Roman" w:hAnsi="Arial" w:cs="Times New Roman"/>
          <w:b/>
          <w:smallCaps/>
          <w:sz w:val="26"/>
          <w:szCs w:val="20"/>
          <w:bdr w:val="nil"/>
          <w:lang w:val="en-AU" w:eastAsia="en-AU"/>
        </w:rPr>
      </w:pPr>
      <w:r>
        <w:rPr>
          <w:rFonts w:ascii="Arial" w:eastAsia="Times New Roman" w:hAnsi="Arial" w:cs="Times New Roman"/>
          <w:b/>
          <w:smallCaps/>
          <w:sz w:val="26"/>
          <w:szCs w:val="20"/>
          <w:bdr w:val="nil"/>
          <w:lang w:val="en-AU" w:eastAsia="en-AU"/>
        </w:rPr>
        <w:lastRenderedPageBreak/>
        <w:t>Department of Social Services</w:t>
      </w:r>
    </w:p>
    <w:p w:rsidR="00DF4646" w:rsidRPr="00DF4646" w:rsidRDefault="00D5482E" w:rsidP="000871BF">
      <w:pPr>
        <w:pBdr>
          <w:top w:val="nil"/>
          <w:left w:val="nil"/>
          <w:bottom w:val="nil"/>
          <w:right w:val="nil"/>
          <w:between w:val="nil"/>
          <w:bar w:val="nil"/>
        </w:pBdr>
        <w:spacing w:line="240" w:lineRule="auto"/>
        <w:contextualSpacing/>
        <w:jc w:val="both"/>
        <w:rPr>
          <w:rFonts w:eastAsia="Calibri" w:cs="Arial"/>
          <w:sz w:val="20"/>
          <w:szCs w:val="20"/>
          <w:bdr w:val="nil"/>
        </w:rPr>
      </w:pPr>
      <w:r w:rsidRPr="00DF4646">
        <w:rPr>
          <w:rFonts w:ascii="Book Antiqua" w:eastAsia="Calibri" w:hAnsi="Book Antiqua" w:cs="Arial"/>
          <w:sz w:val="20"/>
          <w:szCs w:val="20"/>
          <w:bdr w:val="nil"/>
          <w:lang w:eastAsia="en-AU"/>
        </w:rPr>
        <w:t xml:space="preserve">The Department of Social Services was formed in September 2013 and is subject to the PGPA Act. The Department of Social Services’ mission is to </w:t>
      </w:r>
      <w:r w:rsidRPr="00DF4646">
        <w:rPr>
          <w:rFonts w:ascii="Book Antiqua" w:eastAsia="Calibri" w:hAnsi="Book Antiqua" w:cs="Arial"/>
          <w:sz w:val="20"/>
          <w:szCs w:val="20"/>
          <w:bdr w:val="nil"/>
        </w:rPr>
        <w:t xml:space="preserve">improve the wellbeing of individuals and families in Australian communities. The </w:t>
      </w:r>
      <w:r w:rsidRPr="00DF4646">
        <w:rPr>
          <w:rFonts w:ascii="Book Antiqua" w:eastAsia="Calibri" w:hAnsi="Book Antiqua" w:cs="Arial"/>
          <w:sz w:val="20"/>
          <w:szCs w:val="20"/>
          <w:bdr w:val="nil"/>
          <w:lang w:eastAsia="en-AU"/>
        </w:rPr>
        <w:t xml:space="preserve">Department of Social Services </w:t>
      </w:r>
      <w:r w:rsidRPr="00DF4646">
        <w:rPr>
          <w:rFonts w:ascii="Book Antiqua" w:eastAsia="Calibri" w:hAnsi="Book Antiqua" w:cs="Arial"/>
          <w:sz w:val="20"/>
          <w:szCs w:val="20"/>
          <w:bdr w:val="nil"/>
        </w:rPr>
        <w:t>works in partnership with government and non</w:t>
      </w:r>
      <w:r w:rsidRPr="00DF4646">
        <w:rPr>
          <w:rFonts w:ascii="Book Antiqua" w:eastAsia="Calibri" w:hAnsi="Book Antiqua" w:cs="Arial"/>
          <w:sz w:val="20"/>
          <w:szCs w:val="20"/>
          <w:bdr w:val="nil"/>
        </w:rPr>
        <w:noBreakHyphen/>
        <w:t xml:space="preserve">government organisations to achieve this mission through the effective development, management and delivery of payments, policies, programs, and services. </w:t>
      </w:r>
    </w:p>
    <w:p w:rsidR="00536D48" w:rsidRPr="00DF4646" w:rsidRDefault="00D5482E" w:rsidP="000871BF">
      <w:pPr>
        <w:pStyle w:val="Normal0"/>
        <w:pBdr>
          <w:top w:val="nil"/>
          <w:left w:val="nil"/>
          <w:bottom w:val="nil"/>
          <w:right w:val="nil"/>
          <w:between w:val="nil"/>
          <w:bar w:val="nil"/>
        </w:pBdr>
        <w:spacing w:line="240" w:lineRule="auto"/>
        <w:jc w:val="both"/>
        <w:rPr>
          <w:rFonts w:eastAsia="Calibri"/>
          <w:sz w:val="20"/>
          <w:szCs w:val="20"/>
          <w:bdr w:val="nil"/>
          <w:lang w:eastAsia="en-AU"/>
        </w:rPr>
      </w:pPr>
      <w:r w:rsidRPr="00DF4646">
        <w:rPr>
          <w:rFonts w:eastAsia="Calibri"/>
          <w:sz w:val="20"/>
          <w:szCs w:val="20"/>
          <w:bdr w:val="nil"/>
        </w:rPr>
        <w:t xml:space="preserve">The </w:t>
      </w:r>
      <w:r w:rsidRPr="00DF4646">
        <w:rPr>
          <w:rFonts w:eastAsia="Calibri"/>
          <w:sz w:val="20"/>
          <w:szCs w:val="20"/>
          <w:bdr w:val="nil"/>
          <w:lang w:eastAsia="en-AU"/>
        </w:rPr>
        <w:t xml:space="preserve">Department of Social Services </w:t>
      </w:r>
      <w:r w:rsidRPr="00DF4646">
        <w:rPr>
          <w:rFonts w:eastAsia="Calibri"/>
          <w:sz w:val="20"/>
          <w:szCs w:val="20"/>
          <w:bdr w:val="nil"/>
        </w:rPr>
        <w:t>is a non</w:t>
      </w:r>
      <w:r w:rsidRPr="00DF4646">
        <w:rPr>
          <w:rFonts w:eastAsia="Calibri"/>
          <w:sz w:val="20"/>
          <w:szCs w:val="20"/>
          <w:bdr w:val="nil"/>
        </w:rPr>
        <w:noBreakHyphen/>
        <w:t>corporate Commonwealth entity under the PGPA Act.</w:t>
      </w:r>
    </w:p>
    <w:p w:rsidR="00470378" w:rsidRPr="00706E22" w:rsidRDefault="00D5482E" w:rsidP="000871BF">
      <w:pPr>
        <w:keepNext/>
        <w:keepLines/>
        <w:pBdr>
          <w:top w:val="nil"/>
          <w:left w:val="nil"/>
          <w:bottom w:val="nil"/>
          <w:right w:val="nil"/>
          <w:between w:val="nil"/>
          <w:bar w:val="nil"/>
        </w:pBdr>
        <w:tabs>
          <w:tab w:val="left" w:pos="709"/>
        </w:tabs>
        <w:spacing w:after="240" w:line="240" w:lineRule="auto"/>
        <w:outlineLvl w:val="2"/>
        <w:rPr>
          <w:rFonts w:ascii="Arial" w:eastAsia="Times New Roman" w:hAnsi="Arial" w:cs="Times New Roman"/>
          <w:b/>
          <w:smallCaps/>
          <w:sz w:val="26"/>
          <w:szCs w:val="20"/>
          <w:bdr w:val="nil"/>
          <w:lang w:val="en-AU" w:eastAsia="en-AU"/>
        </w:rPr>
      </w:pPr>
      <w:r>
        <w:rPr>
          <w:rFonts w:ascii="Arial" w:eastAsia="Times New Roman" w:hAnsi="Arial" w:cs="Times New Roman"/>
          <w:b/>
          <w:smallCaps/>
          <w:sz w:val="26"/>
          <w:szCs w:val="20"/>
          <w:bdr w:val="nil"/>
          <w:lang w:val="en-AU" w:eastAsia="en-AU"/>
        </w:rPr>
        <w:t>Australian Institute of Family Studies</w:t>
      </w:r>
    </w:p>
    <w:p w:rsidR="00DF4646" w:rsidRPr="00DF4646" w:rsidRDefault="00D5482E" w:rsidP="000871BF">
      <w:pPr>
        <w:keepLines/>
        <w:pBdr>
          <w:top w:val="nil"/>
          <w:left w:val="nil"/>
          <w:bottom w:val="nil"/>
          <w:right w:val="nil"/>
          <w:between w:val="nil"/>
          <w:bar w:val="nil"/>
        </w:pBdr>
        <w:spacing w:line="240" w:lineRule="auto"/>
        <w:jc w:val="both"/>
        <w:rPr>
          <w:rFonts w:eastAsia="Times New Roman" w:cs="Times New Roman"/>
          <w:sz w:val="20"/>
          <w:szCs w:val="20"/>
          <w:bdr w:val="nil"/>
          <w:lang w:val="en-AU" w:eastAsia="en-AU"/>
        </w:rPr>
      </w:pPr>
      <w:r w:rsidRPr="00DF4646">
        <w:rPr>
          <w:rFonts w:ascii="Book Antiqua" w:eastAsia="Calibri" w:hAnsi="Book Antiqua" w:cs="Arial"/>
          <w:sz w:val="20"/>
          <w:bdr w:val="nil"/>
        </w:rPr>
        <w:t xml:space="preserve">The </w:t>
      </w:r>
      <w:r>
        <w:rPr>
          <w:rFonts w:ascii="Book Antiqua" w:eastAsia="Times New Roman" w:hAnsi="Book Antiqua" w:cs="Times New Roman"/>
          <w:sz w:val="20"/>
          <w:szCs w:val="20"/>
          <w:bdr w:val="nil"/>
          <w:lang w:val="en-AU" w:eastAsia="en-AU"/>
        </w:rPr>
        <w:t xml:space="preserve">Australian Institute of Family Studies </w:t>
      </w:r>
      <w:r w:rsidRPr="00DF4646">
        <w:rPr>
          <w:rFonts w:ascii="Book Antiqua" w:eastAsia="Calibri" w:hAnsi="Book Antiqua" w:cs="Arial"/>
          <w:sz w:val="20"/>
          <w:bdr w:val="nil"/>
        </w:rPr>
        <w:t>is a statutory body established under the </w:t>
      </w:r>
      <w:r w:rsidRPr="00DF4646">
        <w:rPr>
          <w:rFonts w:ascii="Book Antiqua" w:eastAsia="Calibri" w:hAnsi="Book Antiqua" w:cs="Arial"/>
          <w:i/>
          <w:sz w:val="20"/>
          <w:bdr w:val="nil"/>
        </w:rPr>
        <w:t>Family Law Act 1975</w:t>
      </w:r>
      <w:r w:rsidRPr="00DF4646">
        <w:rPr>
          <w:rFonts w:ascii="Book Antiqua" w:eastAsia="Calibri" w:hAnsi="Book Antiqua" w:cs="Arial"/>
          <w:sz w:val="20"/>
          <w:bdr w:val="nil"/>
        </w:rPr>
        <w:t xml:space="preserve">. The Australian Institute of Family Studies’ role is to increase understanding of factors affecting how Australian families function by conducting research and disseminating findings. The Australian Institute of Family Studies’ work provides an evidence base for developing policy and practice relating to the wellbeing of families in Australia. </w:t>
      </w:r>
    </w:p>
    <w:p w:rsidR="00DF4646" w:rsidRDefault="00D5482E" w:rsidP="000871BF">
      <w:pPr>
        <w:pBdr>
          <w:top w:val="nil"/>
          <w:left w:val="nil"/>
          <w:bottom w:val="nil"/>
          <w:right w:val="nil"/>
          <w:between w:val="nil"/>
          <w:bar w:val="nil"/>
        </w:pBdr>
        <w:spacing w:line="240" w:lineRule="auto"/>
        <w:jc w:val="both"/>
        <w:rPr>
          <w:rFonts w:eastAsia="Calibri" w:cs="Arial"/>
          <w:sz w:val="20"/>
          <w:bdr w:val="nil"/>
        </w:rPr>
      </w:pPr>
      <w:r w:rsidRPr="00DF4646">
        <w:rPr>
          <w:rFonts w:ascii="Book Antiqua" w:eastAsia="Calibri" w:hAnsi="Book Antiqua" w:cs="Arial"/>
          <w:sz w:val="20"/>
          <w:bdr w:val="nil"/>
        </w:rPr>
        <w:t>The </w:t>
      </w:r>
      <w:r>
        <w:rPr>
          <w:rFonts w:ascii="Book Antiqua" w:eastAsia="Times New Roman" w:hAnsi="Book Antiqua" w:cs="Times New Roman"/>
          <w:sz w:val="20"/>
          <w:szCs w:val="20"/>
          <w:bdr w:val="nil"/>
          <w:lang w:val="en-AU" w:eastAsia="en-AU"/>
        </w:rPr>
        <w:t xml:space="preserve">Australian Institute of Family Studies </w:t>
      </w:r>
      <w:r w:rsidRPr="00DF4646">
        <w:rPr>
          <w:rFonts w:ascii="Book Antiqua" w:eastAsia="Calibri" w:hAnsi="Book Antiqua" w:cs="Arial"/>
          <w:sz w:val="20"/>
          <w:bdr w:val="nil"/>
        </w:rPr>
        <w:t>is a non-corporate Commonwealth entity under the PGPA Act.</w:t>
      </w:r>
    </w:p>
    <w:p w:rsidR="00DF4646" w:rsidRPr="00706E22" w:rsidRDefault="00D5482E" w:rsidP="000871BF">
      <w:pPr>
        <w:keepNext/>
        <w:keepLines/>
        <w:pBdr>
          <w:top w:val="nil"/>
          <w:left w:val="nil"/>
          <w:bottom w:val="nil"/>
          <w:right w:val="nil"/>
          <w:between w:val="nil"/>
          <w:bar w:val="nil"/>
        </w:pBdr>
        <w:tabs>
          <w:tab w:val="left" w:pos="709"/>
        </w:tabs>
        <w:spacing w:after="240" w:line="240" w:lineRule="auto"/>
        <w:outlineLvl w:val="2"/>
        <w:rPr>
          <w:rFonts w:ascii="Arial" w:eastAsia="Times New Roman" w:hAnsi="Arial" w:cs="Times New Roman"/>
          <w:b/>
          <w:smallCaps/>
          <w:sz w:val="26"/>
          <w:szCs w:val="20"/>
          <w:bdr w:val="nil"/>
          <w:lang w:val="en-AU" w:eastAsia="en-AU"/>
        </w:rPr>
      </w:pPr>
      <w:r>
        <w:rPr>
          <w:rFonts w:ascii="Arial" w:eastAsia="Times New Roman" w:hAnsi="Arial" w:cs="Times New Roman"/>
          <w:b/>
          <w:smallCaps/>
          <w:sz w:val="26"/>
          <w:szCs w:val="20"/>
          <w:bdr w:val="nil"/>
          <w:lang w:val="en-AU" w:eastAsia="en-AU"/>
        </w:rPr>
        <w:t>Digital Transformation Agency</w:t>
      </w:r>
    </w:p>
    <w:p w:rsidR="00DF4646" w:rsidRPr="00DF4646" w:rsidRDefault="00D5482E" w:rsidP="000871BF">
      <w:pPr>
        <w:keepNext/>
        <w:pBdr>
          <w:top w:val="nil"/>
          <w:left w:val="nil"/>
          <w:bottom w:val="nil"/>
          <w:right w:val="nil"/>
          <w:between w:val="nil"/>
          <w:bar w:val="nil"/>
        </w:pBdr>
        <w:tabs>
          <w:tab w:val="left" w:pos="709"/>
        </w:tabs>
        <w:spacing w:line="240" w:lineRule="auto"/>
        <w:jc w:val="both"/>
        <w:outlineLvl w:val="2"/>
        <w:rPr>
          <w:rFonts w:eastAsia="Calibri" w:cs="Arial"/>
          <w:sz w:val="20"/>
          <w:bdr w:val="nil"/>
        </w:rPr>
      </w:pPr>
      <w:r w:rsidRPr="00DF4646">
        <w:rPr>
          <w:rFonts w:ascii="Book Antiqua" w:eastAsia="Calibri" w:hAnsi="Book Antiqua" w:cs="Arial"/>
          <w:sz w:val="20"/>
          <w:bdr w:val="nil"/>
        </w:rPr>
        <w:t xml:space="preserve">The Digital Transformation Agency’s mission is to accelerate the government’s digital transformation agenda by helping agencies move more services online, deliver a </w:t>
      </w:r>
      <w:r w:rsidRPr="00DF4646">
        <w:rPr>
          <w:rFonts w:ascii="Book Antiqua" w:eastAsia="Calibri" w:hAnsi="Book Antiqua" w:cs="Arial"/>
          <w:sz w:val="20"/>
          <w:bdr w:val="nil"/>
        </w:rPr>
        <w:br/>
        <w:t xml:space="preserve">better user experience and ensure the best use of government’s Information and Communication Technology (ICT) spend. </w:t>
      </w:r>
    </w:p>
    <w:p w:rsidR="00DF4646" w:rsidRPr="00DF4646" w:rsidRDefault="00D5482E" w:rsidP="000871BF">
      <w:pPr>
        <w:keepNext/>
        <w:pBdr>
          <w:top w:val="nil"/>
          <w:left w:val="nil"/>
          <w:bottom w:val="nil"/>
          <w:right w:val="nil"/>
          <w:between w:val="nil"/>
          <w:bar w:val="nil"/>
        </w:pBdr>
        <w:tabs>
          <w:tab w:val="left" w:pos="709"/>
        </w:tabs>
        <w:spacing w:line="240" w:lineRule="auto"/>
        <w:jc w:val="both"/>
        <w:outlineLvl w:val="2"/>
        <w:rPr>
          <w:rFonts w:eastAsia="Calibri" w:cs="Arial"/>
          <w:i/>
          <w:sz w:val="20"/>
          <w:bdr w:val="nil"/>
        </w:rPr>
      </w:pPr>
      <w:r w:rsidRPr="00DF4646">
        <w:rPr>
          <w:rFonts w:ascii="Book Antiqua" w:eastAsia="Calibri" w:hAnsi="Book Antiqua" w:cs="Arial"/>
          <w:sz w:val="20"/>
          <w:bdr w:val="nil"/>
        </w:rPr>
        <w:t xml:space="preserve">The </w:t>
      </w:r>
      <w:r>
        <w:rPr>
          <w:rFonts w:ascii="Book Antiqua" w:eastAsia="Calibri" w:hAnsi="Book Antiqua" w:cs="Arial"/>
          <w:sz w:val="20"/>
          <w:bdr w:val="nil"/>
        </w:rPr>
        <w:t>Digital Transformation Agency</w:t>
      </w:r>
      <w:r w:rsidRPr="00DF4646">
        <w:rPr>
          <w:rFonts w:ascii="Book Antiqua" w:eastAsia="Calibri" w:hAnsi="Book Antiqua" w:cs="Arial"/>
          <w:sz w:val="20"/>
          <w:bdr w:val="nil"/>
        </w:rPr>
        <w:t xml:space="preserve"> is a non</w:t>
      </w:r>
      <w:r w:rsidRPr="00DF4646">
        <w:rPr>
          <w:rFonts w:ascii="Book Antiqua" w:eastAsia="Calibri" w:hAnsi="Book Antiqua" w:cs="Arial"/>
          <w:sz w:val="20"/>
          <w:bdr w:val="nil"/>
        </w:rPr>
        <w:noBreakHyphen/>
        <w:t xml:space="preserve">corporate Commonwealth entity under the PGPA Act. </w:t>
      </w:r>
    </w:p>
    <w:p w:rsidR="00470378" w:rsidRPr="00706E22" w:rsidRDefault="00D5482E" w:rsidP="000871BF">
      <w:pPr>
        <w:keepNext/>
        <w:keepLines/>
        <w:pBdr>
          <w:top w:val="nil"/>
          <w:left w:val="nil"/>
          <w:bottom w:val="nil"/>
          <w:right w:val="nil"/>
          <w:between w:val="nil"/>
          <w:bar w:val="nil"/>
        </w:pBdr>
        <w:tabs>
          <w:tab w:val="left" w:pos="709"/>
        </w:tabs>
        <w:spacing w:after="240" w:line="240" w:lineRule="auto"/>
        <w:outlineLvl w:val="2"/>
        <w:rPr>
          <w:rFonts w:ascii="Arial" w:eastAsia="Times New Roman" w:hAnsi="Arial" w:cs="Times New Roman"/>
          <w:b/>
          <w:smallCaps/>
          <w:sz w:val="26"/>
          <w:szCs w:val="20"/>
          <w:bdr w:val="nil"/>
          <w:lang w:val="en-AU" w:eastAsia="en-AU"/>
        </w:rPr>
      </w:pPr>
      <w:r>
        <w:rPr>
          <w:rFonts w:ascii="Arial" w:eastAsia="Times New Roman" w:hAnsi="Arial" w:cs="Times New Roman"/>
          <w:b/>
          <w:smallCaps/>
          <w:sz w:val="26"/>
          <w:szCs w:val="20"/>
          <w:bdr w:val="nil"/>
          <w:lang w:val="en-AU" w:eastAsia="en-AU"/>
        </w:rPr>
        <w:t>National Disability Insurance Agency</w:t>
      </w:r>
    </w:p>
    <w:p w:rsidR="00DF4646" w:rsidRPr="00DF4646" w:rsidRDefault="00D5482E" w:rsidP="000871BF">
      <w:pPr>
        <w:pBdr>
          <w:top w:val="nil"/>
          <w:left w:val="nil"/>
          <w:bottom w:val="nil"/>
          <w:right w:val="nil"/>
          <w:between w:val="nil"/>
          <w:bar w:val="nil"/>
        </w:pBdr>
        <w:spacing w:line="240" w:lineRule="auto"/>
        <w:jc w:val="both"/>
        <w:rPr>
          <w:rFonts w:eastAsia="Calibri" w:cs="Arial"/>
          <w:sz w:val="20"/>
          <w:bdr w:val="nil"/>
        </w:rPr>
      </w:pPr>
      <w:r w:rsidRPr="00DF4646">
        <w:rPr>
          <w:rFonts w:ascii="Book Antiqua" w:eastAsia="Calibri" w:hAnsi="Book Antiqua" w:cs="Arial"/>
          <w:sz w:val="20"/>
          <w:bdr w:val="nil"/>
        </w:rPr>
        <w:t xml:space="preserve">The </w:t>
      </w:r>
      <w:r>
        <w:rPr>
          <w:rFonts w:ascii="Book Antiqua" w:eastAsia="Calibri" w:hAnsi="Book Antiqua" w:cs="Arial"/>
          <w:sz w:val="20"/>
          <w:bdr w:val="nil"/>
        </w:rPr>
        <w:t>National Disability Insurance Agency</w:t>
      </w:r>
      <w:r w:rsidRPr="00DF4646">
        <w:rPr>
          <w:rFonts w:ascii="Book Antiqua" w:eastAsia="Calibri" w:hAnsi="Book Antiqua" w:cs="Arial"/>
          <w:sz w:val="20"/>
          <w:bdr w:val="nil"/>
        </w:rPr>
        <w:t xml:space="preserve"> is a statutory authority established under the </w:t>
      </w:r>
      <w:r w:rsidRPr="008B274E">
        <w:rPr>
          <w:rFonts w:ascii="Book Antiqua" w:eastAsia="Calibri" w:hAnsi="Book Antiqua" w:cs="Arial"/>
          <w:i/>
          <w:sz w:val="20"/>
          <w:bdr w:val="nil"/>
        </w:rPr>
        <w:t>National Disability Insurance Scheme Act 2013</w:t>
      </w:r>
      <w:r w:rsidRPr="00DF4646">
        <w:rPr>
          <w:rFonts w:ascii="Book Antiqua" w:eastAsia="Calibri" w:hAnsi="Book Antiqua" w:cs="Arial"/>
          <w:sz w:val="20"/>
          <w:bdr w:val="nil"/>
        </w:rPr>
        <w:t xml:space="preserve"> to deliver the National Disability Insurance Scheme (NDIS). It provides individual control and choice in the delivery of reasonable and necessary supports to improve the independence, and the social and economic participation of eligible people with disability, their families and carers. The </w:t>
      </w:r>
      <w:r w:rsidR="00345CA6">
        <w:rPr>
          <w:rFonts w:ascii="Book Antiqua" w:eastAsia="Calibri" w:hAnsi="Book Antiqua" w:cs="Arial"/>
          <w:sz w:val="20"/>
          <w:bdr w:val="nil"/>
        </w:rPr>
        <w:t>National Disability Insurance Agency</w:t>
      </w:r>
      <w:r w:rsidRPr="00DF4646">
        <w:rPr>
          <w:rFonts w:ascii="Book Antiqua" w:eastAsia="Calibri" w:hAnsi="Book Antiqua" w:cs="Arial"/>
          <w:sz w:val="20"/>
          <w:bdr w:val="nil"/>
        </w:rPr>
        <w:t xml:space="preserve"> also plays a key role in building community awareness and understanding of disability matters to reduce the barriers to community inclusion for people with</w:t>
      </w:r>
      <w:r w:rsidR="00345CA6">
        <w:rPr>
          <w:rFonts w:ascii="Book Antiqua" w:eastAsia="Calibri" w:hAnsi="Book Antiqua" w:cs="Arial"/>
          <w:sz w:val="20"/>
          <w:bdr w:val="nil"/>
        </w:rPr>
        <w:t xml:space="preserve"> disability, their families and </w:t>
      </w:r>
      <w:r w:rsidRPr="00DF4646">
        <w:rPr>
          <w:rFonts w:ascii="Book Antiqua" w:eastAsia="Calibri" w:hAnsi="Book Antiqua" w:cs="Arial"/>
          <w:sz w:val="20"/>
          <w:bdr w:val="nil"/>
        </w:rPr>
        <w:t xml:space="preserve">carers. </w:t>
      </w:r>
    </w:p>
    <w:p w:rsidR="00C407FC" w:rsidRDefault="00D5482E">
      <w:pPr>
        <w:pBdr>
          <w:top w:val="nil"/>
          <w:left w:val="nil"/>
          <w:bottom w:val="nil"/>
          <w:right w:val="nil"/>
          <w:between w:val="nil"/>
          <w:bar w:val="nil"/>
        </w:pBdr>
        <w:rPr>
          <w:rFonts w:eastAsia="Calibri" w:cs="Arial"/>
          <w:sz w:val="20"/>
          <w:bdr w:val="nil"/>
        </w:rPr>
      </w:pPr>
      <w:r>
        <w:rPr>
          <w:rFonts w:ascii="Book Antiqua" w:eastAsia="Calibri" w:hAnsi="Book Antiqua" w:cs="Arial"/>
          <w:sz w:val="20"/>
          <w:bdr w:val="nil"/>
        </w:rPr>
        <w:br w:type="page"/>
      </w:r>
    </w:p>
    <w:p w:rsidR="000871BF" w:rsidRDefault="00D5482E" w:rsidP="00163885">
      <w:pPr>
        <w:pBdr>
          <w:top w:val="nil"/>
          <w:left w:val="nil"/>
          <w:bottom w:val="nil"/>
          <w:right w:val="nil"/>
          <w:between w:val="nil"/>
          <w:bar w:val="nil"/>
        </w:pBdr>
        <w:spacing w:line="240" w:lineRule="auto"/>
        <w:jc w:val="both"/>
        <w:rPr>
          <w:rFonts w:eastAsia="Calibri" w:cs="Arial"/>
          <w:sz w:val="20"/>
          <w:bdr w:val="nil"/>
        </w:rPr>
      </w:pPr>
      <w:r w:rsidRPr="00DF4646">
        <w:rPr>
          <w:rFonts w:ascii="Book Antiqua" w:eastAsia="Calibri" w:hAnsi="Book Antiqua" w:cs="Arial"/>
          <w:sz w:val="20"/>
          <w:bdr w:val="nil"/>
        </w:rPr>
        <w:lastRenderedPageBreak/>
        <w:t>The </w:t>
      </w:r>
      <w:r w:rsidR="00345CA6">
        <w:rPr>
          <w:rFonts w:ascii="Book Antiqua" w:eastAsia="Calibri" w:hAnsi="Book Antiqua" w:cs="Arial"/>
          <w:sz w:val="20"/>
          <w:bdr w:val="nil"/>
        </w:rPr>
        <w:t xml:space="preserve">National Disability Insurance Agency </w:t>
      </w:r>
      <w:r w:rsidRPr="00DF4646">
        <w:rPr>
          <w:rFonts w:ascii="Book Antiqua" w:eastAsia="Calibri" w:hAnsi="Book Antiqua" w:cs="Arial"/>
          <w:sz w:val="20"/>
          <w:bdr w:val="nil"/>
        </w:rPr>
        <w:t>is a corporate Commonwealth entity under the PGPA Act.</w:t>
      </w:r>
    </w:p>
    <w:p w:rsidR="002542E8" w:rsidRPr="007A1A37" w:rsidRDefault="00D5482E" w:rsidP="00163885">
      <w:pPr>
        <w:keepLines/>
        <w:pBdr>
          <w:top w:val="nil"/>
          <w:left w:val="nil"/>
          <w:bottom w:val="nil"/>
          <w:right w:val="nil"/>
          <w:between w:val="nil"/>
          <w:bar w:val="nil"/>
        </w:pBdr>
        <w:spacing w:after="240" w:line="240" w:lineRule="auto"/>
        <w:jc w:val="both"/>
        <w:rPr>
          <w:rFonts w:eastAsia="Times New Roman" w:cs="Times New Roman"/>
          <w:sz w:val="20"/>
          <w:szCs w:val="20"/>
          <w:bdr w:val="nil"/>
          <w:lang w:val="en-AU" w:eastAsia="en-AU"/>
        </w:rPr>
      </w:pPr>
      <w:r>
        <w:rPr>
          <w:rFonts w:ascii="Arial" w:eastAsia="Times New Roman" w:hAnsi="Arial" w:cs="Times New Roman"/>
          <w:b/>
          <w:smallCaps/>
          <w:sz w:val="26"/>
          <w:szCs w:val="20"/>
          <w:bdr w:val="nil"/>
          <w:lang w:val="en-AU" w:eastAsia="en-AU"/>
        </w:rPr>
        <w:t>NDIS Quality and Safeguards Commission</w:t>
      </w:r>
    </w:p>
    <w:p w:rsidR="00177B1F" w:rsidRDefault="00D5482E" w:rsidP="00163885">
      <w:pPr>
        <w:pBdr>
          <w:top w:val="nil"/>
          <w:left w:val="nil"/>
          <w:bottom w:val="nil"/>
          <w:right w:val="nil"/>
          <w:between w:val="nil"/>
          <w:bar w:val="nil"/>
        </w:pBdr>
        <w:spacing w:line="240" w:lineRule="auto"/>
        <w:jc w:val="both"/>
        <w:rPr>
          <w:rFonts w:eastAsia="Calibri" w:cs="Arial"/>
          <w:iCs/>
          <w:sz w:val="20"/>
          <w:bdr w:val="nil"/>
        </w:rPr>
      </w:pPr>
      <w:r w:rsidRPr="00D415B7">
        <w:rPr>
          <w:rFonts w:ascii="Book Antiqua" w:eastAsia="Calibri" w:hAnsi="Book Antiqua" w:cs="Arial"/>
          <w:iCs/>
          <w:sz w:val="20"/>
          <w:bdr w:val="nil"/>
        </w:rPr>
        <w:t xml:space="preserve">The </w:t>
      </w:r>
      <w:r>
        <w:rPr>
          <w:rFonts w:ascii="Book Antiqua" w:eastAsia="Calibri" w:hAnsi="Book Antiqua" w:cs="Arial"/>
          <w:iCs/>
          <w:sz w:val="20"/>
          <w:bdr w:val="nil"/>
        </w:rPr>
        <w:t>NDIS Quality and Safeguards Commission</w:t>
      </w:r>
      <w:r w:rsidRPr="00D415B7">
        <w:rPr>
          <w:rFonts w:ascii="Book Antiqua" w:eastAsia="Calibri" w:hAnsi="Book Antiqua" w:cs="Arial"/>
          <w:iCs/>
          <w:sz w:val="20"/>
          <w:bdr w:val="nil"/>
        </w:rPr>
        <w:t xml:space="preserve"> is an independent Commonwealth statutory body established under the </w:t>
      </w:r>
      <w:r w:rsidRPr="00D415B7">
        <w:rPr>
          <w:rFonts w:ascii="Book Antiqua" w:eastAsia="Calibri" w:hAnsi="Book Antiqua" w:cs="Arial"/>
          <w:i/>
          <w:iCs/>
          <w:sz w:val="20"/>
          <w:bdr w:val="nil"/>
        </w:rPr>
        <w:t>National Disability Insurance Scheme Amendment (Quality and Safeguards and Other Measures) Act 2017</w:t>
      </w:r>
      <w:r w:rsidRPr="00D415B7">
        <w:rPr>
          <w:rFonts w:ascii="Book Antiqua" w:eastAsia="Calibri" w:hAnsi="Book Antiqua" w:cs="Arial"/>
          <w:iCs/>
          <w:sz w:val="20"/>
          <w:bdr w:val="nil"/>
        </w:rPr>
        <w:t xml:space="preserve">. The </w:t>
      </w:r>
      <w:r>
        <w:rPr>
          <w:rFonts w:ascii="Book Antiqua" w:eastAsia="Calibri" w:hAnsi="Book Antiqua" w:cs="Arial"/>
          <w:iCs/>
          <w:sz w:val="20"/>
          <w:bdr w:val="nil"/>
        </w:rPr>
        <w:t xml:space="preserve">NDIS Quality and Safeguards Commission </w:t>
      </w:r>
      <w:r w:rsidRPr="00D415B7">
        <w:rPr>
          <w:rFonts w:ascii="Book Antiqua" w:eastAsia="Calibri" w:hAnsi="Book Antiqua" w:cs="Arial"/>
          <w:iCs/>
          <w:sz w:val="20"/>
          <w:bdr w:val="nil"/>
        </w:rPr>
        <w:t>commenced operations on 1</w:t>
      </w:r>
      <w:r>
        <w:rPr>
          <w:rFonts w:ascii="Book Antiqua" w:eastAsia="Calibri" w:hAnsi="Book Antiqua" w:cs="Arial"/>
          <w:iCs/>
          <w:sz w:val="20"/>
          <w:bdr w:val="nil"/>
        </w:rPr>
        <w:t> </w:t>
      </w:r>
      <w:r w:rsidRPr="00D415B7">
        <w:rPr>
          <w:rFonts w:ascii="Book Antiqua" w:eastAsia="Calibri" w:hAnsi="Book Antiqua" w:cs="Arial"/>
          <w:iCs/>
          <w:sz w:val="20"/>
          <w:bdr w:val="nil"/>
        </w:rPr>
        <w:t>July</w:t>
      </w:r>
      <w:r>
        <w:rPr>
          <w:rFonts w:ascii="Book Antiqua" w:eastAsia="Calibri" w:hAnsi="Book Antiqua" w:cs="Arial"/>
          <w:iCs/>
          <w:sz w:val="20"/>
          <w:bdr w:val="nil"/>
        </w:rPr>
        <w:t> </w:t>
      </w:r>
      <w:r w:rsidRPr="00D415B7">
        <w:rPr>
          <w:rFonts w:ascii="Book Antiqua" w:eastAsia="Calibri" w:hAnsi="Book Antiqua" w:cs="Arial"/>
          <w:iCs/>
          <w:sz w:val="20"/>
          <w:bdr w:val="nil"/>
        </w:rPr>
        <w:t xml:space="preserve">2018 in New South Wales and South Australia; expanded its operations on 1 July 2019 to include the Australian Capital Territory, the Northern Territory, Queensland, Victoria and Tasmania; and </w:t>
      </w:r>
      <w:r w:rsidR="00DC2FEC">
        <w:rPr>
          <w:rFonts w:ascii="Book Antiqua" w:eastAsia="Calibri" w:hAnsi="Book Antiqua" w:cs="Arial"/>
          <w:iCs/>
          <w:sz w:val="20"/>
          <w:bdr w:val="nil"/>
        </w:rPr>
        <w:t>on 1</w:t>
      </w:r>
      <w:r w:rsidR="00163885">
        <w:rPr>
          <w:rFonts w:ascii="Book Antiqua" w:eastAsia="Calibri" w:hAnsi="Book Antiqua" w:cs="Arial"/>
          <w:iCs/>
          <w:sz w:val="20"/>
          <w:bdr w:val="nil"/>
        </w:rPr>
        <w:t> </w:t>
      </w:r>
      <w:r w:rsidR="00DC2FEC">
        <w:rPr>
          <w:rFonts w:ascii="Book Antiqua" w:eastAsia="Calibri" w:hAnsi="Book Antiqua" w:cs="Arial"/>
          <w:iCs/>
          <w:sz w:val="20"/>
          <w:bdr w:val="nil"/>
        </w:rPr>
        <w:t>December 2020 to include Western Australia</w:t>
      </w:r>
      <w:r w:rsidRPr="00D415B7">
        <w:rPr>
          <w:rFonts w:ascii="Book Antiqua" w:eastAsia="Calibri" w:hAnsi="Book Antiqua" w:cs="Arial"/>
          <w:iCs/>
          <w:sz w:val="20"/>
          <w:bdr w:val="nil"/>
        </w:rPr>
        <w:t xml:space="preserve">. </w:t>
      </w:r>
    </w:p>
    <w:p w:rsidR="00D415B7" w:rsidRPr="00D415B7" w:rsidRDefault="00D5482E" w:rsidP="00163885">
      <w:pPr>
        <w:pBdr>
          <w:top w:val="nil"/>
          <w:left w:val="nil"/>
          <w:bottom w:val="nil"/>
          <w:right w:val="nil"/>
          <w:between w:val="nil"/>
          <w:bar w:val="nil"/>
        </w:pBdr>
        <w:spacing w:line="240" w:lineRule="auto"/>
        <w:jc w:val="both"/>
        <w:rPr>
          <w:rFonts w:eastAsia="Calibri" w:cs="Arial"/>
          <w:iCs/>
          <w:sz w:val="20"/>
          <w:bdr w:val="nil"/>
        </w:rPr>
      </w:pPr>
      <w:r w:rsidRPr="00D415B7">
        <w:rPr>
          <w:rFonts w:ascii="Book Antiqua" w:eastAsia="Calibri" w:hAnsi="Book Antiqua" w:cs="Arial"/>
          <w:iCs/>
          <w:sz w:val="20"/>
          <w:bdr w:val="nil"/>
        </w:rPr>
        <w:t xml:space="preserve">The </w:t>
      </w:r>
      <w:r>
        <w:rPr>
          <w:rFonts w:ascii="Book Antiqua" w:eastAsia="Calibri" w:hAnsi="Book Antiqua" w:cs="Arial"/>
          <w:iCs/>
          <w:sz w:val="20"/>
          <w:bdr w:val="nil"/>
        </w:rPr>
        <w:t xml:space="preserve">NDIS Quality and Safeguards Commission </w:t>
      </w:r>
      <w:r w:rsidRPr="00D415B7">
        <w:rPr>
          <w:rFonts w:ascii="Book Antiqua" w:eastAsia="Calibri" w:hAnsi="Book Antiqua" w:cs="Arial"/>
          <w:iCs/>
          <w:sz w:val="20"/>
          <w:bdr w:val="nil"/>
        </w:rPr>
        <w:t xml:space="preserve">registers providers and manages quality standards, supports the resolution of complaints, receives and analyses reportable incident notifications, provides leadership to reduce and eliminate restrictive practices and leads collaboration with states and territories with regard to nationally consistent NDIS worker screening. </w:t>
      </w:r>
    </w:p>
    <w:p w:rsidR="00D415B7" w:rsidRPr="00D415B7" w:rsidRDefault="00D5482E" w:rsidP="00163885">
      <w:pPr>
        <w:pBdr>
          <w:top w:val="nil"/>
          <w:left w:val="nil"/>
          <w:bottom w:val="nil"/>
          <w:right w:val="nil"/>
          <w:between w:val="nil"/>
          <w:bar w:val="nil"/>
        </w:pBdr>
        <w:spacing w:line="240" w:lineRule="auto"/>
        <w:jc w:val="both"/>
        <w:rPr>
          <w:rFonts w:eastAsia="Times New Roman" w:cs="Times New Roman"/>
          <w:sz w:val="16"/>
          <w:szCs w:val="20"/>
          <w:bdr w:val="nil"/>
          <w:lang w:val="en-AU" w:eastAsia="en-AU"/>
        </w:rPr>
      </w:pPr>
      <w:r w:rsidRPr="00D415B7">
        <w:rPr>
          <w:rFonts w:ascii="Book Antiqua" w:eastAsia="Calibri" w:hAnsi="Book Antiqua" w:cs="Arial"/>
          <w:iCs/>
          <w:sz w:val="20"/>
          <w:bdr w:val="nil"/>
        </w:rPr>
        <w:t xml:space="preserve">The </w:t>
      </w:r>
      <w:r>
        <w:rPr>
          <w:rFonts w:ascii="Book Antiqua" w:eastAsia="Calibri" w:hAnsi="Book Antiqua" w:cs="Arial"/>
          <w:iCs/>
          <w:sz w:val="20"/>
          <w:bdr w:val="nil"/>
        </w:rPr>
        <w:t xml:space="preserve">NDIS Quality and Safeguards Commission </w:t>
      </w:r>
      <w:r w:rsidRPr="00D415B7">
        <w:rPr>
          <w:rFonts w:ascii="Book Antiqua" w:eastAsia="Calibri" w:hAnsi="Book Antiqua" w:cs="Arial"/>
          <w:iCs/>
          <w:sz w:val="20"/>
          <w:bdr w:val="nil"/>
        </w:rPr>
        <w:t>is a non-corporate Commonwealth entity under the PGPA Act.</w:t>
      </w:r>
    </w:p>
    <w:p w:rsidR="00D415B7" w:rsidRDefault="00D5482E" w:rsidP="00163885">
      <w:pPr>
        <w:keepNext/>
        <w:pBdr>
          <w:top w:val="nil"/>
          <w:left w:val="nil"/>
          <w:bottom w:val="nil"/>
          <w:right w:val="nil"/>
          <w:between w:val="nil"/>
          <w:bar w:val="nil"/>
        </w:pBdr>
        <w:tabs>
          <w:tab w:val="left" w:pos="709"/>
        </w:tabs>
        <w:spacing w:after="240" w:line="240" w:lineRule="auto"/>
        <w:outlineLvl w:val="2"/>
        <w:rPr>
          <w:rFonts w:ascii="Arial" w:eastAsia="Calibri" w:hAnsi="Arial" w:cs="Arial"/>
          <w:b/>
          <w:smallCaps/>
          <w:sz w:val="26"/>
          <w:bdr w:val="nil"/>
        </w:rPr>
      </w:pPr>
      <w:r>
        <w:rPr>
          <w:rFonts w:ascii="Arial" w:eastAsia="Calibri" w:hAnsi="Arial" w:cs="Arial"/>
          <w:b/>
          <w:smallCaps/>
          <w:sz w:val="26"/>
          <w:bdr w:val="nil"/>
        </w:rPr>
        <w:t>Services Australia</w:t>
      </w:r>
    </w:p>
    <w:p w:rsidR="00D415B7" w:rsidRPr="00D415B7" w:rsidRDefault="00D5482E" w:rsidP="00163885">
      <w:pPr>
        <w:pBdr>
          <w:top w:val="nil"/>
          <w:left w:val="nil"/>
          <w:bottom w:val="nil"/>
          <w:right w:val="nil"/>
          <w:between w:val="nil"/>
          <w:bar w:val="nil"/>
        </w:pBdr>
        <w:spacing w:after="240" w:line="240" w:lineRule="auto"/>
        <w:jc w:val="both"/>
        <w:rPr>
          <w:rFonts w:eastAsia="Calibri" w:cs="Arial"/>
          <w:sz w:val="18"/>
          <w:bdr w:val="nil"/>
          <w:lang w:eastAsia="x-none"/>
        </w:rPr>
      </w:pPr>
      <w:r w:rsidRPr="002112D8">
        <w:rPr>
          <w:rFonts w:ascii="Book Antiqua" w:eastAsia="Calibri" w:hAnsi="Book Antiqua" w:cs="Arial"/>
          <w:sz w:val="20"/>
          <w:bdr w:val="nil"/>
          <w:lang w:eastAsia="x-none"/>
        </w:rPr>
        <w:t>Services Australia became an Executive Agency in the Social Services portfolio on 1</w:t>
      </w:r>
      <w:r>
        <w:rPr>
          <w:rFonts w:ascii="Book Antiqua" w:eastAsia="Calibri" w:hAnsi="Book Antiqua" w:cs="Arial"/>
          <w:sz w:val="20"/>
          <w:bdr w:val="nil"/>
          <w:lang w:eastAsia="x-none"/>
        </w:rPr>
        <w:t> </w:t>
      </w:r>
      <w:r w:rsidRPr="002112D8">
        <w:rPr>
          <w:rFonts w:ascii="Book Antiqua" w:eastAsia="Calibri" w:hAnsi="Book Antiqua" w:cs="Arial"/>
          <w:sz w:val="20"/>
          <w:bdr w:val="nil"/>
          <w:lang w:eastAsia="x-none"/>
        </w:rPr>
        <w:t>February</w:t>
      </w:r>
      <w:r>
        <w:rPr>
          <w:rFonts w:ascii="Book Antiqua" w:eastAsia="Calibri" w:hAnsi="Book Antiqua" w:cs="Arial"/>
          <w:sz w:val="20"/>
          <w:bdr w:val="nil"/>
          <w:lang w:eastAsia="x-none"/>
        </w:rPr>
        <w:t> </w:t>
      </w:r>
      <w:r w:rsidRPr="002112D8">
        <w:rPr>
          <w:rFonts w:ascii="Book Antiqua" w:eastAsia="Calibri" w:hAnsi="Book Antiqua" w:cs="Arial"/>
          <w:sz w:val="20"/>
          <w:bdr w:val="nil"/>
          <w:lang w:eastAsia="x-none"/>
        </w:rPr>
        <w:t>2020, with responsibility for supporting Australians by efficiently delivering high quality, accessible services and payments on behalf of government.</w:t>
      </w:r>
    </w:p>
    <w:p w:rsidR="00D415B7" w:rsidRPr="00D415B7" w:rsidRDefault="00D5482E" w:rsidP="00163885">
      <w:pPr>
        <w:pBdr>
          <w:top w:val="nil"/>
          <w:left w:val="nil"/>
          <w:bottom w:val="nil"/>
          <w:right w:val="nil"/>
          <w:between w:val="nil"/>
          <w:bar w:val="nil"/>
        </w:pBdr>
        <w:spacing w:after="240" w:line="240" w:lineRule="auto"/>
        <w:jc w:val="both"/>
        <w:rPr>
          <w:rFonts w:eastAsia="Calibri" w:cs="Arial"/>
          <w:sz w:val="20"/>
          <w:bdr w:val="nil"/>
          <w:lang w:eastAsia="x-none"/>
        </w:rPr>
      </w:pPr>
      <w:r w:rsidRPr="002112D8">
        <w:rPr>
          <w:rFonts w:ascii="Book Antiqua" w:eastAsia="Calibri" w:hAnsi="Book Antiqua" w:cs="Arial"/>
          <w:sz w:val="20"/>
          <w:bdr w:val="nil"/>
          <w:lang w:eastAsia="x-none"/>
        </w:rPr>
        <w:t>Services Australia delivers a range of government and other payments and services to almost every Australian, through its three main programs:</w:t>
      </w:r>
    </w:p>
    <w:p w:rsidR="00D415B7" w:rsidRPr="00D415B7" w:rsidRDefault="00D5482E" w:rsidP="00163885">
      <w:pPr>
        <w:numPr>
          <w:ilvl w:val="0"/>
          <w:numId w:val="2"/>
        </w:numPr>
        <w:pBdr>
          <w:top w:val="nil"/>
          <w:left w:val="nil"/>
          <w:bottom w:val="nil"/>
          <w:right w:val="nil"/>
          <w:between w:val="nil"/>
          <w:bar w:val="nil"/>
        </w:pBdr>
        <w:spacing w:after="240" w:line="240" w:lineRule="auto"/>
        <w:ind w:left="284" w:hanging="284"/>
        <w:jc w:val="both"/>
        <w:rPr>
          <w:rFonts w:eastAsia="Calibri" w:cs="Arial"/>
          <w:b/>
          <w:bCs/>
          <w:sz w:val="20"/>
          <w:bdr w:val="nil"/>
          <w:lang w:val="x-none" w:eastAsia="x-none"/>
        </w:rPr>
      </w:pPr>
      <w:r w:rsidRPr="00D415B7">
        <w:rPr>
          <w:rFonts w:ascii="Book Antiqua" w:eastAsia="Calibri" w:hAnsi="Book Antiqua" w:cs="Arial"/>
          <w:b/>
          <w:bCs/>
          <w:sz w:val="20"/>
          <w:bdr w:val="nil"/>
          <w:lang w:val="x-none" w:eastAsia="x-none"/>
        </w:rPr>
        <w:t xml:space="preserve">Social Security and Welfare </w:t>
      </w:r>
      <w:r w:rsidRPr="00D415B7">
        <w:rPr>
          <w:rFonts w:ascii="Book Antiqua" w:eastAsia="Calibri" w:hAnsi="Book Antiqua" w:cs="Arial"/>
          <w:bCs/>
          <w:sz w:val="20"/>
          <w:bdr w:val="nil"/>
          <w:lang w:val="x-none" w:eastAsia="x-none"/>
        </w:rPr>
        <w:t xml:space="preserve">– </w:t>
      </w:r>
      <w:r w:rsidR="002112D8" w:rsidRPr="002112D8">
        <w:rPr>
          <w:rFonts w:ascii="Book Antiqua" w:eastAsia="Calibri" w:hAnsi="Book Antiqua" w:cs="Arial"/>
          <w:bCs/>
          <w:sz w:val="20"/>
          <w:bdr w:val="nil"/>
          <w:lang w:val="x-none" w:eastAsia="x-none"/>
        </w:rPr>
        <w:t xml:space="preserve">Centrelink payments and services for retirees, the unemployed, families, carers, parents, students, people with disability, Aboriginal and Torres Strait Islander peoples, people from culturally and linguistically diverse backgrounds, and people living overseas.  Some of these payments and services are provided at times of major change, including after natural disasters and other emergencies, and payments for services funded under the </w:t>
      </w:r>
      <w:r w:rsidR="002112D8" w:rsidRPr="00BF1F39">
        <w:rPr>
          <w:rFonts w:ascii="Book Antiqua" w:eastAsia="Calibri" w:hAnsi="Book Antiqua" w:cs="Arial"/>
          <w:bCs/>
          <w:i/>
          <w:sz w:val="20"/>
          <w:bdr w:val="nil"/>
          <w:lang w:val="x-none" w:eastAsia="x-none"/>
        </w:rPr>
        <w:t>Aged Care Act 1997</w:t>
      </w:r>
      <w:r w:rsidR="002112D8" w:rsidRPr="002112D8">
        <w:rPr>
          <w:rFonts w:ascii="Book Antiqua" w:eastAsia="Calibri" w:hAnsi="Book Antiqua" w:cs="Arial"/>
          <w:bCs/>
          <w:sz w:val="20"/>
          <w:bdr w:val="nil"/>
          <w:lang w:val="x-none" w:eastAsia="x-none"/>
        </w:rPr>
        <w:t>, including residential care, home care and flexible care services.</w:t>
      </w:r>
    </w:p>
    <w:p w:rsidR="000871BF" w:rsidRDefault="00D5482E" w:rsidP="00163885">
      <w:pPr>
        <w:numPr>
          <w:ilvl w:val="0"/>
          <w:numId w:val="2"/>
        </w:numPr>
        <w:pBdr>
          <w:top w:val="nil"/>
          <w:left w:val="nil"/>
          <w:bottom w:val="nil"/>
          <w:right w:val="nil"/>
          <w:between w:val="nil"/>
          <w:bar w:val="nil"/>
        </w:pBdr>
        <w:spacing w:after="240" w:line="240" w:lineRule="auto"/>
        <w:ind w:left="284" w:hanging="284"/>
        <w:jc w:val="both"/>
        <w:rPr>
          <w:rFonts w:eastAsia="Calibri" w:cs="Arial"/>
          <w:bCs/>
          <w:sz w:val="20"/>
          <w:bdr w:val="nil"/>
          <w:lang w:eastAsia="x-none"/>
        </w:rPr>
      </w:pPr>
      <w:r w:rsidRPr="00D415B7">
        <w:rPr>
          <w:rFonts w:ascii="Book Antiqua" w:eastAsia="Calibri" w:hAnsi="Book Antiqua" w:cs="Arial"/>
          <w:b/>
          <w:bCs/>
          <w:sz w:val="20"/>
          <w:bdr w:val="nil"/>
          <w:lang w:val="x-none" w:eastAsia="x-none"/>
        </w:rPr>
        <w:t xml:space="preserve">Health </w:t>
      </w:r>
      <w:r w:rsidRPr="00D415B7">
        <w:rPr>
          <w:rFonts w:ascii="Book Antiqua" w:eastAsia="Calibri" w:hAnsi="Book Antiqua" w:cs="Arial"/>
          <w:bCs/>
          <w:sz w:val="20"/>
          <w:bdr w:val="nil"/>
          <w:lang w:eastAsia="x-none"/>
        </w:rPr>
        <w:t xml:space="preserve">– </w:t>
      </w:r>
      <w:r w:rsidRPr="00BF1F39">
        <w:rPr>
          <w:rFonts w:ascii="Book Antiqua" w:eastAsia="Calibri" w:hAnsi="Book Antiqua" w:cs="Arial"/>
          <w:bCs/>
          <w:sz w:val="20"/>
          <w:bdr w:val="nil"/>
          <w:lang w:eastAsia="x-none"/>
        </w:rPr>
        <w:t>payments and services that support Australians such as Medicare, the</w:t>
      </w:r>
      <w:r>
        <w:rPr>
          <w:rFonts w:ascii="Book Antiqua" w:eastAsia="Calibri" w:hAnsi="Book Antiqua" w:cs="Arial"/>
          <w:bCs/>
          <w:sz w:val="20"/>
          <w:bdr w:val="nil"/>
          <w:lang w:eastAsia="x-none"/>
        </w:rPr>
        <w:t> </w:t>
      </w:r>
      <w:r w:rsidRPr="00BF1F39">
        <w:rPr>
          <w:rFonts w:ascii="Book Antiqua" w:eastAsia="Calibri" w:hAnsi="Book Antiqua" w:cs="Arial"/>
          <w:bCs/>
          <w:sz w:val="20"/>
          <w:bdr w:val="nil"/>
          <w:lang w:eastAsia="x-none"/>
        </w:rPr>
        <w:t>Pharmaceutical Benefits Scheme, Private Health Insurance Rebate, the Australian Immunisation Register, the National Bowel Cancer Screening Register, the Australian Organ Donor Register, and related services for eligible veterans, their spouses and dependants.</w:t>
      </w:r>
      <w:r w:rsidRPr="00D415B7">
        <w:rPr>
          <w:rFonts w:ascii="Book Antiqua" w:eastAsia="Calibri" w:hAnsi="Book Antiqua" w:cs="Arial"/>
          <w:bCs/>
          <w:sz w:val="20"/>
          <w:bdr w:val="nil"/>
          <w:lang w:eastAsia="x-none"/>
        </w:rPr>
        <w:t xml:space="preserve"> </w:t>
      </w:r>
    </w:p>
    <w:p w:rsidR="000871BF" w:rsidRDefault="00D5482E">
      <w:pPr>
        <w:pBdr>
          <w:top w:val="nil"/>
          <w:left w:val="nil"/>
          <w:bottom w:val="nil"/>
          <w:right w:val="nil"/>
          <w:between w:val="nil"/>
          <w:bar w:val="nil"/>
        </w:pBdr>
        <w:rPr>
          <w:rFonts w:eastAsia="Calibri" w:cs="Arial"/>
          <w:bCs/>
          <w:sz w:val="20"/>
          <w:bdr w:val="nil"/>
          <w:lang w:eastAsia="x-none"/>
        </w:rPr>
      </w:pPr>
      <w:r>
        <w:rPr>
          <w:rFonts w:ascii="Book Antiqua" w:eastAsia="Calibri" w:hAnsi="Book Antiqua" w:cs="Arial"/>
          <w:bCs/>
          <w:sz w:val="20"/>
          <w:bdr w:val="nil"/>
          <w:lang w:eastAsia="x-none"/>
        </w:rPr>
        <w:br w:type="page"/>
      </w:r>
    </w:p>
    <w:p w:rsidR="00D415B7" w:rsidRPr="00D415B7" w:rsidRDefault="00D5482E" w:rsidP="00BF1F39">
      <w:pPr>
        <w:numPr>
          <w:ilvl w:val="0"/>
          <w:numId w:val="2"/>
        </w:numPr>
        <w:pBdr>
          <w:top w:val="nil"/>
          <w:left w:val="nil"/>
          <w:bottom w:val="nil"/>
          <w:right w:val="nil"/>
          <w:between w:val="nil"/>
          <w:bar w:val="nil"/>
        </w:pBdr>
        <w:spacing w:after="240" w:line="240" w:lineRule="auto"/>
        <w:ind w:left="284" w:hanging="284"/>
        <w:jc w:val="both"/>
        <w:rPr>
          <w:rFonts w:eastAsia="Calibri" w:cs="Arial"/>
          <w:b/>
          <w:bCs/>
          <w:sz w:val="20"/>
          <w:bdr w:val="nil"/>
          <w:lang w:val="x-none" w:eastAsia="x-none"/>
        </w:rPr>
      </w:pPr>
      <w:r w:rsidRPr="00D415B7">
        <w:rPr>
          <w:rFonts w:ascii="Book Antiqua" w:eastAsia="Calibri" w:hAnsi="Book Antiqua" w:cs="Arial"/>
          <w:b/>
          <w:bCs/>
          <w:sz w:val="20"/>
          <w:bdr w:val="nil"/>
          <w:lang w:val="x-none" w:eastAsia="x-none"/>
        </w:rPr>
        <w:lastRenderedPageBreak/>
        <w:t>Child Support</w:t>
      </w:r>
      <w:r w:rsidRPr="00D415B7">
        <w:rPr>
          <w:rFonts w:ascii="Book Antiqua" w:eastAsia="Calibri" w:hAnsi="Book Antiqua" w:cs="Arial"/>
          <w:bCs/>
          <w:sz w:val="20"/>
          <w:bdr w:val="nil"/>
          <w:lang w:val="x-none" w:eastAsia="x-none"/>
        </w:rPr>
        <w:t xml:space="preserve"> </w:t>
      </w:r>
      <w:r w:rsidRPr="00D415B7">
        <w:rPr>
          <w:rFonts w:ascii="Book Antiqua" w:eastAsia="Calibri" w:hAnsi="Book Antiqua" w:cs="Arial"/>
          <w:bCs/>
          <w:sz w:val="20"/>
          <w:bdr w:val="nil"/>
          <w:lang w:eastAsia="x-none"/>
        </w:rPr>
        <w:t xml:space="preserve">– </w:t>
      </w:r>
      <w:r w:rsidRPr="00BF1F39">
        <w:rPr>
          <w:rFonts w:ascii="Book Antiqua" w:eastAsia="Calibri" w:hAnsi="Book Antiqua" w:cs="Arial"/>
          <w:bCs/>
          <w:sz w:val="20"/>
          <w:bdr w:val="nil"/>
          <w:lang w:val="x-none" w:eastAsia="x-none"/>
        </w:rPr>
        <w:t>services for separated parents to provide the financial support necessary for their children’s wellbeing.</w:t>
      </w:r>
    </w:p>
    <w:p w:rsidR="00D415B7" w:rsidRPr="00D415B7" w:rsidRDefault="00D5482E" w:rsidP="000871BF">
      <w:pPr>
        <w:pBdr>
          <w:top w:val="nil"/>
          <w:left w:val="nil"/>
          <w:bottom w:val="nil"/>
          <w:right w:val="nil"/>
          <w:between w:val="nil"/>
          <w:bar w:val="nil"/>
        </w:pBdr>
        <w:spacing w:after="240" w:line="240" w:lineRule="auto"/>
        <w:jc w:val="both"/>
        <w:rPr>
          <w:rFonts w:eastAsia="Times New Roman" w:cs="Times New Roman"/>
          <w:sz w:val="16"/>
          <w:bdr w:val="nil"/>
          <w:lang w:val="en-AU" w:eastAsia="en-AU"/>
        </w:rPr>
      </w:pPr>
      <w:r w:rsidRPr="00BF1F39">
        <w:rPr>
          <w:rFonts w:ascii="Book Antiqua" w:eastAsia="Calibri" w:hAnsi="Book Antiqua" w:cs="Arial"/>
          <w:sz w:val="20"/>
          <w:bdr w:val="nil"/>
          <w:lang w:eastAsia="x-none"/>
        </w:rPr>
        <w:t>Services Australia also collaborates with other agencies, providers and businesses to deliver convenient, accessible and efficient services to individuals, families and communities including whole of government services such as myGov.</w:t>
      </w:r>
      <w:r w:rsidRPr="00D415B7">
        <w:rPr>
          <w:rFonts w:ascii="Book Antiqua" w:eastAsia="Calibri" w:hAnsi="Book Antiqua" w:cs="Arial"/>
          <w:sz w:val="16"/>
          <w:bdr w:val="nil"/>
        </w:rPr>
        <w:t xml:space="preserve"> </w:t>
      </w:r>
    </w:p>
    <w:p w:rsidR="00D415B7" w:rsidRPr="00D415B7" w:rsidRDefault="00D5482E" w:rsidP="000871BF">
      <w:pPr>
        <w:pBdr>
          <w:top w:val="nil"/>
          <w:left w:val="nil"/>
          <w:bottom w:val="nil"/>
          <w:right w:val="nil"/>
          <w:between w:val="nil"/>
          <w:bar w:val="nil"/>
        </w:pBdr>
        <w:spacing w:after="240" w:line="240" w:lineRule="auto"/>
        <w:jc w:val="both"/>
        <w:rPr>
          <w:rFonts w:eastAsia="Calibri" w:cs="Arial"/>
          <w:sz w:val="16"/>
          <w:bdr w:val="nil"/>
        </w:rPr>
      </w:pPr>
      <w:r w:rsidRPr="00D415B7">
        <w:rPr>
          <w:rFonts w:ascii="Book Antiqua" w:eastAsia="Calibri" w:hAnsi="Book Antiqua" w:cs="Arial"/>
          <w:iCs/>
          <w:sz w:val="20"/>
          <w:bdr w:val="nil"/>
        </w:rPr>
        <w:t>Services Australia is a non-corporate Commonwealth entity under the PGPA Act.</w:t>
      </w:r>
    </w:p>
    <w:p w:rsidR="00D415B7" w:rsidRDefault="00D5482E" w:rsidP="000871BF">
      <w:pPr>
        <w:keepNext/>
        <w:pBdr>
          <w:top w:val="nil"/>
          <w:left w:val="nil"/>
          <w:bottom w:val="nil"/>
          <w:right w:val="nil"/>
          <w:between w:val="nil"/>
          <w:bar w:val="nil"/>
        </w:pBdr>
        <w:tabs>
          <w:tab w:val="left" w:pos="709"/>
        </w:tabs>
        <w:spacing w:after="240" w:line="240" w:lineRule="auto"/>
        <w:outlineLvl w:val="2"/>
        <w:rPr>
          <w:rFonts w:ascii="Arial" w:eastAsia="Calibri" w:hAnsi="Arial" w:cs="Arial"/>
          <w:b/>
          <w:smallCaps/>
          <w:sz w:val="26"/>
          <w:bdr w:val="nil"/>
        </w:rPr>
      </w:pPr>
      <w:r>
        <w:rPr>
          <w:rFonts w:ascii="Arial" w:eastAsia="Calibri" w:hAnsi="Arial" w:cs="Arial"/>
          <w:b/>
          <w:smallCaps/>
          <w:sz w:val="26"/>
          <w:bdr w:val="nil"/>
        </w:rPr>
        <w:t>Hearing Australia</w:t>
      </w:r>
    </w:p>
    <w:p w:rsidR="00D415B7" w:rsidRPr="00D415B7" w:rsidRDefault="00D5482E" w:rsidP="000871BF">
      <w:pPr>
        <w:pBdr>
          <w:top w:val="nil"/>
          <w:left w:val="nil"/>
          <w:bottom w:val="nil"/>
          <w:right w:val="nil"/>
          <w:between w:val="nil"/>
          <w:bar w:val="nil"/>
        </w:pBdr>
        <w:spacing w:after="240" w:line="240" w:lineRule="auto"/>
        <w:jc w:val="both"/>
        <w:rPr>
          <w:rFonts w:eastAsia="Calibri" w:cs="Arial"/>
          <w:sz w:val="18"/>
          <w:bdr w:val="nil"/>
        </w:rPr>
      </w:pPr>
      <w:r w:rsidRPr="00D415B7">
        <w:rPr>
          <w:rFonts w:ascii="Book Antiqua" w:eastAsia="Calibri" w:hAnsi="Book Antiqua" w:cs="Arial"/>
          <w:sz w:val="20"/>
          <w:bdr w:val="nil"/>
        </w:rPr>
        <w:t>Hearing Australia’s mission is to provide world leading research and hearing services for the wellbeing of all Austr</w:t>
      </w:r>
      <w:r>
        <w:rPr>
          <w:rFonts w:ascii="Book Antiqua" w:eastAsia="Calibri" w:hAnsi="Book Antiqua" w:cs="Arial"/>
          <w:sz w:val="20"/>
          <w:bdr w:val="nil"/>
        </w:rPr>
        <w:t>alians. Hearing Australia is a p</w:t>
      </w:r>
      <w:r w:rsidRPr="00D415B7">
        <w:rPr>
          <w:rFonts w:ascii="Book Antiqua" w:eastAsia="Calibri" w:hAnsi="Book Antiqua" w:cs="Arial"/>
          <w:sz w:val="20"/>
          <w:bdr w:val="nil"/>
        </w:rPr>
        <w:t xml:space="preserve">ublic </w:t>
      </w:r>
      <w:r>
        <w:rPr>
          <w:rFonts w:ascii="Book Antiqua" w:eastAsia="Calibri" w:hAnsi="Book Antiqua" w:cs="Arial"/>
          <w:sz w:val="20"/>
          <w:bdr w:val="nil"/>
        </w:rPr>
        <w:t>n</w:t>
      </w:r>
      <w:r w:rsidRPr="00D415B7">
        <w:rPr>
          <w:rFonts w:ascii="Book Antiqua" w:eastAsia="Calibri" w:hAnsi="Book Antiqua" w:cs="Arial"/>
          <w:sz w:val="20"/>
          <w:bdr w:val="nil"/>
        </w:rPr>
        <w:t xml:space="preserve">on-financial </w:t>
      </w:r>
      <w:r>
        <w:rPr>
          <w:rFonts w:ascii="Book Antiqua" w:eastAsia="Calibri" w:hAnsi="Book Antiqua" w:cs="Arial"/>
          <w:sz w:val="20"/>
          <w:bdr w:val="nil"/>
        </w:rPr>
        <w:t>c</w:t>
      </w:r>
      <w:r w:rsidRPr="00D415B7">
        <w:rPr>
          <w:rFonts w:ascii="Book Antiqua" w:eastAsia="Calibri" w:hAnsi="Book Antiqua" w:cs="Arial"/>
          <w:sz w:val="20"/>
          <w:bdr w:val="nil"/>
        </w:rPr>
        <w:t>orporation (</w:t>
      </w:r>
      <w:r>
        <w:rPr>
          <w:rFonts w:ascii="Book Antiqua" w:eastAsia="Calibri" w:hAnsi="Book Antiqua" w:cs="Arial"/>
          <w:sz w:val="20"/>
          <w:bdr w:val="nil"/>
        </w:rPr>
        <w:t>t</w:t>
      </w:r>
      <w:r w:rsidRPr="00D415B7">
        <w:rPr>
          <w:rFonts w:ascii="Book Antiqua" w:eastAsia="Calibri" w:hAnsi="Book Antiqua" w:cs="Arial"/>
          <w:sz w:val="20"/>
          <w:bdr w:val="nil"/>
        </w:rPr>
        <w:t xml:space="preserve">rading) entity established under the </w:t>
      </w:r>
      <w:r w:rsidRPr="00D415B7">
        <w:rPr>
          <w:rFonts w:ascii="Book Antiqua" w:eastAsia="Calibri" w:hAnsi="Book Antiqua" w:cs="Arial"/>
          <w:i/>
          <w:sz w:val="20"/>
          <w:bdr w:val="nil"/>
        </w:rPr>
        <w:t>Australian Hearing Services Act 1991.</w:t>
      </w:r>
      <w:r w:rsidRPr="00D415B7">
        <w:rPr>
          <w:rFonts w:ascii="Book Antiqua" w:eastAsia="Calibri" w:hAnsi="Book Antiqua" w:cs="Arial"/>
          <w:sz w:val="20"/>
          <w:bdr w:val="nil"/>
        </w:rPr>
        <w:t xml:space="preserve"> Accordingly, Hearing Australia is not reported in the Portfolio Budget Statements or Portfolio Additional Estimates Statements. </w:t>
      </w:r>
    </w:p>
    <w:p w:rsidR="00D415B7" w:rsidRPr="00D415B7" w:rsidRDefault="00D5482E" w:rsidP="000871BF">
      <w:pPr>
        <w:pBdr>
          <w:top w:val="nil"/>
          <w:left w:val="nil"/>
          <w:bottom w:val="nil"/>
          <w:right w:val="nil"/>
          <w:between w:val="nil"/>
          <w:bar w:val="nil"/>
        </w:pBdr>
        <w:spacing w:after="240" w:line="240" w:lineRule="auto"/>
        <w:jc w:val="both"/>
        <w:rPr>
          <w:rFonts w:eastAsia="Calibri" w:cs="Arial"/>
          <w:sz w:val="20"/>
          <w:bdr w:val="nil"/>
        </w:rPr>
      </w:pPr>
      <w:r w:rsidRPr="00D415B7">
        <w:rPr>
          <w:rFonts w:ascii="Book Antiqua" w:eastAsia="Calibri" w:hAnsi="Book Antiqua" w:cs="Arial"/>
          <w:sz w:val="20"/>
          <w:bdr w:val="nil"/>
        </w:rPr>
        <w:t xml:space="preserve">Hearing Australia is a corporate Commonwealth entity under the PGPA Act and is governed by a board that is appointed by the Minister for Government Services. </w:t>
      </w:r>
    </w:p>
    <w:p w:rsidR="007B4A62" w:rsidRPr="001672B7" w:rsidRDefault="00D5482E" w:rsidP="00582074">
      <w:pPr>
        <w:pStyle w:val="TableHeading"/>
        <w:pageBreakBefore/>
        <w:pBdr>
          <w:top w:val="nil"/>
          <w:left w:val="nil"/>
          <w:bottom w:val="nil"/>
          <w:right w:val="nil"/>
          <w:between w:val="nil"/>
          <w:bar w:val="nil"/>
        </w:pBdr>
        <w:spacing w:before="0" w:after="0"/>
        <w:rPr>
          <w:bdr w:val="nil"/>
        </w:rPr>
      </w:pPr>
      <w:r w:rsidRPr="001672B7">
        <w:rPr>
          <w:bdr w:val="nil"/>
        </w:rPr>
        <w:lastRenderedPageBreak/>
        <w:t>Figure 1: Social Services portfolio structure and outcomes</w:t>
      </w:r>
    </w:p>
    <w:tbl>
      <w:tblPr>
        <w:tblStyle w:val="TableGrid"/>
        <w:tblW w:w="0" w:type="auto"/>
        <w:tblInd w:w="-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1" w:type="dxa"/>
          <w:bottom w:w="11" w:type="dxa"/>
        </w:tblCellMar>
        <w:tblLook w:val="04A0" w:firstRow="1" w:lastRow="0" w:firstColumn="1" w:lastColumn="0" w:noHBand="0" w:noVBand="1"/>
        <w:tblCaption w:val="Figure 1: Social Services portfolio structure and outcomes"/>
        <w:tblDescription w:val="Social Services portfolio structure and outcomes"/>
      </w:tblPr>
      <w:tblGrid>
        <w:gridCol w:w="7371"/>
      </w:tblGrid>
      <w:tr w:rsidR="00010972" w:rsidTr="00D15CE2">
        <w:trPr>
          <w:cantSplit/>
          <w:tblHeader/>
        </w:trPr>
        <w:tc>
          <w:tcPr>
            <w:tcW w:w="7371" w:type="dxa"/>
            <w:tcBorders>
              <w:top w:val="dotted" w:sz="2" w:space="0" w:color="000000" w:themeColor="text1"/>
              <w:left w:val="dotted" w:sz="2" w:space="0" w:color="000000" w:themeColor="text1"/>
              <w:bottom w:val="dotted" w:sz="2" w:space="0" w:color="000000" w:themeColor="text1"/>
              <w:right w:val="dotted" w:sz="2" w:space="0" w:color="000000" w:themeColor="text1"/>
            </w:tcBorders>
            <w:hideMark/>
          </w:tcPr>
          <w:p w:rsidR="007428E5" w:rsidRDefault="00D5482E" w:rsidP="007428E5">
            <w:pPr>
              <w:pStyle w:val="TableGraphic"/>
              <w:pBdr>
                <w:top w:val="nil"/>
                <w:left w:val="nil"/>
                <w:bottom w:val="nil"/>
                <w:right w:val="nil"/>
                <w:between w:val="nil"/>
                <w:bar w:val="nil"/>
              </w:pBdr>
              <w:spacing w:before="60" w:after="60"/>
              <w:jc w:val="center"/>
              <w:rPr>
                <w:rFonts w:ascii="Arial" w:hAnsi="Arial" w:cs="Arial"/>
                <w:b/>
                <w:i w:val="0"/>
                <w:color w:val="000000"/>
                <w:sz w:val="18"/>
                <w:szCs w:val="18"/>
                <w:bdr w:val="nil"/>
              </w:rPr>
            </w:pPr>
            <w:r>
              <w:rPr>
                <w:rFonts w:ascii="Arial" w:hAnsi="Arial" w:cs="Arial"/>
                <w:b/>
                <w:i w:val="0"/>
                <w:color w:val="000000"/>
                <w:sz w:val="18"/>
                <w:szCs w:val="18"/>
                <w:bdr w:val="nil"/>
                <w:lang w:val="en-US" w:eastAsia="en-US"/>
              </w:rPr>
              <w:t>Minister for Families and Social Services</w:t>
            </w:r>
          </w:p>
          <w:p w:rsidR="007428E5" w:rsidRDefault="00D5482E" w:rsidP="007428E5">
            <w:pPr>
              <w:pStyle w:val="TableGraphic"/>
              <w:pBdr>
                <w:top w:val="nil"/>
                <w:left w:val="nil"/>
                <w:bottom w:val="nil"/>
                <w:right w:val="nil"/>
                <w:between w:val="nil"/>
                <w:bar w:val="nil"/>
              </w:pBdr>
              <w:spacing w:before="60" w:after="60"/>
              <w:jc w:val="center"/>
              <w:rPr>
                <w:rFonts w:ascii="Arial" w:hAnsi="Arial" w:cs="Arial"/>
                <w:i w:val="0"/>
                <w:color w:val="000000"/>
                <w:sz w:val="18"/>
                <w:szCs w:val="18"/>
                <w:bdr w:val="nil"/>
              </w:rPr>
            </w:pPr>
            <w:r>
              <w:rPr>
                <w:rFonts w:ascii="Arial" w:hAnsi="Arial" w:cs="Arial"/>
                <w:i w:val="0"/>
                <w:color w:val="000000"/>
                <w:sz w:val="18"/>
                <w:szCs w:val="18"/>
                <w:bdr w:val="nil"/>
                <w:lang w:val="en-US" w:eastAsia="en-US"/>
              </w:rPr>
              <w:t>Senator the Hon Anne Ruston</w:t>
            </w:r>
          </w:p>
          <w:p w:rsidR="007428E5" w:rsidRDefault="00D5482E" w:rsidP="007428E5">
            <w:pPr>
              <w:pStyle w:val="TableGraphic"/>
              <w:pBdr>
                <w:top w:val="nil"/>
                <w:left w:val="nil"/>
                <w:bottom w:val="nil"/>
                <w:right w:val="nil"/>
                <w:between w:val="nil"/>
                <w:bar w:val="nil"/>
              </w:pBdr>
              <w:spacing w:before="60" w:after="60"/>
              <w:jc w:val="center"/>
              <w:rPr>
                <w:rFonts w:ascii="Arial" w:hAnsi="Arial" w:cs="Arial"/>
                <w:b/>
                <w:i w:val="0"/>
                <w:color w:val="000000"/>
                <w:sz w:val="18"/>
                <w:szCs w:val="18"/>
                <w:bdr w:val="nil"/>
              </w:rPr>
            </w:pPr>
            <w:r>
              <w:rPr>
                <w:rFonts w:ascii="Arial" w:hAnsi="Arial" w:cs="Arial"/>
                <w:b/>
                <w:i w:val="0"/>
                <w:color w:val="000000"/>
                <w:sz w:val="18"/>
                <w:szCs w:val="18"/>
                <w:bdr w:val="nil"/>
                <w:lang w:val="en-US" w:eastAsia="en-US"/>
              </w:rPr>
              <w:t>Minister for the National Disability Insurance Scheme</w:t>
            </w:r>
          </w:p>
          <w:p w:rsidR="007428E5" w:rsidRDefault="00D5482E" w:rsidP="007428E5">
            <w:pPr>
              <w:pStyle w:val="TableGraphic"/>
              <w:pBdr>
                <w:top w:val="nil"/>
                <w:left w:val="nil"/>
                <w:bottom w:val="nil"/>
                <w:right w:val="nil"/>
                <w:between w:val="nil"/>
                <w:bar w:val="nil"/>
              </w:pBdr>
              <w:spacing w:before="60" w:after="60"/>
              <w:jc w:val="center"/>
              <w:rPr>
                <w:rFonts w:ascii="Arial" w:hAnsi="Arial" w:cs="Arial"/>
                <w:b/>
                <w:i w:val="0"/>
                <w:color w:val="000000"/>
                <w:sz w:val="18"/>
                <w:szCs w:val="18"/>
                <w:bdr w:val="nil"/>
              </w:rPr>
            </w:pPr>
            <w:r>
              <w:rPr>
                <w:rFonts w:ascii="Arial" w:hAnsi="Arial" w:cs="Arial"/>
                <w:b/>
                <w:i w:val="0"/>
                <w:color w:val="000000"/>
                <w:sz w:val="18"/>
                <w:szCs w:val="18"/>
                <w:bdr w:val="nil"/>
                <w:lang w:val="en-US" w:eastAsia="en-US"/>
              </w:rPr>
              <w:t>Minister for Government Services</w:t>
            </w:r>
          </w:p>
          <w:p w:rsidR="007428E5" w:rsidRDefault="00D5482E" w:rsidP="007428E5">
            <w:pPr>
              <w:pStyle w:val="TableGraphic"/>
              <w:pBdr>
                <w:top w:val="nil"/>
                <w:left w:val="nil"/>
                <w:bottom w:val="nil"/>
                <w:right w:val="nil"/>
                <w:between w:val="nil"/>
                <w:bar w:val="nil"/>
              </w:pBdr>
              <w:spacing w:before="60" w:after="60"/>
              <w:jc w:val="center"/>
              <w:rPr>
                <w:rFonts w:ascii="Arial" w:hAnsi="Arial" w:cs="Arial"/>
                <w:i w:val="0"/>
                <w:color w:val="000000"/>
                <w:sz w:val="18"/>
                <w:szCs w:val="18"/>
                <w:bdr w:val="nil"/>
              </w:rPr>
            </w:pPr>
            <w:r>
              <w:rPr>
                <w:rFonts w:ascii="Arial" w:hAnsi="Arial" w:cs="Arial"/>
                <w:i w:val="0"/>
                <w:color w:val="000000"/>
                <w:sz w:val="18"/>
                <w:szCs w:val="18"/>
                <w:bdr w:val="nil"/>
                <w:lang w:val="en-US" w:eastAsia="en-US"/>
              </w:rPr>
              <w:t>The Hon Stuart Robert MP</w:t>
            </w:r>
          </w:p>
          <w:p w:rsidR="009B5B50" w:rsidRDefault="00D5482E" w:rsidP="009B5B50">
            <w:pPr>
              <w:pStyle w:val="TableGraphic"/>
              <w:pBdr>
                <w:top w:val="nil"/>
                <w:left w:val="nil"/>
                <w:bottom w:val="nil"/>
                <w:right w:val="nil"/>
                <w:between w:val="nil"/>
                <w:bar w:val="nil"/>
              </w:pBdr>
              <w:tabs>
                <w:tab w:val="left" w:pos="7258"/>
              </w:tabs>
              <w:spacing w:before="60" w:after="60"/>
              <w:jc w:val="center"/>
              <w:rPr>
                <w:rFonts w:ascii="Arial" w:hAnsi="Arial" w:cs="Arial"/>
                <w:b/>
                <w:i w:val="0"/>
                <w:color w:val="000000"/>
                <w:sz w:val="18"/>
                <w:szCs w:val="18"/>
                <w:bdr w:val="nil"/>
              </w:rPr>
            </w:pPr>
            <w:r>
              <w:rPr>
                <w:rFonts w:ascii="Arial" w:hAnsi="Arial" w:cs="Arial"/>
                <w:b/>
                <w:i w:val="0"/>
                <w:color w:val="000000"/>
                <w:sz w:val="18"/>
                <w:szCs w:val="18"/>
                <w:bdr w:val="nil"/>
                <w:lang w:val="en-US" w:eastAsia="en-US"/>
              </w:rPr>
              <w:t>Minister for Homelessness, Social and Community Housing</w:t>
            </w:r>
          </w:p>
          <w:p w:rsidR="009B5B50" w:rsidRDefault="00D5482E" w:rsidP="009B5B50">
            <w:pPr>
              <w:pStyle w:val="TableGraphic"/>
              <w:pBdr>
                <w:top w:val="nil"/>
                <w:left w:val="nil"/>
                <w:bottom w:val="nil"/>
                <w:right w:val="nil"/>
                <w:between w:val="nil"/>
                <w:bar w:val="nil"/>
              </w:pBdr>
              <w:spacing w:before="60" w:after="60"/>
              <w:jc w:val="center"/>
              <w:rPr>
                <w:rFonts w:ascii="Arial" w:hAnsi="Arial" w:cs="Arial"/>
                <w:i w:val="0"/>
                <w:color w:val="000000"/>
                <w:sz w:val="18"/>
                <w:szCs w:val="18"/>
                <w:bdr w:val="nil"/>
              </w:rPr>
            </w:pPr>
            <w:r>
              <w:rPr>
                <w:rFonts w:ascii="Arial" w:hAnsi="Arial" w:cs="Arial"/>
                <w:i w:val="0"/>
                <w:color w:val="000000"/>
                <w:sz w:val="18"/>
                <w:szCs w:val="18"/>
                <w:bdr w:val="nil"/>
                <w:lang w:val="en-US" w:eastAsia="en-US"/>
              </w:rPr>
              <w:t>The Hon Michael Sukkar MP</w:t>
            </w:r>
          </w:p>
          <w:p w:rsidR="007428E5" w:rsidRDefault="00D5482E" w:rsidP="009B5B50">
            <w:pPr>
              <w:pStyle w:val="TableGraphic"/>
              <w:pBdr>
                <w:top w:val="nil"/>
                <w:left w:val="nil"/>
                <w:bottom w:val="nil"/>
                <w:right w:val="nil"/>
                <w:between w:val="nil"/>
                <w:bar w:val="nil"/>
              </w:pBdr>
              <w:spacing w:before="60" w:after="60"/>
              <w:jc w:val="center"/>
              <w:rPr>
                <w:rFonts w:ascii="Arial" w:hAnsi="Arial" w:cs="Arial"/>
                <w:b/>
                <w:i w:val="0"/>
                <w:color w:val="000000"/>
                <w:sz w:val="18"/>
                <w:szCs w:val="18"/>
                <w:bdr w:val="nil"/>
              </w:rPr>
            </w:pPr>
            <w:r>
              <w:rPr>
                <w:rFonts w:ascii="Arial" w:hAnsi="Arial" w:cs="Arial"/>
                <w:b/>
                <w:i w:val="0"/>
                <w:color w:val="000000"/>
                <w:sz w:val="18"/>
                <w:szCs w:val="18"/>
                <w:bdr w:val="nil"/>
                <w:lang w:val="en-US" w:eastAsia="en-US"/>
              </w:rPr>
              <w:t>Assistant Minister for Children and Families</w:t>
            </w:r>
          </w:p>
          <w:p w:rsidR="0039571F" w:rsidRPr="009B5B50" w:rsidRDefault="00D5482E" w:rsidP="009B5B50">
            <w:pPr>
              <w:pStyle w:val="TableGraphic"/>
              <w:pBdr>
                <w:top w:val="nil"/>
                <w:left w:val="nil"/>
                <w:bottom w:val="nil"/>
                <w:right w:val="nil"/>
                <w:between w:val="nil"/>
                <w:bar w:val="nil"/>
              </w:pBdr>
              <w:spacing w:before="60" w:after="60"/>
              <w:jc w:val="center"/>
              <w:rPr>
                <w:rFonts w:ascii="Arial" w:hAnsi="Arial" w:cs="Arial"/>
                <w:i w:val="0"/>
                <w:color w:val="000000"/>
                <w:sz w:val="18"/>
                <w:szCs w:val="18"/>
                <w:bdr w:val="nil"/>
              </w:rPr>
            </w:pPr>
            <w:r>
              <w:rPr>
                <w:rFonts w:ascii="Arial" w:hAnsi="Arial" w:cs="Arial"/>
                <w:i w:val="0"/>
                <w:color w:val="000000"/>
                <w:sz w:val="18"/>
                <w:szCs w:val="18"/>
                <w:bdr w:val="nil"/>
                <w:lang w:val="en-US" w:eastAsia="en-US"/>
              </w:rPr>
              <w:t>The Hon Michelle Landry MP</w:t>
            </w:r>
          </w:p>
        </w:tc>
      </w:tr>
      <w:tr w:rsidR="00010972" w:rsidTr="00DD145C">
        <w:trPr>
          <w:trHeight w:val="54"/>
        </w:trPr>
        <w:tc>
          <w:tcPr>
            <w:tcW w:w="7371" w:type="dxa"/>
            <w:tcBorders>
              <w:top w:val="dotted" w:sz="2" w:space="0" w:color="000000" w:themeColor="text1"/>
              <w:left w:val="nil"/>
              <w:bottom w:val="dotted" w:sz="2" w:space="0" w:color="000000" w:themeColor="text1"/>
              <w:right w:val="nil"/>
            </w:tcBorders>
            <w:hideMark/>
          </w:tcPr>
          <w:p w:rsidR="00F5777D" w:rsidRPr="00AC7663" w:rsidRDefault="00F5777D" w:rsidP="008557A6">
            <w:pPr>
              <w:ind w:right="198"/>
              <w:rPr>
                <w:rFonts w:ascii="Arial" w:eastAsia="Times New Roman" w:hAnsi="Arial" w:cs="Arial"/>
                <w:sz w:val="2"/>
                <w:szCs w:val="16"/>
                <w:bdr w:val="nil"/>
              </w:rPr>
            </w:pPr>
          </w:p>
        </w:tc>
      </w:tr>
      <w:tr w:rsidR="00010972" w:rsidTr="00DD145C">
        <w:tc>
          <w:tcPr>
            <w:tcW w:w="7371" w:type="dxa"/>
            <w:tcBorders>
              <w:top w:val="dotted" w:sz="2" w:space="0" w:color="000000" w:themeColor="text1"/>
              <w:left w:val="dotted" w:sz="2" w:space="0" w:color="000000" w:themeColor="text1"/>
              <w:bottom w:val="dotted" w:sz="2" w:space="0" w:color="000000" w:themeColor="text1"/>
              <w:right w:val="dotted" w:sz="2" w:space="0" w:color="000000" w:themeColor="text1"/>
            </w:tcBorders>
          </w:tcPr>
          <w:p w:rsidR="007428E5" w:rsidRDefault="00D5482E" w:rsidP="007428E5">
            <w:pPr>
              <w:pStyle w:val="TableGraphic"/>
              <w:pBdr>
                <w:top w:val="nil"/>
                <w:left w:val="nil"/>
                <w:bottom w:val="nil"/>
                <w:right w:val="nil"/>
                <w:between w:val="nil"/>
                <w:bar w:val="nil"/>
              </w:pBdr>
              <w:spacing w:before="60" w:after="60"/>
              <w:jc w:val="center"/>
              <w:rPr>
                <w:rFonts w:ascii="Arial" w:hAnsi="Arial" w:cs="Arial"/>
                <w:b/>
                <w:i w:val="0"/>
                <w:color w:val="000000"/>
                <w:sz w:val="18"/>
                <w:szCs w:val="18"/>
                <w:bdr w:val="nil"/>
              </w:rPr>
            </w:pPr>
            <w:r>
              <w:rPr>
                <w:rFonts w:ascii="Arial" w:hAnsi="Arial" w:cs="Arial"/>
                <w:b/>
                <w:i w:val="0"/>
                <w:color w:val="000000"/>
                <w:sz w:val="18"/>
                <w:szCs w:val="18"/>
                <w:bdr w:val="nil"/>
                <w:lang w:val="en-US" w:eastAsia="en-US"/>
              </w:rPr>
              <w:t>Department of Social Services</w:t>
            </w:r>
          </w:p>
          <w:p w:rsidR="007428E5" w:rsidRDefault="00D5482E" w:rsidP="007428E5">
            <w:pPr>
              <w:pStyle w:val="TableGraphic"/>
              <w:pBdr>
                <w:top w:val="nil"/>
                <w:left w:val="nil"/>
                <w:bottom w:val="nil"/>
                <w:right w:val="nil"/>
                <w:between w:val="nil"/>
                <w:bar w:val="nil"/>
              </w:pBdr>
              <w:spacing w:before="60" w:after="60"/>
              <w:jc w:val="center"/>
              <w:rPr>
                <w:rFonts w:ascii="Arial" w:hAnsi="Arial" w:cs="Arial"/>
                <w:i w:val="0"/>
                <w:color w:val="000000"/>
                <w:sz w:val="18"/>
                <w:szCs w:val="18"/>
                <w:bdr w:val="nil"/>
              </w:rPr>
            </w:pPr>
            <w:r>
              <w:rPr>
                <w:rFonts w:ascii="Arial" w:hAnsi="Arial" w:cs="Arial"/>
                <w:i w:val="0"/>
                <w:color w:val="000000"/>
                <w:sz w:val="18"/>
                <w:szCs w:val="18"/>
                <w:bdr w:val="nil"/>
                <w:lang w:val="en-US" w:eastAsia="en-US"/>
              </w:rPr>
              <w:t>Secretary: Ms Kathryn Campbell AO CSC</w:t>
            </w:r>
          </w:p>
          <w:p w:rsidR="007428E5" w:rsidRDefault="00D5482E" w:rsidP="007428E5">
            <w:pPr>
              <w:pStyle w:val="TableGraphic"/>
              <w:pBdr>
                <w:top w:val="nil"/>
                <w:left w:val="nil"/>
                <w:bottom w:val="nil"/>
                <w:right w:val="nil"/>
                <w:between w:val="nil"/>
                <w:bar w:val="nil"/>
              </w:pBdr>
              <w:spacing w:before="60" w:after="60"/>
              <w:ind w:right="34"/>
              <w:jc w:val="left"/>
              <w:rPr>
                <w:rFonts w:ascii="Arial" w:hAnsi="Arial" w:cs="Arial"/>
                <w:b/>
                <w:i w:val="0"/>
                <w:color w:val="000000"/>
                <w:sz w:val="18"/>
                <w:szCs w:val="18"/>
                <w:bdr w:val="nil"/>
              </w:rPr>
            </w:pPr>
            <w:r>
              <w:rPr>
                <w:rFonts w:ascii="Arial" w:hAnsi="Arial" w:cs="Arial"/>
                <w:b/>
                <w:i w:val="0"/>
                <w:color w:val="000000"/>
                <w:sz w:val="18"/>
                <w:szCs w:val="18"/>
                <w:bdr w:val="nil"/>
                <w:lang w:val="en-US" w:eastAsia="en-US"/>
              </w:rPr>
              <w:t>Outcome 1: Social Security</w:t>
            </w:r>
          </w:p>
          <w:p w:rsidR="007428E5" w:rsidRDefault="00D5482E" w:rsidP="007428E5">
            <w:pPr>
              <w:keepLines/>
              <w:pBdr>
                <w:top w:val="nil"/>
                <w:left w:val="nil"/>
                <w:bottom w:val="nil"/>
                <w:right w:val="nil"/>
                <w:between w:val="nil"/>
                <w:bar w:val="nil"/>
              </w:pBdr>
              <w:spacing w:before="60" w:after="60"/>
              <w:ind w:right="34"/>
              <w:jc w:val="both"/>
              <w:rPr>
                <w:rFonts w:ascii="Arial" w:eastAsia="Times New Roman" w:hAnsi="Arial" w:cs="Arial"/>
                <w:color w:val="000000"/>
                <w:sz w:val="18"/>
                <w:szCs w:val="18"/>
                <w:bdr w:val="nil"/>
              </w:rPr>
            </w:pPr>
            <w:r>
              <w:rPr>
                <w:rFonts w:ascii="Arial" w:eastAsia="Times New Roman" w:hAnsi="Arial" w:cs="Arial"/>
                <w:color w:val="000000"/>
                <w:sz w:val="18"/>
                <w:szCs w:val="18"/>
                <w:bdr w:val="nil"/>
                <w:lang w:val="en-US" w:eastAsia="en-US"/>
              </w:rPr>
              <w:t>Encourage self-reliance and support people who cannot fully support themselves by providing sustainable social security payments and assistance.</w:t>
            </w:r>
          </w:p>
          <w:p w:rsidR="007428E5" w:rsidRDefault="00D5482E" w:rsidP="007428E5">
            <w:pPr>
              <w:pStyle w:val="TableGraphic"/>
              <w:pBdr>
                <w:top w:val="nil"/>
                <w:left w:val="nil"/>
                <w:bottom w:val="nil"/>
                <w:right w:val="nil"/>
                <w:between w:val="nil"/>
                <w:bar w:val="nil"/>
              </w:pBdr>
              <w:spacing w:before="60" w:after="60"/>
              <w:ind w:right="34"/>
              <w:jc w:val="left"/>
              <w:rPr>
                <w:rFonts w:ascii="Arial" w:hAnsi="Arial" w:cs="Arial"/>
                <w:b/>
                <w:i w:val="0"/>
                <w:color w:val="000000"/>
                <w:sz w:val="18"/>
                <w:szCs w:val="18"/>
                <w:bdr w:val="nil"/>
                <w:vertAlign w:val="superscript"/>
              </w:rPr>
            </w:pPr>
            <w:r>
              <w:rPr>
                <w:rFonts w:ascii="Arial" w:hAnsi="Arial" w:cs="Arial"/>
                <w:b/>
                <w:i w:val="0"/>
                <w:color w:val="000000"/>
                <w:sz w:val="18"/>
                <w:szCs w:val="18"/>
                <w:bdr w:val="nil"/>
                <w:lang w:val="en-US" w:eastAsia="en-US"/>
              </w:rPr>
              <w:t>Outcome 2: Families and Communities</w:t>
            </w:r>
          </w:p>
          <w:p w:rsidR="007428E5" w:rsidRDefault="00D5482E" w:rsidP="007428E5">
            <w:pPr>
              <w:keepLines/>
              <w:pBdr>
                <w:top w:val="nil"/>
                <w:left w:val="nil"/>
                <w:bottom w:val="nil"/>
                <w:right w:val="nil"/>
                <w:between w:val="nil"/>
                <w:bar w:val="nil"/>
              </w:pBdr>
              <w:spacing w:before="60" w:after="60"/>
              <w:ind w:right="34"/>
              <w:jc w:val="both"/>
              <w:rPr>
                <w:rFonts w:ascii="Arial" w:eastAsia="Times New Roman" w:hAnsi="Arial" w:cs="Arial"/>
                <w:color w:val="000000"/>
                <w:sz w:val="18"/>
                <w:szCs w:val="18"/>
                <w:bdr w:val="nil"/>
              </w:rPr>
            </w:pPr>
            <w:r>
              <w:rPr>
                <w:rFonts w:ascii="Arial" w:eastAsia="Times New Roman" w:hAnsi="Arial" w:cs="Arial"/>
                <w:color w:val="000000"/>
                <w:sz w:val="18"/>
                <w:szCs w:val="18"/>
                <w:bdr w:val="nil"/>
                <w:lang w:val="en-US" w:eastAsia="en-US"/>
              </w:rPr>
              <w:t>Contribute to stronger and more resilient individuals, families and communities by providing targeted services and initiatives.</w:t>
            </w:r>
          </w:p>
          <w:p w:rsidR="007428E5" w:rsidRDefault="00D5482E" w:rsidP="007428E5">
            <w:pPr>
              <w:pStyle w:val="TableGraphic"/>
              <w:pBdr>
                <w:top w:val="nil"/>
                <w:left w:val="nil"/>
                <w:bottom w:val="nil"/>
                <w:right w:val="nil"/>
                <w:between w:val="nil"/>
                <w:bar w:val="nil"/>
              </w:pBdr>
              <w:spacing w:before="60" w:after="60"/>
              <w:ind w:right="34"/>
              <w:jc w:val="left"/>
              <w:rPr>
                <w:rFonts w:ascii="Arial" w:hAnsi="Arial" w:cs="Arial"/>
                <w:b/>
                <w:i w:val="0"/>
                <w:color w:val="000000"/>
                <w:sz w:val="18"/>
                <w:szCs w:val="18"/>
                <w:bdr w:val="nil"/>
                <w:vertAlign w:val="superscript"/>
              </w:rPr>
            </w:pPr>
            <w:r>
              <w:rPr>
                <w:rFonts w:ascii="Arial" w:hAnsi="Arial" w:cs="Arial"/>
                <w:b/>
                <w:i w:val="0"/>
                <w:color w:val="000000"/>
                <w:sz w:val="18"/>
                <w:szCs w:val="18"/>
                <w:bdr w:val="nil"/>
                <w:lang w:val="en-US" w:eastAsia="en-US"/>
              </w:rPr>
              <w:t>Outcome 3: Disability and Carers</w:t>
            </w:r>
          </w:p>
          <w:p w:rsidR="007428E5" w:rsidRDefault="00D5482E" w:rsidP="007428E5">
            <w:pPr>
              <w:keepLines/>
              <w:pBdr>
                <w:top w:val="nil"/>
                <w:left w:val="nil"/>
                <w:bottom w:val="nil"/>
                <w:right w:val="nil"/>
                <w:between w:val="nil"/>
                <w:bar w:val="nil"/>
              </w:pBdr>
              <w:spacing w:before="60" w:after="60"/>
              <w:ind w:right="34"/>
              <w:jc w:val="both"/>
              <w:rPr>
                <w:rFonts w:ascii="Arial" w:eastAsia="Times New Roman" w:hAnsi="Arial" w:cs="Arial"/>
                <w:color w:val="000000"/>
                <w:sz w:val="18"/>
                <w:szCs w:val="18"/>
                <w:bdr w:val="nil"/>
              </w:rPr>
            </w:pPr>
            <w:r>
              <w:rPr>
                <w:rFonts w:ascii="Arial" w:eastAsia="Times New Roman" w:hAnsi="Arial" w:cs="Arial"/>
                <w:color w:val="000000"/>
                <w:sz w:val="18"/>
                <w:szCs w:val="18"/>
                <w:bdr w:val="nil"/>
                <w:lang w:val="en-US" w:eastAsia="en-US"/>
              </w:rPr>
              <w:t>Improved independence of, and participation by, people with disability, including improved support for carers, by providing targeted support and services.</w:t>
            </w:r>
          </w:p>
          <w:p w:rsidR="007428E5" w:rsidRDefault="00D5482E" w:rsidP="007428E5">
            <w:pPr>
              <w:pStyle w:val="TableGraphic"/>
              <w:pBdr>
                <w:top w:val="nil"/>
                <w:left w:val="nil"/>
                <w:bottom w:val="nil"/>
                <w:right w:val="nil"/>
                <w:between w:val="nil"/>
                <w:bar w:val="nil"/>
              </w:pBdr>
              <w:spacing w:before="60" w:after="60"/>
              <w:ind w:right="34"/>
              <w:jc w:val="left"/>
              <w:rPr>
                <w:rFonts w:ascii="Arial" w:hAnsi="Arial" w:cs="Arial"/>
                <w:b/>
                <w:i w:val="0"/>
                <w:color w:val="000000"/>
                <w:sz w:val="18"/>
                <w:szCs w:val="18"/>
                <w:bdr w:val="nil"/>
              </w:rPr>
            </w:pPr>
            <w:r>
              <w:rPr>
                <w:rFonts w:ascii="Arial" w:hAnsi="Arial" w:cs="Arial"/>
                <w:b/>
                <w:i w:val="0"/>
                <w:color w:val="000000"/>
                <w:sz w:val="18"/>
                <w:szCs w:val="18"/>
                <w:bdr w:val="nil"/>
                <w:lang w:val="en-US" w:eastAsia="en-US"/>
              </w:rPr>
              <w:t>Outcome 4: Housing</w:t>
            </w:r>
          </w:p>
          <w:p w:rsidR="007B4A62" w:rsidRPr="00E525A4" w:rsidRDefault="00D5482E" w:rsidP="007428E5">
            <w:pPr>
              <w:keepLines/>
              <w:pBdr>
                <w:top w:val="nil"/>
                <w:left w:val="nil"/>
                <w:bottom w:val="nil"/>
                <w:right w:val="nil"/>
                <w:between w:val="nil"/>
                <w:bar w:val="nil"/>
              </w:pBdr>
              <w:ind w:right="198"/>
              <w:jc w:val="both"/>
              <w:rPr>
                <w:rFonts w:ascii="Arial" w:eastAsia="Times New Roman" w:hAnsi="Arial" w:cs="Arial"/>
                <w:color w:val="000000"/>
                <w:sz w:val="18"/>
                <w:szCs w:val="18"/>
                <w:bdr w:val="nil"/>
              </w:rPr>
            </w:pPr>
            <w:r>
              <w:rPr>
                <w:rFonts w:ascii="Arial" w:eastAsia="Times New Roman" w:hAnsi="Arial" w:cs="Arial"/>
                <w:color w:val="000000"/>
                <w:sz w:val="18"/>
                <w:szCs w:val="18"/>
                <w:bdr w:val="nil"/>
                <w:lang w:val="en-US" w:eastAsia="en-US"/>
              </w:rPr>
              <w:t>Increased housing supply, improved community housing and assisting individuals experiencing homelessness through targeted support and services.</w:t>
            </w:r>
          </w:p>
        </w:tc>
      </w:tr>
      <w:tr w:rsidR="00010972" w:rsidTr="00DD145C">
        <w:tc>
          <w:tcPr>
            <w:tcW w:w="7371" w:type="dxa"/>
            <w:tcBorders>
              <w:top w:val="dotted" w:sz="2" w:space="0" w:color="000000" w:themeColor="text1"/>
              <w:left w:val="nil"/>
              <w:bottom w:val="dotted" w:sz="2" w:space="0" w:color="000000" w:themeColor="text1"/>
              <w:right w:val="nil"/>
            </w:tcBorders>
          </w:tcPr>
          <w:p w:rsidR="00F5777D" w:rsidRPr="001672B7" w:rsidRDefault="00F5777D" w:rsidP="008557A6">
            <w:pPr>
              <w:pStyle w:val="TableGraphic"/>
              <w:ind w:right="198"/>
              <w:jc w:val="center"/>
              <w:rPr>
                <w:rFonts w:ascii="Arial" w:hAnsi="Arial" w:cs="Arial"/>
                <w:i w:val="0"/>
                <w:color w:val="000000"/>
                <w:sz w:val="4"/>
                <w:szCs w:val="4"/>
                <w:bdr w:val="nil"/>
              </w:rPr>
            </w:pPr>
          </w:p>
        </w:tc>
      </w:tr>
      <w:tr w:rsidR="00010972" w:rsidTr="00DD145C">
        <w:tc>
          <w:tcPr>
            <w:tcW w:w="7371" w:type="dxa"/>
            <w:tcBorders>
              <w:top w:val="dotted" w:sz="2" w:space="0" w:color="000000" w:themeColor="text1"/>
              <w:left w:val="dotted" w:sz="2" w:space="0" w:color="000000" w:themeColor="text1"/>
              <w:bottom w:val="dotted" w:sz="2" w:space="0" w:color="000000" w:themeColor="text1"/>
              <w:right w:val="dotted" w:sz="2" w:space="0" w:color="000000" w:themeColor="text1"/>
            </w:tcBorders>
          </w:tcPr>
          <w:p w:rsidR="007428E5" w:rsidRDefault="00D5482E" w:rsidP="007428E5">
            <w:pPr>
              <w:pStyle w:val="TableGraphic"/>
              <w:pBdr>
                <w:top w:val="nil"/>
                <w:left w:val="nil"/>
                <w:bottom w:val="nil"/>
                <w:right w:val="nil"/>
                <w:between w:val="nil"/>
                <w:bar w:val="nil"/>
              </w:pBdr>
              <w:spacing w:before="60" w:after="60"/>
              <w:jc w:val="center"/>
              <w:rPr>
                <w:rFonts w:ascii="Arial" w:hAnsi="Arial" w:cs="Arial"/>
                <w:b/>
                <w:i w:val="0"/>
                <w:color w:val="000000"/>
                <w:sz w:val="18"/>
                <w:szCs w:val="18"/>
                <w:bdr w:val="nil"/>
              </w:rPr>
            </w:pPr>
            <w:r>
              <w:rPr>
                <w:rFonts w:ascii="Arial" w:hAnsi="Arial" w:cs="Arial"/>
                <w:b/>
                <w:i w:val="0"/>
                <w:color w:val="000000"/>
                <w:sz w:val="18"/>
                <w:szCs w:val="18"/>
                <w:bdr w:val="nil"/>
                <w:lang w:val="en-US" w:eastAsia="en-US"/>
              </w:rPr>
              <w:t>Australian Institute of Family Studies</w:t>
            </w:r>
          </w:p>
          <w:p w:rsidR="007428E5" w:rsidRDefault="00D5482E" w:rsidP="007428E5">
            <w:pPr>
              <w:pStyle w:val="TableGraphic"/>
              <w:pBdr>
                <w:top w:val="nil"/>
                <w:left w:val="nil"/>
                <w:bottom w:val="nil"/>
                <w:right w:val="nil"/>
                <w:between w:val="nil"/>
                <w:bar w:val="nil"/>
              </w:pBdr>
              <w:spacing w:before="60" w:after="60"/>
              <w:jc w:val="center"/>
              <w:rPr>
                <w:rFonts w:ascii="Arial" w:hAnsi="Arial" w:cs="Arial"/>
                <w:i w:val="0"/>
                <w:color w:val="000000"/>
                <w:sz w:val="18"/>
                <w:szCs w:val="18"/>
                <w:bdr w:val="nil"/>
              </w:rPr>
            </w:pPr>
            <w:r>
              <w:rPr>
                <w:rFonts w:ascii="Arial" w:hAnsi="Arial" w:cs="Arial"/>
                <w:i w:val="0"/>
                <w:color w:val="000000"/>
                <w:sz w:val="18"/>
                <w:szCs w:val="18"/>
                <w:bdr w:val="nil"/>
                <w:lang w:val="en-US" w:eastAsia="en-US"/>
              </w:rPr>
              <w:t>A/g Director: Mr Andrew Whitecross</w:t>
            </w:r>
          </w:p>
          <w:p w:rsidR="007428E5" w:rsidRDefault="00D5482E" w:rsidP="007428E5">
            <w:pPr>
              <w:pStyle w:val="TableGraphic"/>
              <w:pBdr>
                <w:top w:val="nil"/>
                <w:left w:val="nil"/>
                <w:bottom w:val="nil"/>
                <w:right w:val="nil"/>
                <w:between w:val="nil"/>
                <w:bar w:val="nil"/>
              </w:pBdr>
              <w:spacing w:before="60" w:after="60"/>
              <w:jc w:val="left"/>
              <w:rPr>
                <w:rFonts w:ascii="Arial" w:hAnsi="Arial" w:cs="Arial"/>
                <w:b/>
                <w:i w:val="0"/>
                <w:color w:val="000000"/>
                <w:sz w:val="18"/>
                <w:szCs w:val="18"/>
                <w:bdr w:val="nil"/>
              </w:rPr>
            </w:pPr>
            <w:r>
              <w:rPr>
                <w:rFonts w:ascii="Arial" w:hAnsi="Arial" w:cs="Arial"/>
                <w:b/>
                <w:i w:val="0"/>
                <w:color w:val="000000"/>
                <w:sz w:val="18"/>
                <w:szCs w:val="18"/>
                <w:bdr w:val="nil"/>
                <w:lang w:val="en-US" w:eastAsia="en-US"/>
              </w:rPr>
              <w:t>Outcome 1:</w:t>
            </w:r>
          </w:p>
          <w:p w:rsidR="007B4A62" w:rsidRPr="001672B7" w:rsidRDefault="00D5482E" w:rsidP="007428E5">
            <w:pPr>
              <w:keepLines/>
              <w:pBdr>
                <w:top w:val="nil"/>
                <w:left w:val="nil"/>
                <w:bottom w:val="nil"/>
                <w:right w:val="nil"/>
                <w:between w:val="nil"/>
                <w:bar w:val="nil"/>
              </w:pBdr>
              <w:ind w:right="198"/>
              <w:jc w:val="both"/>
              <w:rPr>
                <w:rFonts w:eastAsia="Times New Roman"/>
                <w:i/>
                <w:color w:val="000000"/>
                <w:bdr w:val="nil"/>
              </w:rPr>
            </w:pPr>
            <w:r>
              <w:rPr>
                <w:rFonts w:ascii="Arial" w:eastAsia="Times New Roman" w:hAnsi="Arial" w:cs="Arial"/>
                <w:color w:val="000000"/>
                <w:sz w:val="18"/>
                <w:szCs w:val="18"/>
                <w:bdr w:val="nil"/>
                <w:lang w:val="en-US" w:eastAsia="en-US"/>
              </w:rPr>
              <w:t>Increased understanding of factors affecting how families function by conducting research and communicating findings to policy-makers, service providers and the broader community.</w:t>
            </w:r>
          </w:p>
        </w:tc>
      </w:tr>
      <w:tr w:rsidR="00010972" w:rsidTr="00DD145C">
        <w:tc>
          <w:tcPr>
            <w:tcW w:w="7371" w:type="dxa"/>
            <w:tcBorders>
              <w:top w:val="dotted" w:sz="2" w:space="0" w:color="000000" w:themeColor="text1"/>
              <w:left w:val="nil"/>
              <w:bottom w:val="dotted" w:sz="2" w:space="0" w:color="000000" w:themeColor="text1"/>
              <w:right w:val="nil"/>
            </w:tcBorders>
          </w:tcPr>
          <w:p w:rsidR="00F5777D" w:rsidRPr="001672B7" w:rsidRDefault="00F5777D" w:rsidP="008557A6">
            <w:pPr>
              <w:pStyle w:val="TableGraphic"/>
              <w:ind w:right="198"/>
              <w:jc w:val="center"/>
              <w:rPr>
                <w:rFonts w:ascii="Arial" w:hAnsi="Arial" w:cs="Arial"/>
                <w:i w:val="0"/>
                <w:color w:val="000000"/>
                <w:sz w:val="4"/>
                <w:szCs w:val="4"/>
                <w:bdr w:val="nil"/>
              </w:rPr>
            </w:pPr>
          </w:p>
        </w:tc>
      </w:tr>
      <w:tr w:rsidR="00010972" w:rsidTr="00DD145C">
        <w:tc>
          <w:tcPr>
            <w:tcW w:w="7371" w:type="dxa"/>
            <w:tcBorders>
              <w:top w:val="dotted" w:sz="2" w:space="0" w:color="000000" w:themeColor="text1"/>
              <w:left w:val="dotted" w:sz="2" w:space="0" w:color="000000" w:themeColor="text1"/>
              <w:bottom w:val="dotted" w:sz="2" w:space="0" w:color="000000" w:themeColor="text1"/>
              <w:right w:val="dotted" w:sz="2" w:space="0" w:color="000000" w:themeColor="text1"/>
            </w:tcBorders>
          </w:tcPr>
          <w:p w:rsidR="007428E5" w:rsidRDefault="00D5482E" w:rsidP="007428E5">
            <w:pPr>
              <w:pStyle w:val="TableGraphic"/>
              <w:pBdr>
                <w:top w:val="nil"/>
                <w:left w:val="nil"/>
                <w:bottom w:val="nil"/>
                <w:right w:val="nil"/>
                <w:between w:val="nil"/>
                <w:bar w:val="nil"/>
              </w:pBdr>
              <w:spacing w:before="60" w:after="60"/>
              <w:jc w:val="center"/>
              <w:rPr>
                <w:rFonts w:ascii="Arial" w:hAnsi="Arial" w:cs="Arial"/>
                <w:b/>
                <w:i w:val="0"/>
                <w:color w:val="000000"/>
                <w:sz w:val="18"/>
                <w:szCs w:val="18"/>
                <w:bdr w:val="nil"/>
              </w:rPr>
            </w:pPr>
            <w:r>
              <w:rPr>
                <w:rFonts w:ascii="Arial" w:hAnsi="Arial" w:cs="Arial"/>
                <w:b/>
                <w:i w:val="0"/>
                <w:color w:val="000000"/>
                <w:sz w:val="18"/>
                <w:szCs w:val="18"/>
                <w:bdr w:val="nil"/>
                <w:lang w:val="en-US" w:eastAsia="en-US"/>
              </w:rPr>
              <w:t>Digital Transformation Agency</w:t>
            </w:r>
          </w:p>
          <w:p w:rsidR="007428E5" w:rsidRDefault="00D5482E" w:rsidP="007428E5">
            <w:pPr>
              <w:pStyle w:val="TableGraphic"/>
              <w:pBdr>
                <w:top w:val="nil"/>
                <w:left w:val="nil"/>
                <w:bottom w:val="nil"/>
                <w:right w:val="nil"/>
                <w:between w:val="nil"/>
                <w:bar w:val="nil"/>
              </w:pBdr>
              <w:spacing w:before="60" w:after="60"/>
              <w:jc w:val="center"/>
              <w:rPr>
                <w:rFonts w:ascii="Arial" w:hAnsi="Arial" w:cs="Arial"/>
                <w:i w:val="0"/>
                <w:color w:val="000000"/>
                <w:sz w:val="18"/>
                <w:szCs w:val="18"/>
                <w:bdr w:val="nil"/>
              </w:rPr>
            </w:pPr>
            <w:r>
              <w:rPr>
                <w:rFonts w:ascii="Arial" w:hAnsi="Arial" w:cs="Arial"/>
                <w:i w:val="0"/>
                <w:color w:val="000000"/>
                <w:sz w:val="18"/>
                <w:szCs w:val="18"/>
                <w:bdr w:val="nil"/>
                <w:lang w:val="en-US" w:eastAsia="en-US"/>
              </w:rPr>
              <w:t>Chief Executive Officer: Mr Randall Brugeaud</w:t>
            </w:r>
          </w:p>
          <w:p w:rsidR="007428E5" w:rsidRDefault="00D5482E" w:rsidP="007428E5">
            <w:pPr>
              <w:pStyle w:val="TableGraphic"/>
              <w:pBdr>
                <w:top w:val="nil"/>
                <w:left w:val="nil"/>
                <w:bottom w:val="nil"/>
                <w:right w:val="nil"/>
                <w:between w:val="nil"/>
                <w:bar w:val="nil"/>
              </w:pBdr>
              <w:spacing w:before="60" w:after="60"/>
              <w:jc w:val="left"/>
              <w:rPr>
                <w:rFonts w:ascii="Arial" w:hAnsi="Arial" w:cs="Arial"/>
                <w:b/>
                <w:i w:val="0"/>
                <w:color w:val="000000"/>
                <w:sz w:val="18"/>
                <w:szCs w:val="18"/>
                <w:bdr w:val="nil"/>
              </w:rPr>
            </w:pPr>
            <w:r>
              <w:rPr>
                <w:rFonts w:ascii="Arial" w:hAnsi="Arial" w:cs="Arial"/>
                <w:b/>
                <w:i w:val="0"/>
                <w:color w:val="000000"/>
                <w:sz w:val="18"/>
                <w:szCs w:val="18"/>
                <w:bdr w:val="nil"/>
                <w:lang w:val="en-US" w:eastAsia="en-US"/>
              </w:rPr>
              <w:t>Outcome 1:</w:t>
            </w:r>
          </w:p>
          <w:p w:rsidR="00F5777D" w:rsidRPr="001672B7" w:rsidRDefault="00D5482E" w:rsidP="001C56C9">
            <w:pPr>
              <w:keepLines/>
              <w:pBdr>
                <w:top w:val="nil"/>
                <w:left w:val="nil"/>
                <w:bottom w:val="nil"/>
                <w:right w:val="nil"/>
                <w:between w:val="nil"/>
                <w:bar w:val="nil"/>
              </w:pBdr>
              <w:ind w:right="198"/>
              <w:jc w:val="both"/>
              <w:rPr>
                <w:rFonts w:eastAsia="Times New Roman"/>
                <w:i/>
                <w:color w:val="000000"/>
                <w:bdr w:val="nil"/>
              </w:rPr>
            </w:pPr>
            <w:r>
              <w:rPr>
                <w:rFonts w:ascii="Arial" w:eastAsia="Times New Roman" w:hAnsi="Arial" w:cs="Arial"/>
                <w:color w:val="000000"/>
                <w:sz w:val="18"/>
                <w:szCs w:val="18"/>
                <w:bdr w:val="nil"/>
                <w:lang w:val="en-US" w:eastAsia="en-US"/>
              </w:rPr>
              <w:t>To improve the user experience for all Australians accessing government information and services by leading the design, development and continual enhancement of whole</w:t>
            </w:r>
            <w:r w:rsidR="001C56C9">
              <w:rPr>
                <w:rFonts w:ascii="Arial" w:eastAsia="Times New Roman" w:hAnsi="Arial" w:cs="Arial"/>
                <w:color w:val="000000"/>
                <w:sz w:val="18"/>
                <w:szCs w:val="18"/>
                <w:bdr w:val="nil"/>
                <w:lang w:val="en-US" w:eastAsia="en-US"/>
              </w:rPr>
              <w:noBreakHyphen/>
            </w:r>
            <w:r>
              <w:rPr>
                <w:rFonts w:ascii="Arial" w:eastAsia="Times New Roman" w:hAnsi="Arial" w:cs="Arial"/>
                <w:color w:val="000000"/>
                <w:sz w:val="18"/>
                <w:szCs w:val="18"/>
                <w:bdr w:val="nil"/>
                <w:lang w:val="en-US" w:eastAsia="en-US"/>
              </w:rPr>
              <w:t>of-government service delivery policies and standards, platforms and joined up services.</w:t>
            </w:r>
          </w:p>
        </w:tc>
      </w:tr>
    </w:tbl>
    <w:p w:rsidR="00046E83" w:rsidRPr="003F5648" w:rsidRDefault="00D5482E" w:rsidP="00E75F88">
      <w:pPr>
        <w:pStyle w:val="TableGraphic"/>
        <w:pBdr>
          <w:top w:val="nil"/>
          <w:left w:val="nil"/>
          <w:bottom w:val="nil"/>
          <w:right w:val="nil"/>
          <w:between w:val="nil"/>
          <w:bar w:val="nil"/>
        </w:pBdr>
        <w:rPr>
          <w:bdr w:val="nil"/>
        </w:rPr>
      </w:pPr>
      <w:r>
        <w:rPr>
          <w:bdr w:val="nil"/>
        </w:rPr>
        <w:br w:type="page"/>
      </w:r>
    </w:p>
    <w:tbl>
      <w:tblPr>
        <w:tblStyle w:val="TableGrid"/>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1" w:type="dxa"/>
          <w:bottom w:w="11" w:type="dxa"/>
        </w:tblCellMar>
        <w:tblLook w:val="04A0" w:firstRow="1" w:lastRow="0" w:firstColumn="1" w:lastColumn="0" w:noHBand="0" w:noVBand="1"/>
        <w:tblCaption w:val="Figure 1: Social Services portfolio structure and outcomes"/>
        <w:tblDescription w:val="Social Services portfolio structure and outcomes"/>
      </w:tblPr>
      <w:tblGrid>
        <w:gridCol w:w="7450"/>
      </w:tblGrid>
      <w:tr w:rsidR="00010972" w:rsidTr="000061FC">
        <w:trPr>
          <w:tblHeader/>
        </w:trPr>
        <w:tc>
          <w:tcPr>
            <w:tcW w:w="7513" w:type="dxa"/>
            <w:tcBorders>
              <w:top w:val="dotted" w:sz="4" w:space="0" w:color="auto"/>
              <w:bottom w:val="dotted" w:sz="4" w:space="0" w:color="auto"/>
            </w:tcBorders>
            <w:hideMark/>
          </w:tcPr>
          <w:p w:rsidR="003D25EC" w:rsidRDefault="00D5482E" w:rsidP="000941FD">
            <w:pPr>
              <w:pStyle w:val="TableGraphic"/>
              <w:pBdr>
                <w:top w:val="nil"/>
                <w:left w:val="nil"/>
                <w:bottom w:val="nil"/>
                <w:right w:val="nil"/>
                <w:between w:val="nil"/>
                <w:bar w:val="nil"/>
              </w:pBdr>
              <w:spacing w:before="60" w:after="60"/>
              <w:jc w:val="center"/>
              <w:rPr>
                <w:rFonts w:ascii="Arial" w:hAnsi="Arial" w:cs="Arial"/>
                <w:b/>
                <w:i w:val="0"/>
                <w:color w:val="000000"/>
                <w:sz w:val="18"/>
                <w:szCs w:val="18"/>
                <w:bdr w:val="nil"/>
              </w:rPr>
            </w:pPr>
            <w:r w:rsidRPr="003D25EC">
              <w:rPr>
                <w:rFonts w:ascii="Arial" w:hAnsi="Arial" w:cs="Arial"/>
                <w:b/>
                <w:i w:val="0"/>
                <w:color w:val="000000"/>
                <w:sz w:val="18"/>
                <w:szCs w:val="18"/>
                <w:bdr w:val="nil"/>
                <w:lang w:val="en-US" w:eastAsia="en-US"/>
              </w:rPr>
              <w:lastRenderedPageBreak/>
              <w:t>National Disability Insurance Agency</w:t>
            </w:r>
          </w:p>
          <w:p w:rsidR="003F5648" w:rsidRDefault="00D5482E" w:rsidP="000941FD">
            <w:pPr>
              <w:pStyle w:val="TableGraphic"/>
              <w:pBdr>
                <w:top w:val="nil"/>
                <w:left w:val="nil"/>
                <w:bottom w:val="nil"/>
                <w:right w:val="nil"/>
                <w:between w:val="nil"/>
                <w:bar w:val="nil"/>
              </w:pBdr>
              <w:spacing w:before="60" w:after="60"/>
              <w:jc w:val="center"/>
              <w:rPr>
                <w:rFonts w:ascii="Arial" w:hAnsi="Arial" w:cs="Arial"/>
                <w:i w:val="0"/>
                <w:color w:val="000000"/>
                <w:sz w:val="18"/>
                <w:szCs w:val="18"/>
                <w:bdr w:val="nil"/>
              </w:rPr>
            </w:pPr>
            <w:r w:rsidRPr="003D25EC">
              <w:rPr>
                <w:rFonts w:ascii="Arial" w:hAnsi="Arial" w:cs="Arial"/>
                <w:i w:val="0"/>
                <w:color w:val="000000"/>
                <w:sz w:val="18"/>
                <w:szCs w:val="18"/>
                <w:bdr w:val="nil"/>
                <w:lang w:val="en-US" w:eastAsia="en-US"/>
              </w:rPr>
              <w:t>Chief Executive Officer: Mr Martin Hoffman</w:t>
            </w:r>
          </w:p>
          <w:p w:rsidR="003F5648" w:rsidRDefault="00D5482E" w:rsidP="000941FD">
            <w:pPr>
              <w:pStyle w:val="TableGraphic"/>
              <w:pBdr>
                <w:top w:val="nil"/>
                <w:left w:val="nil"/>
                <w:bottom w:val="nil"/>
                <w:right w:val="nil"/>
                <w:between w:val="nil"/>
                <w:bar w:val="nil"/>
              </w:pBdr>
              <w:spacing w:before="60" w:after="60"/>
              <w:jc w:val="left"/>
              <w:rPr>
                <w:rFonts w:ascii="Arial" w:hAnsi="Arial" w:cs="Arial"/>
                <w:b/>
                <w:i w:val="0"/>
                <w:color w:val="000000"/>
                <w:sz w:val="18"/>
                <w:szCs w:val="18"/>
                <w:bdr w:val="nil"/>
              </w:rPr>
            </w:pPr>
            <w:r>
              <w:rPr>
                <w:rFonts w:ascii="Arial" w:hAnsi="Arial" w:cs="Arial"/>
                <w:b/>
                <w:i w:val="0"/>
                <w:color w:val="000000"/>
                <w:sz w:val="18"/>
                <w:szCs w:val="18"/>
                <w:bdr w:val="nil"/>
                <w:lang w:val="en-US" w:eastAsia="en-US"/>
              </w:rPr>
              <w:t>Outcome 1:</w:t>
            </w:r>
          </w:p>
          <w:p w:rsidR="003F5648" w:rsidRDefault="00D5482E" w:rsidP="000941FD">
            <w:pPr>
              <w:keepLines/>
              <w:pBdr>
                <w:top w:val="nil"/>
                <w:left w:val="nil"/>
                <w:bottom w:val="nil"/>
                <w:right w:val="nil"/>
                <w:between w:val="nil"/>
                <w:bar w:val="nil"/>
              </w:pBdr>
              <w:spacing w:before="60"/>
              <w:ind w:right="34"/>
              <w:jc w:val="both"/>
              <w:rPr>
                <w:rFonts w:eastAsia="Times New Roman" w:cs="Calibri"/>
                <w:color w:val="000000"/>
                <w:bdr w:val="nil"/>
              </w:rPr>
            </w:pPr>
            <w:r w:rsidRPr="003D25EC">
              <w:rPr>
                <w:rFonts w:ascii="Arial" w:eastAsia="Times New Roman" w:hAnsi="Arial" w:cs="Arial"/>
                <w:color w:val="000000"/>
                <w:sz w:val="18"/>
                <w:szCs w:val="18"/>
                <w:bdr w:val="nil"/>
                <w:lang w:val="en-US" w:eastAsia="en-US"/>
              </w:rPr>
              <w:t>To implement a National Disability Insurance Scheme that provides individual control and choice in the delivery of reasonable and necessary supports to improve the independence, social and economic participation of eligible people with disability, their families and carers, and associated referral services and activities.</w:t>
            </w:r>
          </w:p>
        </w:tc>
      </w:tr>
      <w:tr w:rsidR="00010972" w:rsidTr="006E3253">
        <w:tc>
          <w:tcPr>
            <w:tcW w:w="7513" w:type="dxa"/>
            <w:tcBorders>
              <w:top w:val="dotted" w:sz="4" w:space="0" w:color="auto"/>
              <w:left w:val="nil"/>
              <w:bottom w:val="dotted" w:sz="4" w:space="0" w:color="auto"/>
              <w:right w:val="nil"/>
            </w:tcBorders>
          </w:tcPr>
          <w:p w:rsidR="003D25EC" w:rsidRPr="003D25EC" w:rsidRDefault="003D25EC" w:rsidP="003D25EC">
            <w:pPr>
              <w:pStyle w:val="TableGraphic"/>
              <w:jc w:val="center"/>
              <w:rPr>
                <w:rFonts w:ascii="Arial" w:hAnsi="Arial" w:cs="Arial"/>
                <w:i w:val="0"/>
                <w:color w:val="000000"/>
                <w:sz w:val="4"/>
                <w:szCs w:val="4"/>
                <w:bdr w:val="nil"/>
              </w:rPr>
            </w:pPr>
          </w:p>
        </w:tc>
      </w:tr>
      <w:tr w:rsidR="00010972" w:rsidTr="006E3253">
        <w:tc>
          <w:tcPr>
            <w:tcW w:w="7513" w:type="dxa"/>
            <w:tcBorders>
              <w:top w:val="dotted" w:sz="4" w:space="0" w:color="auto"/>
              <w:bottom w:val="dotted" w:sz="4" w:space="0" w:color="auto"/>
            </w:tcBorders>
          </w:tcPr>
          <w:p w:rsidR="003D25EC" w:rsidRDefault="00D5482E" w:rsidP="003D25EC">
            <w:pPr>
              <w:pStyle w:val="TableGraphic"/>
              <w:pBdr>
                <w:top w:val="nil"/>
                <w:left w:val="nil"/>
                <w:bottom w:val="nil"/>
                <w:right w:val="nil"/>
                <w:between w:val="nil"/>
                <w:bar w:val="nil"/>
              </w:pBdr>
              <w:spacing w:before="60" w:after="60"/>
              <w:jc w:val="center"/>
              <w:rPr>
                <w:rFonts w:ascii="Arial" w:hAnsi="Arial" w:cs="Arial"/>
                <w:b/>
                <w:i w:val="0"/>
                <w:color w:val="000000"/>
                <w:sz w:val="18"/>
                <w:szCs w:val="18"/>
                <w:bdr w:val="nil"/>
              </w:rPr>
            </w:pPr>
            <w:r>
              <w:rPr>
                <w:rFonts w:ascii="Arial" w:hAnsi="Arial" w:cs="Arial"/>
                <w:b/>
                <w:i w:val="0"/>
                <w:color w:val="000000"/>
                <w:sz w:val="18"/>
                <w:szCs w:val="18"/>
                <w:bdr w:val="nil"/>
                <w:lang w:val="en-US" w:eastAsia="en-US"/>
              </w:rPr>
              <w:t>NDIS Quality and Safeguards Commission</w:t>
            </w:r>
          </w:p>
          <w:p w:rsidR="003D25EC" w:rsidRDefault="00D5482E" w:rsidP="003D25EC">
            <w:pPr>
              <w:pStyle w:val="TableGraphic"/>
              <w:pBdr>
                <w:top w:val="nil"/>
                <w:left w:val="nil"/>
                <w:bottom w:val="nil"/>
                <w:right w:val="nil"/>
                <w:between w:val="nil"/>
                <w:bar w:val="nil"/>
              </w:pBdr>
              <w:spacing w:before="60" w:after="60"/>
              <w:jc w:val="center"/>
              <w:rPr>
                <w:rFonts w:ascii="Arial" w:hAnsi="Arial" w:cs="Arial"/>
                <w:i w:val="0"/>
                <w:color w:val="000000"/>
                <w:sz w:val="18"/>
                <w:szCs w:val="18"/>
                <w:bdr w:val="nil"/>
              </w:rPr>
            </w:pPr>
            <w:r>
              <w:rPr>
                <w:rFonts w:ascii="Arial" w:hAnsi="Arial" w:cs="Arial"/>
                <w:i w:val="0"/>
                <w:color w:val="000000"/>
                <w:sz w:val="18"/>
                <w:szCs w:val="18"/>
                <w:bdr w:val="nil"/>
                <w:lang w:val="en-US" w:eastAsia="en-US"/>
              </w:rPr>
              <w:t>Commissioner: Mr Graeme Head AO</w:t>
            </w:r>
          </w:p>
          <w:p w:rsidR="003D25EC" w:rsidRDefault="00D5482E" w:rsidP="003D25EC">
            <w:pPr>
              <w:pStyle w:val="TableGraphic"/>
              <w:pBdr>
                <w:top w:val="nil"/>
                <w:left w:val="nil"/>
                <w:bottom w:val="nil"/>
                <w:right w:val="nil"/>
                <w:between w:val="nil"/>
                <w:bar w:val="nil"/>
              </w:pBdr>
              <w:spacing w:before="60" w:after="60"/>
              <w:jc w:val="left"/>
              <w:rPr>
                <w:rFonts w:ascii="Arial" w:hAnsi="Arial" w:cs="Arial"/>
                <w:b/>
                <w:i w:val="0"/>
                <w:color w:val="000000"/>
                <w:sz w:val="18"/>
                <w:szCs w:val="18"/>
                <w:bdr w:val="nil"/>
              </w:rPr>
            </w:pPr>
            <w:r>
              <w:rPr>
                <w:rFonts w:ascii="Arial" w:hAnsi="Arial" w:cs="Arial"/>
                <w:b/>
                <w:i w:val="0"/>
                <w:color w:val="000000"/>
                <w:sz w:val="18"/>
                <w:szCs w:val="18"/>
                <w:bdr w:val="nil"/>
                <w:lang w:val="en-US" w:eastAsia="en-US"/>
              </w:rPr>
              <w:t>Outcome 1:</w:t>
            </w:r>
          </w:p>
          <w:p w:rsidR="003D25EC" w:rsidRPr="003D25EC" w:rsidRDefault="00D5482E" w:rsidP="003D25EC">
            <w:pPr>
              <w:pStyle w:val="TableGraphic"/>
              <w:pBdr>
                <w:top w:val="nil"/>
                <w:left w:val="nil"/>
                <w:bottom w:val="nil"/>
                <w:right w:val="nil"/>
                <w:between w:val="nil"/>
                <w:bar w:val="nil"/>
              </w:pBdr>
              <w:spacing w:before="60" w:after="60"/>
              <w:jc w:val="left"/>
              <w:rPr>
                <w:rFonts w:ascii="Arial" w:hAnsi="Arial" w:cs="Arial"/>
                <w:b/>
                <w:i w:val="0"/>
                <w:color w:val="000000"/>
                <w:sz w:val="18"/>
                <w:szCs w:val="18"/>
                <w:bdr w:val="nil"/>
              </w:rPr>
            </w:pPr>
            <w:r w:rsidRPr="003D25EC">
              <w:rPr>
                <w:rFonts w:ascii="Arial" w:hAnsi="Arial" w:cs="Arial"/>
                <w:i w:val="0"/>
                <w:color w:val="000000"/>
                <w:sz w:val="18"/>
                <w:szCs w:val="18"/>
                <w:bdr w:val="nil"/>
                <w:lang w:val="en-US" w:eastAsia="en-US"/>
              </w:rPr>
              <w:t>Promote the delivery of quality supports and services to people with disability under the National Disability Insurance Scheme and other prescribed supports and services, including through nationally consistent and responsive regulation, policy development, advice and education.</w:t>
            </w:r>
          </w:p>
        </w:tc>
      </w:tr>
      <w:tr w:rsidR="00010972" w:rsidTr="006E3253">
        <w:tc>
          <w:tcPr>
            <w:tcW w:w="7513" w:type="dxa"/>
            <w:tcBorders>
              <w:left w:val="nil"/>
              <w:right w:val="nil"/>
            </w:tcBorders>
          </w:tcPr>
          <w:p w:rsidR="003F5648" w:rsidRDefault="003F5648" w:rsidP="000941FD">
            <w:pPr>
              <w:pStyle w:val="TableGraphic"/>
              <w:jc w:val="center"/>
              <w:rPr>
                <w:rFonts w:ascii="Arial" w:hAnsi="Arial" w:cs="Arial"/>
                <w:i w:val="0"/>
                <w:color w:val="000000"/>
                <w:sz w:val="4"/>
                <w:szCs w:val="4"/>
                <w:bdr w:val="nil"/>
              </w:rPr>
            </w:pPr>
          </w:p>
        </w:tc>
      </w:tr>
      <w:tr w:rsidR="00010972" w:rsidTr="006E3253">
        <w:tc>
          <w:tcPr>
            <w:tcW w:w="7513" w:type="dxa"/>
            <w:tcBorders>
              <w:bottom w:val="dotted" w:sz="4" w:space="0" w:color="auto"/>
            </w:tcBorders>
            <w:hideMark/>
          </w:tcPr>
          <w:p w:rsidR="003F5648" w:rsidRDefault="00D5482E" w:rsidP="000941FD">
            <w:pPr>
              <w:pStyle w:val="TableGraphic"/>
              <w:pBdr>
                <w:top w:val="nil"/>
                <w:left w:val="nil"/>
                <w:bottom w:val="nil"/>
                <w:right w:val="nil"/>
                <w:between w:val="nil"/>
                <w:bar w:val="nil"/>
              </w:pBdr>
              <w:spacing w:before="60" w:after="60"/>
              <w:jc w:val="center"/>
              <w:rPr>
                <w:rFonts w:ascii="Arial" w:hAnsi="Arial" w:cs="Arial"/>
                <w:b/>
                <w:i w:val="0"/>
                <w:color w:val="000000"/>
                <w:sz w:val="18"/>
                <w:szCs w:val="18"/>
                <w:bdr w:val="nil"/>
              </w:rPr>
            </w:pPr>
            <w:r>
              <w:rPr>
                <w:rFonts w:ascii="Arial" w:hAnsi="Arial" w:cs="Arial"/>
                <w:b/>
                <w:i w:val="0"/>
                <w:color w:val="000000"/>
                <w:sz w:val="18"/>
                <w:szCs w:val="18"/>
                <w:bdr w:val="nil"/>
                <w:lang w:val="en-US" w:eastAsia="en-US"/>
              </w:rPr>
              <w:t>Services Australia</w:t>
            </w:r>
          </w:p>
          <w:p w:rsidR="003F5648" w:rsidRDefault="00D5482E" w:rsidP="000941FD">
            <w:pPr>
              <w:pStyle w:val="TableGraphic"/>
              <w:pBdr>
                <w:top w:val="nil"/>
                <w:left w:val="nil"/>
                <w:bottom w:val="nil"/>
                <w:right w:val="nil"/>
                <w:between w:val="nil"/>
                <w:bar w:val="nil"/>
              </w:pBdr>
              <w:spacing w:before="60" w:after="60"/>
              <w:jc w:val="center"/>
              <w:rPr>
                <w:rFonts w:ascii="Arial" w:hAnsi="Arial" w:cs="Arial"/>
                <w:i w:val="0"/>
                <w:color w:val="000000"/>
                <w:sz w:val="18"/>
                <w:szCs w:val="18"/>
                <w:bdr w:val="nil"/>
              </w:rPr>
            </w:pPr>
            <w:r>
              <w:rPr>
                <w:rFonts w:ascii="Arial" w:hAnsi="Arial" w:cs="Arial"/>
                <w:i w:val="0"/>
                <w:color w:val="000000"/>
                <w:sz w:val="18"/>
                <w:szCs w:val="18"/>
                <w:bdr w:val="nil"/>
                <w:lang w:val="en-US" w:eastAsia="en-US"/>
              </w:rPr>
              <w:t>Chief Executive Officer: Ms Rebecca Skinner</w:t>
            </w:r>
          </w:p>
          <w:p w:rsidR="003F5648" w:rsidRDefault="00D5482E" w:rsidP="000941FD">
            <w:pPr>
              <w:pStyle w:val="TableGraphic"/>
              <w:pBdr>
                <w:top w:val="nil"/>
                <w:left w:val="nil"/>
                <w:bottom w:val="nil"/>
                <w:right w:val="nil"/>
                <w:between w:val="nil"/>
                <w:bar w:val="nil"/>
              </w:pBdr>
              <w:spacing w:before="60" w:after="60"/>
              <w:jc w:val="left"/>
              <w:rPr>
                <w:rFonts w:ascii="Arial" w:hAnsi="Arial" w:cs="Arial"/>
                <w:b/>
                <w:i w:val="0"/>
                <w:color w:val="000000"/>
                <w:sz w:val="18"/>
                <w:szCs w:val="18"/>
                <w:bdr w:val="nil"/>
              </w:rPr>
            </w:pPr>
            <w:r>
              <w:rPr>
                <w:rFonts w:ascii="Arial" w:hAnsi="Arial" w:cs="Arial"/>
                <w:b/>
                <w:i w:val="0"/>
                <w:color w:val="000000"/>
                <w:sz w:val="18"/>
                <w:szCs w:val="18"/>
                <w:bdr w:val="nil"/>
                <w:lang w:val="en-US" w:eastAsia="en-US"/>
              </w:rPr>
              <w:t>Outcome 1:</w:t>
            </w:r>
          </w:p>
          <w:p w:rsidR="003F5648" w:rsidRDefault="00D5482E" w:rsidP="000941FD">
            <w:pPr>
              <w:keepLines/>
              <w:pBdr>
                <w:top w:val="nil"/>
                <w:left w:val="nil"/>
                <w:bottom w:val="nil"/>
                <w:right w:val="nil"/>
                <w:between w:val="nil"/>
                <w:bar w:val="nil"/>
              </w:pBdr>
              <w:spacing w:before="60"/>
              <w:ind w:right="34"/>
              <w:jc w:val="both"/>
              <w:rPr>
                <w:rFonts w:ascii="Arial" w:eastAsia="Times New Roman" w:hAnsi="Arial" w:cs="Arial"/>
                <w:b/>
                <w:i/>
                <w:color w:val="000000"/>
                <w:sz w:val="18"/>
                <w:szCs w:val="18"/>
                <w:bdr w:val="nil"/>
              </w:rPr>
            </w:pPr>
            <w:r>
              <w:rPr>
                <w:rFonts w:ascii="Arial" w:eastAsia="Times New Roman" w:hAnsi="Arial" w:cs="Arial"/>
                <w:color w:val="000000"/>
                <w:sz w:val="18"/>
                <w:szCs w:val="18"/>
                <w:bdr w:val="nil"/>
                <w:lang w:val="en-US" w:eastAsia="en-US"/>
              </w:rPr>
              <w:t>Support individuals, families and communities to achieve greater self-sufficiency; through the delivery of advice and high quality accessible social, health and child support services and other payments; and support providers and businesses through convenient and efficient service delivery.</w:t>
            </w:r>
          </w:p>
        </w:tc>
      </w:tr>
      <w:tr w:rsidR="00010972" w:rsidTr="006E3253">
        <w:tc>
          <w:tcPr>
            <w:tcW w:w="7513" w:type="dxa"/>
            <w:tcBorders>
              <w:left w:val="nil"/>
              <w:right w:val="nil"/>
            </w:tcBorders>
          </w:tcPr>
          <w:p w:rsidR="003F5648" w:rsidRDefault="003F5648" w:rsidP="000941FD">
            <w:pPr>
              <w:pStyle w:val="TableGraphic"/>
              <w:jc w:val="center"/>
              <w:rPr>
                <w:rFonts w:ascii="Arial" w:hAnsi="Arial" w:cs="Arial"/>
                <w:i w:val="0"/>
                <w:color w:val="000000"/>
                <w:sz w:val="4"/>
                <w:szCs w:val="4"/>
                <w:bdr w:val="nil"/>
              </w:rPr>
            </w:pPr>
          </w:p>
        </w:tc>
      </w:tr>
      <w:tr w:rsidR="00010972" w:rsidTr="006E3253">
        <w:tc>
          <w:tcPr>
            <w:tcW w:w="7513" w:type="dxa"/>
          </w:tcPr>
          <w:p w:rsidR="003F5648" w:rsidRDefault="00D5482E" w:rsidP="000941FD">
            <w:pPr>
              <w:pStyle w:val="TableGraphic"/>
              <w:pBdr>
                <w:top w:val="nil"/>
                <w:left w:val="nil"/>
                <w:bottom w:val="nil"/>
                <w:right w:val="nil"/>
                <w:between w:val="nil"/>
                <w:bar w:val="nil"/>
              </w:pBdr>
              <w:spacing w:before="60" w:after="60"/>
              <w:jc w:val="center"/>
              <w:rPr>
                <w:rFonts w:ascii="Arial" w:hAnsi="Arial" w:cs="Arial"/>
                <w:b/>
                <w:i w:val="0"/>
                <w:color w:val="000000"/>
                <w:sz w:val="18"/>
                <w:szCs w:val="18"/>
                <w:bdr w:val="nil"/>
              </w:rPr>
            </w:pPr>
            <w:r>
              <w:rPr>
                <w:rFonts w:ascii="Arial" w:hAnsi="Arial" w:cs="Arial"/>
                <w:b/>
                <w:i w:val="0"/>
                <w:color w:val="000000"/>
                <w:sz w:val="18"/>
                <w:szCs w:val="18"/>
                <w:bdr w:val="nil"/>
                <w:lang w:val="en-US" w:eastAsia="en-US"/>
              </w:rPr>
              <w:t>Hearing Australia</w:t>
            </w:r>
          </w:p>
          <w:p w:rsidR="003F5648" w:rsidRDefault="00D5482E" w:rsidP="000941FD">
            <w:pPr>
              <w:pStyle w:val="TableGraphic"/>
              <w:pBdr>
                <w:top w:val="nil"/>
                <w:left w:val="nil"/>
                <w:bottom w:val="nil"/>
                <w:right w:val="nil"/>
                <w:between w:val="nil"/>
                <w:bar w:val="nil"/>
              </w:pBdr>
              <w:spacing w:before="60" w:after="60"/>
              <w:jc w:val="center"/>
              <w:rPr>
                <w:rFonts w:ascii="Arial" w:hAnsi="Arial" w:cs="Arial"/>
                <w:i w:val="0"/>
                <w:color w:val="000000"/>
                <w:sz w:val="18"/>
                <w:szCs w:val="18"/>
                <w:bdr w:val="nil"/>
              </w:rPr>
            </w:pPr>
            <w:r>
              <w:rPr>
                <w:rFonts w:ascii="Arial" w:hAnsi="Arial" w:cs="Arial"/>
                <w:i w:val="0"/>
                <w:color w:val="000000"/>
                <w:sz w:val="18"/>
                <w:szCs w:val="18"/>
                <w:bdr w:val="nil"/>
                <w:lang w:val="en-US" w:eastAsia="en-US"/>
              </w:rPr>
              <w:t>Managing Director: Mr Kim Terrell</w:t>
            </w:r>
          </w:p>
          <w:p w:rsidR="003F5648" w:rsidRDefault="003F5648" w:rsidP="000941FD">
            <w:pPr>
              <w:pStyle w:val="TableGraphic"/>
              <w:spacing w:before="60" w:after="60"/>
              <w:jc w:val="center"/>
              <w:rPr>
                <w:rFonts w:ascii="Arial" w:hAnsi="Arial" w:cs="Arial"/>
                <w:b/>
                <w:i w:val="0"/>
                <w:color w:val="000000"/>
                <w:sz w:val="18"/>
                <w:szCs w:val="18"/>
                <w:bdr w:val="nil"/>
              </w:rPr>
            </w:pPr>
          </w:p>
        </w:tc>
      </w:tr>
    </w:tbl>
    <w:p w:rsidR="007428E5" w:rsidRPr="003F5648" w:rsidRDefault="007428E5" w:rsidP="003F5648">
      <w:pPr>
        <w:pStyle w:val="TableGraphic"/>
        <w:pBdr>
          <w:top w:val="nil"/>
          <w:left w:val="nil"/>
          <w:bottom w:val="nil"/>
          <w:right w:val="nil"/>
          <w:between w:val="nil"/>
          <w:bar w:val="nil"/>
        </w:pBdr>
        <w:rPr>
          <w:bdr w:val="nil"/>
        </w:rPr>
      </w:pPr>
    </w:p>
    <w:p w:rsidR="007428E5" w:rsidRPr="00402773" w:rsidRDefault="007428E5" w:rsidP="00F34424">
      <w:pPr>
        <w:pBdr>
          <w:top w:val="nil"/>
          <w:left w:val="nil"/>
          <w:bottom w:val="nil"/>
          <w:right w:val="nil"/>
          <w:between w:val="nil"/>
          <w:bar w:val="nil"/>
        </w:pBdr>
        <w:spacing w:after="0" w:line="240" w:lineRule="auto"/>
        <w:ind w:right="198"/>
        <w:contextualSpacing/>
        <w:jc w:val="both"/>
        <w:rPr>
          <w:rFonts w:ascii="Arial" w:eastAsia="Times New Roman" w:hAnsi="Arial" w:cs="Arial"/>
          <w:spacing w:val="5"/>
          <w:sz w:val="2"/>
          <w:szCs w:val="16"/>
          <w:bdr w:val="nil"/>
          <w:lang w:val="en-AU" w:eastAsia="en-AU"/>
        </w:rPr>
        <w:sectPr w:rsidR="007428E5" w:rsidRPr="00402773" w:rsidSect="001C56C9">
          <w:headerReference w:type="even" r:id="rId72"/>
          <w:headerReference w:type="default" r:id="rId73"/>
          <w:footerReference w:type="even" r:id="rId74"/>
          <w:footerReference w:type="default" r:id="rId75"/>
          <w:headerReference w:type="first" r:id="rId76"/>
          <w:footerReference w:type="first" r:id="rId77"/>
          <w:type w:val="continuous"/>
          <w:pgSz w:w="11906" w:h="16838"/>
          <w:pgMar w:top="2466" w:right="2098" w:bottom="2466" w:left="2098" w:header="1899" w:footer="1899" w:gutter="0"/>
          <w:pgBorders>
            <w:top w:val="nil"/>
            <w:left w:val="nil"/>
            <w:bottom w:val="nil"/>
            <w:right w:val="nil"/>
          </w:pgBorders>
          <w:cols w:space="720"/>
          <w:docGrid w:linePitch="360"/>
        </w:sectPr>
      </w:pPr>
    </w:p>
    <w:p w:rsidR="00ED6C65" w:rsidRPr="00D20B97" w:rsidRDefault="00D5482E" w:rsidP="00D20B97">
      <w:pPr>
        <w:pStyle w:val="ContentsHeading"/>
        <w:pageBreakBefore/>
        <w:pBdr>
          <w:top w:val="nil"/>
          <w:left w:val="nil"/>
          <w:bottom w:val="nil"/>
          <w:right w:val="nil"/>
          <w:between w:val="nil"/>
          <w:bar w:val="nil"/>
        </w:pBdr>
        <w:spacing w:after="240"/>
        <w:rPr>
          <w:bdr w:val="nil"/>
        </w:rPr>
      </w:pPr>
      <w:r w:rsidRPr="00D20B97">
        <w:rPr>
          <w:bdr w:val="nil"/>
        </w:rPr>
        <w:lastRenderedPageBreak/>
        <w:t>Social Services</w:t>
      </w:r>
      <w:r w:rsidRPr="00D20B97">
        <w:rPr>
          <w:bdr w:val="nil"/>
        </w:rPr>
        <w:br/>
      </w:r>
      <w:r w:rsidR="00D20B97">
        <w:rPr>
          <w:bdr w:val="nil"/>
        </w:rPr>
        <w:t>A</w:t>
      </w:r>
      <w:r w:rsidRPr="00D20B97">
        <w:rPr>
          <w:bdr w:val="nil"/>
        </w:rPr>
        <w:t xml:space="preserve">dditional </w:t>
      </w:r>
      <w:r w:rsidR="00D20B97">
        <w:rPr>
          <w:bdr w:val="nil"/>
        </w:rPr>
        <w:t>E</w:t>
      </w:r>
      <w:r w:rsidRPr="00D20B97">
        <w:rPr>
          <w:bdr w:val="nil"/>
        </w:rPr>
        <w:t xml:space="preserve">stimates </w:t>
      </w:r>
      <w:r w:rsidR="00D20B97">
        <w:rPr>
          <w:bdr w:val="nil"/>
        </w:rPr>
        <w:t>S</w:t>
      </w:r>
      <w:r w:rsidRPr="00D20B97">
        <w:rPr>
          <w:bdr w:val="nil"/>
        </w:rPr>
        <w:t>tatements</w:t>
      </w:r>
    </w:p>
    <w:p w:rsidR="009C51D1" w:rsidRPr="009C51D1" w:rsidRDefault="009C51D1" w:rsidP="003B31D0">
      <w:pPr>
        <w:pStyle w:val="TOC2"/>
        <w:pBdr>
          <w:top w:val="nil"/>
          <w:left w:val="nil"/>
          <w:bottom w:val="nil"/>
          <w:right w:val="nil"/>
          <w:between w:val="nil"/>
          <w:bar w:val="nil"/>
        </w:pBdr>
        <w:spacing w:before="240"/>
        <w:rPr>
          <w:rFonts w:ascii="Book Antiqua" w:hAnsi="Book Antiqua"/>
          <w:b/>
          <w:bdr w:val="nil"/>
        </w:rPr>
      </w:pPr>
    </w:p>
    <w:p w:rsidR="00AF02F3" w:rsidRDefault="00D5482E" w:rsidP="003B31D0">
      <w:pPr>
        <w:pStyle w:val="TOC2"/>
        <w:pBdr>
          <w:top w:val="nil"/>
          <w:left w:val="nil"/>
          <w:bottom w:val="nil"/>
          <w:right w:val="nil"/>
          <w:between w:val="nil"/>
          <w:bar w:val="nil"/>
        </w:pBdr>
        <w:spacing w:before="240"/>
        <w:rPr>
          <w:b/>
          <w:bdr w:val="nil"/>
        </w:rPr>
      </w:pPr>
      <w:r>
        <w:rPr>
          <w:b/>
          <w:bdr w:val="nil"/>
        </w:rPr>
        <w:t>Department of Social Services</w:t>
      </w:r>
      <w:r>
        <w:rPr>
          <w:b/>
          <w:bdr w:val="nil"/>
        </w:rPr>
        <w:tab/>
      </w:r>
      <w:r w:rsidRPr="005C1D11">
        <w:rPr>
          <w:b/>
          <w:bdr w:val="nil"/>
        </w:rPr>
        <w:t>11</w:t>
      </w:r>
    </w:p>
    <w:p w:rsidR="003B31D0" w:rsidRPr="00AF02F3" w:rsidRDefault="00D5482E" w:rsidP="003B31D0">
      <w:pPr>
        <w:pStyle w:val="TOC2"/>
        <w:pBdr>
          <w:top w:val="nil"/>
          <w:left w:val="nil"/>
          <w:bottom w:val="nil"/>
          <w:right w:val="nil"/>
          <w:between w:val="nil"/>
          <w:bar w:val="nil"/>
        </w:pBdr>
        <w:spacing w:before="240"/>
        <w:rPr>
          <w:b/>
          <w:bdr w:val="nil"/>
        </w:rPr>
      </w:pPr>
      <w:r>
        <w:rPr>
          <w:b/>
          <w:bdr w:val="nil"/>
        </w:rPr>
        <w:t>Services Australia</w:t>
      </w:r>
      <w:r>
        <w:rPr>
          <w:b/>
          <w:bdr w:val="nil"/>
        </w:rPr>
        <w:tab/>
      </w:r>
      <w:r w:rsidRPr="00333188">
        <w:rPr>
          <w:b/>
          <w:bdr w:val="nil"/>
        </w:rPr>
        <w:t>101</w:t>
      </w:r>
    </w:p>
    <w:p w:rsidR="003B31D0" w:rsidRPr="003B31D0" w:rsidRDefault="003B31D0" w:rsidP="003B31D0">
      <w:pPr>
        <w:pBdr>
          <w:top w:val="nil"/>
          <w:left w:val="nil"/>
          <w:bottom w:val="nil"/>
          <w:right w:val="nil"/>
          <w:between w:val="nil"/>
          <w:bar w:val="nil"/>
        </w:pBdr>
        <w:rPr>
          <w:rFonts w:ascii="Calibri" w:eastAsia="Calibri" w:hAnsi="Calibri" w:cs="Arial"/>
          <w:vanish/>
          <w:bdr w:val="nil"/>
          <w:lang w:val="en-AU" w:eastAsia="en-AU"/>
        </w:rPr>
        <w:sectPr w:rsidR="003B31D0" w:rsidRPr="003B31D0" w:rsidSect="001C56C9">
          <w:headerReference w:type="even" r:id="rId78"/>
          <w:headerReference w:type="default" r:id="rId79"/>
          <w:footerReference w:type="even" r:id="rId80"/>
          <w:footerReference w:type="default" r:id="rId81"/>
          <w:headerReference w:type="first" r:id="rId82"/>
          <w:footerReference w:type="first" r:id="rId83"/>
          <w:type w:val="continuous"/>
          <w:pgSz w:w="11906" w:h="16838"/>
          <w:pgMar w:top="2466" w:right="2098" w:bottom="2466" w:left="2098" w:header="1899" w:footer="1899" w:gutter="0"/>
          <w:pgBorders>
            <w:top w:val="nil"/>
            <w:left w:val="nil"/>
            <w:bottom w:val="nil"/>
            <w:right w:val="nil"/>
          </w:pgBorders>
          <w:cols w:space="720"/>
          <w:docGrid w:linePitch="360"/>
        </w:sectPr>
      </w:pPr>
    </w:p>
    <w:p w:rsidR="00DE34D5" w:rsidRDefault="00D5482E">
      <w:pPr>
        <w:pageBreakBefore/>
        <w:pBdr>
          <w:top w:val="nil"/>
          <w:left w:val="nil"/>
          <w:bottom w:val="nil"/>
          <w:right w:val="nil"/>
          <w:between w:val="nil"/>
          <w:bar w:val="nil"/>
        </w:pBdr>
        <w:rPr>
          <w:rFonts w:ascii="Calibri" w:eastAsia="Calibri" w:hAnsi="Calibri" w:cs="Arial"/>
          <w:color w:val="FFFFFF"/>
          <w:bdr w:val="nil"/>
        </w:rPr>
      </w:pPr>
      <w:r w:rsidRPr="00B40078">
        <w:rPr>
          <w:rFonts w:ascii="Calibri" w:eastAsia="Calibri" w:hAnsi="Calibri" w:cs="Arial"/>
          <w:color w:val="FFFFFF"/>
          <w:bdr w:val="nil"/>
        </w:rPr>
        <w:lastRenderedPageBreak/>
        <w:t>This page is intentionally blank</w:t>
      </w:r>
    </w:p>
    <w:p w:rsidR="00B40078" w:rsidRPr="00B40078" w:rsidRDefault="00B40078">
      <w:pPr>
        <w:pBdr>
          <w:top w:val="nil"/>
          <w:left w:val="nil"/>
          <w:bottom w:val="nil"/>
          <w:right w:val="nil"/>
          <w:between w:val="nil"/>
          <w:bar w:val="nil"/>
        </w:pBdr>
        <w:rPr>
          <w:rFonts w:ascii="Calibri" w:eastAsia="Calibri" w:hAnsi="Calibri" w:cs="Arial"/>
          <w:color w:val="FFFFFF"/>
          <w:bdr w:val="nil"/>
        </w:rPr>
        <w:sectPr w:rsidR="00B40078" w:rsidRPr="00B40078" w:rsidSect="00D86095">
          <w:headerReference w:type="even" r:id="rId84"/>
          <w:headerReference w:type="default" r:id="rId85"/>
          <w:footerReference w:type="even" r:id="rId86"/>
          <w:footerReference w:type="default" r:id="rId87"/>
          <w:headerReference w:type="first" r:id="rId88"/>
          <w:footerReference w:type="first" r:id="rId89"/>
          <w:type w:val="continuous"/>
          <w:pgSz w:w="11906" w:h="16838"/>
          <w:pgMar w:top="2466" w:right="2098" w:bottom="2466" w:left="2098" w:header="1899" w:footer="1899" w:gutter="0"/>
          <w:pgBorders>
            <w:top w:val="nil"/>
            <w:left w:val="nil"/>
            <w:bottom w:val="nil"/>
            <w:right w:val="nil"/>
          </w:pgBorders>
          <w:cols w:space="720"/>
          <w:docGrid w:linePitch="360"/>
        </w:sectPr>
      </w:pPr>
    </w:p>
    <w:p w:rsidR="00BF76CA" w:rsidRDefault="00BF76CA" w:rsidP="001B7E06">
      <w:pPr>
        <w:pStyle w:val="PartHeading"/>
        <w:pageBreakBefore/>
        <w:pBdr>
          <w:top w:val="nil"/>
          <w:left w:val="nil"/>
          <w:bottom w:val="nil"/>
          <w:right w:val="nil"/>
          <w:between w:val="nil"/>
          <w:bar w:val="nil"/>
        </w:pBdr>
        <w:rPr>
          <w:color w:val="000000"/>
          <w:sz w:val="48"/>
          <w:szCs w:val="48"/>
          <w:bdr w:val="nil"/>
        </w:rPr>
      </w:pPr>
    </w:p>
    <w:p w:rsidR="00BF76CA" w:rsidRDefault="00BF76CA" w:rsidP="001B7E06">
      <w:pPr>
        <w:pStyle w:val="PartHeading"/>
        <w:pBdr>
          <w:top w:val="nil"/>
          <w:left w:val="nil"/>
          <w:bottom w:val="nil"/>
          <w:right w:val="nil"/>
          <w:between w:val="nil"/>
          <w:bar w:val="nil"/>
        </w:pBdr>
        <w:rPr>
          <w:color w:val="000000"/>
          <w:sz w:val="48"/>
          <w:szCs w:val="48"/>
          <w:bdr w:val="nil"/>
        </w:rPr>
      </w:pPr>
    </w:p>
    <w:p w:rsidR="00BF76CA" w:rsidRDefault="00BF76CA" w:rsidP="001B7E06">
      <w:pPr>
        <w:pStyle w:val="PartHeading"/>
        <w:pBdr>
          <w:top w:val="nil"/>
          <w:left w:val="nil"/>
          <w:bottom w:val="nil"/>
          <w:right w:val="nil"/>
          <w:between w:val="nil"/>
          <w:bar w:val="nil"/>
        </w:pBdr>
        <w:rPr>
          <w:color w:val="000000"/>
          <w:sz w:val="48"/>
          <w:szCs w:val="48"/>
          <w:bdr w:val="nil"/>
        </w:rPr>
      </w:pPr>
    </w:p>
    <w:p w:rsidR="00E62D1E" w:rsidRDefault="00E62D1E" w:rsidP="001B7E06">
      <w:pPr>
        <w:pStyle w:val="PartHeading"/>
        <w:pBdr>
          <w:top w:val="nil"/>
          <w:left w:val="nil"/>
          <w:bottom w:val="nil"/>
          <w:right w:val="nil"/>
          <w:between w:val="nil"/>
          <w:bar w:val="nil"/>
        </w:pBdr>
        <w:rPr>
          <w:color w:val="000000"/>
          <w:sz w:val="48"/>
          <w:szCs w:val="48"/>
          <w:bdr w:val="nil"/>
        </w:rPr>
      </w:pPr>
    </w:p>
    <w:p w:rsidR="003202B0" w:rsidRPr="00765388" w:rsidRDefault="00D5482E" w:rsidP="001B7E06">
      <w:pPr>
        <w:pStyle w:val="PartHeading"/>
        <w:pBdr>
          <w:top w:val="nil"/>
          <w:left w:val="nil"/>
          <w:bottom w:val="nil"/>
          <w:right w:val="nil"/>
          <w:between w:val="nil"/>
          <w:bar w:val="nil"/>
        </w:pBdr>
        <w:rPr>
          <w:color w:val="000000"/>
          <w:sz w:val="50"/>
          <w:szCs w:val="48"/>
          <w:bdr w:val="nil"/>
        </w:rPr>
      </w:pPr>
      <w:r w:rsidRPr="00765388">
        <w:rPr>
          <w:color w:val="000000"/>
          <w:sz w:val="50"/>
          <w:szCs w:val="48"/>
          <w:bdr w:val="nil"/>
        </w:rPr>
        <w:t xml:space="preserve">Department of </w:t>
      </w:r>
    </w:p>
    <w:p w:rsidR="001B7E06" w:rsidRPr="00765388" w:rsidRDefault="00D5482E" w:rsidP="001B7E06">
      <w:pPr>
        <w:pStyle w:val="PartHeading"/>
        <w:pBdr>
          <w:top w:val="nil"/>
          <w:left w:val="nil"/>
          <w:bottom w:val="nil"/>
          <w:right w:val="nil"/>
          <w:between w:val="nil"/>
          <w:bar w:val="nil"/>
        </w:pBdr>
        <w:rPr>
          <w:color w:val="000000"/>
          <w:sz w:val="50"/>
          <w:szCs w:val="48"/>
          <w:bdr w:val="nil"/>
        </w:rPr>
      </w:pPr>
      <w:r w:rsidRPr="00765388">
        <w:rPr>
          <w:color w:val="000000"/>
          <w:sz w:val="50"/>
          <w:szCs w:val="48"/>
          <w:bdr w:val="nil"/>
        </w:rPr>
        <w:t>Social Services</w:t>
      </w:r>
    </w:p>
    <w:p w:rsidR="001B7E06" w:rsidRPr="00661573" w:rsidRDefault="001B7E06" w:rsidP="001B7E06">
      <w:pPr>
        <w:pStyle w:val="PartHeading"/>
        <w:pBdr>
          <w:top w:val="nil"/>
          <w:left w:val="nil"/>
          <w:bottom w:val="nil"/>
          <w:right w:val="nil"/>
          <w:between w:val="nil"/>
          <w:bar w:val="nil"/>
        </w:pBdr>
        <w:rPr>
          <w:color w:val="000000"/>
          <w:sz w:val="48"/>
          <w:szCs w:val="48"/>
          <w:bdr w:val="nil"/>
        </w:rPr>
      </w:pPr>
    </w:p>
    <w:p w:rsidR="00ED1058" w:rsidRPr="00661573" w:rsidRDefault="00D5482E" w:rsidP="001B7E06">
      <w:pPr>
        <w:pStyle w:val="PartHeading"/>
        <w:pBdr>
          <w:top w:val="nil"/>
          <w:left w:val="nil"/>
          <w:bottom w:val="nil"/>
          <w:right w:val="nil"/>
          <w:between w:val="nil"/>
          <w:bar w:val="nil"/>
        </w:pBdr>
        <w:rPr>
          <w:color w:val="000000"/>
          <w:sz w:val="48"/>
          <w:szCs w:val="48"/>
          <w:bdr w:val="nil"/>
        </w:rPr>
        <w:sectPr w:rsidR="00ED1058" w:rsidRPr="00661573" w:rsidSect="00BF76CA">
          <w:headerReference w:type="even" r:id="rId90"/>
          <w:headerReference w:type="default" r:id="rId91"/>
          <w:footerReference w:type="even" r:id="rId92"/>
          <w:footerReference w:type="default" r:id="rId93"/>
          <w:headerReference w:type="first" r:id="rId94"/>
          <w:footerReference w:type="first" r:id="rId95"/>
          <w:type w:val="continuous"/>
          <w:pgSz w:w="11906" w:h="16838"/>
          <w:pgMar w:top="2466" w:right="2098" w:bottom="2466" w:left="2098" w:header="1899" w:footer="1899" w:gutter="0"/>
          <w:pgBorders>
            <w:top w:val="nil"/>
            <w:left w:val="nil"/>
            <w:bottom w:val="nil"/>
            <w:right w:val="nil"/>
          </w:pgBorders>
          <w:cols w:space="720"/>
          <w:docGrid w:linePitch="360"/>
        </w:sectPr>
      </w:pPr>
      <w:r w:rsidRPr="00661573">
        <w:rPr>
          <w:color w:val="000000"/>
          <w:bdr w:val="nil"/>
        </w:rPr>
        <w:t>Entity additional estimates statements</w:t>
      </w:r>
    </w:p>
    <w:p w:rsidR="00767CF5" w:rsidRDefault="00D5482E" w:rsidP="00767CF5">
      <w:pPr>
        <w:pageBreakBefore/>
        <w:pBdr>
          <w:top w:val="nil"/>
          <w:left w:val="nil"/>
          <w:bottom w:val="nil"/>
          <w:right w:val="nil"/>
          <w:between w:val="nil"/>
          <w:bar w:val="nil"/>
        </w:pBdr>
        <w:rPr>
          <w:rFonts w:ascii="Calibri" w:eastAsia="Calibri" w:hAnsi="Calibri" w:cs="Arial"/>
          <w:color w:val="FFFFFF"/>
          <w:bdr w:val="nil"/>
        </w:rPr>
      </w:pPr>
      <w:r>
        <w:rPr>
          <w:rFonts w:ascii="Calibri" w:eastAsia="Calibri" w:hAnsi="Calibri" w:cs="Arial"/>
          <w:color w:val="FFFFFF"/>
          <w:bdr w:val="nil"/>
        </w:rPr>
        <w:lastRenderedPageBreak/>
        <w:t>This page is intentionally blank</w:t>
      </w:r>
    </w:p>
    <w:p w:rsidR="00DE34D5" w:rsidRDefault="00DE34D5">
      <w:pPr>
        <w:pBdr>
          <w:top w:val="nil"/>
          <w:left w:val="nil"/>
          <w:bottom w:val="nil"/>
          <w:right w:val="nil"/>
          <w:between w:val="nil"/>
          <w:bar w:val="nil"/>
        </w:pBdr>
        <w:rPr>
          <w:rFonts w:ascii="Calibri" w:eastAsia="Calibri" w:hAnsi="Calibri" w:cs="Arial"/>
          <w:bdr w:val="nil"/>
        </w:rPr>
      </w:pPr>
    </w:p>
    <w:p w:rsidR="004D0F5B" w:rsidRDefault="00D5482E" w:rsidP="00EE0B6A">
      <w:pPr>
        <w:pStyle w:val="ContentsHeading"/>
        <w:pageBreakBefore/>
        <w:pBdr>
          <w:top w:val="nil"/>
          <w:left w:val="nil"/>
          <w:bottom w:val="nil"/>
          <w:right w:val="nil"/>
          <w:between w:val="nil"/>
          <w:bar w:val="nil"/>
        </w:pBdr>
        <w:spacing w:after="240"/>
        <w:rPr>
          <w:bdr w:val="nil"/>
        </w:rPr>
      </w:pPr>
      <w:r>
        <w:rPr>
          <w:bdr w:val="nil"/>
        </w:rPr>
        <w:lastRenderedPageBreak/>
        <w:t>Department of Social Services</w:t>
      </w:r>
    </w:p>
    <w:p w:rsidR="004D0F5B" w:rsidRDefault="00D5482E" w:rsidP="004D0F5B">
      <w:pPr>
        <w:pStyle w:val="TOC1"/>
        <w:pBdr>
          <w:top w:val="nil"/>
          <w:left w:val="nil"/>
          <w:bottom w:val="nil"/>
          <w:right w:val="nil"/>
          <w:between w:val="nil"/>
          <w:bar w:val="nil"/>
        </w:pBdr>
        <w:rPr>
          <w:bdr w:val="nil"/>
        </w:rPr>
      </w:pPr>
      <w:r w:rsidRPr="004431D5">
        <w:rPr>
          <w:bdr w:val="nil"/>
        </w:rPr>
        <w:t>Section 1</w:t>
      </w:r>
      <w:r w:rsidRPr="004431D5">
        <w:rPr>
          <w:caps/>
          <w:bdr w:val="nil"/>
        </w:rPr>
        <w:t xml:space="preserve">: </w:t>
      </w:r>
      <w:r>
        <w:rPr>
          <w:bdr w:val="nil"/>
        </w:rPr>
        <w:t>E</w:t>
      </w:r>
      <w:r w:rsidRPr="004431D5">
        <w:rPr>
          <w:bdr w:val="nil"/>
        </w:rPr>
        <w:t>ntity overview and resources</w:t>
      </w:r>
      <w:r>
        <w:rPr>
          <w:bdr w:val="nil"/>
        </w:rPr>
        <w:tab/>
        <w:t xml:space="preserve"> </w:t>
      </w:r>
      <w:r w:rsidRPr="00B75654">
        <w:rPr>
          <w:bdr w:val="nil"/>
        </w:rPr>
        <w:t>15</w:t>
      </w:r>
    </w:p>
    <w:p w:rsidR="004D0F5B" w:rsidRDefault="00D5482E" w:rsidP="004D0F5B">
      <w:pPr>
        <w:pStyle w:val="TOC2"/>
        <w:pBdr>
          <w:top w:val="nil"/>
          <w:left w:val="nil"/>
          <w:bottom w:val="nil"/>
          <w:right w:val="nil"/>
          <w:between w:val="nil"/>
          <w:bar w:val="nil"/>
        </w:pBdr>
        <w:rPr>
          <w:bdr w:val="nil"/>
        </w:rPr>
      </w:pPr>
      <w:r>
        <w:rPr>
          <w:bdr w:val="nil"/>
        </w:rPr>
        <w:t>1.1    Strategic direction statement</w:t>
      </w:r>
      <w:r>
        <w:rPr>
          <w:bdr w:val="nil"/>
        </w:rPr>
        <w:tab/>
        <w:t xml:space="preserve"> </w:t>
      </w:r>
      <w:r w:rsidRPr="00B75654">
        <w:rPr>
          <w:bdr w:val="nil"/>
        </w:rPr>
        <w:t>15</w:t>
      </w:r>
    </w:p>
    <w:p w:rsidR="004D0F5B" w:rsidRDefault="00D5482E" w:rsidP="004D0F5B">
      <w:pPr>
        <w:pStyle w:val="TOC2"/>
        <w:pBdr>
          <w:top w:val="nil"/>
          <w:left w:val="nil"/>
          <w:bottom w:val="nil"/>
          <w:right w:val="nil"/>
          <w:between w:val="nil"/>
          <w:bar w:val="nil"/>
        </w:pBdr>
        <w:rPr>
          <w:bdr w:val="nil"/>
        </w:rPr>
      </w:pPr>
      <w:r>
        <w:rPr>
          <w:bdr w:val="nil"/>
        </w:rPr>
        <w:t>1.2    Entity resource statement</w:t>
      </w:r>
      <w:r>
        <w:rPr>
          <w:bdr w:val="nil"/>
        </w:rPr>
        <w:tab/>
        <w:t xml:space="preserve"> </w:t>
      </w:r>
      <w:r w:rsidRPr="00B75654">
        <w:rPr>
          <w:bdr w:val="nil"/>
        </w:rPr>
        <w:t>16</w:t>
      </w:r>
    </w:p>
    <w:p w:rsidR="004D0F5B" w:rsidRDefault="00D5482E" w:rsidP="004D0F5B">
      <w:pPr>
        <w:pStyle w:val="TOC2"/>
        <w:pBdr>
          <w:top w:val="nil"/>
          <w:left w:val="nil"/>
          <w:bottom w:val="nil"/>
          <w:right w:val="nil"/>
          <w:between w:val="nil"/>
          <w:bar w:val="nil"/>
        </w:pBdr>
        <w:rPr>
          <w:bdr w:val="nil"/>
        </w:rPr>
      </w:pPr>
      <w:r>
        <w:rPr>
          <w:bdr w:val="nil"/>
        </w:rPr>
        <w:t>1.3    Entity measures</w:t>
      </w:r>
      <w:r>
        <w:rPr>
          <w:bdr w:val="nil"/>
        </w:rPr>
        <w:tab/>
        <w:t xml:space="preserve"> 19</w:t>
      </w:r>
    </w:p>
    <w:p w:rsidR="004D0F5B" w:rsidRDefault="00D5482E" w:rsidP="004D0F5B">
      <w:pPr>
        <w:pStyle w:val="TOC2"/>
        <w:pBdr>
          <w:top w:val="nil"/>
          <w:left w:val="nil"/>
          <w:bottom w:val="nil"/>
          <w:right w:val="nil"/>
          <w:between w:val="nil"/>
          <w:bar w:val="nil"/>
        </w:pBdr>
        <w:rPr>
          <w:bdr w:val="nil"/>
        </w:rPr>
      </w:pPr>
      <w:r>
        <w:rPr>
          <w:bdr w:val="nil"/>
        </w:rPr>
        <w:t>1.4    Additional estimates, resourcing and variations to outcomes</w:t>
      </w:r>
      <w:r>
        <w:rPr>
          <w:bdr w:val="nil"/>
        </w:rPr>
        <w:tab/>
      </w:r>
      <w:r w:rsidRPr="00E23F56">
        <w:rPr>
          <w:bdr w:val="nil"/>
        </w:rPr>
        <w:t>20</w:t>
      </w:r>
    </w:p>
    <w:p w:rsidR="004D0F5B" w:rsidRDefault="00D5482E" w:rsidP="004D0F5B">
      <w:pPr>
        <w:pStyle w:val="TOC2"/>
        <w:pBdr>
          <w:top w:val="nil"/>
          <w:left w:val="nil"/>
          <w:bottom w:val="nil"/>
          <w:right w:val="nil"/>
          <w:between w:val="nil"/>
          <w:bar w:val="nil"/>
        </w:pBdr>
        <w:rPr>
          <w:bdr w:val="nil"/>
        </w:rPr>
      </w:pPr>
      <w:r>
        <w:rPr>
          <w:bdr w:val="nil"/>
        </w:rPr>
        <w:t>1.5    Breakdown of additional estimates by appropriation bill</w:t>
      </w:r>
      <w:r>
        <w:rPr>
          <w:bdr w:val="nil"/>
        </w:rPr>
        <w:tab/>
      </w:r>
      <w:r w:rsidRPr="00E23F56">
        <w:rPr>
          <w:bdr w:val="nil"/>
        </w:rPr>
        <w:t>24</w:t>
      </w:r>
    </w:p>
    <w:p w:rsidR="004D0F5B" w:rsidRDefault="00D5482E" w:rsidP="004D0F5B">
      <w:pPr>
        <w:pStyle w:val="TOC1"/>
        <w:pBdr>
          <w:top w:val="nil"/>
          <w:left w:val="nil"/>
          <w:bottom w:val="nil"/>
          <w:right w:val="nil"/>
          <w:between w:val="nil"/>
          <w:bar w:val="nil"/>
        </w:pBdr>
        <w:rPr>
          <w:bdr w:val="nil"/>
        </w:rPr>
      </w:pPr>
      <w:r w:rsidRPr="004431D5">
        <w:rPr>
          <w:bdr w:val="nil"/>
        </w:rPr>
        <w:t>Section 2</w:t>
      </w:r>
      <w:r w:rsidRPr="004431D5">
        <w:rPr>
          <w:caps/>
          <w:bdr w:val="nil"/>
        </w:rPr>
        <w:t xml:space="preserve">: </w:t>
      </w:r>
      <w:r>
        <w:rPr>
          <w:bdr w:val="nil"/>
        </w:rPr>
        <w:t>R</w:t>
      </w:r>
      <w:r w:rsidRPr="004431D5">
        <w:rPr>
          <w:bdr w:val="nil"/>
        </w:rPr>
        <w:t>evisions to outcomes and planned performance</w:t>
      </w:r>
      <w:r>
        <w:rPr>
          <w:bdr w:val="nil"/>
        </w:rPr>
        <w:tab/>
      </w:r>
      <w:r w:rsidRPr="00274EEE">
        <w:rPr>
          <w:bdr w:val="nil"/>
        </w:rPr>
        <w:t>25</w:t>
      </w:r>
    </w:p>
    <w:p w:rsidR="004D0F5B" w:rsidRDefault="00D5482E" w:rsidP="004D0F5B">
      <w:pPr>
        <w:pStyle w:val="TOC2"/>
        <w:pBdr>
          <w:top w:val="nil"/>
          <w:left w:val="nil"/>
          <w:bottom w:val="nil"/>
          <w:right w:val="nil"/>
          <w:between w:val="nil"/>
          <w:bar w:val="nil"/>
        </w:pBdr>
        <w:rPr>
          <w:bdr w:val="nil"/>
        </w:rPr>
      </w:pPr>
      <w:r>
        <w:rPr>
          <w:bdr w:val="nil"/>
        </w:rPr>
        <w:t>2.1    Budgeted expenses and performance for Outcome 1</w:t>
      </w:r>
      <w:r>
        <w:rPr>
          <w:bdr w:val="nil"/>
        </w:rPr>
        <w:tab/>
      </w:r>
      <w:r w:rsidRPr="00E23F56">
        <w:rPr>
          <w:bdr w:val="nil"/>
        </w:rPr>
        <w:t>25</w:t>
      </w:r>
    </w:p>
    <w:p w:rsidR="00395390" w:rsidRDefault="00D5482E" w:rsidP="00395390">
      <w:pPr>
        <w:pStyle w:val="TOC2"/>
        <w:pBdr>
          <w:top w:val="nil"/>
          <w:left w:val="nil"/>
          <w:bottom w:val="nil"/>
          <w:right w:val="nil"/>
          <w:between w:val="nil"/>
          <w:bar w:val="nil"/>
        </w:pBdr>
        <w:rPr>
          <w:bdr w:val="nil"/>
        </w:rPr>
      </w:pPr>
      <w:r>
        <w:rPr>
          <w:bdr w:val="nil"/>
        </w:rPr>
        <w:t>2.2    Budgeted expenses and performance for Outcome 2</w:t>
      </w:r>
      <w:r>
        <w:rPr>
          <w:bdr w:val="nil"/>
        </w:rPr>
        <w:tab/>
      </w:r>
      <w:r w:rsidRPr="00E23F56">
        <w:rPr>
          <w:bdr w:val="nil"/>
        </w:rPr>
        <w:t>54</w:t>
      </w:r>
    </w:p>
    <w:p w:rsidR="00395390" w:rsidRDefault="00D5482E" w:rsidP="00395390">
      <w:pPr>
        <w:pStyle w:val="TOC2"/>
        <w:pBdr>
          <w:top w:val="nil"/>
          <w:left w:val="nil"/>
          <w:bottom w:val="nil"/>
          <w:right w:val="nil"/>
          <w:between w:val="nil"/>
          <w:bar w:val="nil"/>
        </w:pBdr>
        <w:rPr>
          <w:bdr w:val="nil"/>
        </w:rPr>
      </w:pPr>
      <w:r>
        <w:rPr>
          <w:bdr w:val="nil"/>
        </w:rPr>
        <w:t>2.3    Budgeted expenses and performance for Outcome 3</w:t>
      </w:r>
      <w:r>
        <w:rPr>
          <w:bdr w:val="nil"/>
        </w:rPr>
        <w:tab/>
        <w:t>68</w:t>
      </w:r>
    </w:p>
    <w:p w:rsidR="00395390" w:rsidRDefault="00D5482E" w:rsidP="00395390">
      <w:pPr>
        <w:pStyle w:val="TOC2"/>
        <w:pBdr>
          <w:top w:val="nil"/>
          <w:left w:val="nil"/>
          <w:bottom w:val="nil"/>
          <w:right w:val="nil"/>
          <w:between w:val="nil"/>
          <w:bar w:val="nil"/>
        </w:pBdr>
        <w:rPr>
          <w:bdr w:val="nil"/>
        </w:rPr>
      </w:pPr>
      <w:r>
        <w:rPr>
          <w:bdr w:val="nil"/>
        </w:rPr>
        <w:t>2.4    Budgeted expenses and performance for Outcome 4</w:t>
      </w:r>
      <w:r>
        <w:rPr>
          <w:bdr w:val="nil"/>
        </w:rPr>
        <w:tab/>
        <w:t>80</w:t>
      </w:r>
    </w:p>
    <w:p w:rsidR="004D0F5B" w:rsidRDefault="00D5482E" w:rsidP="004D0F5B">
      <w:pPr>
        <w:pStyle w:val="TOC1"/>
        <w:pBdr>
          <w:top w:val="nil"/>
          <w:left w:val="nil"/>
          <w:bottom w:val="nil"/>
          <w:right w:val="nil"/>
          <w:between w:val="nil"/>
          <w:bar w:val="nil"/>
        </w:pBdr>
        <w:rPr>
          <w:bdr w:val="nil"/>
        </w:rPr>
      </w:pPr>
      <w:r w:rsidRPr="004431D5">
        <w:rPr>
          <w:bdr w:val="nil"/>
        </w:rPr>
        <w:t>S</w:t>
      </w:r>
      <w:r>
        <w:rPr>
          <w:bdr w:val="nil"/>
        </w:rPr>
        <w:t>ection</w:t>
      </w:r>
      <w:r w:rsidRPr="004431D5">
        <w:rPr>
          <w:bdr w:val="nil"/>
        </w:rPr>
        <w:t xml:space="preserve"> </w:t>
      </w:r>
      <w:r w:rsidRPr="004431D5">
        <w:rPr>
          <w:caps/>
          <w:bdr w:val="nil"/>
        </w:rPr>
        <w:t xml:space="preserve">3: </w:t>
      </w:r>
      <w:r>
        <w:rPr>
          <w:bdr w:val="nil"/>
        </w:rPr>
        <w:t>S</w:t>
      </w:r>
      <w:r w:rsidRPr="004431D5">
        <w:rPr>
          <w:bdr w:val="nil"/>
        </w:rPr>
        <w:t>pecial account flows and budgeted financial statements</w:t>
      </w:r>
      <w:r>
        <w:rPr>
          <w:bdr w:val="nil"/>
        </w:rPr>
        <w:tab/>
      </w:r>
      <w:r w:rsidRPr="004F6A3E">
        <w:rPr>
          <w:bdr w:val="nil"/>
        </w:rPr>
        <w:t>87</w:t>
      </w:r>
    </w:p>
    <w:p w:rsidR="004D0F5B" w:rsidRDefault="00D5482E" w:rsidP="004D0F5B">
      <w:pPr>
        <w:pStyle w:val="TOC2"/>
        <w:pBdr>
          <w:top w:val="nil"/>
          <w:left w:val="nil"/>
          <w:bottom w:val="nil"/>
          <w:right w:val="nil"/>
          <w:between w:val="nil"/>
          <w:bar w:val="nil"/>
        </w:pBdr>
        <w:rPr>
          <w:bdr w:val="nil"/>
        </w:rPr>
      </w:pPr>
      <w:r>
        <w:rPr>
          <w:bdr w:val="nil"/>
        </w:rPr>
        <w:t>3.1    Special account flows</w:t>
      </w:r>
      <w:r>
        <w:rPr>
          <w:bdr w:val="nil"/>
        </w:rPr>
        <w:tab/>
      </w:r>
      <w:r w:rsidRPr="004F6A3E">
        <w:rPr>
          <w:bdr w:val="nil"/>
        </w:rPr>
        <w:t>87</w:t>
      </w:r>
    </w:p>
    <w:p w:rsidR="004D0F5B" w:rsidRDefault="00D5482E" w:rsidP="004D0F5B">
      <w:pPr>
        <w:pStyle w:val="TOC2"/>
        <w:pBdr>
          <w:top w:val="nil"/>
          <w:left w:val="nil"/>
          <w:bottom w:val="nil"/>
          <w:right w:val="nil"/>
          <w:between w:val="nil"/>
          <w:bar w:val="nil"/>
        </w:pBdr>
        <w:rPr>
          <w:bdr w:val="nil"/>
        </w:rPr>
      </w:pPr>
      <w:r>
        <w:rPr>
          <w:bdr w:val="nil"/>
        </w:rPr>
        <w:t>3.2    Budgeted financial statements</w:t>
      </w:r>
      <w:r>
        <w:rPr>
          <w:bdr w:val="nil"/>
        </w:rPr>
        <w:tab/>
      </w:r>
      <w:r w:rsidRPr="004F6A3E">
        <w:rPr>
          <w:bdr w:val="nil"/>
        </w:rPr>
        <w:t>88</w:t>
      </w:r>
    </w:p>
    <w:p w:rsidR="00D86095" w:rsidRDefault="00D86095">
      <w:pPr>
        <w:pBdr>
          <w:top w:val="nil"/>
          <w:left w:val="nil"/>
          <w:bottom w:val="nil"/>
          <w:right w:val="nil"/>
          <w:between w:val="nil"/>
          <w:bar w:val="nil"/>
        </w:pBdr>
        <w:rPr>
          <w:rFonts w:ascii="Calibri" w:eastAsia="Calibri" w:hAnsi="Calibri" w:cs="Arial"/>
          <w:bdr w:val="nil"/>
        </w:rPr>
      </w:pPr>
    </w:p>
    <w:p w:rsidR="00746CF0" w:rsidRDefault="00746CF0">
      <w:pPr>
        <w:pBdr>
          <w:top w:val="nil"/>
          <w:left w:val="nil"/>
          <w:bottom w:val="nil"/>
          <w:right w:val="nil"/>
          <w:between w:val="nil"/>
          <w:bar w:val="nil"/>
        </w:pBdr>
        <w:rPr>
          <w:rFonts w:ascii="Calibri" w:eastAsia="Calibri" w:hAnsi="Calibri" w:cs="Arial"/>
          <w:bdr w:val="nil"/>
        </w:rPr>
        <w:sectPr w:rsidR="00746CF0" w:rsidSect="00363BAA">
          <w:headerReference w:type="even" r:id="rId96"/>
          <w:headerReference w:type="default" r:id="rId97"/>
          <w:footerReference w:type="even" r:id="rId98"/>
          <w:footerReference w:type="default" r:id="rId99"/>
          <w:headerReference w:type="first" r:id="rId100"/>
          <w:footerReference w:type="first" r:id="rId101"/>
          <w:type w:val="continuous"/>
          <w:pgSz w:w="11906" w:h="16838"/>
          <w:pgMar w:top="2466" w:right="2098" w:bottom="2466" w:left="2098" w:header="1899" w:footer="1899" w:gutter="0"/>
          <w:pgBorders>
            <w:top w:val="nil"/>
            <w:left w:val="nil"/>
            <w:bottom w:val="nil"/>
            <w:right w:val="nil"/>
          </w:pgBorders>
          <w:cols w:space="720"/>
          <w:docGrid w:linePitch="360"/>
        </w:sectPr>
      </w:pPr>
    </w:p>
    <w:p w:rsidR="00697814" w:rsidRDefault="00D5482E" w:rsidP="00697814">
      <w:pPr>
        <w:pageBreakBefore/>
        <w:pBdr>
          <w:top w:val="nil"/>
          <w:left w:val="nil"/>
          <w:bottom w:val="nil"/>
          <w:right w:val="nil"/>
          <w:between w:val="nil"/>
          <w:bar w:val="nil"/>
        </w:pBdr>
        <w:rPr>
          <w:rFonts w:ascii="Calibri" w:eastAsia="Calibri" w:hAnsi="Calibri" w:cs="Arial"/>
          <w:color w:val="FFFFFF"/>
          <w:bdr w:val="nil"/>
        </w:rPr>
      </w:pPr>
      <w:r>
        <w:rPr>
          <w:rFonts w:ascii="Calibri" w:eastAsia="Calibri" w:hAnsi="Calibri" w:cs="Arial"/>
          <w:color w:val="FFFFFF"/>
          <w:bdr w:val="nil"/>
        </w:rPr>
        <w:lastRenderedPageBreak/>
        <w:t>This page is intentionally blank</w:t>
      </w:r>
    </w:p>
    <w:p w:rsidR="00DE34D5" w:rsidRDefault="00DE34D5">
      <w:pPr>
        <w:pBdr>
          <w:top w:val="nil"/>
          <w:left w:val="nil"/>
          <w:bottom w:val="nil"/>
          <w:right w:val="nil"/>
          <w:between w:val="nil"/>
          <w:bar w:val="nil"/>
        </w:pBdr>
        <w:rPr>
          <w:rFonts w:ascii="Calibri" w:eastAsia="Calibri" w:hAnsi="Calibri" w:cs="Arial"/>
          <w:bdr w:val="nil"/>
        </w:rPr>
        <w:sectPr w:rsidR="00DE34D5" w:rsidSect="00D86095">
          <w:headerReference w:type="even" r:id="rId102"/>
          <w:headerReference w:type="default" r:id="rId103"/>
          <w:footerReference w:type="even" r:id="rId104"/>
          <w:footerReference w:type="default" r:id="rId105"/>
          <w:headerReference w:type="first" r:id="rId106"/>
          <w:footerReference w:type="first" r:id="rId107"/>
          <w:type w:val="continuous"/>
          <w:pgSz w:w="11906" w:h="16838"/>
          <w:pgMar w:top="2466" w:right="2098" w:bottom="2466" w:left="2098" w:header="1899" w:footer="1899" w:gutter="0"/>
          <w:pgBorders>
            <w:top w:val="nil"/>
            <w:left w:val="nil"/>
            <w:bottom w:val="nil"/>
            <w:right w:val="nil"/>
          </w:pgBorders>
          <w:cols w:space="720"/>
          <w:docGrid w:linePitch="360"/>
        </w:sectPr>
      </w:pPr>
    </w:p>
    <w:p w:rsidR="00A85152" w:rsidRDefault="00D5482E" w:rsidP="00FD0B8D">
      <w:pPr>
        <w:pStyle w:val="Heading1"/>
        <w:pageBreakBefore/>
        <w:pBdr>
          <w:top w:val="nil"/>
          <w:left w:val="nil"/>
          <w:bottom w:val="nil"/>
          <w:right w:val="nil"/>
          <w:between w:val="nil"/>
          <w:bar w:val="nil"/>
        </w:pBdr>
        <w:spacing w:after="360"/>
        <w:rPr>
          <w:bdr w:val="nil"/>
        </w:rPr>
      </w:pPr>
      <w:r>
        <w:rPr>
          <w:bdr w:val="nil"/>
        </w:rPr>
        <w:lastRenderedPageBreak/>
        <w:t>Department of Social Services</w:t>
      </w:r>
    </w:p>
    <w:p w:rsidR="00A85152" w:rsidRPr="00AB2CBA" w:rsidRDefault="00D5482E" w:rsidP="00EB7026">
      <w:pPr>
        <w:pStyle w:val="Heading2"/>
        <w:pBdr>
          <w:top w:val="nil"/>
          <w:left w:val="nil"/>
          <w:bottom w:val="nil"/>
          <w:right w:val="nil"/>
          <w:between w:val="nil"/>
          <w:bar w:val="nil"/>
        </w:pBdr>
        <w:rPr>
          <w:b/>
          <w:bdr w:val="nil"/>
        </w:rPr>
      </w:pPr>
      <w:r w:rsidRPr="00AB2CBA">
        <w:rPr>
          <w:b/>
          <w:bdr w:val="nil"/>
        </w:rPr>
        <w:t>Section 1</w:t>
      </w:r>
      <w:bookmarkStart w:id="6" w:name="_Toc449255758"/>
      <w:bookmarkStart w:id="7" w:name="_Toc446237031"/>
      <w:r w:rsidRPr="00AB2CBA">
        <w:rPr>
          <w:b/>
          <w:bdr w:val="nil"/>
        </w:rPr>
        <w:t>: Entity overview and resources</w:t>
      </w:r>
      <w:bookmarkEnd w:id="6"/>
      <w:bookmarkEnd w:id="7"/>
    </w:p>
    <w:p w:rsidR="00CB7666" w:rsidRDefault="00D5482E" w:rsidP="00FD0B8D">
      <w:pPr>
        <w:pStyle w:val="Heading3"/>
        <w:pBdr>
          <w:top w:val="nil"/>
          <w:left w:val="nil"/>
          <w:bottom w:val="nil"/>
          <w:right w:val="nil"/>
          <w:between w:val="nil"/>
          <w:bar w:val="nil"/>
        </w:pBdr>
        <w:spacing w:before="0" w:after="200"/>
        <w:jc w:val="both"/>
        <w:rPr>
          <w:bdr w:val="nil"/>
        </w:rPr>
      </w:pPr>
      <w:bookmarkStart w:id="8" w:name="_Toc210698428"/>
      <w:bookmarkStart w:id="9" w:name="_Toc210646449"/>
      <w:bookmarkStart w:id="10" w:name="_Toc210703209"/>
      <w:r>
        <w:rPr>
          <w:bdr w:val="nil"/>
        </w:rPr>
        <w:t>1.1</w:t>
      </w:r>
      <w:r>
        <w:rPr>
          <w:bdr w:val="nil"/>
        </w:rPr>
        <w:tab/>
        <w:t>Strategic direction</w:t>
      </w:r>
      <w:bookmarkEnd w:id="8"/>
      <w:bookmarkEnd w:id="9"/>
      <w:bookmarkEnd w:id="10"/>
      <w:r>
        <w:rPr>
          <w:bdr w:val="nil"/>
        </w:rPr>
        <w:t xml:space="preserve"> statement</w:t>
      </w:r>
    </w:p>
    <w:p w:rsidR="00562F4B" w:rsidRDefault="00D5482E" w:rsidP="00FD0B8D">
      <w:pPr>
        <w:pStyle w:val="Normal2"/>
        <w:pBdr>
          <w:top w:val="nil"/>
          <w:left w:val="nil"/>
          <w:bottom w:val="nil"/>
          <w:right w:val="nil"/>
          <w:between w:val="nil"/>
          <w:bar w:val="nil"/>
        </w:pBdr>
        <w:spacing w:after="200" w:line="240" w:lineRule="auto"/>
        <w:rPr>
          <w:bdr w:val="nil"/>
        </w:rPr>
      </w:pPr>
      <w:r>
        <w:rPr>
          <w:bdr w:val="nil"/>
        </w:rPr>
        <w:t xml:space="preserve">The following outlines key updates to policy priorities in the strategic direction statement since the publication of the 2020-21 Social Services Portfolio Budget Statements. For full details of the statement refer to pages 17-20 of the Portfolio Budget Statements 2020-21, Budget Related Paper No. 1.12, Social Services Portfolio. </w:t>
      </w:r>
    </w:p>
    <w:p w:rsidR="00562F4B" w:rsidRDefault="00D5482E" w:rsidP="00FD0B8D">
      <w:pPr>
        <w:pStyle w:val="Normal2"/>
        <w:pBdr>
          <w:top w:val="nil"/>
          <w:left w:val="nil"/>
          <w:bottom w:val="nil"/>
          <w:right w:val="nil"/>
          <w:between w:val="nil"/>
          <w:bar w:val="nil"/>
        </w:pBdr>
        <w:spacing w:after="200" w:line="240" w:lineRule="auto"/>
        <w:jc w:val="left"/>
        <w:rPr>
          <w:rFonts w:ascii="Arial" w:hAnsi="Arial" w:cs="Arial"/>
          <w:b/>
          <w:bdr w:val="nil"/>
        </w:rPr>
      </w:pPr>
      <w:r>
        <w:rPr>
          <w:rFonts w:ascii="Arial" w:hAnsi="Arial" w:cs="Arial"/>
          <w:b/>
          <w:bdr w:val="nil"/>
        </w:rPr>
        <w:t>Key updates to policy priorities since the 2020-21 Budget</w:t>
      </w:r>
    </w:p>
    <w:p w:rsidR="00A93DB0" w:rsidRPr="00A93DB0" w:rsidRDefault="00D5482E" w:rsidP="00FD0B8D">
      <w:pPr>
        <w:pStyle w:val="Normal2"/>
        <w:pBdr>
          <w:top w:val="nil"/>
          <w:left w:val="nil"/>
          <w:bottom w:val="nil"/>
          <w:right w:val="nil"/>
          <w:between w:val="nil"/>
          <w:bar w:val="nil"/>
        </w:pBdr>
        <w:spacing w:after="200" w:line="240" w:lineRule="auto"/>
        <w:rPr>
          <w:bdr w:val="nil"/>
        </w:rPr>
      </w:pPr>
      <w:r w:rsidRPr="00BA53D0">
        <w:rPr>
          <w:bdr w:val="nil"/>
        </w:rPr>
        <w:t xml:space="preserve">The </w:t>
      </w:r>
      <w:r>
        <w:rPr>
          <w:bdr w:val="nil"/>
        </w:rPr>
        <w:t>Department of Social Services</w:t>
      </w:r>
      <w:r w:rsidR="00895246">
        <w:rPr>
          <w:bdr w:val="nil"/>
        </w:rPr>
        <w:t xml:space="preserve"> (DSS)</w:t>
      </w:r>
      <w:r w:rsidRPr="00BA53D0">
        <w:rPr>
          <w:bdr w:val="nil"/>
        </w:rPr>
        <w:t xml:space="preserve"> continues to work with the Australian Government to support Australians to get ahead and build a better life for themselves and their families, while supporting economic recovery and financial independence during the </w:t>
      </w:r>
      <w:r>
        <w:rPr>
          <w:bdr w:val="nil"/>
        </w:rPr>
        <w:t>COVID-19 pandemic</w:t>
      </w:r>
      <w:r w:rsidRPr="00A93DB0">
        <w:rPr>
          <w:bdr w:val="nil"/>
        </w:rPr>
        <w:t xml:space="preserve">. </w:t>
      </w:r>
    </w:p>
    <w:p w:rsidR="00BA53D0" w:rsidRPr="00BA53D0" w:rsidRDefault="00D5482E" w:rsidP="00FD0B8D">
      <w:pPr>
        <w:pStyle w:val="Normal2"/>
        <w:pBdr>
          <w:top w:val="nil"/>
          <w:left w:val="nil"/>
          <w:bottom w:val="nil"/>
          <w:right w:val="nil"/>
          <w:between w:val="nil"/>
          <w:bar w:val="nil"/>
        </w:pBdr>
        <w:spacing w:after="200" w:line="240" w:lineRule="auto"/>
        <w:rPr>
          <w:bdr w:val="nil"/>
        </w:rPr>
      </w:pPr>
      <w:r w:rsidRPr="00BA53D0">
        <w:rPr>
          <w:bdr w:val="nil"/>
        </w:rPr>
        <w:t xml:space="preserve">The Government will provide $3.2 billion over five years from 2020-21 to temporarily extend the Coronavirus Supplement and current eligibility exemptions for income support payments for new and existing recipients as a result of the COVID-19 pandemic. </w:t>
      </w:r>
      <w:r>
        <w:rPr>
          <w:bdr w:val="nil"/>
        </w:rPr>
        <w:t>This will continue to provide elevated levels of income support.</w:t>
      </w:r>
    </w:p>
    <w:p w:rsidR="00BA53D0" w:rsidRPr="00BA53D0" w:rsidRDefault="00D5482E" w:rsidP="00FD0B8D">
      <w:pPr>
        <w:pStyle w:val="Normal2"/>
        <w:pBdr>
          <w:top w:val="nil"/>
          <w:left w:val="nil"/>
          <w:bottom w:val="nil"/>
          <w:right w:val="nil"/>
          <w:between w:val="nil"/>
          <w:bar w:val="nil"/>
        </w:pBdr>
        <w:spacing w:after="200" w:line="240" w:lineRule="auto"/>
        <w:rPr>
          <w:bdr w:val="nil"/>
        </w:rPr>
      </w:pPr>
      <w:r w:rsidRPr="00BA53D0">
        <w:rPr>
          <w:bdr w:val="nil"/>
        </w:rPr>
        <w:t>From 1 January 2021, existing and new working age payment recipients will be paid a $150 Coronavirus Supplement on top of their base rate of payment until 31</w:t>
      </w:r>
      <w:r>
        <w:rPr>
          <w:bdr w:val="nil"/>
        </w:rPr>
        <w:t> </w:t>
      </w:r>
      <w:r w:rsidRPr="00BA53D0">
        <w:rPr>
          <w:bdr w:val="nil"/>
        </w:rPr>
        <w:t>March</w:t>
      </w:r>
      <w:r>
        <w:rPr>
          <w:bdr w:val="nil"/>
        </w:rPr>
        <w:t> </w:t>
      </w:r>
      <w:r w:rsidRPr="00BA53D0">
        <w:rPr>
          <w:bdr w:val="nil"/>
        </w:rPr>
        <w:t>2021. Job seekers will continue to benefit from an extension of the boosted income free area allowing them to earn up to $300 per fortnight before their social security payments are reduced.</w:t>
      </w:r>
    </w:p>
    <w:p w:rsidR="00BA53D0" w:rsidRPr="00BA53D0" w:rsidRDefault="00D5482E" w:rsidP="00FD0B8D">
      <w:pPr>
        <w:pStyle w:val="Normal2"/>
        <w:pBdr>
          <w:top w:val="nil"/>
          <w:left w:val="nil"/>
          <w:bottom w:val="nil"/>
          <w:right w:val="nil"/>
          <w:between w:val="nil"/>
          <w:bar w:val="nil"/>
        </w:pBdr>
        <w:spacing w:after="200" w:line="240" w:lineRule="auto"/>
        <w:rPr>
          <w:bdr w:val="nil"/>
        </w:rPr>
      </w:pPr>
      <w:r w:rsidRPr="00BA53D0">
        <w:rPr>
          <w:bdr w:val="nil"/>
        </w:rPr>
        <w:t>Expanded eligibility criteria for the JobSeeker Payment and for Youth Allowance will continue until 31</w:t>
      </w:r>
      <w:r>
        <w:rPr>
          <w:bdr w:val="nil"/>
        </w:rPr>
        <w:t> </w:t>
      </w:r>
      <w:r w:rsidRPr="00BA53D0">
        <w:rPr>
          <w:bdr w:val="nil"/>
        </w:rPr>
        <w:t>March</w:t>
      </w:r>
      <w:r>
        <w:rPr>
          <w:bdr w:val="nil"/>
        </w:rPr>
        <w:t> </w:t>
      </w:r>
      <w:r w:rsidRPr="00BA53D0">
        <w:rPr>
          <w:bdr w:val="nil"/>
        </w:rPr>
        <w:t>2021. This will allow people who meet the income and asset tests and have been stood down, are sole traders or self-employed, or are in isolation or caring for someone affected by Coronavirus, to continue to access these payments.</w:t>
      </w:r>
    </w:p>
    <w:p w:rsidR="00BA53D0" w:rsidRPr="00BA53D0" w:rsidRDefault="00D5482E" w:rsidP="00FD0B8D">
      <w:pPr>
        <w:pStyle w:val="Normal2"/>
        <w:pBdr>
          <w:top w:val="nil"/>
          <w:left w:val="nil"/>
          <w:bottom w:val="nil"/>
          <w:right w:val="nil"/>
          <w:between w:val="nil"/>
          <w:bar w:val="nil"/>
        </w:pBdr>
        <w:spacing w:after="200" w:line="240" w:lineRule="auto"/>
        <w:rPr>
          <w:bdr w:val="nil"/>
        </w:rPr>
      </w:pPr>
      <w:r w:rsidRPr="00BA53D0">
        <w:rPr>
          <w:bdr w:val="nil"/>
        </w:rPr>
        <w:t>The Government will also continue to allow a more generous Partner Income Test taper rate so that Australians will continue to be able to access payment where their partner earns less than $80,000. The Ordinary Waiting Period, Newly Arrived Resident's Waiting Period and the Seasonal Work Preclusion Period will continue to be waived until 31</w:t>
      </w:r>
      <w:r>
        <w:rPr>
          <w:bdr w:val="nil"/>
        </w:rPr>
        <w:t> </w:t>
      </w:r>
      <w:r w:rsidRPr="00BA53D0">
        <w:rPr>
          <w:bdr w:val="nil"/>
        </w:rPr>
        <w:t>March</w:t>
      </w:r>
      <w:r>
        <w:rPr>
          <w:bdr w:val="nil"/>
        </w:rPr>
        <w:t> </w:t>
      </w:r>
      <w:r w:rsidRPr="00BA53D0">
        <w:rPr>
          <w:bdr w:val="nil"/>
        </w:rPr>
        <w:t>2021.</w:t>
      </w:r>
    </w:p>
    <w:p w:rsidR="006149CC" w:rsidRPr="00A357EA" w:rsidRDefault="00D5482E" w:rsidP="00FD0B8D">
      <w:pPr>
        <w:pStyle w:val="Normal2"/>
        <w:pBdr>
          <w:top w:val="nil"/>
          <w:left w:val="nil"/>
          <w:bottom w:val="nil"/>
          <w:right w:val="nil"/>
          <w:between w:val="nil"/>
          <w:bar w:val="nil"/>
        </w:pBdr>
        <w:spacing w:after="200" w:line="240" w:lineRule="auto"/>
        <w:rPr>
          <w:bdr w:val="nil"/>
        </w:rPr>
        <w:sectPr w:rsidR="006149CC" w:rsidRPr="00A357EA" w:rsidSect="001C56C9">
          <w:headerReference w:type="even" r:id="rId108"/>
          <w:headerReference w:type="default" r:id="rId109"/>
          <w:footerReference w:type="even" r:id="rId110"/>
          <w:footerReference w:type="default" r:id="rId111"/>
          <w:headerReference w:type="first" r:id="rId112"/>
          <w:footerReference w:type="first" r:id="rId113"/>
          <w:type w:val="continuous"/>
          <w:pgSz w:w="11906" w:h="16838"/>
          <w:pgMar w:top="2466" w:right="2098" w:bottom="2466" w:left="2098" w:header="1899" w:footer="1899" w:gutter="0"/>
          <w:pgBorders>
            <w:top w:val="nil"/>
            <w:left w:val="nil"/>
            <w:bottom w:val="nil"/>
            <w:right w:val="nil"/>
          </w:pgBorders>
          <w:cols w:space="720"/>
          <w:docGrid w:linePitch="360"/>
        </w:sectPr>
      </w:pPr>
      <w:r w:rsidRPr="00BA53D0">
        <w:rPr>
          <w:bdr w:val="nil"/>
        </w:rPr>
        <w:t>This builds on the $16.8 billion already announced by way of a Coronavirus Supplement to eligible income support recipients whose employment has been</w:t>
      </w:r>
      <w:r>
        <w:rPr>
          <w:bdr w:val="nil"/>
        </w:rPr>
        <w:t xml:space="preserve"> </w:t>
      </w:r>
      <w:r w:rsidRPr="00BA53D0">
        <w:rPr>
          <w:bdr w:val="nil"/>
        </w:rPr>
        <w:t>affected by the COVID</w:t>
      </w:r>
      <w:r>
        <w:rPr>
          <w:bdr w:val="nil"/>
        </w:rPr>
        <w:noBreakHyphen/>
        <w:t xml:space="preserve">19 pandemic since 27 April 2020. </w:t>
      </w:r>
    </w:p>
    <w:p w:rsidR="004C2526" w:rsidRDefault="00D5482E" w:rsidP="00DD3CD1">
      <w:pPr>
        <w:pStyle w:val="Heading3"/>
        <w:pageBreakBefore/>
        <w:pBdr>
          <w:top w:val="nil"/>
          <w:left w:val="nil"/>
          <w:bottom w:val="nil"/>
          <w:right w:val="nil"/>
          <w:between w:val="nil"/>
          <w:bar w:val="nil"/>
        </w:pBdr>
        <w:spacing w:before="0"/>
        <w:rPr>
          <w:bdr w:val="nil"/>
        </w:rPr>
      </w:pPr>
      <w:r>
        <w:rPr>
          <w:bdr w:val="nil"/>
        </w:rPr>
        <w:lastRenderedPageBreak/>
        <w:t>1.2</w:t>
      </w:r>
      <w:r>
        <w:rPr>
          <w:bdr w:val="nil"/>
        </w:rPr>
        <w:tab/>
        <w:t>Entity resource statement</w:t>
      </w:r>
    </w:p>
    <w:p w:rsidR="00A7732B" w:rsidRDefault="00D5482E" w:rsidP="00E36EDC">
      <w:pPr>
        <w:pBdr>
          <w:top w:val="nil"/>
          <w:left w:val="nil"/>
          <w:bottom w:val="nil"/>
          <w:right w:val="nil"/>
          <w:between w:val="nil"/>
          <w:bar w:val="nil"/>
        </w:pBdr>
        <w:spacing w:after="240" w:line="260" w:lineRule="exact"/>
        <w:jc w:val="both"/>
        <w:rPr>
          <w:rFonts w:ascii="Book Antiqua" w:eastAsia="Calibri" w:hAnsi="Book Antiqua" w:cs="Arial"/>
          <w:sz w:val="20"/>
          <w:bdr w:val="nil"/>
        </w:rPr>
      </w:pPr>
      <w:r w:rsidRPr="004C2526">
        <w:rPr>
          <w:rFonts w:ascii="Book Antiqua" w:eastAsia="Calibri" w:hAnsi="Book Antiqua" w:cs="Arial"/>
          <w:sz w:val="20"/>
          <w:bdr w:val="nil"/>
        </w:rPr>
        <w:t xml:space="preserve">The </w:t>
      </w:r>
      <w:r>
        <w:rPr>
          <w:rFonts w:ascii="Book Antiqua" w:eastAsia="Calibri" w:hAnsi="Book Antiqua" w:cs="Arial"/>
          <w:sz w:val="20"/>
          <w:bdr w:val="nil"/>
        </w:rPr>
        <w:t>Entity Resource Statement</w:t>
      </w:r>
      <w:r w:rsidRPr="004C2526">
        <w:rPr>
          <w:rFonts w:ascii="Book Antiqua" w:eastAsia="Calibri" w:hAnsi="Book Antiqua" w:cs="Arial"/>
          <w:sz w:val="20"/>
          <w:bdr w:val="nil"/>
        </w:rPr>
        <w:t xml:space="preserve"> details the resourcing for</w:t>
      </w:r>
      <w:r>
        <w:rPr>
          <w:rFonts w:ascii="Book Antiqua" w:eastAsia="Calibri" w:hAnsi="Book Antiqua" w:cs="Arial"/>
          <w:sz w:val="20"/>
          <w:bdr w:val="nil"/>
        </w:rPr>
        <w:t xml:space="preserve"> DSS</w:t>
      </w:r>
      <w:r w:rsidRPr="004C2526">
        <w:rPr>
          <w:rFonts w:ascii="Book Antiqua" w:eastAsia="Calibri" w:hAnsi="Book Antiqua" w:cs="Arial"/>
          <w:sz w:val="20"/>
          <w:bdr w:val="nil"/>
        </w:rPr>
        <w:t xml:space="preserve"> at Additional Estimates. Table 1.1 outlines the total resourcing available from all sources for the 2020-21 </w:t>
      </w:r>
      <w:r>
        <w:rPr>
          <w:rFonts w:ascii="Book Antiqua" w:eastAsia="Calibri" w:hAnsi="Book Antiqua" w:cs="Arial"/>
          <w:sz w:val="20"/>
          <w:bdr w:val="nil"/>
        </w:rPr>
        <w:t>B</w:t>
      </w:r>
      <w:r w:rsidRPr="004C2526">
        <w:rPr>
          <w:rFonts w:ascii="Book Antiqua" w:eastAsia="Calibri" w:hAnsi="Book Antiqua" w:cs="Arial"/>
          <w:sz w:val="20"/>
          <w:bdr w:val="nil"/>
        </w:rPr>
        <w:t xml:space="preserve">udget year, including variations through </w:t>
      </w:r>
      <w:r w:rsidRPr="0054426B">
        <w:rPr>
          <w:rFonts w:ascii="Book Antiqua" w:eastAsia="Calibri" w:hAnsi="Book Antiqua" w:cs="Arial"/>
          <w:sz w:val="20"/>
          <w:bdr w:val="nil"/>
        </w:rPr>
        <w:t>Appropriation Bills No. 3</w:t>
      </w:r>
      <w:r>
        <w:rPr>
          <w:rFonts w:ascii="Book Antiqua" w:eastAsia="Calibri" w:hAnsi="Book Antiqua" w:cs="Arial"/>
          <w:sz w:val="20"/>
          <w:bdr w:val="nil"/>
        </w:rPr>
        <w:t xml:space="preserve"> and </w:t>
      </w:r>
      <w:r w:rsidRPr="0054426B">
        <w:rPr>
          <w:rFonts w:ascii="Book Antiqua" w:eastAsia="Calibri" w:hAnsi="Book Antiqua" w:cs="Arial"/>
          <w:sz w:val="20"/>
          <w:bdr w:val="nil"/>
        </w:rPr>
        <w:t>No. 4</w:t>
      </w:r>
      <w:r w:rsidRPr="006A23DB">
        <w:rPr>
          <w:rFonts w:ascii="Book Antiqua" w:eastAsia="Calibri" w:hAnsi="Book Antiqua" w:cs="Arial"/>
          <w:sz w:val="20"/>
          <w:bdr w:val="nil"/>
        </w:rPr>
        <w:t xml:space="preserve">, </w:t>
      </w:r>
      <w:r>
        <w:rPr>
          <w:rFonts w:ascii="Book Antiqua" w:eastAsia="Calibri" w:hAnsi="Book Antiqua" w:cs="Arial"/>
          <w:sz w:val="20"/>
          <w:bdr w:val="nil"/>
        </w:rPr>
        <w:t>Special A</w:t>
      </w:r>
      <w:r w:rsidRPr="004C2526">
        <w:rPr>
          <w:rFonts w:ascii="Book Antiqua" w:eastAsia="Calibri" w:hAnsi="Book Antiqua" w:cs="Arial"/>
          <w:sz w:val="20"/>
          <w:bdr w:val="nil"/>
        </w:rPr>
        <w:t xml:space="preserve">ppropriations and </w:t>
      </w:r>
      <w:r>
        <w:rPr>
          <w:rFonts w:ascii="Book Antiqua" w:eastAsia="Calibri" w:hAnsi="Book Antiqua" w:cs="Arial"/>
          <w:sz w:val="20"/>
          <w:bdr w:val="nil"/>
        </w:rPr>
        <w:t>S</w:t>
      </w:r>
      <w:r w:rsidRPr="004C2526">
        <w:rPr>
          <w:rFonts w:ascii="Book Antiqua" w:eastAsia="Calibri" w:hAnsi="Book Antiqua" w:cs="Arial"/>
          <w:sz w:val="20"/>
          <w:bdr w:val="nil"/>
        </w:rPr>
        <w:t xml:space="preserve">pecial </w:t>
      </w:r>
      <w:r>
        <w:rPr>
          <w:rFonts w:ascii="Book Antiqua" w:eastAsia="Calibri" w:hAnsi="Book Antiqua" w:cs="Arial"/>
          <w:sz w:val="20"/>
          <w:bdr w:val="nil"/>
        </w:rPr>
        <w:t>A</w:t>
      </w:r>
      <w:r w:rsidRPr="004C2526">
        <w:rPr>
          <w:rFonts w:ascii="Book Antiqua" w:eastAsia="Calibri" w:hAnsi="Book Antiqua" w:cs="Arial"/>
          <w:sz w:val="20"/>
          <w:bdr w:val="nil"/>
        </w:rPr>
        <w:t>ccounts.</w:t>
      </w:r>
    </w:p>
    <w:p w:rsidR="00A7732B" w:rsidRDefault="00D5482E" w:rsidP="00DD3CD1">
      <w:pPr>
        <w:pStyle w:val="TableHeading"/>
        <w:keepLines/>
        <w:pBdr>
          <w:top w:val="nil"/>
          <w:left w:val="nil"/>
          <w:bottom w:val="nil"/>
          <w:right w:val="nil"/>
          <w:between w:val="nil"/>
          <w:bar w:val="nil"/>
        </w:pBdr>
        <w:spacing w:before="0" w:after="0"/>
        <w:rPr>
          <w:rFonts w:eastAsia="Calibri"/>
          <w:szCs w:val="22"/>
          <w:bdr w:val="nil"/>
          <w:lang w:val="en-US" w:eastAsia="en-US"/>
        </w:rPr>
      </w:pPr>
      <w:r>
        <w:rPr>
          <w:rFonts w:eastAsia="Calibri" w:cs="Arial"/>
          <w:szCs w:val="22"/>
          <w:bdr w:val="nil"/>
          <w:lang w:val="en-US" w:eastAsia="en-US"/>
        </w:rPr>
        <w:t xml:space="preserve">Table 1.1: </w:t>
      </w:r>
      <w:r>
        <w:rPr>
          <w:rFonts w:eastAsia="Calibri" w:cs="Arial"/>
          <w:snapToGrid w:val="0"/>
          <w:szCs w:val="22"/>
          <w:bdr w:val="nil"/>
          <w:lang w:val="en-US" w:eastAsia="en-US"/>
        </w:rPr>
        <w:t>Department of Social Services</w:t>
      </w:r>
      <w:r w:rsidR="0092574C">
        <w:rPr>
          <w:rFonts w:eastAsia="Calibri" w:cs="Arial"/>
          <w:szCs w:val="22"/>
          <w:bdr w:val="nil"/>
          <w:lang w:val="en-US" w:eastAsia="en-US"/>
        </w:rPr>
        <w:t xml:space="preserve"> resource s</w:t>
      </w:r>
      <w:r>
        <w:rPr>
          <w:rFonts w:eastAsia="Calibri" w:cs="Arial"/>
          <w:szCs w:val="22"/>
          <w:bdr w:val="nil"/>
          <w:lang w:val="en-US" w:eastAsia="en-US"/>
        </w:rPr>
        <w:t>tatement – Additional Estimates for 2020-21 as at February 2021</w:t>
      </w:r>
    </w:p>
    <w:tbl>
      <w:tblPr>
        <w:tblStyle w:val="CDMRange1"/>
        <w:tblW w:w="7785" w:type="dxa"/>
        <w:tblLayout w:type="fixed"/>
        <w:tblCellMar>
          <w:top w:w="11" w:type="dxa"/>
          <w:bottom w:w="11" w:type="dxa"/>
        </w:tblCellMar>
        <w:tblLook w:val="0600" w:firstRow="0" w:lastRow="0" w:firstColumn="0" w:lastColumn="0" w:noHBand="1" w:noVBand="1"/>
        <w:tblCaption w:val="Table 1.1: Department of Social Services resource statement – Additional Estimates for 2020-21 as at February 2021"/>
      </w:tblPr>
      <w:tblGrid>
        <w:gridCol w:w="3720"/>
        <w:gridCol w:w="1050"/>
        <w:gridCol w:w="1005"/>
        <w:gridCol w:w="1005"/>
        <w:gridCol w:w="1005"/>
      </w:tblGrid>
      <w:tr w:rsidR="00010972" w:rsidTr="001B2A9A">
        <w:trPr>
          <w:tblHeader/>
        </w:trPr>
        <w:tc>
          <w:tcPr>
            <w:tcW w:w="37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Actual</w:t>
            </w:r>
          </w:p>
        </w:tc>
        <w:tc>
          <w:tcPr>
            <w:tcW w:w="100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w:t>
            </w:r>
          </w:p>
        </w:tc>
        <w:tc>
          <w:tcPr>
            <w:tcW w:w="100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Proposed</w:t>
            </w:r>
          </w:p>
        </w:tc>
        <w:tc>
          <w:tcPr>
            <w:tcW w:w="1005" w:type="dxa"/>
            <w:tcBorders>
              <w:top w:val="dotted" w:sz="2" w:space="0" w:color="000000"/>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Total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available</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as at</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Additional</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 at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appropriation</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Budget</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Estimates</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Additional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0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2019-20</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5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$'000</w:t>
            </w:r>
          </w:p>
        </w:tc>
        <w:tc>
          <w:tcPr>
            <w:tcW w:w="100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0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05"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Departmental </w:t>
            </w: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0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0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dotted" w:sz="2" w:space="0" w:color="000000"/>
              <w:left w:val="nil"/>
              <w:bottom w:val="nil"/>
              <w:right w:val="nil"/>
              <w:tl2br w:val="nil"/>
              <w:tr2bl w:val="nil"/>
            </w:tcBorders>
            <w:shd w:val="clear" w:color="FFFFFF" w:fill="EAEAEA"/>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Annual appropriations – ordinary annual</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services (a)</w:t>
            </w: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0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EAEAEA"/>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Prior year appropriations available (b) </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90,970</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71,660</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71,660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noWrap/>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Departmental appropriation </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397,766</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379,499</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5,497</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384,996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s74 External Revenue (c) </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51,796</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26,776</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1,203</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27,979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Departmental capital budget (d)</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2,664</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4,414</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(876)</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3,538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Annual appropriations – other services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non-operating (e) </w:t>
            </w: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0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EAEAEA"/>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Equity injection</w:t>
            </w:r>
          </w:p>
        </w:tc>
        <w:tc>
          <w:tcPr>
            <w:tcW w:w="105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5,764</w:t>
            </w:r>
          </w:p>
        </w:tc>
        <w:tc>
          <w:tcPr>
            <w:tcW w:w="100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Total departmental annual appropriations</w:t>
            </w:r>
          </w:p>
        </w:tc>
        <w:tc>
          <w:tcPr>
            <w:tcW w:w="105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548,960</w:t>
            </w:r>
          </w:p>
        </w:tc>
        <w:tc>
          <w:tcPr>
            <w:tcW w:w="100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482,349</w:t>
            </w:r>
          </w:p>
        </w:tc>
        <w:tc>
          <w:tcPr>
            <w:tcW w:w="100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5,824</w:t>
            </w:r>
          </w:p>
        </w:tc>
        <w:tc>
          <w:tcPr>
            <w:tcW w:w="1005" w:type="dxa"/>
            <w:tcBorders>
              <w:top w:val="dotted" w:sz="2" w:space="0" w:color="000000"/>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488,173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i/>
                <w:color w:val="000000"/>
                <w:sz w:val="16"/>
                <w:bdr w:val="nil"/>
              </w:rPr>
            </w:pPr>
            <w:r>
              <w:rPr>
                <w:rFonts w:ascii="Arial" w:eastAsia="Arial" w:hAnsi="Arial" w:cs="Arial"/>
                <w:b/>
                <w:i/>
                <w:color w:val="000000"/>
                <w:sz w:val="16"/>
                <w:bdr w:val="nil"/>
              </w:rPr>
              <w:t>Total departmental resourcing</w:t>
            </w:r>
          </w:p>
        </w:tc>
        <w:tc>
          <w:tcPr>
            <w:tcW w:w="105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548,960</w:t>
            </w:r>
          </w:p>
        </w:tc>
        <w:tc>
          <w:tcPr>
            <w:tcW w:w="100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482,349</w:t>
            </w:r>
          </w:p>
        </w:tc>
        <w:tc>
          <w:tcPr>
            <w:tcW w:w="100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5,824</w:t>
            </w:r>
          </w:p>
        </w:tc>
        <w:tc>
          <w:tcPr>
            <w:tcW w:w="1005" w:type="dxa"/>
            <w:tcBorders>
              <w:top w:val="dotted" w:sz="2" w:space="0" w:color="000000"/>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488,173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Administered </w:t>
            </w:r>
          </w:p>
        </w:tc>
        <w:tc>
          <w:tcPr>
            <w:tcW w:w="105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0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0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dotted" w:sz="2" w:space="0" w:color="000000"/>
              <w:left w:val="nil"/>
              <w:bottom w:val="nil"/>
              <w:right w:val="nil"/>
              <w:tl2br w:val="nil"/>
              <w:tr2bl w:val="nil"/>
            </w:tcBorders>
            <w:shd w:val="clear" w:color="FFFFFF" w:fill="EAEAEA"/>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Annual appropriations – ordinary annual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services (a)</w:t>
            </w: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0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EAEAEA"/>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Outcome 1</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53,329</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20,857</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20,857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Outcome 2</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739,576</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803,112</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2,033</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805,145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Outcome 3 (f)</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8,702,300</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12,815,515</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12,815,515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Outcome 4</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148,013</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162,816</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(13,801)</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149,015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Payments to corporate entities (g)</w:t>
            </w:r>
          </w:p>
        </w:tc>
        <w:tc>
          <w:tcPr>
            <w:tcW w:w="105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1,413,257</w:t>
            </w:r>
          </w:p>
        </w:tc>
        <w:tc>
          <w:tcPr>
            <w:tcW w:w="100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1,213,499</w:t>
            </w:r>
          </w:p>
        </w:tc>
        <w:tc>
          <w:tcPr>
            <w:tcW w:w="100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(4,621)</w:t>
            </w:r>
          </w:p>
        </w:tc>
        <w:tc>
          <w:tcPr>
            <w:tcW w:w="1005"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1,208,878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Total administered annual appropriations</w:t>
            </w:r>
          </w:p>
        </w:tc>
        <w:tc>
          <w:tcPr>
            <w:tcW w:w="105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11,056,475</w:t>
            </w:r>
          </w:p>
        </w:tc>
        <w:tc>
          <w:tcPr>
            <w:tcW w:w="100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15,015,799</w:t>
            </w:r>
          </w:p>
        </w:tc>
        <w:tc>
          <w:tcPr>
            <w:tcW w:w="100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(16,389)</w:t>
            </w:r>
          </w:p>
        </w:tc>
        <w:tc>
          <w:tcPr>
            <w:tcW w:w="1005" w:type="dxa"/>
            <w:tcBorders>
              <w:top w:val="dotted" w:sz="2" w:space="0" w:color="000000"/>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14,999,410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Special appropriations</w:t>
            </w:r>
          </w:p>
        </w:tc>
        <w:tc>
          <w:tcPr>
            <w:tcW w:w="1050"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0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1005" w:type="dxa"/>
            <w:tcBorders>
              <w:top w:val="dotted" w:sz="2" w:space="0" w:color="000000"/>
              <w:left w:val="nil"/>
              <w:bottom w:val="nil"/>
              <w:right w:val="nil"/>
              <w:tl2br w:val="nil"/>
              <w:tr2bl w:val="nil"/>
            </w:tcBorders>
            <w:shd w:val="clear" w:color="FFFFFF" w:fill="EAEAEA"/>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Social Security (Administration) Act 1999</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106,241,124</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127,962,253</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3,232,272</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131,194,525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A New Tax System (Family Assistance)</w:t>
            </w:r>
          </w:p>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 xml:space="preserve">  (Administration) Act 1999</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18,055,842</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19,417,682</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(4,372)</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19,413,310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Paid Parental Leave Act 2010</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2,414,060</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2,277,082</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2,277,082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Student Assistance Act 1973</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420,016</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400,355</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9,480</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409,835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National Redress Scheme for Institutional</w:t>
            </w:r>
          </w:p>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 xml:space="preserve">  Child Sexual Abuse Act 2018 </w:t>
            </w:r>
            <w:r>
              <w:rPr>
                <w:rFonts w:ascii="Arial" w:eastAsia="Arial" w:hAnsi="Arial" w:cs="Arial"/>
                <w:color w:val="000000"/>
                <w:sz w:val="16"/>
                <w:bdr w:val="nil"/>
              </w:rPr>
              <w:t>(h)</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205,307</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nfp</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nfp</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nfp</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Public Governance, Performance and</w:t>
            </w:r>
          </w:p>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 xml:space="preserve">  Accountability Act 2013</w:t>
            </w:r>
          </w:p>
        </w:tc>
        <w:tc>
          <w:tcPr>
            <w:tcW w:w="105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119</w:t>
            </w:r>
          </w:p>
        </w:tc>
        <w:tc>
          <w:tcPr>
            <w:tcW w:w="100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200</w:t>
            </w:r>
          </w:p>
        </w:tc>
        <w:tc>
          <w:tcPr>
            <w:tcW w:w="100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Total administered special appropriations</w:t>
            </w:r>
          </w:p>
        </w:tc>
        <w:tc>
          <w:tcPr>
            <w:tcW w:w="105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127,336,468</w:t>
            </w:r>
          </w:p>
        </w:tc>
        <w:tc>
          <w:tcPr>
            <w:tcW w:w="100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150,057,572</w:t>
            </w:r>
          </w:p>
        </w:tc>
        <w:tc>
          <w:tcPr>
            <w:tcW w:w="100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3,237,380</w:t>
            </w:r>
          </w:p>
        </w:tc>
        <w:tc>
          <w:tcPr>
            <w:tcW w:w="1005" w:type="dxa"/>
            <w:tcBorders>
              <w:top w:val="dotted" w:sz="2" w:space="0" w:color="000000"/>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153,294,952</w:t>
            </w:r>
          </w:p>
        </w:tc>
      </w:tr>
    </w:tbl>
    <w:p w:rsidR="00A7732B" w:rsidRDefault="00D5482E">
      <w:pPr>
        <w:pBdr>
          <w:top w:val="nil"/>
          <w:left w:val="nil"/>
          <w:bottom w:val="nil"/>
          <w:right w:val="nil"/>
          <w:between w:val="nil"/>
          <w:bar w:val="nil"/>
        </w:pBdr>
        <w:rPr>
          <w:rFonts w:ascii="Book Antiqua" w:eastAsia="Calibri" w:hAnsi="Book Antiqua" w:cs="Arial"/>
          <w:sz w:val="20"/>
          <w:bdr w:val="nil"/>
        </w:rPr>
      </w:pPr>
      <w:r>
        <w:rPr>
          <w:rFonts w:ascii="Book Antiqua" w:eastAsia="Calibri" w:hAnsi="Book Antiqua" w:cs="Arial"/>
          <w:sz w:val="20"/>
          <w:bdr w:val="nil"/>
        </w:rPr>
        <w:br w:type="page"/>
      </w:r>
    </w:p>
    <w:p w:rsidR="00A7732B" w:rsidRDefault="00D5482E" w:rsidP="00DD3CD1">
      <w:pPr>
        <w:pStyle w:val="TableHeading"/>
        <w:keepLines/>
        <w:pBdr>
          <w:top w:val="nil"/>
          <w:left w:val="nil"/>
          <w:bottom w:val="nil"/>
          <w:right w:val="nil"/>
          <w:between w:val="nil"/>
          <w:bar w:val="nil"/>
        </w:pBdr>
        <w:spacing w:before="0" w:after="0"/>
        <w:rPr>
          <w:rFonts w:eastAsia="Calibri"/>
          <w:sz w:val="22"/>
          <w:szCs w:val="22"/>
          <w:bdr w:val="nil"/>
          <w:lang w:val="en-US" w:eastAsia="en-US"/>
        </w:rPr>
      </w:pPr>
      <w:r>
        <w:rPr>
          <w:rFonts w:eastAsia="Calibri" w:cs="Arial"/>
          <w:szCs w:val="22"/>
          <w:bdr w:val="nil"/>
          <w:lang w:val="en-US" w:eastAsia="en-US"/>
        </w:rPr>
        <w:lastRenderedPageBreak/>
        <w:t xml:space="preserve">Table 1.1: </w:t>
      </w:r>
      <w:r>
        <w:rPr>
          <w:rFonts w:eastAsia="Calibri" w:cs="Arial"/>
          <w:snapToGrid w:val="0"/>
          <w:szCs w:val="22"/>
          <w:bdr w:val="nil"/>
          <w:lang w:val="en-US" w:eastAsia="en-US"/>
        </w:rPr>
        <w:t>Department of Social Services</w:t>
      </w:r>
      <w:r w:rsidR="00CE25A4">
        <w:rPr>
          <w:rFonts w:eastAsia="Calibri" w:cs="Arial"/>
          <w:szCs w:val="22"/>
          <w:bdr w:val="nil"/>
          <w:lang w:val="en-US" w:eastAsia="en-US"/>
        </w:rPr>
        <w:t xml:space="preserve"> resource s</w:t>
      </w:r>
      <w:r>
        <w:rPr>
          <w:rFonts w:eastAsia="Calibri" w:cs="Arial"/>
          <w:szCs w:val="22"/>
          <w:bdr w:val="nil"/>
          <w:lang w:val="en-US" w:eastAsia="en-US"/>
        </w:rPr>
        <w:t>tatement – Additional Estimates for 2020-21 as at February 2021 (continued)</w:t>
      </w:r>
    </w:p>
    <w:tbl>
      <w:tblPr>
        <w:tblStyle w:val="CDMRange2"/>
        <w:tblW w:w="7785" w:type="dxa"/>
        <w:tblLayout w:type="fixed"/>
        <w:tblCellMar>
          <w:top w:w="11" w:type="dxa"/>
          <w:bottom w:w="11" w:type="dxa"/>
        </w:tblCellMar>
        <w:tblLook w:val="0600" w:firstRow="0" w:lastRow="0" w:firstColumn="0" w:lastColumn="0" w:noHBand="1" w:noVBand="1"/>
        <w:tblCaption w:val="Table 1.1: Department of Social Services resource statement – Additional Estimates for 2020-21 as at February 2021"/>
      </w:tblPr>
      <w:tblGrid>
        <w:gridCol w:w="3720"/>
        <w:gridCol w:w="1050"/>
        <w:gridCol w:w="1005"/>
        <w:gridCol w:w="1005"/>
        <w:gridCol w:w="1005"/>
      </w:tblGrid>
      <w:tr w:rsidR="00010972" w:rsidTr="00C95DC9">
        <w:trPr>
          <w:tblHeader/>
        </w:trPr>
        <w:tc>
          <w:tcPr>
            <w:tcW w:w="37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Actual</w:t>
            </w:r>
          </w:p>
        </w:tc>
        <w:tc>
          <w:tcPr>
            <w:tcW w:w="100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w:t>
            </w:r>
          </w:p>
        </w:tc>
        <w:tc>
          <w:tcPr>
            <w:tcW w:w="100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Proposed</w:t>
            </w:r>
          </w:p>
        </w:tc>
        <w:tc>
          <w:tcPr>
            <w:tcW w:w="1005" w:type="dxa"/>
            <w:tcBorders>
              <w:top w:val="dotted" w:sz="2" w:space="0" w:color="000000"/>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Total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available</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as at</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Additional</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 at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appropriation</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Budget</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Estimates</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Additional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0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2019-20</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5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$'000</w:t>
            </w:r>
          </w:p>
        </w:tc>
        <w:tc>
          <w:tcPr>
            <w:tcW w:w="100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0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05"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Special accounts (i)</w:t>
            </w:r>
          </w:p>
        </w:tc>
        <w:tc>
          <w:tcPr>
            <w:tcW w:w="105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0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Opening balance</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402,363</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507,155</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507,155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Appropriation receipts (j)</w:t>
            </w: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509,900</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576,464</w:t>
            </w:r>
          </w:p>
        </w:tc>
        <w:tc>
          <w:tcPr>
            <w:tcW w:w="100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576,464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Non-appropriation receipts</w:t>
            </w:r>
          </w:p>
        </w:tc>
        <w:tc>
          <w:tcPr>
            <w:tcW w:w="105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11,694</w:t>
            </w:r>
          </w:p>
        </w:tc>
        <w:tc>
          <w:tcPr>
            <w:tcW w:w="100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10,434</w:t>
            </w:r>
          </w:p>
        </w:tc>
        <w:tc>
          <w:tcPr>
            <w:tcW w:w="100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10,434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Total special accounts receipts</w:t>
            </w:r>
          </w:p>
        </w:tc>
        <w:tc>
          <w:tcPr>
            <w:tcW w:w="105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923,957</w:t>
            </w:r>
          </w:p>
        </w:tc>
        <w:tc>
          <w:tcPr>
            <w:tcW w:w="100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1,094,053</w:t>
            </w:r>
          </w:p>
        </w:tc>
        <w:tc>
          <w:tcPr>
            <w:tcW w:w="100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w:t>
            </w:r>
          </w:p>
        </w:tc>
        <w:tc>
          <w:tcPr>
            <w:tcW w:w="100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1,094,053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less payments to corporate entities from</w:t>
            </w:r>
          </w:p>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 xml:space="preserve">  annual/special appropriations</w:t>
            </w:r>
          </w:p>
        </w:tc>
        <w:tc>
          <w:tcPr>
            <w:tcW w:w="1050"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8,482,457</w:t>
            </w:r>
          </w:p>
        </w:tc>
        <w:tc>
          <w:tcPr>
            <w:tcW w:w="100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12,483,796</w:t>
            </w:r>
          </w:p>
        </w:tc>
        <w:tc>
          <w:tcPr>
            <w:tcW w:w="100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(111,828)</w:t>
            </w:r>
          </w:p>
        </w:tc>
        <w:tc>
          <w:tcPr>
            <w:tcW w:w="1005" w:type="dxa"/>
            <w:tcBorders>
              <w:top w:val="dotted" w:sz="2" w:space="0" w:color="000000"/>
              <w:left w:val="nil"/>
              <w:bottom w:val="nil"/>
              <w:right w:val="nil"/>
              <w:tl2br w:val="nil"/>
              <w:tr2bl w:val="nil"/>
            </w:tcBorders>
            <w:shd w:val="clear" w:color="FFFFFF" w:fill="EAEAEA"/>
            <w:tcMar>
              <w:left w:w="40" w:type="dxa"/>
              <w:right w:w="40" w:type="dxa"/>
            </w:tcMar>
            <w:vAlign w:val="bottom"/>
          </w:tcPr>
          <w:p w:rsidR="00010972" w:rsidRPr="002B2129"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sidRPr="002B2129">
              <w:rPr>
                <w:rFonts w:ascii="Arial" w:eastAsia="Arial" w:hAnsi="Arial" w:cs="Arial"/>
                <w:i/>
                <w:color w:val="000000"/>
                <w:sz w:val="16"/>
                <w:bdr w:val="nil"/>
              </w:rPr>
              <w:t>12,371,968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i/>
                <w:color w:val="000000"/>
                <w:sz w:val="16"/>
                <w:bdr w:val="nil"/>
              </w:rPr>
            </w:pPr>
            <w:r>
              <w:rPr>
                <w:rFonts w:ascii="Arial" w:eastAsia="Arial" w:hAnsi="Arial" w:cs="Arial"/>
                <w:b/>
                <w:i/>
                <w:color w:val="000000"/>
                <w:sz w:val="16"/>
                <w:bdr w:val="nil"/>
              </w:rPr>
              <w:t>Total administered resourcing</w:t>
            </w:r>
          </w:p>
        </w:tc>
        <w:tc>
          <w:tcPr>
            <w:tcW w:w="105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130,834,443</w:t>
            </w:r>
          </w:p>
        </w:tc>
        <w:tc>
          <w:tcPr>
            <w:tcW w:w="1005" w:type="dxa"/>
            <w:tcBorders>
              <w:top w:val="dotted" w:sz="2" w:space="0" w:color="000000"/>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153,683,628</w:t>
            </w:r>
          </w:p>
        </w:tc>
        <w:tc>
          <w:tcPr>
            <w:tcW w:w="100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3,332,819</w:t>
            </w:r>
          </w:p>
        </w:tc>
        <w:tc>
          <w:tcPr>
            <w:tcW w:w="1005" w:type="dxa"/>
            <w:tcBorders>
              <w:top w:val="dotted" w:sz="2" w:space="0" w:color="000000"/>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157,016,447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resourcing for DSS</w:t>
            </w:r>
          </w:p>
        </w:tc>
        <w:tc>
          <w:tcPr>
            <w:tcW w:w="1050"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131,383,403</w:t>
            </w:r>
          </w:p>
        </w:tc>
        <w:tc>
          <w:tcPr>
            <w:tcW w:w="100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154,165,977</w:t>
            </w:r>
          </w:p>
        </w:tc>
        <w:tc>
          <w:tcPr>
            <w:tcW w:w="100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3,338,643</w:t>
            </w:r>
          </w:p>
        </w:tc>
        <w:tc>
          <w:tcPr>
            <w:tcW w:w="1005"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157,504,620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dotted" w:sz="2" w:space="0" w:color="000000"/>
              <w:left w:val="nil"/>
              <w:bottom w:val="dotted" w:sz="2" w:space="0" w:color="000000"/>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50" w:type="dxa"/>
            <w:tcBorders>
              <w:top w:val="dotted" w:sz="2" w:space="0" w:color="000000"/>
              <w:left w:val="nil"/>
              <w:bottom w:val="dotted" w:sz="2" w:space="0" w:color="000000"/>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05" w:type="dxa"/>
            <w:tcBorders>
              <w:top w:val="dotted" w:sz="2" w:space="0" w:color="000000"/>
              <w:left w:val="nil"/>
              <w:bottom w:val="dotted" w:sz="2" w:space="0" w:color="000000"/>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05" w:type="dxa"/>
            <w:tcBorders>
              <w:top w:val="dotted" w:sz="2" w:space="0" w:color="000000"/>
              <w:left w:val="nil"/>
              <w:bottom w:val="dotted" w:sz="2" w:space="0" w:color="000000"/>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1005" w:type="dxa"/>
            <w:tcBorders>
              <w:top w:val="dotted" w:sz="2" w:space="0" w:color="000000"/>
              <w:left w:val="nil"/>
              <w:bottom w:val="dotted" w:sz="2" w:space="0" w:color="000000"/>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Actual</w:t>
            </w:r>
          </w:p>
        </w:tc>
        <w:tc>
          <w:tcPr>
            <w:tcW w:w="1005" w:type="dxa"/>
            <w:vMerge w:val="restart"/>
            <w:tcBorders>
              <w:top w:val="dotted" w:sz="2" w:space="0" w:color="000000"/>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2019-20</w:t>
            </w:r>
          </w:p>
        </w:tc>
        <w:tc>
          <w:tcPr>
            <w:tcW w:w="1005" w:type="dxa"/>
            <w:vMerge/>
            <w:tcBorders>
              <w:top w:val="nil"/>
              <w:left w:val="nil"/>
              <w:bottom w:val="dotted" w:sz="2" w:space="0" w:color="000000"/>
              <w:right w:val="nil"/>
              <w:tl2br w:val="nil"/>
              <w:tr2bl w:val="nil"/>
            </w:tcBorders>
            <w:shd w:val="clear" w:color="FFFFFF" w:fill="EAEAEA"/>
            <w:noWrap/>
            <w:tcMar>
              <w:left w:w="0" w:type="dxa"/>
              <w:right w:w="0" w:type="dxa"/>
            </w:tcMar>
            <w:vAlign w:val="bottom"/>
          </w:tcPr>
          <w:p w:rsidR="00010972" w:rsidRDefault="00010972">
            <w:pP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Average staffing level (number)</w:t>
            </w:r>
          </w:p>
        </w:tc>
        <w:tc>
          <w:tcPr>
            <w:tcW w:w="1050" w:type="dxa"/>
            <w:tcBorders>
              <w:top w:val="nil"/>
              <w:left w:val="nil"/>
              <w:bottom w:val="dotted" w:sz="2" w:space="0" w:color="000000"/>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05" w:type="dxa"/>
            <w:tcBorders>
              <w:top w:val="nil"/>
              <w:left w:val="nil"/>
              <w:bottom w:val="dotted" w:sz="2" w:space="0" w:color="000000"/>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0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2,099</w:t>
            </w:r>
          </w:p>
        </w:tc>
        <w:tc>
          <w:tcPr>
            <w:tcW w:w="100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1,887</w:t>
            </w:r>
          </w:p>
        </w:tc>
      </w:tr>
    </w:tbl>
    <w:p w:rsidR="00AE4053" w:rsidRPr="00AE4053" w:rsidRDefault="00D5482E" w:rsidP="00AE4053">
      <w:pPr>
        <w:pBdr>
          <w:top w:val="nil"/>
          <w:left w:val="nil"/>
          <w:bottom w:val="nil"/>
          <w:right w:val="nil"/>
          <w:between w:val="nil"/>
          <w:bar w:val="nil"/>
        </w:pBdr>
        <w:tabs>
          <w:tab w:val="left" w:pos="0"/>
        </w:tabs>
        <w:spacing w:after="0" w:line="240" w:lineRule="auto"/>
        <w:contextualSpacing/>
        <w:jc w:val="both"/>
        <w:rPr>
          <w:rFonts w:ascii="Arial" w:eastAsia="Calibri" w:hAnsi="Arial" w:cs="Arial"/>
          <w:sz w:val="16"/>
          <w:szCs w:val="16"/>
          <w:bdr w:val="nil"/>
        </w:rPr>
      </w:pPr>
      <w:r w:rsidRPr="00AE4053">
        <w:rPr>
          <w:rFonts w:ascii="Arial" w:eastAsia="Calibri" w:hAnsi="Arial" w:cs="Arial"/>
          <w:sz w:val="16"/>
          <w:szCs w:val="16"/>
          <w:bdr w:val="nil"/>
        </w:rPr>
        <w:t>Prepared on a resourcing (i.e. appropriations available) basis.</w:t>
      </w:r>
    </w:p>
    <w:p w:rsidR="00AE4053" w:rsidRDefault="00D5482E" w:rsidP="00AE4053">
      <w:pPr>
        <w:pBdr>
          <w:top w:val="nil"/>
          <w:left w:val="nil"/>
          <w:bottom w:val="nil"/>
          <w:right w:val="nil"/>
          <w:between w:val="nil"/>
          <w:bar w:val="nil"/>
        </w:pBdr>
        <w:tabs>
          <w:tab w:val="left" w:pos="0"/>
        </w:tabs>
        <w:spacing w:after="0" w:line="240" w:lineRule="auto"/>
        <w:contextualSpacing/>
        <w:jc w:val="both"/>
        <w:rPr>
          <w:rFonts w:ascii="Arial" w:eastAsia="Calibri" w:hAnsi="Arial" w:cs="Arial"/>
          <w:sz w:val="16"/>
          <w:szCs w:val="16"/>
          <w:bdr w:val="nil"/>
        </w:rPr>
      </w:pPr>
      <w:r w:rsidRPr="00AE4053">
        <w:rPr>
          <w:rFonts w:ascii="Arial" w:eastAsia="Calibri" w:hAnsi="Arial" w:cs="Arial"/>
          <w:sz w:val="16"/>
          <w:szCs w:val="16"/>
          <w:bdr w:val="nil"/>
        </w:rPr>
        <w:t>All figures shown above are GST exclusive</w:t>
      </w:r>
      <w:r>
        <w:rPr>
          <w:rFonts w:ascii="Arial" w:eastAsia="Calibri" w:hAnsi="Arial" w:cs="Arial"/>
          <w:sz w:val="16"/>
          <w:szCs w:val="16"/>
          <w:bdr w:val="nil"/>
        </w:rPr>
        <w:t xml:space="preserve"> – </w:t>
      </w:r>
      <w:r w:rsidRPr="00AE4053">
        <w:rPr>
          <w:rFonts w:ascii="Arial" w:eastAsia="Calibri" w:hAnsi="Arial" w:cs="Arial"/>
          <w:sz w:val="16"/>
          <w:szCs w:val="16"/>
          <w:bdr w:val="nil"/>
        </w:rPr>
        <w:t>these may not match figures in the cash flow statement.</w:t>
      </w:r>
    </w:p>
    <w:p w:rsidR="00AE4053" w:rsidRPr="00AE4053" w:rsidRDefault="00D5482E" w:rsidP="008A2043">
      <w:pPr>
        <w:pStyle w:val="ListParagraph"/>
        <w:numPr>
          <w:ilvl w:val="0"/>
          <w:numId w:val="3"/>
        </w:numPr>
        <w:pBdr>
          <w:top w:val="nil"/>
          <w:left w:val="nil"/>
          <w:bottom w:val="nil"/>
          <w:right w:val="nil"/>
          <w:between w:val="nil"/>
          <w:bar w:val="nil"/>
        </w:pBdr>
        <w:spacing w:after="0" w:line="240" w:lineRule="auto"/>
        <w:ind w:left="284" w:hanging="284"/>
        <w:rPr>
          <w:rFonts w:ascii="Arial" w:eastAsia="Calibri" w:hAnsi="Arial" w:cs="Arial"/>
          <w:sz w:val="16"/>
          <w:szCs w:val="16"/>
          <w:bdr w:val="nil"/>
        </w:rPr>
      </w:pPr>
      <w:r w:rsidRPr="00BE438B">
        <w:rPr>
          <w:rFonts w:ascii="Arial" w:eastAsia="Calibri" w:hAnsi="Arial" w:cs="Arial"/>
          <w:i/>
          <w:sz w:val="16"/>
          <w:szCs w:val="16"/>
          <w:bdr w:val="nil"/>
        </w:rPr>
        <w:t>Ap</w:t>
      </w:r>
      <w:r w:rsidR="00BE438B" w:rsidRPr="00BE438B">
        <w:rPr>
          <w:rFonts w:ascii="Arial" w:eastAsia="Calibri" w:hAnsi="Arial" w:cs="Arial"/>
          <w:i/>
          <w:sz w:val="16"/>
          <w:szCs w:val="16"/>
          <w:bdr w:val="nil"/>
        </w:rPr>
        <w:t>propriation Act (No. 1) 2020-</w:t>
      </w:r>
      <w:r>
        <w:rPr>
          <w:rFonts w:ascii="Arial" w:eastAsia="Calibri" w:hAnsi="Arial" w:cs="Arial"/>
          <w:i/>
          <w:sz w:val="16"/>
          <w:szCs w:val="16"/>
          <w:bdr w:val="nil"/>
        </w:rPr>
        <w:t>20</w:t>
      </w:r>
      <w:r w:rsidR="00BE438B" w:rsidRPr="00BE438B">
        <w:rPr>
          <w:rFonts w:ascii="Arial" w:eastAsia="Calibri" w:hAnsi="Arial" w:cs="Arial"/>
          <w:i/>
          <w:sz w:val="16"/>
          <w:szCs w:val="16"/>
          <w:bdr w:val="nil"/>
        </w:rPr>
        <w:t>2</w:t>
      </w:r>
      <w:r w:rsidRPr="00BE438B">
        <w:rPr>
          <w:rFonts w:ascii="Arial" w:eastAsia="Calibri" w:hAnsi="Arial" w:cs="Arial"/>
          <w:i/>
          <w:sz w:val="16"/>
          <w:szCs w:val="16"/>
          <w:bdr w:val="nil"/>
        </w:rPr>
        <w:t>1</w:t>
      </w:r>
      <w:r w:rsidRPr="00AE4053">
        <w:rPr>
          <w:rFonts w:ascii="Arial" w:eastAsia="Calibri" w:hAnsi="Arial" w:cs="Arial"/>
          <w:sz w:val="16"/>
          <w:szCs w:val="16"/>
          <w:bdr w:val="nil"/>
        </w:rPr>
        <w:t xml:space="preserve"> and Appropriation Bil</w:t>
      </w:r>
      <w:r w:rsidR="00BE438B">
        <w:rPr>
          <w:rFonts w:ascii="Arial" w:eastAsia="Calibri" w:hAnsi="Arial" w:cs="Arial"/>
          <w:sz w:val="16"/>
          <w:szCs w:val="16"/>
          <w:bdr w:val="nil"/>
        </w:rPr>
        <w:t>l (No. 3) 2020-</w:t>
      </w:r>
      <w:r>
        <w:rPr>
          <w:rFonts w:ascii="Arial" w:eastAsia="Calibri" w:hAnsi="Arial" w:cs="Arial"/>
          <w:sz w:val="16"/>
          <w:szCs w:val="16"/>
          <w:bdr w:val="nil"/>
        </w:rPr>
        <w:t>20</w:t>
      </w:r>
      <w:r w:rsidRPr="00AE4053">
        <w:rPr>
          <w:rFonts w:ascii="Arial" w:eastAsia="Calibri" w:hAnsi="Arial" w:cs="Arial"/>
          <w:sz w:val="16"/>
          <w:szCs w:val="16"/>
          <w:bdr w:val="nil"/>
        </w:rPr>
        <w:t>21.</w:t>
      </w:r>
    </w:p>
    <w:p w:rsidR="004D7C73" w:rsidRDefault="00D5482E" w:rsidP="008A2043">
      <w:pPr>
        <w:pStyle w:val="ListParagraph"/>
        <w:numPr>
          <w:ilvl w:val="0"/>
          <w:numId w:val="3"/>
        </w:numPr>
        <w:pBdr>
          <w:top w:val="nil"/>
          <w:left w:val="nil"/>
          <w:bottom w:val="nil"/>
          <w:right w:val="nil"/>
          <w:between w:val="nil"/>
          <w:bar w:val="nil"/>
        </w:pBdr>
        <w:tabs>
          <w:tab w:val="left" w:pos="0"/>
        </w:tabs>
        <w:spacing w:after="0" w:line="240" w:lineRule="auto"/>
        <w:ind w:left="284" w:hanging="284"/>
        <w:jc w:val="both"/>
        <w:rPr>
          <w:rFonts w:ascii="Arial" w:eastAsia="Calibri" w:hAnsi="Arial" w:cs="Arial"/>
          <w:sz w:val="16"/>
          <w:szCs w:val="16"/>
          <w:bdr w:val="nil"/>
        </w:rPr>
      </w:pPr>
      <w:r>
        <w:rPr>
          <w:rFonts w:ascii="Arial" w:eastAsia="Calibri" w:hAnsi="Arial" w:cs="Arial"/>
          <w:sz w:val="16"/>
          <w:szCs w:val="16"/>
          <w:bdr w:val="nil"/>
        </w:rPr>
        <w:t>Estimated adjusted balance carried forward from previous year for annual appropriations.</w:t>
      </w:r>
    </w:p>
    <w:p w:rsidR="004D7C73" w:rsidRDefault="00D5482E" w:rsidP="008A2043">
      <w:pPr>
        <w:pStyle w:val="ListParagraph"/>
        <w:numPr>
          <w:ilvl w:val="0"/>
          <w:numId w:val="3"/>
        </w:numPr>
        <w:pBdr>
          <w:top w:val="nil"/>
          <w:left w:val="nil"/>
          <w:bottom w:val="nil"/>
          <w:right w:val="nil"/>
          <w:between w:val="nil"/>
          <w:bar w:val="nil"/>
        </w:pBdr>
        <w:tabs>
          <w:tab w:val="left" w:pos="0"/>
        </w:tabs>
        <w:spacing w:after="0" w:line="240" w:lineRule="auto"/>
        <w:ind w:left="284" w:hanging="284"/>
        <w:jc w:val="both"/>
        <w:rPr>
          <w:rFonts w:ascii="Arial" w:eastAsia="Calibri" w:hAnsi="Arial" w:cs="Arial"/>
          <w:sz w:val="16"/>
          <w:szCs w:val="16"/>
          <w:bdr w:val="nil"/>
        </w:rPr>
      </w:pPr>
      <w:r>
        <w:rPr>
          <w:rFonts w:ascii="Arial" w:eastAsia="Calibri" w:hAnsi="Arial" w:cs="Arial"/>
          <w:sz w:val="16"/>
          <w:szCs w:val="16"/>
          <w:bdr w:val="nil"/>
        </w:rPr>
        <w:t xml:space="preserve">Estimated External Revenue receipts under section 74 of the </w:t>
      </w:r>
      <w:r w:rsidRPr="004D7C73">
        <w:rPr>
          <w:rFonts w:ascii="Arial" w:eastAsia="Calibri" w:hAnsi="Arial" w:cs="Arial"/>
          <w:sz w:val="16"/>
          <w:szCs w:val="16"/>
          <w:bdr w:val="nil"/>
        </w:rPr>
        <w:t>PGPA Act</w:t>
      </w:r>
      <w:r>
        <w:rPr>
          <w:rFonts w:ascii="Arial" w:eastAsia="Calibri" w:hAnsi="Arial" w:cs="Arial"/>
          <w:sz w:val="16"/>
          <w:szCs w:val="16"/>
          <w:bdr w:val="nil"/>
        </w:rPr>
        <w:t>.</w:t>
      </w:r>
    </w:p>
    <w:p w:rsidR="004D7C73" w:rsidRDefault="00D5482E" w:rsidP="008A2043">
      <w:pPr>
        <w:pStyle w:val="ListParagraph"/>
        <w:numPr>
          <w:ilvl w:val="0"/>
          <w:numId w:val="3"/>
        </w:numPr>
        <w:pBdr>
          <w:top w:val="nil"/>
          <w:left w:val="nil"/>
          <w:bottom w:val="nil"/>
          <w:right w:val="nil"/>
          <w:between w:val="nil"/>
          <w:bar w:val="nil"/>
        </w:pBdr>
        <w:tabs>
          <w:tab w:val="left" w:pos="0"/>
        </w:tabs>
        <w:spacing w:after="0" w:line="240" w:lineRule="auto"/>
        <w:ind w:left="284" w:hanging="284"/>
        <w:jc w:val="both"/>
        <w:rPr>
          <w:rFonts w:ascii="Arial" w:eastAsia="Calibri" w:hAnsi="Arial" w:cs="Arial"/>
          <w:sz w:val="16"/>
          <w:szCs w:val="16"/>
          <w:bdr w:val="nil"/>
        </w:rPr>
      </w:pPr>
      <w:r>
        <w:rPr>
          <w:rFonts w:ascii="Arial" w:eastAsia="Calibri" w:hAnsi="Arial" w:cs="Arial"/>
          <w:sz w:val="16"/>
          <w:szCs w:val="16"/>
          <w:bdr w:val="nil"/>
        </w:rPr>
        <w:t xml:space="preserve">Departmental </w:t>
      </w:r>
      <w:r w:rsidR="00163885">
        <w:rPr>
          <w:rFonts w:ascii="Arial" w:eastAsia="Calibri" w:hAnsi="Arial" w:cs="Arial"/>
          <w:sz w:val="16"/>
          <w:szCs w:val="16"/>
          <w:bdr w:val="nil"/>
        </w:rPr>
        <w:t>c</w:t>
      </w:r>
      <w:r>
        <w:rPr>
          <w:rFonts w:ascii="Arial" w:eastAsia="Calibri" w:hAnsi="Arial" w:cs="Arial"/>
          <w:sz w:val="16"/>
          <w:szCs w:val="16"/>
          <w:bdr w:val="nil"/>
        </w:rPr>
        <w:t xml:space="preserve">apital </w:t>
      </w:r>
      <w:r w:rsidR="00163885">
        <w:rPr>
          <w:rFonts w:ascii="Arial" w:eastAsia="Calibri" w:hAnsi="Arial" w:cs="Arial"/>
          <w:sz w:val="16"/>
          <w:szCs w:val="16"/>
          <w:bdr w:val="nil"/>
        </w:rPr>
        <w:t>b</w:t>
      </w:r>
      <w:r>
        <w:rPr>
          <w:rFonts w:ascii="Arial" w:eastAsia="Calibri" w:hAnsi="Arial" w:cs="Arial"/>
          <w:sz w:val="16"/>
          <w:szCs w:val="16"/>
          <w:bdr w:val="nil"/>
        </w:rPr>
        <w:t>udgets (DCB) are not separately identified in</w:t>
      </w:r>
      <w:r w:rsidR="00364411">
        <w:rPr>
          <w:rFonts w:ascii="Arial" w:eastAsia="Calibri" w:hAnsi="Arial" w:cs="Arial"/>
          <w:sz w:val="16"/>
          <w:szCs w:val="16"/>
          <w:bdr w:val="nil"/>
        </w:rPr>
        <w:t xml:space="preserve"> </w:t>
      </w:r>
      <w:r>
        <w:rPr>
          <w:rFonts w:ascii="Arial" w:eastAsia="Calibri" w:hAnsi="Arial" w:cs="Arial"/>
          <w:i/>
          <w:sz w:val="16"/>
          <w:szCs w:val="16"/>
          <w:bdr w:val="nil"/>
        </w:rPr>
        <w:t>Appropriation Act (No. 1) 2020</w:t>
      </w:r>
      <w:r>
        <w:rPr>
          <w:rFonts w:ascii="Arial" w:eastAsia="Calibri" w:hAnsi="Arial" w:cs="Arial"/>
          <w:i/>
          <w:sz w:val="16"/>
          <w:szCs w:val="16"/>
          <w:bdr w:val="nil"/>
        </w:rPr>
        <w:noBreakHyphen/>
        <w:t>2021</w:t>
      </w:r>
      <w:r>
        <w:rPr>
          <w:rFonts w:ascii="Arial" w:eastAsia="Calibri" w:hAnsi="Arial" w:cs="Arial"/>
          <w:sz w:val="16"/>
          <w:szCs w:val="16"/>
          <w:bdr w:val="nil"/>
        </w:rPr>
        <w:t>, or Appropriation Bill (No. 3) 2020-2021 and form part of ordinary annual services items. Please refer to Table 3.6 for further details. For accounting purposes, this amount has been designated as a ‘contribution by owner’.</w:t>
      </w:r>
    </w:p>
    <w:p w:rsidR="004540F4" w:rsidRPr="004540F4" w:rsidRDefault="00D5482E" w:rsidP="008A2043">
      <w:pPr>
        <w:pStyle w:val="ChartandTableFootnoteAlpha"/>
        <w:numPr>
          <w:ilvl w:val="0"/>
          <w:numId w:val="3"/>
        </w:numPr>
        <w:pBdr>
          <w:top w:val="nil"/>
          <w:left w:val="nil"/>
          <w:bottom w:val="nil"/>
          <w:right w:val="nil"/>
          <w:between w:val="nil"/>
          <w:bar w:val="nil"/>
        </w:pBdr>
        <w:spacing w:after="0"/>
        <w:ind w:left="284" w:hanging="284"/>
        <w:contextualSpacing/>
        <w:rPr>
          <w:rFonts w:cs="Arial"/>
          <w:color w:val="000000"/>
          <w:szCs w:val="16"/>
          <w:bdr w:val="nil"/>
        </w:rPr>
      </w:pPr>
      <w:r w:rsidRPr="004540F4">
        <w:rPr>
          <w:rFonts w:eastAsia="Calibri" w:cs="Arial"/>
          <w:i/>
          <w:szCs w:val="16"/>
          <w:bdr w:val="nil"/>
        </w:rPr>
        <w:t>Appropriation</w:t>
      </w:r>
      <w:r>
        <w:rPr>
          <w:rFonts w:eastAsia="Calibri" w:cs="Arial"/>
          <w:szCs w:val="16"/>
          <w:bdr w:val="nil"/>
        </w:rPr>
        <w:t xml:space="preserve"> </w:t>
      </w:r>
      <w:r>
        <w:rPr>
          <w:rFonts w:cs="Arial"/>
          <w:i/>
          <w:color w:val="000000"/>
          <w:szCs w:val="16"/>
          <w:bdr w:val="nil"/>
        </w:rPr>
        <w:t>Act (No. 2) 2020-2021</w:t>
      </w:r>
      <w:r>
        <w:rPr>
          <w:rFonts w:cs="Arial"/>
          <w:color w:val="000000"/>
          <w:szCs w:val="16"/>
          <w:bdr w:val="nil"/>
        </w:rPr>
        <w:t xml:space="preserve"> and </w:t>
      </w:r>
      <w:r w:rsidRPr="008A2043">
        <w:rPr>
          <w:rFonts w:cs="Arial"/>
          <w:color w:val="000000"/>
          <w:szCs w:val="16"/>
          <w:bdr w:val="nil"/>
        </w:rPr>
        <w:t>Appropriation Bill (No. 4) 2020-</w:t>
      </w:r>
      <w:r>
        <w:rPr>
          <w:rFonts w:cs="Arial"/>
          <w:color w:val="000000"/>
          <w:szCs w:val="16"/>
          <w:bdr w:val="nil"/>
        </w:rPr>
        <w:t>20</w:t>
      </w:r>
      <w:r w:rsidRPr="008A2043">
        <w:rPr>
          <w:rFonts w:cs="Arial"/>
          <w:color w:val="000000"/>
          <w:szCs w:val="16"/>
          <w:bdr w:val="nil"/>
        </w:rPr>
        <w:t>21.</w:t>
      </w:r>
    </w:p>
    <w:p w:rsidR="004D7C73" w:rsidRDefault="00D5482E" w:rsidP="008A2043">
      <w:pPr>
        <w:pStyle w:val="ListParagraph"/>
        <w:numPr>
          <w:ilvl w:val="0"/>
          <w:numId w:val="3"/>
        </w:numPr>
        <w:pBdr>
          <w:top w:val="nil"/>
          <w:left w:val="nil"/>
          <w:bottom w:val="nil"/>
          <w:right w:val="nil"/>
          <w:between w:val="nil"/>
          <w:bar w:val="nil"/>
        </w:pBdr>
        <w:tabs>
          <w:tab w:val="left" w:pos="0"/>
        </w:tabs>
        <w:spacing w:after="0" w:line="240" w:lineRule="auto"/>
        <w:ind w:left="284" w:hanging="284"/>
        <w:jc w:val="both"/>
        <w:rPr>
          <w:rFonts w:ascii="Arial" w:eastAsia="Calibri" w:hAnsi="Arial" w:cs="Arial"/>
          <w:sz w:val="16"/>
          <w:szCs w:val="16"/>
          <w:bdr w:val="nil"/>
        </w:rPr>
      </w:pPr>
      <w:r>
        <w:rPr>
          <w:rFonts w:ascii="Arial" w:eastAsia="Calibri" w:hAnsi="Arial" w:cs="Arial"/>
          <w:sz w:val="16"/>
          <w:szCs w:val="16"/>
          <w:bdr w:val="nil"/>
        </w:rPr>
        <w:t>Includes Commonwealth cash contributions to the National Disability Insurance Agency for reasonable and necessary support for parti</w:t>
      </w:r>
      <w:r w:rsidR="00364411">
        <w:rPr>
          <w:rFonts w:ascii="Arial" w:eastAsia="Calibri" w:hAnsi="Arial" w:cs="Arial"/>
          <w:sz w:val="16"/>
          <w:szCs w:val="16"/>
          <w:bdr w:val="nil"/>
        </w:rPr>
        <w:t>cipants and community inclusion.</w:t>
      </w:r>
    </w:p>
    <w:p w:rsidR="004D7C73" w:rsidRDefault="00D5482E" w:rsidP="008A2043">
      <w:pPr>
        <w:pStyle w:val="ListParagraph"/>
        <w:numPr>
          <w:ilvl w:val="0"/>
          <w:numId w:val="3"/>
        </w:numPr>
        <w:pBdr>
          <w:top w:val="nil"/>
          <w:left w:val="nil"/>
          <w:bottom w:val="nil"/>
          <w:right w:val="nil"/>
          <w:between w:val="nil"/>
          <w:bar w:val="nil"/>
        </w:pBdr>
        <w:tabs>
          <w:tab w:val="left" w:pos="0"/>
        </w:tabs>
        <w:spacing w:after="0" w:line="240" w:lineRule="auto"/>
        <w:ind w:left="284" w:hanging="284"/>
        <w:jc w:val="both"/>
        <w:rPr>
          <w:rFonts w:ascii="Arial" w:eastAsia="Calibri" w:hAnsi="Arial" w:cs="Arial"/>
          <w:sz w:val="16"/>
          <w:szCs w:val="16"/>
          <w:bdr w:val="nil"/>
        </w:rPr>
      </w:pPr>
      <w:r>
        <w:rPr>
          <w:rFonts w:ascii="Arial" w:eastAsia="Calibri" w:hAnsi="Arial" w:cs="Arial"/>
          <w:sz w:val="16"/>
          <w:szCs w:val="16"/>
          <w:bdr w:val="nil"/>
        </w:rPr>
        <w:t xml:space="preserve">‘Corporate entities’ are corporate Commonwealth entities and Commonwealth companies as defined under the </w:t>
      </w:r>
      <w:r w:rsidRPr="004D7C73">
        <w:rPr>
          <w:rFonts w:ascii="Arial" w:eastAsia="Calibri" w:hAnsi="Arial" w:cs="Arial"/>
          <w:sz w:val="16"/>
          <w:szCs w:val="16"/>
          <w:bdr w:val="nil"/>
        </w:rPr>
        <w:t>PGPA Act</w:t>
      </w:r>
      <w:r>
        <w:rPr>
          <w:rFonts w:ascii="Arial" w:eastAsia="Calibri" w:hAnsi="Arial" w:cs="Arial"/>
          <w:sz w:val="16"/>
          <w:szCs w:val="16"/>
          <w:bdr w:val="nil"/>
        </w:rPr>
        <w:t>.</w:t>
      </w:r>
    </w:p>
    <w:p w:rsidR="004D7C73" w:rsidRDefault="00D5482E" w:rsidP="008A2043">
      <w:pPr>
        <w:pStyle w:val="ListParagraph"/>
        <w:numPr>
          <w:ilvl w:val="0"/>
          <w:numId w:val="3"/>
        </w:numPr>
        <w:pBdr>
          <w:top w:val="nil"/>
          <w:left w:val="nil"/>
          <w:bottom w:val="nil"/>
          <w:right w:val="nil"/>
          <w:between w:val="nil"/>
          <w:bar w:val="nil"/>
        </w:pBdr>
        <w:tabs>
          <w:tab w:val="left" w:pos="0"/>
        </w:tabs>
        <w:spacing w:after="0" w:line="240" w:lineRule="auto"/>
        <w:ind w:left="284" w:hanging="284"/>
        <w:jc w:val="both"/>
        <w:rPr>
          <w:rFonts w:ascii="Arial" w:eastAsia="Calibri" w:hAnsi="Arial" w:cs="Arial"/>
          <w:sz w:val="16"/>
          <w:szCs w:val="16"/>
          <w:bdr w:val="nil"/>
        </w:rPr>
      </w:pPr>
      <w:r>
        <w:rPr>
          <w:rFonts w:ascii="Arial" w:eastAsia="Calibri" w:hAnsi="Arial" w:cs="Arial"/>
          <w:sz w:val="16"/>
          <w:szCs w:val="16"/>
          <w:bdr w:val="nil"/>
        </w:rPr>
        <w:t>The payments relating to the National Redress Scheme for Survivors of Institutional Child Sexual Abuse are not for publication (nfp) due to ongoing negotiations with other organisations.</w:t>
      </w:r>
    </w:p>
    <w:p w:rsidR="004540F4" w:rsidRDefault="00D5482E" w:rsidP="008A2043">
      <w:pPr>
        <w:pStyle w:val="ChartandTableFootnoteAlpha"/>
        <w:numPr>
          <w:ilvl w:val="0"/>
          <w:numId w:val="3"/>
        </w:numPr>
        <w:pBdr>
          <w:top w:val="nil"/>
          <w:left w:val="nil"/>
          <w:bottom w:val="nil"/>
          <w:right w:val="nil"/>
          <w:between w:val="nil"/>
          <w:bar w:val="nil"/>
        </w:pBdr>
        <w:spacing w:after="0"/>
        <w:ind w:left="284" w:hanging="284"/>
        <w:contextualSpacing/>
        <w:rPr>
          <w:bdr w:val="nil"/>
        </w:rPr>
      </w:pPr>
      <w:r>
        <w:rPr>
          <w:bdr w:val="nil"/>
        </w:rPr>
        <w:t>Excludes trust moneys held in Services for Other Entities and Trust Moneys (SOETM) and other special accounts. For further information on special accounts (excluding amounts held on trust), please see Table</w:t>
      </w:r>
      <w:r w:rsidR="001C56C9">
        <w:rPr>
          <w:bdr w:val="nil"/>
        </w:rPr>
        <w:t> </w:t>
      </w:r>
      <w:r>
        <w:rPr>
          <w:bdr w:val="nil"/>
        </w:rPr>
        <w:t>3.1: Special Account Flows.</w:t>
      </w:r>
    </w:p>
    <w:p w:rsidR="004D7C73" w:rsidRDefault="00D5482E" w:rsidP="008A2043">
      <w:pPr>
        <w:pStyle w:val="ListParagraph"/>
        <w:numPr>
          <w:ilvl w:val="0"/>
          <w:numId w:val="3"/>
        </w:numPr>
        <w:pBdr>
          <w:top w:val="nil"/>
          <w:left w:val="nil"/>
          <w:bottom w:val="nil"/>
          <w:right w:val="nil"/>
          <w:between w:val="nil"/>
          <w:bar w:val="nil"/>
        </w:pBdr>
        <w:tabs>
          <w:tab w:val="left" w:pos="0"/>
        </w:tabs>
        <w:spacing w:after="0" w:line="240" w:lineRule="auto"/>
        <w:ind w:left="284" w:hanging="284"/>
        <w:jc w:val="both"/>
        <w:rPr>
          <w:rFonts w:ascii="Arial" w:eastAsia="Calibri" w:hAnsi="Arial" w:cs="Arial"/>
          <w:sz w:val="16"/>
          <w:szCs w:val="16"/>
          <w:bdr w:val="nil"/>
        </w:rPr>
      </w:pPr>
      <w:r>
        <w:rPr>
          <w:rFonts w:ascii="Arial" w:eastAsia="Calibri" w:hAnsi="Arial" w:cs="Arial"/>
          <w:sz w:val="16"/>
          <w:szCs w:val="16"/>
          <w:bdr w:val="nil"/>
        </w:rPr>
        <w:t>Includes amounts credited to the special accounts from DSS annual and special appropriations.</w:t>
      </w:r>
    </w:p>
    <w:p w:rsidR="00A7732B" w:rsidRPr="00A7732B" w:rsidRDefault="00A7732B" w:rsidP="00A7732B">
      <w:pPr>
        <w:pBdr>
          <w:top w:val="nil"/>
          <w:left w:val="nil"/>
          <w:bottom w:val="nil"/>
          <w:right w:val="nil"/>
          <w:between w:val="nil"/>
          <w:bar w:val="nil"/>
        </w:pBdr>
        <w:spacing w:after="240" w:line="260" w:lineRule="exact"/>
        <w:jc w:val="both"/>
        <w:rPr>
          <w:rFonts w:ascii="Book Antiqua" w:eastAsia="Calibri" w:hAnsi="Book Antiqua" w:cs="Arial"/>
          <w:b/>
          <w:i/>
          <w:color w:val="FF0000"/>
          <w:sz w:val="20"/>
          <w:bdr w:val="nil"/>
        </w:rPr>
      </w:pPr>
    </w:p>
    <w:p w:rsidR="00A7732B" w:rsidRDefault="00D5482E">
      <w:pPr>
        <w:pBdr>
          <w:top w:val="nil"/>
          <w:left w:val="nil"/>
          <w:bottom w:val="nil"/>
          <w:right w:val="nil"/>
          <w:between w:val="nil"/>
          <w:bar w:val="nil"/>
        </w:pBdr>
        <w:rPr>
          <w:rFonts w:ascii="Book Antiqua" w:eastAsia="Calibri" w:hAnsi="Book Antiqua" w:cs="Arial"/>
          <w:sz w:val="20"/>
          <w:bdr w:val="nil"/>
        </w:rPr>
      </w:pPr>
      <w:r>
        <w:rPr>
          <w:rFonts w:ascii="Book Antiqua" w:eastAsia="Calibri" w:hAnsi="Book Antiqua" w:cs="Arial"/>
          <w:sz w:val="20"/>
          <w:bdr w:val="nil"/>
        </w:rPr>
        <w:br w:type="page"/>
      </w:r>
    </w:p>
    <w:p w:rsidR="00A7732B" w:rsidRDefault="00D5482E" w:rsidP="00DD3CD1">
      <w:pPr>
        <w:pStyle w:val="TableHeading"/>
        <w:keepLines/>
        <w:pBdr>
          <w:top w:val="nil"/>
          <w:left w:val="nil"/>
          <w:bottom w:val="nil"/>
          <w:right w:val="nil"/>
          <w:between w:val="nil"/>
          <w:bar w:val="nil"/>
        </w:pBdr>
        <w:spacing w:before="0" w:after="240"/>
        <w:rPr>
          <w:rFonts w:eastAsia="Calibri"/>
          <w:szCs w:val="22"/>
          <w:bdr w:val="nil"/>
          <w:lang w:val="en-US" w:eastAsia="en-US"/>
        </w:rPr>
      </w:pPr>
      <w:r>
        <w:rPr>
          <w:rFonts w:eastAsia="Calibri" w:cs="Arial"/>
          <w:szCs w:val="22"/>
          <w:bdr w:val="nil"/>
          <w:lang w:val="en-US" w:eastAsia="en-US"/>
        </w:rPr>
        <w:lastRenderedPageBreak/>
        <w:t xml:space="preserve">Table 1.1: </w:t>
      </w:r>
      <w:r>
        <w:rPr>
          <w:rFonts w:eastAsia="Calibri" w:cs="Arial"/>
          <w:snapToGrid w:val="0"/>
          <w:szCs w:val="22"/>
          <w:bdr w:val="nil"/>
          <w:lang w:val="en-US" w:eastAsia="en-US"/>
        </w:rPr>
        <w:t>Department of Social Services</w:t>
      </w:r>
      <w:r>
        <w:rPr>
          <w:rFonts w:eastAsia="Calibri" w:cs="Arial"/>
          <w:szCs w:val="22"/>
          <w:bdr w:val="nil"/>
          <w:lang w:val="en-US" w:eastAsia="en-US"/>
        </w:rPr>
        <w:t xml:space="preserve"> resource statement – Additional Estimates for 2020-21 as at February 2021 (continued)</w:t>
      </w:r>
    </w:p>
    <w:p w:rsidR="00A7732B" w:rsidRDefault="00D5482E" w:rsidP="00DD3CD1">
      <w:pPr>
        <w:pBdr>
          <w:top w:val="nil"/>
          <w:left w:val="nil"/>
          <w:bottom w:val="nil"/>
          <w:right w:val="nil"/>
          <w:between w:val="nil"/>
          <w:bar w:val="nil"/>
        </w:pBdr>
        <w:spacing w:after="0" w:line="240" w:lineRule="auto"/>
        <w:rPr>
          <w:rFonts w:ascii="Arial" w:eastAsia="Calibri" w:hAnsi="Arial" w:cs="Arial"/>
          <w:b/>
          <w:sz w:val="20"/>
          <w:bdr w:val="nil"/>
        </w:rPr>
      </w:pPr>
      <w:r>
        <w:rPr>
          <w:rFonts w:ascii="Arial" w:eastAsia="Calibri" w:hAnsi="Arial" w:cs="Arial"/>
          <w:b/>
          <w:sz w:val="20"/>
          <w:bdr w:val="nil"/>
        </w:rPr>
        <w:t>Third-party payments from and on behalf of other entities</w:t>
      </w:r>
    </w:p>
    <w:tbl>
      <w:tblPr>
        <w:tblStyle w:val="CDMRange1"/>
        <w:tblW w:w="7785" w:type="dxa"/>
        <w:tblLayout w:type="fixed"/>
        <w:tblCellMar>
          <w:top w:w="11" w:type="dxa"/>
          <w:bottom w:w="11" w:type="dxa"/>
        </w:tblCellMar>
        <w:tblLook w:val="0600" w:firstRow="0" w:lastRow="0" w:firstColumn="0" w:lastColumn="0" w:noHBand="1" w:noVBand="1"/>
        <w:tblCaption w:val="Table 1.1: Department of Social Services resource statement – Additional Estimates for 2020-21 as at February 2021 (continued)"/>
        <w:tblDescription w:val="Third-party payments from and on behalf of other entities&#10;"/>
      </w:tblPr>
      <w:tblGrid>
        <w:gridCol w:w="3720"/>
        <w:gridCol w:w="1050"/>
        <w:gridCol w:w="1005"/>
        <w:gridCol w:w="1005"/>
        <w:gridCol w:w="1005"/>
      </w:tblGrid>
      <w:tr w:rsidR="00010972" w:rsidTr="00C95DC9">
        <w:trPr>
          <w:tblHeader/>
        </w:trPr>
        <w:tc>
          <w:tcPr>
            <w:tcW w:w="37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Actual</w:t>
            </w:r>
          </w:p>
        </w:tc>
        <w:tc>
          <w:tcPr>
            <w:tcW w:w="1005" w:type="dxa"/>
            <w:tcBorders>
              <w:top w:val="dotted" w:sz="2" w:space="0" w:color="000000"/>
              <w:left w:val="nil"/>
              <w:bottom w:val="nil"/>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w:t>
            </w:r>
          </w:p>
        </w:tc>
        <w:tc>
          <w:tcPr>
            <w:tcW w:w="1005" w:type="dxa"/>
            <w:tcBorders>
              <w:top w:val="dotted" w:sz="2" w:space="0" w:color="000000"/>
              <w:left w:val="nil"/>
              <w:bottom w:val="nil"/>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Proposed</w:t>
            </w:r>
          </w:p>
        </w:tc>
        <w:tc>
          <w:tcPr>
            <w:tcW w:w="1005" w:type="dxa"/>
            <w:tcBorders>
              <w:top w:val="dotted" w:sz="2" w:space="0" w:color="000000"/>
              <w:left w:val="nil"/>
              <w:bottom w:val="nil"/>
              <w:right w:val="nil"/>
              <w:tl2br w:val="nil"/>
              <w:tr2bl w:val="nil"/>
            </w:tcBorders>
            <w:shd w:val="clear" w:color="FFFFFF" w:fill="EAEAEA"/>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Total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available</w:t>
            </w:r>
          </w:p>
        </w:tc>
        <w:tc>
          <w:tcPr>
            <w:tcW w:w="1005" w:type="dxa"/>
            <w:tcBorders>
              <w:top w:val="nil"/>
              <w:left w:val="nil"/>
              <w:bottom w:val="nil"/>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as at</w:t>
            </w:r>
          </w:p>
        </w:tc>
        <w:tc>
          <w:tcPr>
            <w:tcW w:w="1005" w:type="dxa"/>
            <w:tcBorders>
              <w:top w:val="nil"/>
              <w:left w:val="nil"/>
              <w:bottom w:val="nil"/>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Additional</w:t>
            </w:r>
          </w:p>
        </w:tc>
        <w:tc>
          <w:tcPr>
            <w:tcW w:w="1005" w:type="dxa"/>
            <w:tcBorders>
              <w:top w:val="nil"/>
              <w:left w:val="nil"/>
              <w:bottom w:val="nil"/>
              <w:right w:val="nil"/>
              <w:tl2br w:val="nil"/>
              <w:tr2bl w:val="nil"/>
            </w:tcBorders>
            <w:shd w:val="clear" w:color="FFFFFF" w:fill="EAEAEA"/>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 at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appropriation</w:t>
            </w:r>
          </w:p>
        </w:tc>
        <w:tc>
          <w:tcPr>
            <w:tcW w:w="1005" w:type="dxa"/>
            <w:tcBorders>
              <w:top w:val="nil"/>
              <w:left w:val="nil"/>
              <w:bottom w:val="nil"/>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Budget</w:t>
            </w:r>
          </w:p>
        </w:tc>
        <w:tc>
          <w:tcPr>
            <w:tcW w:w="1005" w:type="dxa"/>
            <w:tcBorders>
              <w:top w:val="nil"/>
              <w:left w:val="nil"/>
              <w:bottom w:val="nil"/>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Estimates</w:t>
            </w:r>
          </w:p>
        </w:tc>
        <w:tc>
          <w:tcPr>
            <w:tcW w:w="1005" w:type="dxa"/>
            <w:tcBorders>
              <w:top w:val="nil"/>
              <w:left w:val="nil"/>
              <w:bottom w:val="nil"/>
              <w:right w:val="nil"/>
              <w:tl2br w:val="nil"/>
              <w:tr2bl w:val="nil"/>
            </w:tcBorders>
            <w:shd w:val="clear" w:color="FFFFFF" w:fill="EAEAEA"/>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Additional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FF0000"/>
                <w:sz w:val="16"/>
                <w:bdr w:val="nil"/>
              </w:rPr>
            </w:pPr>
          </w:p>
        </w:tc>
        <w:tc>
          <w:tcPr>
            <w:tcW w:w="1005" w:type="dxa"/>
            <w:tcBorders>
              <w:top w:val="nil"/>
              <w:left w:val="nil"/>
              <w:bottom w:val="nil"/>
              <w:right w:val="nil"/>
              <w:tl2br w:val="nil"/>
              <w:tr2bl w:val="nil"/>
            </w:tcBorders>
            <w:shd w:val="clear" w:color="auto" w:fill="auto"/>
            <w:noWrap/>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auto" w:fill="auto"/>
            <w:noWrap/>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EAEAEA"/>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50" w:type="dxa"/>
            <w:tcBorders>
              <w:top w:val="nil"/>
              <w:left w:val="nil"/>
              <w:bottom w:val="nil"/>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2019-20</w:t>
            </w:r>
          </w:p>
        </w:tc>
        <w:tc>
          <w:tcPr>
            <w:tcW w:w="1005" w:type="dxa"/>
            <w:tcBorders>
              <w:top w:val="nil"/>
              <w:left w:val="nil"/>
              <w:bottom w:val="nil"/>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c>
          <w:tcPr>
            <w:tcW w:w="1005" w:type="dxa"/>
            <w:tcBorders>
              <w:top w:val="nil"/>
              <w:left w:val="nil"/>
              <w:bottom w:val="nil"/>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c>
          <w:tcPr>
            <w:tcW w:w="1005" w:type="dxa"/>
            <w:tcBorders>
              <w:top w:val="nil"/>
              <w:left w:val="nil"/>
              <w:bottom w:val="nil"/>
              <w:right w:val="nil"/>
              <w:tl2br w:val="nil"/>
              <w:tr2bl w:val="nil"/>
            </w:tcBorders>
            <w:shd w:val="clear" w:color="FFFFFF" w:fill="E6E6E6"/>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50" w:type="dxa"/>
            <w:tcBorders>
              <w:top w:val="nil"/>
              <w:left w:val="nil"/>
              <w:bottom w:val="dotted" w:sz="2" w:space="0" w:color="000000"/>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$'000</w:t>
            </w:r>
          </w:p>
        </w:tc>
        <w:tc>
          <w:tcPr>
            <w:tcW w:w="1005" w:type="dxa"/>
            <w:tcBorders>
              <w:top w:val="nil"/>
              <w:left w:val="nil"/>
              <w:bottom w:val="dotted" w:sz="2" w:space="0" w:color="000000"/>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05" w:type="dxa"/>
            <w:tcBorders>
              <w:top w:val="nil"/>
              <w:left w:val="nil"/>
              <w:bottom w:val="dotted" w:sz="2" w:space="0" w:color="000000"/>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05" w:type="dxa"/>
            <w:tcBorders>
              <w:top w:val="nil"/>
              <w:left w:val="nil"/>
              <w:bottom w:val="dotted" w:sz="2" w:space="0" w:color="000000"/>
              <w:right w:val="nil"/>
              <w:tl2br w:val="nil"/>
              <w:tr2bl w:val="nil"/>
            </w:tcBorders>
            <w:shd w:val="clear" w:color="FFFFFF" w:fill="EAEAEA"/>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Payments made by Services Australia on behalf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of DSS:</w:t>
            </w:r>
          </w:p>
        </w:tc>
        <w:tc>
          <w:tcPr>
            <w:tcW w:w="1050"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Special appropriations – </w:t>
            </w:r>
            <w:r>
              <w:rPr>
                <w:rFonts w:ascii="Arial" w:eastAsia="Arial" w:hAnsi="Arial" w:cs="Arial"/>
                <w:i/>
                <w:color w:val="000000"/>
                <w:sz w:val="16"/>
                <w:bdr w:val="nil"/>
              </w:rPr>
              <w:t>Social Security</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bdr w:val="nil"/>
              </w:rPr>
              <w:t xml:space="preserve">  (Administration) Act 1999</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106,585,802</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128,309,148</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3,561,329</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131,870,477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Special appropriations –</w:t>
            </w:r>
            <w:r>
              <w:rPr>
                <w:rFonts w:ascii="Arial" w:eastAsia="Arial" w:hAnsi="Arial" w:cs="Arial"/>
                <w:i/>
                <w:color w:val="000000"/>
                <w:sz w:val="16"/>
                <w:bdr w:val="nil"/>
              </w:rPr>
              <w:t xml:space="preserve"> A New Tax System</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bdr w:val="nil"/>
              </w:rPr>
              <w:t xml:space="preserve">  (Family Assistance) (Administration)</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bdr w:val="nil"/>
              </w:rPr>
              <w:t xml:space="preserve">  Act 1999</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18,325,592</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19,481,901</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(4,960)</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19,476,941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Special appropriations – </w:t>
            </w:r>
            <w:r>
              <w:rPr>
                <w:rFonts w:ascii="Arial" w:eastAsia="Arial" w:hAnsi="Arial" w:cs="Arial"/>
                <w:i/>
                <w:color w:val="000000"/>
                <w:sz w:val="16"/>
                <w:bdr w:val="nil"/>
              </w:rPr>
              <w:t xml:space="preserve">Paid Parental Leave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bdr w:val="nil"/>
              </w:rPr>
              <w:t xml:space="preserve">  Act 2010</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2,421,693</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2,271,068</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2,271,068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bdr w:val="nil"/>
              </w:rPr>
              <w:t>S</w:t>
            </w:r>
            <w:r>
              <w:rPr>
                <w:rFonts w:ascii="Arial" w:eastAsia="Arial" w:hAnsi="Arial" w:cs="Arial"/>
                <w:color w:val="000000"/>
                <w:sz w:val="16"/>
                <w:bdr w:val="nil"/>
              </w:rPr>
              <w:t xml:space="preserve">pecial appropriations – </w:t>
            </w:r>
            <w:r>
              <w:rPr>
                <w:rFonts w:ascii="Arial" w:eastAsia="Arial" w:hAnsi="Arial" w:cs="Arial"/>
                <w:i/>
                <w:color w:val="000000"/>
                <w:sz w:val="16"/>
                <w:bdr w:val="nil"/>
              </w:rPr>
              <w:t>Student Assistance</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bdr w:val="nil"/>
              </w:rPr>
              <w:t xml:space="preserve">  Act 1973</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423,167</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405,676</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9,480</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415,156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National Redress Scheme for Institutional</w:t>
            </w:r>
          </w:p>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 xml:space="preserve">  Child Sexual Abuse Act 2018 </w:t>
            </w:r>
            <w:r>
              <w:rPr>
                <w:rFonts w:ascii="Arial" w:eastAsia="Arial" w:hAnsi="Arial" w:cs="Arial"/>
                <w:color w:val="000000"/>
                <w:sz w:val="16"/>
                <w:bdr w:val="nil"/>
              </w:rPr>
              <w:t>(a)</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205,251</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nfp</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nfp</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nfp</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Annual administered appropriations </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3,335</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7,363</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7,363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Payments made by the Department of Veterans'</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Affairs on behalf of DSS:</w:t>
            </w:r>
          </w:p>
        </w:tc>
        <w:tc>
          <w:tcPr>
            <w:tcW w:w="1050"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Special appropriations – </w:t>
            </w:r>
            <w:r>
              <w:rPr>
                <w:rFonts w:ascii="Arial" w:eastAsia="Arial" w:hAnsi="Arial" w:cs="Arial"/>
                <w:i/>
                <w:color w:val="000000"/>
                <w:sz w:val="16"/>
                <w:bdr w:val="nil"/>
              </w:rPr>
              <w:t>Social Security</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bdr w:val="nil"/>
              </w:rPr>
              <w:t xml:space="preserve">  (Administration) Act 1999</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43,057</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41,461</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2,596</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44,057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Payments made to other entities for the provision</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of services:</w:t>
            </w:r>
          </w:p>
        </w:tc>
        <w:tc>
          <w:tcPr>
            <w:tcW w:w="1050"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Department of Veterans' Affairs</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164</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156</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10</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166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Payments made to corporate entities within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the Portfolio:</w:t>
            </w:r>
          </w:p>
        </w:tc>
        <w:tc>
          <w:tcPr>
            <w:tcW w:w="1050"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National Disability Insurance Agency (b)</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8,302,528</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12,234,205</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(111,828)</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12,122,377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National Disability Insurance Agency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(Special Accounts)</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179,929</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249,591</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249,591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Receipts received from other entities for the</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provision of services:</w:t>
            </w:r>
          </w:p>
        </w:tc>
        <w:tc>
          <w:tcPr>
            <w:tcW w:w="1050"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Department of Health</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10,973</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999</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999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Department of the Prime Minister and Cabinet</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6,893</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Department of Education, Skills and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Employment</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7,449</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4,942</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4,942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Department of Agriculture, Water and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the Environment</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5,308</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5,869</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5,869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National Disability Insurance Agency</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4,587</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4,147</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4,147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Department of Veterans' Affairs</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1,638</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2,300</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2,300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NDIS Quality and Safeguards Commission</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9,256</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674</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674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National Indigenous Australians Agency</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2,949</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2,949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nil"/>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Department of Home Affairs</w:t>
            </w:r>
          </w:p>
        </w:tc>
        <w:tc>
          <w:tcPr>
            <w:tcW w:w="105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2,104</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1,485</w:t>
            </w:r>
          </w:p>
        </w:tc>
        <w:tc>
          <w:tcPr>
            <w:tcW w:w="100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0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1,485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20" w:type="dxa"/>
            <w:tcBorders>
              <w:top w:val="nil"/>
              <w:left w:val="nil"/>
              <w:bottom w:val="dotted" w:sz="2" w:space="0" w:color="000000"/>
              <w:right w:val="nil"/>
              <w:tl2br w:val="nil"/>
              <w:tr2bl w:val="nil"/>
            </w:tcBorders>
            <w:shd w:val="clear" w:color="FFFFFF" w:fill="FFFFFF"/>
            <w:tcMar>
              <w:left w:w="22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Other</w:t>
            </w:r>
          </w:p>
        </w:tc>
        <w:tc>
          <w:tcPr>
            <w:tcW w:w="105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3,588</w:t>
            </w:r>
          </w:p>
        </w:tc>
        <w:tc>
          <w:tcPr>
            <w:tcW w:w="1005"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3,411</w:t>
            </w:r>
          </w:p>
        </w:tc>
        <w:tc>
          <w:tcPr>
            <w:tcW w:w="1005"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1,205</w:t>
            </w:r>
          </w:p>
        </w:tc>
        <w:tc>
          <w:tcPr>
            <w:tcW w:w="1005"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4,616</w:t>
            </w:r>
          </w:p>
        </w:tc>
      </w:tr>
    </w:tbl>
    <w:p w:rsidR="006A17AA" w:rsidRPr="006A17AA" w:rsidRDefault="00D5482E" w:rsidP="00DD3CD1">
      <w:pPr>
        <w:pBdr>
          <w:top w:val="nil"/>
          <w:left w:val="nil"/>
          <w:bottom w:val="nil"/>
          <w:right w:val="nil"/>
          <w:between w:val="nil"/>
          <w:bar w:val="nil"/>
        </w:pBdr>
        <w:spacing w:after="0" w:line="240" w:lineRule="auto"/>
        <w:jc w:val="both"/>
        <w:rPr>
          <w:rFonts w:ascii="Arial" w:eastAsia="Times New Roman" w:hAnsi="Arial" w:cs="Arial"/>
          <w:sz w:val="16"/>
          <w:szCs w:val="15"/>
          <w:bdr w:val="nil"/>
          <w:lang w:val="en-AU" w:eastAsia="en-AU"/>
        </w:rPr>
      </w:pPr>
      <w:r w:rsidRPr="006A17AA">
        <w:rPr>
          <w:rFonts w:ascii="Arial" w:eastAsia="Times New Roman" w:hAnsi="Arial" w:cs="Arial"/>
          <w:sz w:val="16"/>
          <w:szCs w:val="15"/>
          <w:bdr w:val="nil"/>
          <w:lang w:val="en-AU" w:eastAsia="en-AU"/>
        </w:rPr>
        <w:t>Note: All figures are GST exclusive.</w:t>
      </w:r>
    </w:p>
    <w:p w:rsidR="006A17AA" w:rsidRDefault="00D5482E" w:rsidP="00E24C77">
      <w:pPr>
        <w:pStyle w:val="ListParagraph"/>
        <w:numPr>
          <w:ilvl w:val="0"/>
          <w:numId w:val="5"/>
        </w:numPr>
        <w:pBdr>
          <w:top w:val="nil"/>
          <w:left w:val="nil"/>
          <w:bottom w:val="nil"/>
          <w:right w:val="nil"/>
          <w:between w:val="nil"/>
          <w:bar w:val="nil"/>
        </w:pBdr>
        <w:tabs>
          <w:tab w:val="left" w:pos="142"/>
        </w:tabs>
        <w:spacing w:after="0" w:line="240" w:lineRule="auto"/>
        <w:ind w:left="284" w:hanging="284"/>
        <w:contextualSpacing w:val="0"/>
        <w:rPr>
          <w:rFonts w:ascii="Arial" w:eastAsia="Calibri" w:hAnsi="Arial" w:cs="Arial"/>
          <w:sz w:val="16"/>
          <w:szCs w:val="16"/>
          <w:bdr w:val="nil"/>
          <w:lang w:val="en-AU"/>
        </w:rPr>
      </w:pPr>
      <w:r w:rsidRPr="006A17AA">
        <w:rPr>
          <w:rFonts w:ascii="Arial" w:eastAsia="Calibri" w:hAnsi="Arial" w:cs="Arial"/>
          <w:sz w:val="16"/>
          <w:szCs w:val="16"/>
          <w:bdr w:val="nil"/>
          <w:lang w:val="en-AU"/>
        </w:rPr>
        <w:t xml:space="preserve">The payments relating to </w:t>
      </w:r>
      <w:r>
        <w:rPr>
          <w:rFonts w:ascii="Arial" w:eastAsia="Calibri" w:hAnsi="Arial" w:cs="Arial"/>
          <w:sz w:val="16"/>
          <w:szCs w:val="16"/>
          <w:bdr w:val="nil"/>
          <w:lang w:val="en-AU"/>
        </w:rPr>
        <w:t xml:space="preserve">the </w:t>
      </w:r>
      <w:r w:rsidRPr="006A17AA">
        <w:rPr>
          <w:rFonts w:ascii="Arial" w:eastAsia="Calibri" w:hAnsi="Arial" w:cs="Arial"/>
          <w:sz w:val="16"/>
          <w:szCs w:val="16"/>
          <w:bdr w:val="nil"/>
          <w:lang w:val="en-AU"/>
        </w:rPr>
        <w:t>National Redress Scheme for Survivors of Institutional Child Sexual Abuse are not for publication due to ongoing negotiations with other organisations.</w:t>
      </w:r>
    </w:p>
    <w:p w:rsidR="00A7732B" w:rsidRPr="006A17AA" w:rsidRDefault="00D5482E" w:rsidP="00E24C77">
      <w:pPr>
        <w:pStyle w:val="ListParagraph"/>
        <w:numPr>
          <w:ilvl w:val="0"/>
          <w:numId w:val="5"/>
        </w:numPr>
        <w:pBdr>
          <w:top w:val="nil"/>
          <w:left w:val="nil"/>
          <w:bottom w:val="nil"/>
          <w:right w:val="nil"/>
          <w:between w:val="nil"/>
          <w:bar w:val="nil"/>
        </w:pBdr>
        <w:tabs>
          <w:tab w:val="left" w:pos="142"/>
        </w:tabs>
        <w:spacing w:after="0" w:line="240" w:lineRule="auto"/>
        <w:ind w:left="284" w:hanging="284"/>
        <w:contextualSpacing w:val="0"/>
        <w:rPr>
          <w:rFonts w:ascii="Arial" w:eastAsia="Calibri" w:hAnsi="Arial" w:cs="Arial"/>
          <w:sz w:val="16"/>
          <w:szCs w:val="16"/>
          <w:bdr w:val="nil"/>
          <w:lang w:val="en-AU"/>
        </w:rPr>
      </w:pPr>
      <w:r w:rsidRPr="006A17AA">
        <w:rPr>
          <w:rFonts w:ascii="Arial" w:eastAsia="Calibri" w:hAnsi="Arial" w:cs="Arial"/>
          <w:sz w:val="16"/>
          <w:szCs w:val="15"/>
          <w:bdr w:val="nil"/>
        </w:rPr>
        <w:t xml:space="preserve">The National Disability Insurance Agency is not directly appropriated as it is a corporate Commonwealth entity. Appropriations are made to DSS, as the responsible non-corporate Commonwealth entity, which are then paid to the National Disability Insurance Agency. </w:t>
      </w:r>
    </w:p>
    <w:p w:rsidR="00A7732B" w:rsidRPr="00E36EDC" w:rsidRDefault="00A7732B" w:rsidP="00E36EDC">
      <w:pPr>
        <w:pBdr>
          <w:top w:val="nil"/>
          <w:left w:val="nil"/>
          <w:bottom w:val="nil"/>
          <w:right w:val="nil"/>
          <w:between w:val="nil"/>
          <w:bar w:val="nil"/>
        </w:pBdr>
        <w:spacing w:after="240" w:line="260" w:lineRule="exact"/>
        <w:jc w:val="both"/>
        <w:rPr>
          <w:rFonts w:ascii="Book Antiqua" w:eastAsia="Calibri" w:hAnsi="Book Antiqua" w:cs="Arial"/>
          <w:vanish/>
          <w:sz w:val="20"/>
          <w:bdr w:val="nil"/>
        </w:rPr>
      </w:pPr>
    </w:p>
    <w:p w:rsidR="003E027B" w:rsidRDefault="00D5482E" w:rsidP="00122893">
      <w:pPr>
        <w:pStyle w:val="Heading3"/>
        <w:pageBreakBefore/>
        <w:pBdr>
          <w:top w:val="nil"/>
          <w:left w:val="nil"/>
          <w:bottom w:val="nil"/>
          <w:right w:val="nil"/>
          <w:between w:val="nil"/>
          <w:bar w:val="nil"/>
        </w:pBdr>
        <w:spacing w:before="0"/>
        <w:ind w:right="28"/>
        <w:rPr>
          <w:bdr w:val="nil"/>
        </w:rPr>
      </w:pPr>
      <w:r>
        <w:rPr>
          <w:bdr w:val="nil"/>
        </w:rPr>
        <w:lastRenderedPageBreak/>
        <w:t>1.3</w:t>
      </w:r>
      <w:r>
        <w:rPr>
          <w:bdr w:val="nil"/>
        </w:rPr>
        <w:tab/>
        <w:t>Entity measures</w:t>
      </w:r>
    </w:p>
    <w:p w:rsidR="00185C80" w:rsidRDefault="00D5482E" w:rsidP="00122893">
      <w:pPr>
        <w:pStyle w:val="TableHeading"/>
        <w:keepLines/>
        <w:pBdr>
          <w:top w:val="nil"/>
          <w:left w:val="nil"/>
          <w:bottom w:val="nil"/>
          <w:right w:val="nil"/>
          <w:between w:val="nil"/>
          <w:bar w:val="nil"/>
        </w:pBdr>
        <w:spacing w:before="0" w:after="240"/>
        <w:ind w:right="28"/>
        <w:rPr>
          <w:rFonts w:ascii="Book Antiqua" w:hAnsi="Book Antiqua"/>
          <w:b w:val="0"/>
          <w:bdr w:val="nil"/>
        </w:rPr>
      </w:pPr>
      <w:r w:rsidRPr="00185C80">
        <w:rPr>
          <w:rFonts w:ascii="Book Antiqua" w:hAnsi="Book Antiqua"/>
          <w:b w:val="0"/>
          <w:bdr w:val="nil"/>
        </w:rPr>
        <w:t>Table 1.2 summarises new Government measures taken since the 2020-21 Budget. The table is split into receipt and payment measures, with the affected program identified.</w:t>
      </w:r>
    </w:p>
    <w:p w:rsidR="008523B9" w:rsidRDefault="00D5482E" w:rsidP="00122893">
      <w:pPr>
        <w:pStyle w:val="TableHeading"/>
        <w:keepLines/>
        <w:pBdr>
          <w:top w:val="nil"/>
          <w:left w:val="nil"/>
          <w:bottom w:val="nil"/>
          <w:right w:val="nil"/>
          <w:between w:val="nil"/>
          <w:bar w:val="nil"/>
        </w:pBdr>
        <w:spacing w:before="0" w:after="0"/>
        <w:ind w:right="28"/>
        <w:rPr>
          <w:rFonts w:cs="Arial"/>
          <w:bdr w:val="nil"/>
        </w:rPr>
      </w:pPr>
      <w:r w:rsidRPr="001C36D0">
        <w:rPr>
          <w:bdr w:val="nil"/>
        </w:rPr>
        <w:t xml:space="preserve">Table 1.2: </w:t>
      </w:r>
      <w:r w:rsidRPr="001C36D0">
        <w:rPr>
          <w:snapToGrid w:val="0"/>
          <w:bdr w:val="nil"/>
        </w:rPr>
        <w:t>Department of Social Services</w:t>
      </w:r>
      <w:r>
        <w:rPr>
          <w:bdr w:val="nil"/>
        </w:rPr>
        <w:t xml:space="preserve"> 2020-21 </w:t>
      </w:r>
      <w:r w:rsidRPr="001C36D0">
        <w:rPr>
          <w:bdr w:val="nil"/>
        </w:rPr>
        <w:t>measures</w:t>
      </w:r>
      <w:r>
        <w:rPr>
          <w:bdr w:val="nil"/>
        </w:rPr>
        <w:t xml:space="preserve"> </w:t>
      </w:r>
      <w:r>
        <w:rPr>
          <w:rFonts w:cs="Arial"/>
          <w:bdr w:val="nil"/>
        </w:rPr>
        <w:t xml:space="preserve">since Budget </w:t>
      </w:r>
    </w:p>
    <w:tbl>
      <w:tblPr>
        <w:tblStyle w:val="CDMRange1"/>
        <w:tblW w:w="7695" w:type="dxa"/>
        <w:tblLayout w:type="fixed"/>
        <w:tblCellMar>
          <w:top w:w="11" w:type="dxa"/>
          <w:bottom w:w="11" w:type="dxa"/>
        </w:tblCellMar>
        <w:tblLook w:val="0600" w:firstRow="0" w:lastRow="0" w:firstColumn="0" w:lastColumn="0" w:noHBand="1" w:noVBand="1"/>
        <w:tblCaption w:val="Table 1.2: Department of Social Services 2020-21 measures since Budget "/>
      </w:tblPr>
      <w:tblGrid>
        <w:gridCol w:w="3330"/>
        <w:gridCol w:w="705"/>
        <w:gridCol w:w="915"/>
        <w:gridCol w:w="915"/>
        <w:gridCol w:w="915"/>
        <w:gridCol w:w="915"/>
      </w:tblGrid>
      <w:tr w:rsidR="00010972" w:rsidTr="00C95DC9">
        <w:trPr>
          <w:tblHeader/>
        </w:trPr>
        <w:tc>
          <w:tcPr>
            <w:tcW w:w="333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05"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szCs w:val="20"/>
                <w:bdr w:val="nil"/>
                <w:lang w:val="en-AU" w:eastAsia="en-AU"/>
              </w:rPr>
              <w:t>Program</w:t>
            </w:r>
          </w:p>
        </w:tc>
        <w:tc>
          <w:tcPr>
            <w:tcW w:w="915"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15" w:type="dxa"/>
            <w:tcBorders>
              <w:top w:val="dotted" w:sz="2" w:space="0" w:color="000000"/>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15"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15"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05" w:type="dxa"/>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1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Payment measures</w:t>
            </w:r>
          </w:p>
        </w:tc>
        <w:tc>
          <w:tcPr>
            <w:tcW w:w="705" w:type="dxa"/>
            <w:tcBorders>
              <w:top w:val="dotted" w:sz="2" w:space="0" w:color="000000"/>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COVID-19 Response Package  ̶  Extend Coronavirus Supplement and Temporary Access and Eligibility</w:t>
            </w:r>
          </w:p>
        </w:tc>
        <w:tc>
          <w:tcPr>
            <w:tcW w:w="70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szCs w:val="20"/>
                <w:bdr w:val="nil"/>
                <w:lang w:val="en-AU" w:eastAsia="en-AU"/>
              </w:rPr>
              <w:t>1.1, 1.3, 1.10, 1.11</w:t>
            </w: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payments</w:t>
            </w:r>
          </w:p>
        </w:tc>
        <w:tc>
          <w:tcPr>
            <w:tcW w:w="705" w:type="dxa"/>
            <w:tcBorders>
              <w:top w:val="nil"/>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2,796,773</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905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payments</w:t>
            </w:r>
          </w:p>
        </w:tc>
        <w:tc>
          <w:tcPr>
            <w:tcW w:w="705" w:type="dxa"/>
            <w:tcBorders>
              <w:top w:val="nil"/>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Total </w:t>
            </w:r>
          </w:p>
        </w:tc>
        <w:tc>
          <w:tcPr>
            <w:tcW w:w="705" w:type="dxa"/>
            <w:tcBorders>
              <w:top w:val="nil"/>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2,796,773</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905</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28</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Mobility Allowance Program  ̶  extension</w:t>
            </w:r>
          </w:p>
        </w:tc>
        <w:tc>
          <w:tcPr>
            <w:tcW w:w="70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szCs w:val="20"/>
                <w:bdr w:val="nil"/>
                <w:lang w:val="en-AU" w:eastAsia="en-AU"/>
              </w:rPr>
              <w:t>1.8</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payments</w:t>
            </w:r>
          </w:p>
        </w:tc>
        <w:tc>
          <w:tcPr>
            <w:tcW w:w="705" w:type="dxa"/>
            <w:tcBorders>
              <w:top w:val="nil"/>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431</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payments</w:t>
            </w:r>
          </w:p>
        </w:tc>
        <w:tc>
          <w:tcPr>
            <w:tcW w:w="705" w:type="dxa"/>
            <w:tcBorders>
              <w:top w:val="nil"/>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Total </w:t>
            </w:r>
          </w:p>
        </w:tc>
        <w:tc>
          <w:tcPr>
            <w:tcW w:w="705" w:type="dxa"/>
            <w:tcBorders>
              <w:top w:val="nil"/>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431</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payment measures</w:t>
            </w:r>
          </w:p>
        </w:tc>
        <w:tc>
          <w:tcPr>
            <w:tcW w:w="70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w:t>
            </w:r>
          </w:p>
        </w:tc>
        <w:tc>
          <w:tcPr>
            <w:tcW w:w="70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2,797,204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905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w:t>
            </w:r>
          </w:p>
        </w:tc>
        <w:tc>
          <w:tcPr>
            <w:tcW w:w="70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3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w:t>
            </w:r>
          </w:p>
        </w:tc>
        <w:tc>
          <w:tcPr>
            <w:tcW w:w="705" w:type="dxa"/>
            <w:tcBorders>
              <w:top w:val="nil"/>
              <w:left w:val="nil"/>
              <w:bottom w:val="dotted" w:sz="2" w:space="0" w:color="000000"/>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2,797,204</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905</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28</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r>
    </w:tbl>
    <w:p w:rsidR="009D4AB0" w:rsidRDefault="00D5482E" w:rsidP="001A1C6B">
      <w:pPr>
        <w:pStyle w:val="ChartandTableFootnote"/>
        <w:pBdr>
          <w:top w:val="nil"/>
          <w:left w:val="nil"/>
          <w:bottom w:val="nil"/>
          <w:right w:val="nil"/>
          <w:between w:val="nil"/>
          <w:bar w:val="nil"/>
        </w:pBdr>
        <w:tabs>
          <w:tab w:val="clear" w:pos="284"/>
          <w:tab w:val="left" w:pos="0"/>
        </w:tabs>
        <w:ind w:left="0" w:firstLine="0"/>
        <w:rPr>
          <w:rStyle w:val="BookTitle"/>
          <w:rFonts w:cs="Arial"/>
          <w:i w:val="0"/>
          <w:smallCaps w:val="0"/>
          <w:color w:val="000000"/>
          <w:szCs w:val="16"/>
          <w:bdr w:val="nil"/>
        </w:rPr>
      </w:pPr>
      <w:r w:rsidRPr="001A1C6B">
        <w:rPr>
          <w:rFonts w:cs="Arial"/>
          <w:bdr w:val="nil"/>
        </w:rPr>
        <w:t>Prepared on a Government Financial Statistics (Underlying Cash) basis. Figures displayed as a negative (-) represent a decrease in funds and a positive (+) represent an increase in funds</w:t>
      </w:r>
      <w:r>
        <w:rPr>
          <w:rFonts w:cs="Arial"/>
          <w:bdr w:val="nil"/>
        </w:rPr>
        <w:t>.</w:t>
      </w:r>
    </w:p>
    <w:p w:rsidR="0026077D" w:rsidRDefault="00D5482E" w:rsidP="00F04D0C">
      <w:pPr>
        <w:pStyle w:val="Heading3"/>
        <w:pageBreakBefore/>
        <w:pBdr>
          <w:top w:val="nil"/>
          <w:left w:val="nil"/>
          <w:bottom w:val="nil"/>
          <w:right w:val="nil"/>
          <w:between w:val="nil"/>
          <w:bar w:val="nil"/>
        </w:pBdr>
        <w:spacing w:before="0"/>
        <w:rPr>
          <w:bdr w:val="nil"/>
          <w:lang w:val="en-GB"/>
        </w:rPr>
      </w:pPr>
      <w:r>
        <w:rPr>
          <w:bdr w:val="nil"/>
          <w:lang w:val="en-GB"/>
        </w:rPr>
        <w:lastRenderedPageBreak/>
        <w:t>1.</w:t>
      </w:r>
      <w:r w:rsidRPr="0026077D">
        <w:rPr>
          <w:bdr w:val="nil"/>
          <w:lang w:val="en-GB"/>
        </w:rPr>
        <w:t>4</w:t>
      </w:r>
      <w:r>
        <w:rPr>
          <w:bdr w:val="nil"/>
          <w:lang w:val="en-GB"/>
        </w:rPr>
        <w:tab/>
        <w:t>Additional estimates, resourcing and variations to outcomes</w:t>
      </w:r>
    </w:p>
    <w:p w:rsidR="0026077D" w:rsidRPr="00CA3A38" w:rsidRDefault="00D5482E" w:rsidP="00832611">
      <w:pPr>
        <w:pBdr>
          <w:top w:val="nil"/>
          <w:left w:val="nil"/>
          <w:bottom w:val="nil"/>
          <w:right w:val="nil"/>
          <w:between w:val="nil"/>
          <w:bar w:val="nil"/>
        </w:pBdr>
        <w:spacing w:after="240" w:line="260" w:lineRule="exact"/>
        <w:jc w:val="both"/>
        <w:rPr>
          <w:rFonts w:ascii="Book Antiqua" w:eastAsia="Calibri" w:hAnsi="Book Antiqua" w:cs="Arial"/>
          <w:sz w:val="20"/>
          <w:bdr w:val="nil"/>
          <w:lang w:val="en-GB"/>
        </w:rPr>
      </w:pPr>
      <w:r w:rsidRPr="0026077D">
        <w:rPr>
          <w:rFonts w:ascii="Book Antiqua" w:eastAsia="Calibri" w:hAnsi="Book Antiqua" w:cs="Arial"/>
          <w:sz w:val="20"/>
          <w:bdr w:val="nil"/>
          <w:lang w:val="en-GB"/>
        </w:rPr>
        <w:t>The following tables detail the changes to the resourcing for</w:t>
      </w:r>
      <w:r>
        <w:rPr>
          <w:rFonts w:ascii="Book Antiqua" w:eastAsia="Calibri" w:hAnsi="Book Antiqua" w:cs="Arial"/>
          <w:sz w:val="20"/>
          <w:bdr w:val="nil"/>
          <w:lang w:val="en-GB"/>
        </w:rPr>
        <w:t xml:space="preserve"> DSS at Additional E</w:t>
      </w:r>
      <w:r w:rsidRPr="0026077D">
        <w:rPr>
          <w:rFonts w:ascii="Book Antiqua" w:eastAsia="Calibri" w:hAnsi="Book Antiqua" w:cs="Arial"/>
          <w:sz w:val="20"/>
          <w:bdr w:val="nil"/>
          <w:lang w:val="en-GB"/>
        </w:rPr>
        <w:t>stimates, by</w:t>
      </w:r>
      <w:r>
        <w:rPr>
          <w:rFonts w:ascii="Book Antiqua" w:eastAsia="Calibri" w:hAnsi="Book Antiqua" w:cs="Arial"/>
          <w:sz w:val="20"/>
          <w:bdr w:val="nil"/>
          <w:lang w:val="en-GB"/>
        </w:rPr>
        <w:t xml:space="preserve"> outcome. Table 1.3 details the A</w:t>
      </w:r>
      <w:r w:rsidRPr="0026077D">
        <w:rPr>
          <w:rFonts w:ascii="Book Antiqua" w:eastAsia="Calibri" w:hAnsi="Book Antiqua" w:cs="Arial"/>
          <w:sz w:val="20"/>
          <w:bdr w:val="nil"/>
          <w:lang w:val="en-GB"/>
        </w:rPr>
        <w:t xml:space="preserve">dditional </w:t>
      </w:r>
      <w:r>
        <w:rPr>
          <w:rFonts w:ascii="Book Antiqua" w:eastAsia="Calibri" w:hAnsi="Book Antiqua" w:cs="Arial"/>
          <w:sz w:val="20"/>
          <w:bdr w:val="nil"/>
          <w:lang w:val="en-GB"/>
        </w:rPr>
        <w:t>E</w:t>
      </w:r>
      <w:r w:rsidRPr="0026077D">
        <w:rPr>
          <w:rFonts w:ascii="Book Antiqua" w:eastAsia="Calibri" w:hAnsi="Book Antiqua" w:cs="Arial"/>
          <w:sz w:val="20"/>
          <w:bdr w:val="nil"/>
          <w:lang w:val="en-GB"/>
        </w:rPr>
        <w:t xml:space="preserve">stimates resulting from new measures </w:t>
      </w:r>
      <w:r>
        <w:rPr>
          <w:rFonts w:ascii="Book Antiqua" w:eastAsia="Calibri" w:hAnsi="Book Antiqua" w:cs="Arial"/>
          <w:sz w:val="20"/>
          <w:bdr w:val="nil"/>
          <w:lang w:val="en-GB"/>
        </w:rPr>
        <w:t>and other variations since</w:t>
      </w:r>
      <w:r w:rsidRPr="0026077D">
        <w:rPr>
          <w:rFonts w:ascii="Book Antiqua" w:eastAsia="Calibri" w:hAnsi="Book Antiqua" w:cs="Arial"/>
          <w:sz w:val="20"/>
          <w:bdr w:val="nil"/>
          <w:lang w:val="en-GB"/>
        </w:rPr>
        <w:t xml:space="preserve"> the 2020-21</w:t>
      </w:r>
      <w:r>
        <w:rPr>
          <w:rFonts w:ascii="Book Antiqua" w:eastAsia="Calibri" w:hAnsi="Book Antiqua" w:cs="Arial"/>
          <w:sz w:val="20"/>
          <w:bdr w:val="nil"/>
          <w:lang w:val="en-GB"/>
        </w:rPr>
        <w:t xml:space="preserve"> Budget in Appropriation Bill</w:t>
      </w:r>
      <w:r w:rsidRPr="00CA3A38">
        <w:rPr>
          <w:rFonts w:ascii="Book Antiqua" w:eastAsia="Calibri" w:hAnsi="Book Antiqua" w:cs="Arial"/>
          <w:sz w:val="20"/>
          <w:bdr w:val="nil"/>
          <w:lang w:val="en-GB"/>
        </w:rPr>
        <w:t xml:space="preserve"> No. 3. </w:t>
      </w:r>
    </w:p>
    <w:p w:rsidR="00AB4936" w:rsidRDefault="00D5482E" w:rsidP="00430A3D">
      <w:pPr>
        <w:pStyle w:val="TableHeading"/>
        <w:keepLines/>
        <w:pBdr>
          <w:top w:val="nil"/>
          <w:left w:val="nil"/>
          <w:bottom w:val="nil"/>
          <w:right w:val="nil"/>
          <w:between w:val="nil"/>
          <w:bar w:val="nil"/>
        </w:pBdr>
        <w:spacing w:before="0" w:after="0"/>
        <w:rPr>
          <w:rFonts w:eastAsia="Calibri"/>
          <w:szCs w:val="22"/>
          <w:bdr w:val="nil"/>
          <w:lang w:val="en-GB" w:eastAsia="en-US"/>
        </w:rPr>
      </w:pPr>
      <w:r w:rsidRPr="0026077D">
        <w:rPr>
          <w:rFonts w:eastAsia="Calibri" w:cs="Arial"/>
          <w:szCs w:val="22"/>
          <w:bdr w:val="nil"/>
          <w:lang w:val="en-GB" w:eastAsia="en-US"/>
        </w:rPr>
        <w:t xml:space="preserve">Table 1.3: Additional estimates and </w:t>
      </w:r>
      <w:r>
        <w:rPr>
          <w:rFonts w:eastAsia="Calibri" w:cs="Arial"/>
          <w:szCs w:val="22"/>
          <w:bdr w:val="nil"/>
          <w:lang w:val="en-GB" w:eastAsia="en-US"/>
        </w:rPr>
        <w:t xml:space="preserve">other </w:t>
      </w:r>
      <w:r w:rsidRPr="0026077D">
        <w:rPr>
          <w:rFonts w:eastAsia="Calibri" w:cs="Arial"/>
          <w:szCs w:val="22"/>
          <w:bdr w:val="nil"/>
          <w:lang w:val="en-GB" w:eastAsia="en-US"/>
        </w:rPr>
        <w:t xml:space="preserve">variations to outcomes </w:t>
      </w:r>
      <w:r>
        <w:rPr>
          <w:rFonts w:eastAsia="Calibri" w:cs="Arial"/>
          <w:szCs w:val="22"/>
          <w:bdr w:val="nil"/>
          <w:lang w:val="en-GB" w:eastAsia="en-US"/>
        </w:rPr>
        <w:t xml:space="preserve">since </w:t>
      </w:r>
    </w:p>
    <w:p w:rsidR="00D86095" w:rsidRDefault="00D5482E" w:rsidP="00430A3D">
      <w:pPr>
        <w:pStyle w:val="TableHeading"/>
        <w:keepLines/>
        <w:pBdr>
          <w:top w:val="nil"/>
          <w:left w:val="nil"/>
          <w:bottom w:val="nil"/>
          <w:right w:val="nil"/>
          <w:between w:val="nil"/>
          <w:bar w:val="nil"/>
        </w:pBdr>
        <w:spacing w:before="0" w:after="0"/>
        <w:rPr>
          <w:rFonts w:eastAsia="Calibri"/>
          <w:szCs w:val="22"/>
          <w:bdr w:val="nil"/>
          <w:lang w:val="en-GB" w:eastAsia="en-US"/>
        </w:rPr>
      </w:pPr>
      <w:r>
        <w:rPr>
          <w:rFonts w:eastAsia="Calibri" w:cs="Arial"/>
          <w:szCs w:val="22"/>
          <w:bdr w:val="nil"/>
          <w:lang w:val="en-GB" w:eastAsia="en-US"/>
        </w:rPr>
        <w:t xml:space="preserve">2020-21 </w:t>
      </w:r>
      <w:r w:rsidRPr="0026077D">
        <w:rPr>
          <w:rFonts w:eastAsia="Calibri" w:cs="Arial"/>
          <w:szCs w:val="22"/>
          <w:bdr w:val="nil"/>
          <w:lang w:val="en-GB" w:eastAsia="en-US"/>
        </w:rPr>
        <w:t>Budget</w:t>
      </w:r>
    </w:p>
    <w:tbl>
      <w:tblPr>
        <w:tblStyle w:val="CDMRange1"/>
        <w:tblW w:w="7920" w:type="dxa"/>
        <w:tblLayout w:type="fixed"/>
        <w:tblCellMar>
          <w:top w:w="11" w:type="dxa"/>
          <w:bottom w:w="11" w:type="dxa"/>
        </w:tblCellMar>
        <w:tblLook w:val="0600" w:firstRow="0" w:lastRow="0" w:firstColumn="0" w:lastColumn="0" w:noHBand="1" w:noVBand="1"/>
        <w:tblCaption w:val="Table 1.3: Additional estimates and other variations to outcomes since "/>
      </w:tblPr>
      <w:tblGrid>
        <w:gridCol w:w="3015"/>
        <w:gridCol w:w="1140"/>
        <w:gridCol w:w="945"/>
        <w:gridCol w:w="930"/>
        <w:gridCol w:w="945"/>
        <w:gridCol w:w="945"/>
      </w:tblGrid>
      <w:tr w:rsidR="00010972" w:rsidTr="00C95DC9">
        <w:trPr>
          <w:tblHeader/>
        </w:trPr>
        <w:tc>
          <w:tcPr>
            <w:tcW w:w="301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140"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Program</w:t>
            </w:r>
          </w:p>
        </w:tc>
        <w:tc>
          <w:tcPr>
            <w:tcW w:w="945" w:type="dxa"/>
            <w:tcBorders>
              <w:top w:val="dotted" w:sz="2" w:space="0" w:color="000000"/>
              <w:left w:val="nil"/>
              <w:bottom w:val="nil"/>
              <w:right w:val="nil"/>
              <w:tl2br w:val="nil"/>
              <w:tr2bl w:val="nil"/>
            </w:tcBorders>
            <w:shd w:val="clear" w:color="FFFFFF" w:fill="EAEAEA"/>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c>
          <w:tcPr>
            <w:tcW w:w="930"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2021-22</w:t>
            </w:r>
          </w:p>
        </w:tc>
        <w:tc>
          <w:tcPr>
            <w:tcW w:w="945"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2022-23</w:t>
            </w:r>
          </w:p>
        </w:tc>
        <w:tc>
          <w:tcPr>
            <w:tcW w:w="945"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14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impacted</w:t>
            </w:r>
          </w:p>
        </w:tc>
        <w:tc>
          <w:tcPr>
            <w:tcW w:w="945" w:type="dxa"/>
            <w:tcBorders>
              <w:top w:val="nil"/>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30"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Outcome 1</w:t>
            </w:r>
          </w:p>
        </w:tc>
        <w:tc>
          <w:tcPr>
            <w:tcW w:w="1140"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FFFFFF" w:fill="EAEAEA"/>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Administered </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Annual appropriations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Changes in Parameters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increase)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1.4</w:t>
            </w:r>
          </w:p>
        </w:tc>
        <w:tc>
          <w:tcPr>
            <w:tcW w:w="945" w:type="dxa"/>
            <w:tcBorders>
              <w:top w:val="nil"/>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30"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Net impact on appropriations</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for Outcome 1 (administered)</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w:t>
            </w:r>
          </w:p>
        </w:tc>
        <w:tc>
          <w:tcPr>
            <w:tcW w:w="93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Departmental </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FFFFFF" w:fill="EAEAEA"/>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Annual appropriations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Changes in Parameters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1.12</w:t>
            </w:r>
          </w:p>
        </w:tc>
        <w:tc>
          <w:tcPr>
            <w:tcW w:w="945" w:type="dxa"/>
            <w:tcBorders>
              <w:top w:val="nil"/>
              <w:left w:val="nil"/>
              <w:bottom w:val="nil"/>
              <w:right w:val="nil"/>
              <w:tl2br w:val="nil"/>
              <w:tr2bl w:val="nil"/>
            </w:tcBorders>
            <w:shd w:val="clear" w:color="FFFFFF" w:fill="EAEAEA"/>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3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(82)</w:t>
            </w:r>
          </w:p>
        </w:tc>
        <w:tc>
          <w:tcPr>
            <w:tcW w:w="94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Other Variations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1.12</w:t>
            </w:r>
          </w:p>
        </w:tc>
        <w:tc>
          <w:tcPr>
            <w:tcW w:w="945" w:type="dxa"/>
            <w:tcBorders>
              <w:top w:val="nil"/>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(228)</w:t>
            </w:r>
          </w:p>
        </w:tc>
        <w:tc>
          <w:tcPr>
            <w:tcW w:w="930"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(228)</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(228)</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Net impact on appropriations</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w:t>
            </w:r>
            <w:r w:rsidR="004A2131">
              <w:rPr>
                <w:rFonts w:ascii="Arial" w:eastAsia="Arial" w:hAnsi="Arial" w:cs="Arial"/>
                <w:b/>
                <w:color w:val="000000"/>
                <w:sz w:val="16"/>
                <w:bdr w:val="nil"/>
              </w:rPr>
              <w:t xml:space="preserve"> for Outcome 1 </w:t>
            </w:r>
            <w:r>
              <w:rPr>
                <w:rFonts w:ascii="Arial" w:eastAsia="Arial" w:hAnsi="Arial" w:cs="Arial"/>
                <w:b/>
                <w:color w:val="000000"/>
                <w:sz w:val="16"/>
                <w:bdr w:val="nil"/>
              </w:rPr>
              <w:t>(departmental)</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(228)</w:t>
            </w:r>
          </w:p>
        </w:tc>
        <w:tc>
          <w:tcPr>
            <w:tcW w:w="93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(228)</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(310)</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(228)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net impact on appropriations</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for Outcome 1</w:t>
            </w:r>
          </w:p>
        </w:tc>
        <w:tc>
          <w:tcPr>
            <w:tcW w:w="1140" w:type="dxa"/>
            <w:tcBorders>
              <w:top w:val="nil"/>
              <w:left w:val="nil"/>
              <w:bottom w:val="dotted" w:sz="2" w:space="0" w:color="000000"/>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(228)</w:t>
            </w:r>
          </w:p>
        </w:tc>
        <w:tc>
          <w:tcPr>
            <w:tcW w:w="93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(226)</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(308)</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(226)</w:t>
            </w:r>
          </w:p>
        </w:tc>
      </w:tr>
    </w:tbl>
    <w:p w:rsidR="00E05CDA" w:rsidRDefault="00D5482E">
      <w:pPr>
        <w:pBdr>
          <w:top w:val="nil"/>
          <w:left w:val="nil"/>
          <w:bottom w:val="nil"/>
          <w:right w:val="nil"/>
          <w:between w:val="nil"/>
          <w:bar w:val="nil"/>
        </w:pBdr>
        <w:rPr>
          <w:rFonts w:ascii="Calibri" w:eastAsia="Calibri" w:hAnsi="Calibri" w:cs="Arial"/>
          <w:b/>
          <w:color w:val="FF0000"/>
          <w:bdr w:val="nil"/>
          <w:lang w:val="en-GB"/>
        </w:rPr>
      </w:pPr>
      <w:r>
        <w:rPr>
          <w:rFonts w:ascii="Calibri" w:eastAsia="Calibri" w:hAnsi="Calibri" w:cs="Arial"/>
          <w:b/>
          <w:color w:val="FF0000"/>
          <w:bdr w:val="nil"/>
          <w:lang w:val="en-GB"/>
        </w:rPr>
        <w:br w:type="page"/>
      </w:r>
    </w:p>
    <w:p w:rsidR="00AB4936" w:rsidRDefault="00D5482E" w:rsidP="00430A3D">
      <w:pPr>
        <w:pStyle w:val="TableHeading"/>
        <w:keepLines/>
        <w:pBdr>
          <w:top w:val="nil"/>
          <w:left w:val="nil"/>
          <w:bottom w:val="nil"/>
          <w:right w:val="nil"/>
          <w:between w:val="nil"/>
          <w:bar w:val="nil"/>
        </w:pBdr>
        <w:spacing w:before="0" w:after="0"/>
        <w:rPr>
          <w:rFonts w:eastAsia="Calibri"/>
          <w:szCs w:val="22"/>
          <w:bdr w:val="nil"/>
          <w:lang w:val="en-GB" w:eastAsia="en-US"/>
        </w:rPr>
      </w:pPr>
      <w:r w:rsidRPr="0026077D">
        <w:rPr>
          <w:rFonts w:eastAsia="Calibri" w:cs="Arial"/>
          <w:szCs w:val="22"/>
          <w:bdr w:val="nil"/>
          <w:lang w:val="en-GB" w:eastAsia="en-US"/>
        </w:rPr>
        <w:lastRenderedPageBreak/>
        <w:t xml:space="preserve">Table 1.3: Additional estimates and </w:t>
      </w:r>
      <w:r>
        <w:rPr>
          <w:rFonts w:eastAsia="Calibri" w:cs="Arial"/>
          <w:szCs w:val="22"/>
          <w:bdr w:val="nil"/>
          <w:lang w:val="en-GB" w:eastAsia="en-US"/>
        </w:rPr>
        <w:t xml:space="preserve">other </w:t>
      </w:r>
      <w:r w:rsidRPr="0026077D">
        <w:rPr>
          <w:rFonts w:eastAsia="Calibri" w:cs="Arial"/>
          <w:szCs w:val="22"/>
          <w:bdr w:val="nil"/>
          <w:lang w:val="en-GB" w:eastAsia="en-US"/>
        </w:rPr>
        <w:t xml:space="preserve">variations to outcomes </w:t>
      </w:r>
      <w:r>
        <w:rPr>
          <w:rFonts w:eastAsia="Calibri" w:cs="Arial"/>
          <w:szCs w:val="22"/>
          <w:bdr w:val="nil"/>
          <w:lang w:val="en-GB" w:eastAsia="en-US"/>
        </w:rPr>
        <w:t xml:space="preserve">since </w:t>
      </w:r>
    </w:p>
    <w:p w:rsidR="00E05CDA" w:rsidRPr="001947B6" w:rsidRDefault="00D5482E" w:rsidP="00430A3D">
      <w:pPr>
        <w:pStyle w:val="TableHeading"/>
        <w:keepLines/>
        <w:pBdr>
          <w:top w:val="nil"/>
          <w:left w:val="nil"/>
          <w:bottom w:val="nil"/>
          <w:right w:val="nil"/>
          <w:between w:val="nil"/>
          <w:bar w:val="nil"/>
        </w:pBdr>
        <w:spacing w:before="0" w:after="0"/>
        <w:rPr>
          <w:rFonts w:eastAsia="Calibri"/>
          <w:szCs w:val="22"/>
          <w:bdr w:val="nil"/>
          <w:lang w:val="en-GB" w:eastAsia="en-US"/>
        </w:rPr>
      </w:pPr>
      <w:r>
        <w:rPr>
          <w:rFonts w:eastAsia="Calibri" w:cs="Arial"/>
          <w:szCs w:val="22"/>
          <w:bdr w:val="nil"/>
          <w:lang w:val="en-GB" w:eastAsia="en-US"/>
        </w:rPr>
        <w:t xml:space="preserve">2020-21 </w:t>
      </w:r>
      <w:r w:rsidRPr="0026077D">
        <w:rPr>
          <w:rFonts w:eastAsia="Calibri" w:cs="Arial"/>
          <w:szCs w:val="22"/>
          <w:bdr w:val="nil"/>
          <w:lang w:val="en-GB" w:eastAsia="en-US"/>
        </w:rPr>
        <w:t>Budget</w:t>
      </w:r>
      <w:r>
        <w:rPr>
          <w:rFonts w:eastAsia="Calibri" w:cs="Arial"/>
          <w:szCs w:val="22"/>
          <w:bdr w:val="nil"/>
          <w:lang w:val="en-GB" w:eastAsia="en-US"/>
        </w:rPr>
        <w:t xml:space="preserve"> </w:t>
      </w:r>
      <w:r>
        <w:rPr>
          <w:rFonts w:eastAsia="Calibri" w:cs="Arial"/>
          <w:szCs w:val="22"/>
          <w:bdr w:val="nil"/>
          <w:lang w:val="en-US" w:eastAsia="en-US"/>
        </w:rPr>
        <w:t>(continued)</w:t>
      </w:r>
    </w:p>
    <w:tbl>
      <w:tblPr>
        <w:tblStyle w:val="CDMRange2"/>
        <w:tblW w:w="7920" w:type="dxa"/>
        <w:tblLayout w:type="fixed"/>
        <w:tblCellMar>
          <w:top w:w="11" w:type="dxa"/>
          <w:bottom w:w="11" w:type="dxa"/>
        </w:tblCellMar>
        <w:tblLook w:val="0600" w:firstRow="0" w:lastRow="0" w:firstColumn="0" w:lastColumn="0" w:noHBand="1" w:noVBand="1"/>
        <w:tblCaption w:val="Table 1.3: Additional estimates and other variations to outcomes since "/>
      </w:tblPr>
      <w:tblGrid>
        <w:gridCol w:w="3015"/>
        <w:gridCol w:w="1140"/>
        <w:gridCol w:w="945"/>
        <w:gridCol w:w="930"/>
        <w:gridCol w:w="945"/>
        <w:gridCol w:w="945"/>
      </w:tblGrid>
      <w:tr w:rsidR="00010972" w:rsidTr="00C95DC9">
        <w:trPr>
          <w:tblHeader/>
        </w:trPr>
        <w:tc>
          <w:tcPr>
            <w:tcW w:w="301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140"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Program</w:t>
            </w:r>
          </w:p>
        </w:tc>
        <w:tc>
          <w:tcPr>
            <w:tcW w:w="945" w:type="dxa"/>
            <w:tcBorders>
              <w:top w:val="dotted" w:sz="2" w:space="0" w:color="000000"/>
              <w:left w:val="nil"/>
              <w:bottom w:val="nil"/>
              <w:right w:val="nil"/>
              <w:tl2br w:val="nil"/>
              <w:tr2bl w:val="nil"/>
            </w:tcBorders>
            <w:shd w:val="clear" w:color="FFFFFF" w:fill="EAEAEA"/>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c>
          <w:tcPr>
            <w:tcW w:w="930"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2021-22</w:t>
            </w:r>
          </w:p>
        </w:tc>
        <w:tc>
          <w:tcPr>
            <w:tcW w:w="945"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2022-23</w:t>
            </w:r>
          </w:p>
        </w:tc>
        <w:tc>
          <w:tcPr>
            <w:tcW w:w="945"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14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impacted</w:t>
            </w:r>
          </w:p>
        </w:tc>
        <w:tc>
          <w:tcPr>
            <w:tcW w:w="945" w:type="dxa"/>
            <w:tcBorders>
              <w:top w:val="nil"/>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30"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Outcome 2</w:t>
            </w:r>
          </w:p>
        </w:tc>
        <w:tc>
          <w:tcPr>
            <w:tcW w:w="1140"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Administered </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Annual appropriations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Changes in Parameters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increase)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2.1</w:t>
            </w:r>
          </w:p>
        </w:tc>
        <w:tc>
          <w:tcPr>
            <w:tcW w:w="94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2,033</w:t>
            </w:r>
          </w:p>
        </w:tc>
        <w:tc>
          <w:tcPr>
            <w:tcW w:w="9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774</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792</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889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2.1</w:t>
            </w:r>
          </w:p>
        </w:tc>
        <w:tc>
          <w:tcPr>
            <w:tcW w:w="94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(62)</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(391)</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(127)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Other Variations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increase)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2.1</w:t>
            </w:r>
          </w:p>
        </w:tc>
        <w:tc>
          <w:tcPr>
            <w:tcW w:w="94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215</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218</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Net impact on appropriations</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for Outcome 2 (administered)</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2,033</w:t>
            </w:r>
          </w:p>
        </w:tc>
        <w:tc>
          <w:tcPr>
            <w:tcW w:w="93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927</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619</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983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Departmental </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Annual appropriations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Changes in Parameters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2.4</w:t>
            </w:r>
          </w:p>
        </w:tc>
        <w:tc>
          <w:tcPr>
            <w:tcW w:w="94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(141)</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Other Variations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2.4</w:t>
            </w:r>
          </w:p>
        </w:tc>
        <w:tc>
          <w:tcPr>
            <w:tcW w:w="945"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(376)</w:t>
            </w:r>
          </w:p>
        </w:tc>
        <w:tc>
          <w:tcPr>
            <w:tcW w:w="93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(376)</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(376)</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(376)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Net impact on appropriations </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for Outcome 2 (departmental)</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(376)</w:t>
            </w:r>
          </w:p>
        </w:tc>
        <w:tc>
          <w:tcPr>
            <w:tcW w:w="93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(376)</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(517)</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(377)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net impact on appropriations</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for Outcome 2</w:t>
            </w:r>
          </w:p>
        </w:tc>
        <w:tc>
          <w:tcPr>
            <w:tcW w:w="1140" w:type="dxa"/>
            <w:tcBorders>
              <w:top w:val="nil"/>
              <w:left w:val="nil"/>
              <w:bottom w:val="dotted" w:sz="2" w:space="0" w:color="000000"/>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1,657</w:t>
            </w:r>
          </w:p>
        </w:tc>
        <w:tc>
          <w:tcPr>
            <w:tcW w:w="93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551</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102</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606</w:t>
            </w:r>
          </w:p>
        </w:tc>
      </w:tr>
    </w:tbl>
    <w:p w:rsidR="006A04E8" w:rsidRDefault="006A04E8" w:rsidP="006A04E8">
      <w:pPr>
        <w:pBdr>
          <w:top w:val="nil"/>
          <w:left w:val="nil"/>
          <w:bottom w:val="nil"/>
          <w:right w:val="nil"/>
          <w:between w:val="nil"/>
          <w:bar w:val="nil"/>
        </w:pBdr>
        <w:rPr>
          <w:rFonts w:ascii="Calibri" w:eastAsia="Calibri" w:hAnsi="Calibri" w:cs="Arial"/>
          <w:bdr w:val="nil"/>
        </w:rPr>
      </w:pPr>
    </w:p>
    <w:p w:rsidR="006A04E8" w:rsidRDefault="00D5482E">
      <w:pPr>
        <w:pBdr>
          <w:top w:val="nil"/>
          <w:left w:val="nil"/>
          <w:bottom w:val="nil"/>
          <w:right w:val="nil"/>
          <w:between w:val="nil"/>
          <w:bar w:val="nil"/>
        </w:pBdr>
        <w:rPr>
          <w:rFonts w:ascii="Arial" w:eastAsia="Calibri" w:hAnsi="Arial" w:cs="Arial"/>
          <w:b/>
          <w:sz w:val="20"/>
          <w:bdr w:val="nil"/>
          <w:lang w:val="en-GB"/>
        </w:rPr>
      </w:pPr>
      <w:r>
        <w:rPr>
          <w:rFonts w:ascii="Calibri" w:eastAsia="Calibri" w:hAnsi="Calibri" w:cs="Arial"/>
          <w:sz w:val="20"/>
          <w:bdr w:val="nil"/>
          <w:lang w:val="en-GB"/>
        </w:rPr>
        <w:br w:type="page"/>
      </w:r>
    </w:p>
    <w:p w:rsidR="00E969EE" w:rsidRDefault="00D5482E" w:rsidP="00430A3D">
      <w:pPr>
        <w:pStyle w:val="TableHeading"/>
        <w:keepLines/>
        <w:pBdr>
          <w:top w:val="nil"/>
          <w:left w:val="nil"/>
          <w:bottom w:val="nil"/>
          <w:right w:val="nil"/>
          <w:between w:val="nil"/>
          <w:bar w:val="nil"/>
        </w:pBdr>
        <w:spacing w:before="0" w:after="0"/>
        <w:rPr>
          <w:rFonts w:eastAsia="Calibri"/>
          <w:szCs w:val="22"/>
          <w:bdr w:val="nil"/>
          <w:lang w:val="en-GB" w:eastAsia="en-US"/>
        </w:rPr>
      </w:pPr>
      <w:r w:rsidRPr="0026077D">
        <w:rPr>
          <w:rFonts w:eastAsia="Calibri" w:cs="Arial"/>
          <w:szCs w:val="22"/>
          <w:bdr w:val="nil"/>
          <w:lang w:val="en-GB" w:eastAsia="en-US"/>
        </w:rPr>
        <w:lastRenderedPageBreak/>
        <w:t xml:space="preserve">Table 1.3: Additional estimates and </w:t>
      </w:r>
      <w:r>
        <w:rPr>
          <w:rFonts w:eastAsia="Calibri" w:cs="Arial"/>
          <w:szCs w:val="22"/>
          <w:bdr w:val="nil"/>
          <w:lang w:val="en-GB" w:eastAsia="en-US"/>
        </w:rPr>
        <w:t xml:space="preserve">other </w:t>
      </w:r>
      <w:r w:rsidRPr="0026077D">
        <w:rPr>
          <w:rFonts w:eastAsia="Calibri" w:cs="Arial"/>
          <w:szCs w:val="22"/>
          <w:bdr w:val="nil"/>
          <w:lang w:val="en-GB" w:eastAsia="en-US"/>
        </w:rPr>
        <w:t xml:space="preserve">variations to outcomes </w:t>
      </w:r>
      <w:r>
        <w:rPr>
          <w:rFonts w:eastAsia="Calibri" w:cs="Arial"/>
          <w:szCs w:val="22"/>
          <w:bdr w:val="nil"/>
          <w:lang w:val="en-GB" w:eastAsia="en-US"/>
        </w:rPr>
        <w:t xml:space="preserve">since </w:t>
      </w:r>
    </w:p>
    <w:p w:rsidR="001947B6" w:rsidRPr="001947B6" w:rsidRDefault="00D5482E" w:rsidP="00430A3D">
      <w:pPr>
        <w:pStyle w:val="TableHeading"/>
        <w:keepLines/>
        <w:pBdr>
          <w:top w:val="nil"/>
          <w:left w:val="nil"/>
          <w:bottom w:val="nil"/>
          <w:right w:val="nil"/>
          <w:between w:val="nil"/>
          <w:bar w:val="nil"/>
        </w:pBdr>
        <w:spacing w:before="0" w:after="0"/>
        <w:rPr>
          <w:rFonts w:eastAsia="Calibri"/>
          <w:szCs w:val="22"/>
          <w:bdr w:val="nil"/>
          <w:lang w:val="en-GB" w:eastAsia="en-US"/>
        </w:rPr>
      </w:pPr>
      <w:r>
        <w:rPr>
          <w:rFonts w:eastAsia="Calibri" w:cs="Arial"/>
          <w:szCs w:val="22"/>
          <w:bdr w:val="nil"/>
          <w:lang w:val="en-GB" w:eastAsia="en-US"/>
        </w:rPr>
        <w:t>2020-21</w:t>
      </w:r>
      <w:r w:rsidRPr="0026077D">
        <w:rPr>
          <w:rFonts w:eastAsia="Calibri" w:cs="Arial"/>
          <w:szCs w:val="22"/>
          <w:bdr w:val="nil"/>
          <w:lang w:val="en-GB" w:eastAsia="en-US"/>
        </w:rPr>
        <w:t xml:space="preserve"> Budget</w:t>
      </w:r>
      <w:r>
        <w:rPr>
          <w:rFonts w:eastAsia="Calibri" w:cs="Arial"/>
          <w:szCs w:val="22"/>
          <w:bdr w:val="nil"/>
          <w:lang w:val="en-GB" w:eastAsia="en-US"/>
        </w:rPr>
        <w:t xml:space="preserve"> </w:t>
      </w:r>
      <w:r>
        <w:rPr>
          <w:rFonts w:eastAsia="Calibri" w:cs="Arial"/>
          <w:szCs w:val="22"/>
          <w:bdr w:val="nil"/>
          <w:lang w:val="en-US" w:eastAsia="en-US"/>
        </w:rPr>
        <w:t>(continued)</w:t>
      </w:r>
    </w:p>
    <w:tbl>
      <w:tblPr>
        <w:tblStyle w:val="CDMRange1"/>
        <w:tblW w:w="7920" w:type="dxa"/>
        <w:tblLayout w:type="fixed"/>
        <w:tblCellMar>
          <w:top w:w="11" w:type="dxa"/>
          <w:bottom w:w="11" w:type="dxa"/>
        </w:tblCellMar>
        <w:tblLook w:val="0600" w:firstRow="0" w:lastRow="0" w:firstColumn="0" w:lastColumn="0" w:noHBand="1" w:noVBand="1"/>
        <w:tblCaption w:val="Table 1.3: Additional estimates and other variations to outcomes since "/>
      </w:tblPr>
      <w:tblGrid>
        <w:gridCol w:w="3015"/>
        <w:gridCol w:w="1140"/>
        <w:gridCol w:w="945"/>
        <w:gridCol w:w="930"/>
        <w:gridCol w:w="945"/>
        <w:gridCol w:w="945"/>
      </w:tblGrid>
      <w:tr w:rsidR="00010972" w:rsidTr="002247E0">
        <w:trPr>
          <w:tblHeader/>
        </w:trPr>
        <w:tc>
          <w:tcPr>
            <w:tcW w:w="301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140"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Program</w:t>
            </w:r>
          </w:p>
        </w:tc>
        <w:tc>
          <w:tcPr>
            <w:tcW w:w="945" w:type="dxa"/>
            <w:tcBorders>
              <w:top w:val="dotted" w:sz="2" w:space="0" w:color="000000"/>
              <w:left w:val="nil"/>
              <w:bottom w:val="nil"/>
              <w:right w:val="nil"/>
              <w:tl2br w:val="nil"/>
              <w:tr2bl w:val="nil"/>
            </w:tcBorders>
            <w:shd w:val="clear" w:color="FFFFFF" w:fill="EAEAEA"/>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c>
          <w:tcPr>
            <w:tcW w:w="930"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2021-22</w:t>
            </w:r>
          </w:p>
        </w:tc>
        <w:tc>
          <w:tcPr>
            <w:tcW w:w="945"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2022-23</w:t>
            </w:r>
          </w:p>
        </w:tc>
        <w:tc>
          <w:tcPr>
            <w:tcW w:w="945"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14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impacted</w:t>
            </w:r>
          </w:p>
        </w:tc>
        <w:tc>
          <w:tcPr>
            <w:tcW w:w="945" w:type="dxa"/>
            <w:tcBorders>
              <w:top w:val="nil"/>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30"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Outcome 3</w:t>
            </w:r>
          </w:p>
        </w:tc>
        <w:tc>
          <w:tcPr>
            <w:tcW w:w="1140"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Administered </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Annual appropriations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Changes in Parameters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3.1, 3.2</w:t>
            </w:r>
          </w:p>
        </w:tc>
        <w:tc>
          <w:tcPr>
            <w:tcW w:w="94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(2,090)</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(4,282)</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(4,238)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Other Variations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3.1</w:t>
            </w:r>
          </w:p>
        </w:tc>
        <w:tc>
          <w:tcPr>
            <w:tcW w:w="945"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3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(215)</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(218)</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Net impact on appropriations</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for Outcome 3 (administered)</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w:t>
            </w:r>
          </w:p>
        </w:tc>
        <w:tc>
          <w:tcPr>
            <w:tcW w:w="93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(2,305)</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(4,500)</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(4,459)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Departmental </w:t>
            </w:r>
          </w:p>
        </w:tc>
        <w:tc>
          <w:tcPr>
            <w:tcW w:w="114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Annual appropriations</w:t>
            </w:r>
          </w:p>
        </w:tc>
        <w:tc>
          <w:tcPr>
            <w:tcW w:w="114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Changes in Parameters</w:t>
            </w:r>
          </w:p>
        </w:tc>
        <w:tc>
          <w:tcPr>
            <w:tcW w:w="114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114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3.3</w:t>
            </w:r>
          </w:p>
        </w:tc>
        <w:tc>
          <w:tcPr>
            <w:tcW w:w="94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(82)</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Other Variations</w:t>
            </w:r>
          </w:p>
        </w:tc>
        <w:tc>
          <w:tcPr>
            <w:tcW w:w="114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increase)</w:t>
            </w:r>
          </w:p>
        </w:tc>
        <w:tc>
          <w:tcPr>
            <w:tcW w:w="114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3.3</w:t>
            </w:r>
          </w:p>
        </w:tc>
        <w:tc>
          <w:tcPr>
            <w:tcW w:w="94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5,497</w:t>
            </w:r>
          </w:p>
        </w:tc>
        <w:tc>
          <w:tcPr>
            <w:tcW w:w="9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8,797</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8,796</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8,835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114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3.3</w:t>
            </w:r>
          </w:p>
        </w:tc>
        <w:tc>
          <w:tcPr>
            <w:tcW w:w="94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(228)</w:t>
            </w:r>
          </w:p>
        </w:tc>
        <w:tc>
          <w:tcPr>
            <w:tcW w:w="9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(228)</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(228)</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Net impact on appropriations</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for Outcome 3 (departmental)</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5,269</w:t>
            </w:r>
          </w:p>
        </w:tc>
        <w:tc>
          <w:tcPr>
            <w:tcW w:w="93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8,569</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8,486</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8,607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net impact on appropriations</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for Outcome 3</w:t>
            </w:r>
          </w:p>
        </w:tc>
        <w:tc>
          <w:tcPr>
            <w:tcW w:w="1140" w:type="dxa"/>
            <w:tcBorders>
              <w:top w:val="nil"/>
              <w:left w:val="nil"/>
              <w:bottom w:val="dotted" w:sz="2" w:space="0" w:color="000000"/>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5,269</w:t>
            </w:r>
          </w:p>
        </w:tc>
        <w:tc>
          <w:tcPr>
            <w:tcW w:w="93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6,264</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3,986</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4,148</w:t>
            </w:r>
          </w:p>
        </w:tc>
      </w:tr>
    </w:tbl>
    <w:p w:rsidR="006A04E8" w:rsidRDefault="00D5482E">
      <w:pPr>
        <w:pBdr>
          <w:top w:val="nil"/>
          <w:left w:val="nil"/>
          <w:bottom w:val="nil"/>
          <w:right w:val="nil"/>
          <w:between w:val="nil"/>
          <w:bar w:val="nil"/>
        </w:pBdr>
        <w:rPr>
          <w:rFonts w:ascii="Arial" w:eastAsia="Calibri" w:hAnsi="Arial" w:cs="Arial"/>
          <w:b/>
          <w:sz w:val="20"/>
          <w:bdr w:val="nil"/>
          <w:lang w:val="en-GB"/>
        </w:rPr>
      </w:pPr>
      <w:r>
        <w:rPr>
          <w:rFonts w:ascii="Calibri" w:eastAsia="Calibri" w:hAnsi="Calibri" w:cs="Arial"/>
          <w:sz w:val="20"/>
          <w:bdr w:val="nil"/>
          <w:lang w:val="en-GB"/>
        </w:rPr>
        <w:br w:type="page"/>
      </w:r>
    </w:p>
    <w:p w:rsidR="00E969EE" w:rsidRDefault="00D5482E" w:rsidP="00430A3D">
      <w:pPr>
        <w:pStyle w:val="TableHeading"/>
        <w:keepLines/>
        <w:pBdr>
          <w:top w:val="nil"/>
          <w:left w:val="nil"/>
          <w:bottom w:val="nil"/>
          <w:right w:val="nil"/>
          <w:between w:val="nil"/>
          <w:bar w:val="nil"/>
        </w:pBdr>
        <w:spacing w:before="0" w:after="0"/>
        <w:rPr>
          <w:rFonts w:eastAsia="Calibri"/>
          <w:szCs w:val="22"/>
          <w:bdr w:val="nil"/>
          <w:lang w:val="en-GB" w:eastAsia="en-US"/>
        </w:rPr>
      </w:pPr>
      <w:r w:rsidRPr="0026077D">
        <w:rPr>
          <w:rFonts w:eastAsia="Calibri" w:cs="Arial"/>
          <w:szCs w:val="22"/>
          <w:bdr w:val="nil"/>
          <w:lang w:val="en-GB" w:eastAsia="en-US"/>
        </w:rPr>
        <w:lastRenderedPageBreak/>
        <w:t xml:space="preserve">Table 1.3: Additional estimates and </w:t>
      </w:r>
      <w:r>
        <w:rPr>
          <w:rFonts w:eastAsia="Calibri" w:cs="Arial"/>
          <w:szCs w:val="22"/>
          <w:bdr w:val="nil"/>
          <w:lang w:val="en-GB" w:eastAsia="en-US"/>
        </w:rPr>
        <w:t xml:space="preserve">other </w:t>
      </w:r>
      <w:r w:rsidRPr="0026077D">
        <w:rPr>
          <w:rFonts w:eastAsia="Calibri" w:cs="Arial"/>
          <w:szCs w:val="22"/>
          <w:bdr w:val="nil"/>
          <w:lang w:val="en-GB" w:eastAsia="en-US"/>
        </w:rPr>
        <w:t xml:space="preserve">variations to outcomes </w:t>
      </w:r>
      <w:r>
        <w:rPr>
          <w:rFonts w:eastAsia="Calibri" w:cs="Arial"/>
          <w:szCs w:val="22"/>
          <w:bdr w:val="nil"/>
          <w:lang w:val="en-GB" w:eastAsia="en-US"/>
        </w:rPr>
        <w:t xml:space="preserve">since </w:t>
      </w:r>
    </w:p>
    <w:p w:rsidR="001947B6" w:rsidRPr="001947B6" w:rsidRDefault="00D5482E" w:rsidP="00430A3D">
      <w:pPr>
        <w:pStyle w:val="TableHeading"/>
        <w:keepLines/>
        <w:pBdr>
          <w:top w:val="nil"/>
          <w:left w:val="nil"/>
          <w:bottom w:val="nil"/>
          <w:right w:val="nil"/>
          <w:between w:val="nil"/>
          <w:bar w:val="nil"/>
        </w:pBdr>
        <w:spacing w:before="0" w:after="0"/>
        <w:rPr>
          <w:rFonts w:eastAsia="Calibri"/>
          <w:szCs w:val="22"/>
          <w:bdr w:val="nil"/>
          <w:lang w:val="en-GB" w:eastAsia="en-US"/>
        </w:rPr>
      </w:pPr>
      <w:r>
        <w:rPr>
          <w:rFonts w:eastAsia="Calibri" w:cs="Arial"/>
          <w:szCs w:val="22"/>
          <w:bdr w:val="nil"/>
          <w:lang w:val="en-GB" w:eastAsia="en-US"/>
        </w:rPr>
        <w:t>2020-21</w:t>
      </w:r>
      <w:r w:rsidRPr="0026077D">
        <w:rPr>
          <w:rFonts w:eastAsia="Calibri" w:cs="Arial"/>
          <w:szCs w:val="22"/>
          <w:bdr w:val="nil"/>
          <w:lang w:val="en-GB" w:eastAsia="en-US"/>
        </w:rPr>
        <w:t xml:space="preserve"> Budget</w:t>
      </w:r>
      <w:r>
        <w:rPr>
          <w:rFonts w:eastAsia="Calibri" w:cs="Arial"/>
          <w:szCs w:val="22"/>
          <w:bdr w:val="nil"/>
          <w:lang w:val="en-GB" w:eastAsia="en-US"/>
        </w:rPr>
        <w:t xml:space="preserve"> </w:t>
      </w:r>
      <w:r>
        <w:rPr>
          <w:rFonts w:eastAsia="Calibri" w:cs="Arial"/>
          <w:szCs w:val="22"/>
          <w:bdr w:val="nil"/>
          <w:lang w:val="en-US" w:eastAsia="en-US"/>
        </w:rPr>
        <w:t>(continued)</w:t>
      </w:r>
    </w:p>
    <w:tbl>
      <w:tblPr>
        <w:tblStyle w:val="CDMRange2"/>
        <w:tblW w:w="7920" w:type="dxa"/>
        <w:tblLayout w:type="fixed"/>
        <w:tblCellMar>
          <w:top w:w="11" w:type="dxa"/>
          <w:bottom w:w="11" w:type="dxa"/>
        </w:tblCellMar>
        <w:tblLook w:val="0600" w:firstRow="0" w:lastRow="0" w:firstColumn="0" w:lastColumn="0" w:noHBand="1" w:noVBand="1"/>
        <w:tblCaption w:val="Table 1.3: Additional estimates and other variations to outcomes since "/>
      </w:tblPr>
      <w:tblGrid>
        <w:gridCol w:w="3015"/>
        <w:gridCol w:w="1140"/>
        <w:gridCol w:w="945"/>
        <w:gridCol w:w="930"/>
        <w:gridCol w:w="945"/>
        <w:gridCol w:w="945"/>
      </w:tblGrid>
      <w:tr w:rsidR="00010972" w:rsidTr="002247E0">
        <w:trPr>
          <w:tblHeader/>
        </w:trPr>
        <w:tc>
          <w:tcPr>
            <w:tcW w:w="301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140"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Program</w:t>
            </w:r>
          </w:p>
        </w:tc>
        <w:tc>
          <w:tcPr>
            <w:tcW w:w="945" w:type="dxa"/>
            <w:tcBorders>
              <w:top w:val="dotted" w:sz="2" w:space="0" w:color="000000"/>
              <w:left w:val="nil"/>
              <w:bottom w:val="nil"/>
              <w:right w:val="nil"/>
              <w:tl2br w:val="nil"/>
              <w:tr2bl w:val="nil"/>
            </w:tcBorders>
            <w:shd w:val="clear" w:color="FFFFFF" w:fill="EAEAEA"/>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c>
          <w:tcPr>
            <w:tcW w:w="930"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2021-22</w:t>
            </w:r>
          </w:p>
        </w:tc>
        <w:tc>
          <w:tcPr>
            <w:tcW w:w="945"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2022-23</w:t>
            </w:r>
          </w:p>
        </w:tc>
        <w:tc>
          <w:tcPr>
            <w:tcW w:w="945"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14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impacted</w:t>
            </w:r>
          </w:p>
        </w:tc>
        <w:tc>
          <w:tcPr>
            <w:tcW w:w="945" w:type="dxa"/>
            <w:tcBorders>
              <w:top w:val="nil"/>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30"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Outcome 4</w:t>
            </w:r>
          </w:p>
        </w:tc>
        <w:tc>
          <w:tcPr>
            <w:tcW w:w="1140"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Administered </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Annual appropriations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Changes in Parameters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4.1, 4.2</w:t>
            </w:r>
          </w:p>
        </w:tc>
        <w:tc>
          <w:tcPr>
            <w:tcW w:w="94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(167)</w:t>
            </w:r>
          </w:p>
        </w:tc>
        <w:tc>
          <w:tcPr>
            <w:tcW w:w="9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(1,012)</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(1,111)</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(961)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Movement of Funds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increase)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4.1</w:t>
            </w:r>
          </w:p>
        </w:tc>
        <w:tc>
          <w:tcPr>
            <w:tcW w:w="94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4,104</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9,530</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4.1</w:t>
            </w:r>
          </w:p>
        </w:tc>
        <w:tc>
          <w:tcPr>
            <w:tcW w:w="945"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(13,634)</w:t>
            </w:r>
          </w:p>
        </w:tc>
        <w:tc>
          <w:tcPr>
            <w:tcW w:w="93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Net impact on appropriations </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for Outcome 4 (administered)</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(13,801)</w:t>
            </w:r>
          </w:p>
        </w:tc>
        <w:tc>
          <w:tcPr>
            <w:tcW w:w="93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3,092</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8,419</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(961)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Departmental </w:t>
            </w:r>
          </w:p>
        </w:tc>
        <w:tc>
          <w:tcPr>
            <w:tcW w:w="114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Annual appropriations</w:t>
            </w:r>
          </w:p>
        </w:tc>
        <w:tc>
          <w:tcPr>
            <w:tcW w:w="114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Changes in Parameters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4.3</w:t>
            </w:r>
          </w:p>
        </w:tc>
        <w:tc>
          <w:tcPr>
            <w:tcW w:w="94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(16)</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Other Variations</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3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114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4.3</w:t>
            </w:r>
          </w:p>
        </w:tc>
        <w:tc>
          <w:tcPr>
            <w:tcW w:w="94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(44)</w:t>
            </w:r>
          </w:p>
        </w:tc>
        <w:tc>
          <w:tcPr>
            <w:tcW w:w="93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(44)</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(44)</w:t>
            </w:r>
          </w:p>
        </w:tc>
        <w:tc>
          <w:tcPr>
            <w:tcW w:w="9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Net impact on appropriations</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for Outcome 4 (departmental)</w:t>
            </w:r>
          </w:p>
        </w:tc>
        <w:tc>
          <w:tcPr>
            <w:tcW w:w="11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45"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(44)</w:t>
            </w:r>
          </w:p>
        </w:tc>
        <w:tc>
          <w:tcPr>
            <w:tcW w:w="93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(44)</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(60)</w:t>
            </w:r>
          </w:p>
        </w:tc>
        <w:tc>
          <w:tcPr>
            <w:tcW w:w="94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net impact on appropriations</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for Outcome 4</w:t>
            </w:r>
          </w:p>
        </w:tc>
        <w:tc>
          <w:tcPr>
            <w:tcW w:w="1140" w:type="dxa"/>
            <w:tcBorders>
              <w:top w:val="nil"/>
              <w:left w:val="nil"/>
              <w:bottom w:val="dotted" w:sz="2" w:space="0" w:color="000000"/>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94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(13,845)</w:t>
            </w:r>
          </w:p>
        </w:tc>
        <w:tc>
          <w:tcPr>
            <w:tcW w:w="93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3,048</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8,359</w:t>
            </w:r>
          </w:p>
        </w:tc>
        <w:tc>
          <w:tcPr>
            <w:tcW w:w="94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(1,005)</w:t>
            </w:r>
          </w:p>
        </w:tc>
      </w:tr>
    </w:tbl>
    <w:p w:rsidR="00E05CDA" w:rsidRPr="00E05CDA" w:rsidRDefault="00E05CDA" w:rsidP="00E05CDA">
      <w:pPr>
        <w:pBdr>
          <w:top w:val="nil"/>
          <w:left w:val="nil"/>
          <w:bottom w:val="nil"/>
          <w:right w:val="nil"/>
          <w:between w:val="nil"/>
          <w:bar w:val="nil"/>
        </w:pBdr>
        <w:rPr>
          <w:rFonts w:ascii="Calibri" w:eastAsia="Calibri" w:hAnsi="Calibri" w:cs="Arial"/>
          <w:vanish/>
          <w:bdr w:val="nil"/>
          <w:lang w:val="en-GB"/>
        </w:rPr>
      </w:pPr>
    </w:p>
    <w:p w:rsidR="00E01CFA" w:rsidRDefault="00D5482E" w:rsidP="00280BD8">
      <w:pPr>
        <w:pStyle w:val="Heading3"/>
        <w:pageBreakBefore/>
        <w:pBdr>
          <w:top w:val="nil"/>
          <w:left w:val="nil"/>
          <w:bottom w:val="nil"/>
          <w:right w:val="nil"/>
          <w:between w:val="nil"/>
          <w:bar w:val="nil"/>
        </w:pBdr>
        <w:spacing w:before="0"/>
        <w:ind w:left="709" w:hanging="709"/>
        <w:rPr>
          <w:bdr w:val="nil"/>
          <w:lang w:val="en-GB"/>
        </w:rPr>
      </w:pPr>
      <w:r>
        <w:rPr>
          <w:bdr w:val="nil"/>
          <w:lang w:val="en-GB"/>
        </w:rPr>
        <w:lastRenderedPageBreak/>
        <w:t>1.5</w:t>
      </w:r>
      <w:r>
        <w:rPr>
          <w:bdr w:val="nil"/>
          <w:lang w:val="en-GB"/>
        </w:rPr>
        <w:tab/>
        <w:t>Breakdown of additional estimates by appropriation bill</w:t>
      </w:r>
    </w:p>
    <w:p w:rsidR="00E01CFA" w:rsidRPr="005F6A6C" w:rsidRDefault="00D5482E" w:rsidP="00DF5E52">
      <w:pPr>
        <w:pBdr>
          <w:top w:val="nil"/>
          <w:left w:val="nil"/>
          <w:bottom w:val="nil"/>
          <w:right w:val="nil"/>
          <w:between w:val="nil"/>
          <w:bar w:val="nil"/>
        </w:pBdr>
        <w:spacing w:after="240" w:line="260" w:lineRule="exact"/>
        <w:jc w:val="both"/>
        <w:rPr>
          <w:rFonts w:ascii="Book Antiqua" w:eastAsia="Calibri" w:hAnsi="Book Antiqua" w:cs="Arial"/>
          <w:sz w:val="20"/>
          <w:bdr w:val="nil"/>
          <w:lang w:val="en-GB"/>
        </w:rPr>
      </w:pPr>
      <w:r w:rsidRPr="00E01CFA">
        <w:rPr>
          <w:rFonts w:ascii="Book Antiqua" w:eastAsia="Calibri" w:hAnsi="Book Antiqua" w:cs="Arial"/>
          <w:sz w:val="20"/>
          <w:bdr w:val="nil"/>
          <w:lang w:val="en-GB"/>
        </w:rPr>
        <w:t>The following table detail</w:t>
      </w:r>
      <w:r>
        <w:rPr>
          <w:rFonts w:ascii="Book Antiqua" w:eastAsia="Calibri" w:hAnsi="Book Antiqua" w:cs="Arial"/>
          <w:sz w:val="20"/>
          <w:bdr w:val="nil"/>
          <w:lang w:val="en-GB"/>
        </w:rPr>
        <w:t>s</w:t>
      </w:r>
      <w:r w:rsidRPr="00E01CFA">
        <w:rPr>
          <w:rFonts w:ascii="Book Antiqua" w:eastAsia="Calibri" w:hAnsi="Book Antiqua" w:cs="Arial"/>
          <w:sz w:val="20"/>
          <w:bdr w:val="nil"/>
          <w:lang w:val="en-GB"/>
        </w:rPr>
        <w:t xml:space="preserve"> the Additional Estimates sought for </w:t>
      </w:r>
      <w:r>
        <w:rPr>
          <w:rFonts w:ascii="Book Antiqua" w:eastAsia="Calibri" w:hAnsi="Book Antiqua" w:cs="Arial"/>
          <w:sz w:val="20"/>
          <w:bdr w:val="nil"/>
          <w:lang w:val="en-GB"/>
        </w:rPr>
        <w:t>DSS</w:t>
      </w:r>
      <w:r w:rsidRPr="00E01CFA">
        <w:rPr>
          <w:rFonts w:ascii="Book Antiqua" w:eastAsia="Calibri" w:hAnsi="Book Antiqua" w:cs="Arial"/>
          <w:sz w:val="20"/>
          <w:bdr w:val="nil"/>
          <w:lang w:val="en-GB"/>
        </w:rPr>
        <w:t xml:space="preserve"> through </w:t>
      </w:r>
      <w:r>
        <w:rPr>
          <w:rFonts w:ascii="Book Antiqua" w:eastAsia="Calibri" w:hAnsi="Book Antiqua" w:cs="Arial"/>
          <w:sz w:val="20"/>
          <w:bdr w:val="nil"/>
          <w:lang w:val="en-GB"/>
        </w:rPr>
        <w:t>Appropriation Bill No. 3</w:t>
      </w:r>
      <w:r w:rsidRPr="002859ED">
        <w:rPr>
          <w:rFonts w:ascii="Book Antiqua" w:eastAsia="Calibri" w:hAnsi="Book Antiqua" w:cs="Arial"/>
          <w:sz w:val="20"/>
          <w:bdr w:val="nil"/>
          <w:lang w:val="en-GB"/>
        </w:rPr>
        <w:t xml:space="preserve">. </w:t>
      </w:r>
    </w:p>
    <w:p w:rsidR="00375DFD" w:rsidRDefault="00D5482E" w:rsidP="00280BD8">
      <w:pPr>
        <w:pStyle w:val="TableHeading"/>
        <w:keepLines/>
        <w:pBdr>
          <w:top w:val="nil"/>
          <w:left w:val="nil"/>
          <w:bottom w:val="nil"/>
          <w:right w:val="nil"/>
          <w:between w:val="nil"/>
          <w:bar w:val="nil"/>
        </w:pBdr>
        <w:spacing w:before="0" w:after="0"/>
        <w:rPr>
          <w:rFonts w:eastAsia="Calibri"/>
          <w:szCs w:val="22"/>
          <w:bdr w:val="nil"/>
          <w:lang w:val="en-GB" w:eastAsia="en-US"/>
        </w:rPr>
      </w:pPr>
      <w:r w:rsidRPr="00E01CFA">
        <w:rPr>
          <w:rFonts w:eastAsia="Calibri" w:cs="Arial"/>
          <w:szCs w:val="22"/>
          <w:bdr w:val="nil"/>
          <w:lang w:val="en-GB" w:eastAsia="en-US"/>
        </w:rPr>
        <w:t>Table 1.</w:t>
      </w:r>
      <w:r>
        <w:rPr>
          <w:rFonts w:eastAsia="Calibri" w:cs="Arial"/>
          <w:szCs w:val="22"/>
          <w:bdr w:val="nil"/>
          <w:lang w:val="en-GB" w:eastAsia="en-US"/>
        </w:rPr>
        <w:t>4</w:t>
      </w:r>
      <w:r w:rsidRPr="00E01CFA">
        <w:rPr>
          <w:rFonts w:eastAsia="Calibri" w:cs="Arial"/>
          <w:szCs w:val="22"/>
          <w:bdr w:val="nil"/>
          <w:lang w:val="en-GB" w:eastAsia="en-US"/>
        </w:rPr>
        <w:t>: Appropriation Bill (No. 3)</w:t>
      </w:r>
      <w:r>
        <w:rPr>
          <w:rFonts w:eastAsia="Calibri" w:cs="Arial"/>
          <w:szCs w:val="22"/>
          <w:bdr w:val="nil"/>
          <w:lang w:val="en-GB" w:eastAsia="en-US"/>
        </w:rPr>
        <w:t xml:space="preserve"> 2020-2021</w:t>
      </w:r>
    </w:p>
    <w:tbl>
      <w:tblPr>
        <w:tblStyle w:val="CDMRange1"/>
        <w:tblW w:w="7740" w:type="dxa"/>
        <w:tblLayout w:type="fixed"/>
        <w:tblCellMar>
          <w:top w:w="11" w:type="dxa"/>
          <w:bottom w:w="11" w:type="dxa"/>
        </w:tblCellMar>
        <w:tblLook w:val="0600" w:firstRow="0" w:lastRow="0" w:firstColumn="0" w:lastColumn="0" w:noHBand="1" w:noVBand="1"/>
        <w:tblCaption w:val="Table 1.4: Appropriation Bill (No. 3) 2020-2021"/>
      </w:tblPr>
      <w:tblGrid>
        <w:gridCol w:w="2640"/>
        <w:gridCol w:w="1020"/>
        <w:gridCol w:w="1020"/>
        <w:gridCol w:w="1020"/>
        <w:gridCol w:w="1020"/>
        <w:gridCol w:w="1020"/>
      </w:tblGrid>
      <w:tr w:rsidR="00010972" w:rsidTr="002247E0">
        <w:trPr>
          <w:tblHeader/>
        </w:trPr>
        <w:tc>
          <w:tcPr>
            <w:tcW w:w="2640" w:type="dxa"/>
            <w:vMerge w:val="restart"/>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Calibri" w:eastAsia="Calibri" w:hAnsi="Calibri" w:cs="Calibri"/>
                <w:color w:val="000000"/>
                <w:bdr w:val="nil"/>
              </w:rPr>
            </w:pPr>
          </w:p>
        </w:tc>
        <w:tc>
          <w:tcPr>
            <w:tcW w:w="1020"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2019-20</w:t>
            </w:r>
          </w:p>
        </w:tc>
        <w:tc>
          <w:tcPr>
            <w:tcW w:w="1020"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c>
          <w:tcPr>
            <w:tcW w:w="1020"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c>
          <w:tcPr>
            <w:tcW w:w="1020"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Additional</w:t>
            </w:r>
          </w:p>
        </w:tc>
        <w:tc>
          <w:tcPr>
            <w:tcW w:w="1020"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Reduced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jc w:val="center"/>
              <w:rPr>
                <w:rFonts w:ascii="Calibri" w:eastAsia="Calibri" w:hAnsi="Calibri" w:cs="Calibri"/>
                <w:color w:val="000000"/>
                <w:bdr w:val="nil"/>
              </w:rPr>
            </w:pPr>
          </w:p>
        </w:tc>
        <w:tc>
          <w:tcPr>
            <w:tcW w:w="10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Available</w:t>
            </w:r>
          </w:p>
        </w:tc>
        <w:tc>
          <w:tcPr>
            <w:tcW w:w="10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Budget</w:t>
            </w:r>
          </w:p>
        </w:tc>
        <w:tc>
          <w:tcPr>
            <w:tcW w:w="10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Revised</w:t>
            </w:r>
          </w:p>
        </w:tc>
        <w:tc>
          <w:tcPr>
            <w:tcW w:w="1020"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Estimates</w:t>
            </w:r>
          </w:p>
        </w:tc>
        <w:tc>
          <w:tcPr>
            <w:tcW w:w="1020"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jc w:val="center"/>
              <w:rPr>
                <w:rFonts w:ascii="Calibri" w:eastAsia="Calibri" w:hAnsi="Calibri" w:cs="Calibri"/>
                <w:color w:val="000000"/>
                <w:bdr w:val="nil"/>
              </w:rPr>
            </w:pPr>
          </w:p>
        </w:tc>
        <w:tc>
          <w:tcPr>
            <w:tcW w:w="10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$'000</w:t>
            </w:r>
          </w:p>
        </w:tc>
        <w:tc>
          <w:tcPr>
            <w:tcW w:w="10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20"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20"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Administered items</w:t>
            </w:r>
          </w:p>
        </w:tc>
        <w:tc>
          <w:tcPr>
            <w:tcW w:w="10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b/>
                <w:color w:val="000000"/>
                <w:sz w:val="16"/>
                <w:bdr w:val="nil"/>
              </w:rPr>
              <w:t>Outcome 1</w:t>
            </w:r>
            <w:r>
              <w:rPr>
                <w:rFonts w:ascii="Arial" w:eastAsia="Arial" w:hAnsi="Arial" w:cs="Arial"/>
                <w:color w:val="000000"/>
                <w:sz w:val="16"/>
                <w:bdr w:val="nil"/>
              </w:rPr>
              <w:t xml:space="preserve"> – Social Security</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53,329</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20,857</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20,857</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b/>
                <w:color w:val="000000"/>
                <w:sz w:val="16"/>
                <w:bdr w:val="nil"/>
              </w:rPr>
              <w:t xml:space="preserve">Outcome 2 </w:t>
            </w:r>
            <w:r>
              <w:rPr>
                <w:rFonts w:ascii="Arial" w:eastAsia="Arial" w:hAnsi="Arial" w:cs="Arial"/>
                <w:color w:val="000000"/>
                <w:sz w:val="16"/>
                <w:bdr w:val="nil"/>
              </w:rPr>
              <w:t>– Families and</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Communities</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739,576</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803,112</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805,145</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2,033</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b/>
                <w:color w:val="000000"/>
                <w:sz w:val="16"/>
                <w:bdr w:val="nil"/>
              </w:rPr>
              <w:t xml:space="preserve">Outcome 3 </w:t>
            </w:r>
            <w:r>
              <w:rPr>
                <w:rFonts w:ascii="Arial" w:eastAsia="Arial" w:hAnsi="Arial" w:cs="Arial"/>
                <w:color w:val="000000"/>
                <w:sz w:val="16"/>
                <w:bdr w:val="nil"/>
              </w:rPr>
              <w:t>– Disability and</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Carers</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8,702,300</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12,815,515</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12,815,515</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b/>
                <w:color w:val="000000"/>
                <w:sz w:val="16"/>
                <w:bdr w:val="nil"/>
              </w:rPr>
              <w:t>Outcome 4</w:t>
            </w:r>
            <w:r>
              <w:rPr>
                <w:rFonts w:ascii="Arial" w:eastAsia="Arial" w:hAnsi="Arial" w:cs="Arial"/>
                <w:color w:val="000000"/>
                <w:sz w:val="16"/>
                <w:bdr w:val="nil"/>
              </w:rPr>
              <w:t xml:space="preserve"> – Housing</w:t>
            </w:r>
          </w:p>
        </w:tc>
        <w:tc>
          <w:tcPr>
            <w:tcW w:w="102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148,013</w:t>
            </w:r>
          </w:p>
        </w:tc>
        <w:tc>
          <w:tcPr>
            <w:tcW w:w="102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162,816</w:t>
            </w:r>
          </w:p>
        </w:tc>
        <w:tc>
          <w:tcPr>
            <w:tcW w:w="102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149,015</w:t>
            </w:r>
          </w:p>
        </w:tc>
        <w:tc>
          <w:tcPr>
            <w:tcW w:w="1020"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20"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(13,801)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administered</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9,643,218</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13,802,300</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13,790,532</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2,033</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(13,801)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Departmental programs</w:t>
            </w:r>
          </w:p>
        </w:tc>
        <w:tc>
          <w:tcPr>
            <w:tcW w:w="10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i/>
                <w:color w:val="000000"/>
                <w:sz w:val="16"/>
                <w:bdr w:val="nil"/>
              </w:rPr>
            </w:pPr>
          </w:p>
        </w:tc>
        <w:tc>
          <w:tcPr>
            <w:tcW w:w="10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2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2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b/>
                <w:color w:val="000000"/>
                <w:sz w:val="16"/>
                <w:bdr w:val="nil"/>
              </w:rPr>
              <w:t>Outcome 1</w:t>
            </w:r>
            <w:r>
              <w:rPr>
                <w:rFonts w:ascii="Arial" w:eastAsia="Arial" w:hAnsi="Arial" w:cs="Arial"/>
                <w:color w:val="000000"/>
                <w:sz w:val="16"/>
                <w:bdr w:val="nil"/>
              </w:rPr>
              <w:t xml:space="preserve"> – Social Security</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104,052</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95,046</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94,818</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b/>
                <w:color w:val="000000"/>
                <w:sz w:val="16"/>
                <w:bdr w:val="nil"/>
              </w:rPr>
              <w:t>Outcome 2</w:t>
            </w:r>
            <w:r>
              <w:rPr>
                <w:rFonts w:ascii="Arial" w:eastAsia="Arial" w:hAnsi="Arial" w:cs="Arial"/>
                <w:color w:val="000000"/>
                <w:sz w:val="16"/>
                <w:bdr w:val="nil"/>
              </w:rPr>
              <w:t xml:space="preserve"> – Families and</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Communities</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180,644</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175,736</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175,360</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(376)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b/>
                <w:color w:val="000000"/>
                <w:sz w:val="16"/>
                <w:bdr w:val="nil"/>
              </w:rPr>
              <w:t xml:space="preserve">Outcome 3 </w:t>
            </w:r>
            <w:r>
              <w:rPr>
                <w:rFonts w:ascii="Arial" w:eastAsia="Arial" w:hAnsi="Arial" w:cs="Arial"/>
                <w:color w:val="000000"/>
                <w:sz w:val="16"/>
                <w:bdr w:val="nil"/>
              </w:rPr>
              <w:t>– Disability and</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Carers</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109,857</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94,922</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100,191</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5,497</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b/>
                <w:color w:val="000000"/>
                <w:sz w:val="16"/>
                <w:bdr w:val="nil"/>
              </w:rPr>
              <w:t>Outcome 4</w:t>
            </w:r>
            <w:r>
              <w:rPr>
                <w:rFonts w:ascii="Arial" w:eastAsia="Arial" w:hAnsi="Arial" w:cs="Arial"/>
                <w:color w:val="000000"/>
                <w:sz w:val="16"/>
                <w:bdr w:val="nil"/>
              </w:rPr>
              <w:t xml:space="preserve"> – Housing</w:t>
            </w:r>
          </w:p>
        </w:tc>
        <w:tc>
          <w:tcPr>
            <w:tcW w:w="102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20,056</w:t>
            </w:r>
          </w:p>
        </w:tc>
        <w:tc>
          <w:tcPr>
            <w:tcW w:w="102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18,209</w:t>
            </w:r>
          </w:p>
        </w:tc>
        <w:tc>
          <w:tcPr>
            <w:tcW w:w="102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18,165</w:t>
            </w:r>
          </w:p>
        </w:tc>
        <w:tc>
          <w:tcPr>
            <w:tcW w:w="1020"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1020"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departmental</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414,609</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383,913</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388,534</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5,497</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(876)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administered and</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departmental</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10,057,827</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14,186,213</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14,179,066</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7,530</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(14,677)</w:t>
            </w:r>
          </w:p>
        </w:tc>
      </w:tr>
    </w:tbl>
    <w:p w:rsidR="00E72847" w:rsidRDefault="00E72847">
      <w:pPr>
        <w:pBdr>
          <w:top w:val="nil"/>
          <w:left w:val="nil"/>
          <w:bottom w:val="nil"/>
          <w:right w:val="nil"/>
          <w:between w:val="nil"/>
          <w:bar w:val="nil"/>
        </w:pBdr>
        <w:rPr>
          <w:rFonts w:ascii="Calibri" w:eastAsia="Calibri" w:hAnsi="Calibri" w:cs="Arial"/>
          <w:vanish/>
          <w:bdr w:val="nil"/>
        </w:rPr>
      </w:pPr>
    </w:p>
    <w:p w:rsidR="0076351B" w:rsidRPr="00887854" w:rsidRDefault="00D5482E" w:rsidP="00EB7026">
      <w:pPr>
        <w:pStyle w:val="Heading2"/>
        <w:pageBreakBefore/>
        <w:pBdr>
          <w:top w:val="nil"/>
          <w:left w:val="nil"/>
          <w:bottom w:val="nil"/>
          <w:right w:val="nil"/>
          <w:between w:val="nil"/>
          <w:bar w:val="nil"/>
        </w:pBdr>
        <w:spacing w:before="0" w:after="240"/>
        <w:rPr>
          <w:b/>
          <w:bdr w:val="nil"/>
        </w:rPr>
      </w:pPr>
      <w:bookmarkStart w:id="11" w:name="_Toc436624143"/>
      <w:bookmarkStart w:id="12" w:name="_Toc436625444"/>
      <w:bookmarkStart w:id="13" w:name="_Toc446237032"/>
      <w:bookmarkStart w:id="14" w:name="_Toc449255764"/>
      <w:bookmarkStart w:id="15" w:name="_Toc210698432"/>
      <w:bookmarkStart w:id="16" w:name="_Toc210703214"/>
      <w:bookmarkStart w:id="17" w:name="_Toc490972409"/>
      <w:bookmarkStart w:id="18" w:name="_Toc491014629"/>
      <w:bookmarkStart w:id="19" w:name="_Toc491014771"/>
      <w:bookmarkStart w:id="20" w:name="_Toc491014951"/>
      <w:bookmarkStart w:id="21" w:name="_Toc491015098"/>
      <w:bookmarkStart w:id="22" w:name="_Toc491029242"/>
      <w:bookmarkStart w:id="23" w:name="_Toc491030331"/>
      <w:bookmarkStart w:id="24" w:name="_Toc491030790"/>
      <w:bookmarkStart w:id="25" w:name="_Toc491031353"/>
      <w:bookmarkStart w:id="26" w:name="_Toc491031940"/>
      <w:bookmarkStart w:id="27" w:name="_Toc491032113"/>
      <w:bookmarkStart w:id="28" w:name="_Toc491032221"/>
      <w:bookmarkStart w:id="29" w:name="_Toc491032328"/>
      <w:bookmarkStart w:id="30" w:name="_Toc491771720"/>
      <w:bookmarkStart w:id="31" w:name="_Toc491773295"/>
      <w:bookmarkStart w:id="32" w:name="_Toc23559353"/>
      <w:bookmarkStart w:id="33" w:name="_Toc23559387"/>
      <w:bookmarkStart w:id="34" w:name="_Toc23559674"/>
      <w:bookmarkStart w:id="35" w:name="_Toc23560142"/>
      <w:bookmarkStart w:id="36" w:name="_Toc23563436"/>
      <w:bookmarkStart w:id="37" w:name="_Toc77998688"/>
      <w:bookmarkStart w:id="38" w:name="_Toc79399717"/>
      <w:bookmarkStart w:id="39" w:name="_Toc112211966"/>
      <w:bookmarkStart w:id="40" w:name="_Toc112212060"/>
      <w:bookmarkStart w:id="41" w:name="_Toc112137878"/>
      <w:bookmarkStart w:id="42" w:name="_Toc112137900"/>
      <w:bookmarkStart w:id="43" w:name="_Toc210646453"/>
      <w:r w:rsidRPr="00887854">
        <w:rPr>
          <w:b/>
          <w:bdr w:val="nil"/>
        </w:rPr>
        <w:lastRenderedPageBreak/>
        <w:t>Section 2</w:t>
      </w:r>
      <w:bookmarkEnd w:id="11"/>
      <w:bookmarkEnd w:id="12"/>
      <w:bookmarkEnd w:id="13"/>
      <w:bookmarkEnd w:id="14"/>
      <w:r w:rsidRPr="00887854">
        <w:rPr>
          <w:b/>
          <w:bdr w:val="nil"/>
        </w:rPr>
        <w:t xml:space="preserve">: </w:t>
      </w:r>
      <w:bookmarkStart w:id="44" w:name="_Toc436624145"/>
      <w:bookmarkStart w:id="45" w:name="_Toc436625446"/>
      <w:bookmarkStart w:id="46" w:name="_Toc449255766"/>
      <w:bookmarkStart w:id="47" w:name="_Toc490972410"/>
      <w:bookmarkStart w:id="48" w:name="_Toc491014630"/>
      <w:bookmarkStart w:id="49" w:name="_Toc491014772"/>
      <w:bookmarkStart w:id="50" w:name="_Toc491014952"/>
      <w:bookmarkStart w:id="51" w:name="_Toc491015099"/>
      <w:bookmarkStart w:id="52" w:name="_Toc491029243"/>
      <w:bookmarkStart w:id="53" w:name="_Toc491030332"/>
      <w:bookmarkStart w:id="54" w:name="_Toc491030791"/>
      <w:bookmarkStart w:id="55" w:name="_Toc491031354"/>
      <w:bookmarkStart w:id="56" w:name="_Toc491031941"/>
      <w:bookmarkStart w:id="57" w:name="_Toc491032114"/>
      <w:bookmarkStart w:id="58" w:name="_Toc491032222"/>
      <w:bookmarkStart w:id="59" w:name="_Toc491032329"/>
      <w:bookmarkStart w:id="60" w:name="_Toc491771721"/>
      <w:bookmarkStart w:id="61" w:name="_Toc491773296"/>
      <w:bookmarkStart w:id="62" w:name="_Toc23559354"/>
      <w:bookmarkStart w:id="63" w:name="_Toc23559388"/>
      <w:bookmarkStart w:id="64" w:name="_Toc23559675"/>
      <w:bookmarkStart w:id="65" w:name="_Toc23560143"/>
      <w:bookmarkStart w:id="66" w:name="_Toc23563437"/>
      <w:bookmarkStart w:id="67" w:name="_Toc77998689"/>
      <w:bookmarkStart w:id="68" w:name="_Toc79406118"/>
      <w:bookmarkStart w:id="69" w:name="_Toc79467820"/>
      <w:bookmarkStart w:id="70" w:name="_Toc112211967"/>
      <w:bookmarkStart w:id="71" w:name="_Toc112212061"/>
      <w:bookmarkStart w:id="72" w:name="_Toc112137879"/>
      <w:bookmarkStart w:id="73" w:name="_Toc112137901"/>
      <w:bookmarkStart w:id="74" w:name="_Toc210646454"/>
      <w:bookmarkStart w:id="75" w:name="_Toc210698433"/>
      <w:bookmarkStart w:id="76" w:name="_Toc21070321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887854">
        <w:rPr>
          <w:b/>
          <w:bdr w:val="nil"/>
        </w:rPr>
        <w:t>Revisions to outcomes and planned performance</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D86095" w:rsidRDefault="00D5482E" w:rsidP="006212D2">
      <w:pPr>
        <w:keepNext/>
        <w:keepLines/>
        <w:pBdr>
          <w:top w:val="nil"/>
          <w:left w:val="nil"/>
          <w:bottom w:val="nil"/>
          <w:right w:val="nil"/>
          <w:between w:val="nil"/>
          <w:bar w:val="nil"/>
        </w:pBdr>
        <w:tabs>
          <w:tab w:val="left" w:pos="709"/>
        </w:tabs>
        <w:spacing w:before="240" w:after="240" w:line="240" w:lineRule="auto"/>
        <w:ind w:right="28"/>
        <w:outlineLvl w:val="2"/>
        <w:rPr>
          <w:rFonts w:ascii="Arial" w:hAnsi="Arial"/>
          <w:b/>
          <w:smallCaps/>
          <w:sz w:val="26"/>
          <w:bdr w:val="nil"/>
        </w:rPr>
      </w:pPr>
      <w:r w:rsidRPr="00CA0CF0">
        <w:rPr>
          <w:rFonts w:ascii="Arial" w:eastAsia="Times New Roman" w:hAnsi="Arial" w:cs="Times New Roman"/>
          <w:b/>
          <w:smallCaps/>
          <w:sz w:val="26"/>
          <w:szCs w:val="20"/>
          <w:bdr w:val="nil"/>
          <w:lang w:val="en-AU" w:eastAsia="en-AU"/>
        </w:rPr>
        <w:t>2.1</w:t>
      </w:r>
      <w:r w:rsidRPr="00CA0CF0">
        <w:rPr>
          <w:rFonts w:ascii="Arial" w:eastAsia="Times New Roman" w:hAnsi="Arial" w:cs="Times New Roman"/>
          <w:b/>
          <w:smallCaps/>
          <w:sz w:val="26"/>
          <w:szCs w:val="20"/>
          <w:bdr w:val="nil"/>
          <w:lang w:val="en-AU" w:eastAsia="en-AU"/>
        </w:rPr>
        <w:tab/>
        <w:t>Budgeted expenses and performance for Outcome 1</w:t>
      </w:r>
    </w:p>
    <w:tbl>
      <w:tblPr>
        <w:tblStyle w:val="TableGrid"/>
        <w:tblW w:w="4804"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AEAEA"/>
        <w:tblCellMar>
          <w:top w:w="11" w:type="dxa"/>
          <w:bottom w:w="11" w:type="dxa"/>
        </w:tblCellMar>
        <w:tblLook w:val="04A0" w:firstRow="1" w:lastRow="0" w:firstColumn="1" w:lastColumn="0" w:noHBand="0" w:noVBand="1"/>
        <w:tblCaption w:val="Outcome 1"/>
        <w:tblDescription w:val="Increased understanding of factors affecting how families function by conducting research and communicating findings to policy-makers, service providers and the broader community."/>
      </w:tblPr>
      <w:tblGrid>
        <w:gridCol w:w="7398"/>
      </w:tblGrid>
      <w:tr w:rsidR="00010972" w:rsidTr="00DD145C">
        <w:trPr>
          <w:tblHeader/>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hideMark/>
          </w:tcPr>
          <w:p w:rsidR="00630C07" w:rsidRDefault="00D5482E" w:rsidP="00DD145C">
            <w:pPr>
              <w:keepLines/>
              <w:pBdr>
                <w:top w:val="nil"/>
                <w:left w:val="nil"/>
                <w:bottom w:val="nil"/>
                <w:right w:val="nil"/>
                <w:between w:val="nil"/>
                <w:bar w:val="nil"/>
              </w:pBdr>
              <w:spacing w:before="60" w:after="60"/>
              <w:ind w:right="-80"/>
              <w:jc w:val="both"/>
              <w:rPr>
                <w:rFonts w:ascii="Arial" w:hAnsi="Arial" w:cs="Arial"/>
                <w:b/>
                <w:bdr w:val="nil"/>
              </w:rPr>
            </w:pPr>
            <w:r w:rsidRPr="00630C07">
              <w:rPr>
                <w:rFonts w:ascii="Arial" w:eastAsia="Times New Roman" w:hAnsi="Arial" w:cs="Arial"/>
                <w:b/>
                <w:bdr w:val="nil"/>
              </w:rPr>
              <w:t>Outcome 1: Social Security</w:t>
            </w:r>
          </w:p>
          <w:p w:rsidR="00630C07" w:rsidRDefault="00D5482E" w:rsidP="00630C07">
            <w:pPr>
              <w:keepLines/>
              <w:pBdr>
                <w:top w:val="nil"/>
                <w:left w:val="nil"/>
                <w:bottom w:val="nil"/>
                <w:right w:val="nil"/>
                <w:between w:val="nil"/>
                <w:bar w:val="nil"/>
              </w:pBdr>
              <w:spacing w:before="60" w:after="60"/>
              <w:jc w:val="both"/>
              <w:rPr>
                <w:rFonts w:ascii="Arial" w:hAnsi="Arial" w:cs="Arial"/>
                <w:b/>
                <w:bdr w:val="nil"/>
              </w:rPr>
            </w:pPr>
            <w:r w:rsidRPr="00630C07">
              <w:rPr>
                <w:rFonts w:ascii="Arial" w:eastAsia="Times New Roman" w:hAnsi="Arial" w:cs="Arial"/>
                <w:b/>
                <w:bdr w:val="nil"/>
              </w:rPr>
              <w:t>Encourage self-reliance and support people who cannot fully support themselves by providing sustainable social security payments and assistance.</w:t>
            </w:r>
          </w:p>
        </w:tc>
      </w:tr>
    </w:tbl>
    <w:p w:rsidR="00E77462" w:rsidRDefault="00D5482E" w:rsidP="007B6552">
      <w:pPr>
        <w:pStyle w:val="Heading4"/>
        <w:pBdr>
          <w:top w:val="nil"/>
          <w:left w:val="nil"/>
          <w:bottom w:val="nil"/>
          <w:right w:val="nil"/>
          <w:between w:val="nil"/>
          <w:bar w:val="nil"/>
        </w:pBdr>
        <w:spacing w:before="240" w:after="0"/>
        <w:ind w:right="28"/>
        <w:rPr>
          <w:color w:val="000000"/>
          <w:bdr w:val="nil"/>
        </w:rPr>
      </w:pPr>
      <w:r>
        <w:rPr>
          <w:bdr w:val="nil"/>
        </w:rPr>
        <w:t xml:space="preserve">Linked </w:t>
      </w:r>
      <w:r>
        <w:rPr>
          <w:color w:val="000000"/>
          <w:bdr w:val="nil"/>
        </w:rPr>
        <w:t>programs</w:t>
      </w:r>
    </w:p>
    <w:tbl>
      <w:tblPr>
        <w:tblW w:w="484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461"/>
      </w:tblGrid>
      <w:tr w:rsidR="00010972" w:rsidTr="00DD145C">
        <w:tc>
          <w:tcPr>
            <w:tcW w:w="5000" w:type="pct"/>
            <w:tcBorders>
              <w:top w:val="single" w:sz="4" w:space="0" w:color="auto"/>
              <w:left w:val="single" w:sz="4" w:space="0" w:color="auto"/>
              <w:bottom w:val="dotted" w:sz="4" w:space="0" w:color="auto"/>
              <w:right w:val="single" w:sz="4" w:space="0" w:color="auto"/>
            </w:tcBorders>
            <w:hideMark/>
          </w:tcPr>
          <w:p w:rsidR="00FC4090" w:rsidRDefault="00D5482E">
            <w:pPr>
              <w:pStyle w:val="ExampleText0"/>
              <w:pBdr>
                <w:top w:val="nil"/>
                <w:left w:val="nil"/>
                <w:bottom w:val="nil"/>
                <w:right w:val="nil"/>
                <w:between w:val="nil"/>
                <w:bar w:val="nil"/>
              </w:pBdr>
              <w:spacing w:before="60" w:after="60" w:line="240" w:lineRule="auto"/>
              <w:rPr>
                <w:color w:val="000000"/>
                <w:bdr w:val="nil"/>
                <w:lang w:val="en-US" w:eastAsia="en-US"/>
              </w:rPr>
            </w:pPr>
            <w:r>
              <w:rPr>
                <w:rStyle w:val="ExampletextCharChar"/>
                <w:b/>
                <w:color w:val="000000"/>
                <w:bdr w:val="nil"/>
              </w:rPr>
              <w:t>Department of Education, Skills and Employment</w:t>
            </w:r>
          </w:p>
        </w:tc>
      </w:tr>
      <w:tr w:rsidR="00010972" w:rsidTr="00DD145C">
        <w:tc>
          <w:tcPr>
            <w:tcW w:w="5000" w:type="pct"/>
            <w:tcBorders>
              <w:top w:val="dotted" w:sz="4" w:space="0" w:color="auto"/>
              <w:left w:val="single" w:sz="4" w:space="0" w:color="auto"/>
              <w:bottom w:val="dotted" w:sz="4" w:space="0" w:color="000000" w:themeColor="text1"/>
              <w:right w:val="single" w:sz="4" w:space="0" w:color="auto"/>
            </w:tcBorders>
            <w:hideMark/>
          </w:tcPr>
          <w:p w:rsidR="00FC4090" w:rsidRPr="00FD7E4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FD7E4B">
              <w:rPr>
                <w:rStyle w:val="ExampletextCharChar"/>
                <w:rFonts w:eastAsiaTheme="minorHAnsi"/>
                <w:b/>
                <w:i w:val="0"/>
                <w:color w:val="000000"/>
                <w:bdr w:val="nil"/>
              </w:rPr>
              <w:t>Programs</w:t>
            </w:r>
          </w:p>
          <w:p w:rsidR="0095457C" w:rsidRPr="0095457C" w:rsidRDefault="00D5482E" w:rsidP="00FC4090">
            <w:pPr>
              <w:numPr>
                <w:ilvl w:val="0"/>
                <w:numId w:val="6"/>
              </w:numPr>
              <w:pBdr>
                <w:top w:val="nil"/>
                <w:left w:val="nil"/>
                <w:bottom w:val="nil"/>
                <w:right w:val="nil"/>
                <w:between w:val="nil"/>
                <w:bar w:val="nil"/>
              </w:pBdr>
              <w:spacing w:before="60" w:after="60" w:line="240" w:lineRule="auto"/>
              <w:ind w:left="714" w:hanging="357"/>
              <w:jc w:val="both"/>
              <w:rPr>
                <w:rStyle w:val="ExampletextCharChar"/>
                <w:rFonts w:eastAsia="Calibri"/>
                <w:i w:val="0"/>
                <w:color w:val="000000"/>
                <w:bdr w:val="nil"/>
              </w:rPr>
            </w:pPr>
            <w:r>
              <w:rPr>
                <w:rStyle w:val="ExampletextCharChar"/>
                <w:rFonts w:eastAsia="Calibri"/>
                <w:i w:val="0"/>
                <w:color w:val="000000"/>
                <w:bdr w:val="nil"/>
              </w:rPr>
              <w:t>Program 2.4</w:t>
            </w:r>
            <w:r w:rsidRPr="00FD7E4B">
              <w:rPr>
                <w:rStyle w:val="ExampletextCharChar"/>
                <w:rFonts w:eastAsiaTheme="minorHAnsi"/>
                <w:i w:val="0"/>
                <w:color w:val="000000"/>
                <w:bdr w:val="nil"/>
              </w:rPr>
              <w:t xml:space="preserve"> – </w:t>
            </w:r>
            <w:r>
              <w:rPr>
                <w:rStyle w:val="ExampletextCharChar"/>
                <w:rFonts w:eastAsiaTheme="minorHAnsi"/>
                <w:i w:val="0"/>
                <w:color w:val="000000"/>
                <w:bdr w:val="nil"/>
              </w:rPr>
              <w:t>Higher Education Loan Program</w:t>
            </w:r>
            <w:r>
              <w:rPr>
                <w:rStyle w:val="ExampletextCharChar"/>
                <w:rFonts w:eastAsia="Calibri"/>
                <w:i w:val="0"/>
                <w:color w:val="000000"/>
                <w:bdr w:val="nil"/>
              </w:rPr>
              <w:t xml:space="preserve"> </w:t>
            </w:r>
          </w:p>
          <w:p w:rsidR="00FC4090" w:rsidRPr="00FD7E4B" w:rsidRDefault="00D5482E" w:rsidP="00FC4090">
            <w:pPr>
              <w:numPr>
                <w:ilvl w:val="0"/>
                <w:numId w:val="6"/>
              </w:numPr>
              <w:pBdr>
                <w:top w:val="nil"/>
                <w:left w:val="nil"/>
                <w:bottom w:val="nil"/>
                <w:right w:val="nil"/>
                <w:between w:val="nil"/>
                <w:bar w:val="nil"/>
              </w:pBdr>
              <w:spacing w:before="60" w:after="60" w:line="240" w:lineRule="auto"/>
              <w:ind w:left="714" w:hanging="357"/>
              <w:jc w:val="both"/>
              <w:rPr>
                <w:rStyle w:val="ExampletextCharChar"/>
                <w:rFonts w:eastAsia="Calibri"/>
                <w:i w:val="0"/>
                <w:color w:val="000000"/>
                <w:bdr w:val="nil"/>
              </w:rPr>
            </w:pPr>
            <w:r w:rsidRPr="00FD7E4B">
              <w:rPr>
                <w:rStyle w:val="ExampletextCharChar"/>
                <w:rFonts w:eastAsiaTheme="minorHAnsi"/>
                <w:i w:val="0"/>
                <w:color w:val="000000"/>
                <w:bdr w:val="nil"/>
              </w:rPr>
              <w:t>Program 4.1 – Employment Services</w:t>
            </w:r>
          </w:p>
        </w:tc>
      </w:tr>
      <w:tr w:rsidR="00010972" w:rsidTr="00DD145C">
        <w:tc>
          <w:tcPr>
            <w:tcW w:w="5000" w:type="pct"/>
            <w:tcBorders>
              <w:top w:val="dotted" w:sz="4" w:space="0" w:color="000000" w:themeColor="text1"/>
              <w:left w:val="single" w:sz="4" w:space="0" w:color="auto"/>
              <w:bottom w:val="single" w:sz="4" w:space="0" w:color="auto"/>
              <w:right w:val="single" w:sz="4" w:space="0" w:color="auto"/>
            </w:tcBorders>
            <w:hideMark/>
          </w:tcPr>
          <w:p w:rsidR="00FC4090" w:rsidRPr="00FD7E4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FD7E4B">
              <w:rPr>
                <w:rStyle w:val="ExampletextCharChar"/>
                <w:rFonts w:eastAsiaTheme="minorHAnsi"/>
                <w:b/>
                <w:i w:val="0"/>
                <w:color w:val="000000"/>
                <w:bdr w:val="nil"/>
              </w:rPr>
              <w:t>Contribution to Outcome 1 made by linked programs</w:t>
            </w:r>
          </w:p>
          <w:p w:rsidR="00FC4090" w:rsidRPr="00FD7E4B" w:rsidRDefault="00D5482E" w:rsidP="00FD7E4B">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95457C">
              <w:rPr>
                <w:rStyle w:val="ExampletextCharChar"/>
                <w:rFonts w:eastAsiaTheme="minorHAnsi"/>
                <w:i w:val="0"/>
                <w:color w:val="000000"/>
                <w:bdr w:val="nil"/>
              </w:rPr>
              <w:t>The Department of Education, Skills and Employment is linked to Outcome 1 as the Higher Education Loan program contains eligibility requirements in connection with some of the payments and concessions that fall under this Outcome</w:t>
            </w:r>
            <w:r w:rsidR="00186DBF">
              <w:rPr>
                <w:rStyle w:val="ExampletextCharChar"/>
                <w:rFonts w:eastAsiaTheme="minorHAnsi"/>
                <w:i w:val="0"/>
                <w:color w:val="000000"/>
                <w:bdr w:val="nil"/>
              </w:rPr>
              <w:t>. M</w:t>
            </w:r>
            <w:r w:rsidRPr="0095457C">
              <w:rPr>
                <w:rStyle w:val="ExampletextCharChar"/>
                <w:rFonts w:eastAsiaTheme="minorHAnsi"/>
                <w:i w:val="0"/>
                <w:color w:val="000000"/>
                <w:bdr w:val="nil"/>
              </w:rPr>
              <w:t>utual obligation requirements and compliance frameworks for various payments under this Outcome are also stipulated in the Employment Services program.</w:t>
            </w:r>
          </w:p>
        </w:tc>
      </w:tr>
      <w:tr w:rsidR="00010972" w:rsidTr="00DD145C">
        <w:tc>
          <w:tcPr>
            <w:tcW w:w="5000" w:type="pct"/>
            <w:tcBorders>
              <w:top w:val="single" w:sz="4" w:space="0" w:color="auto"/>
              <w:left w:val="single" w:sz="4" w:space="0" w:color="auto"/>
              <w:bottom w:val="dotted" w:sz="4" w:space="0" w:color="auto"/>
              <w:right w:val="single" w:sz="4" w:space="0" w:color="auto"/>
            </w:tcBorders>
            <w:hideMark/>
          </w:tcPr>
          <w:p w:rsidR="00FC4090" w:rsidRPr="00FD7E4B" w:rsidRDefault="00D5482E">
            <w:pPr>
              <w:pStyle w:val="ExampleText0"/>
              <w:pBdr>
                <w:top w:val="nil"/>
                <w:left w:val="nil"/>
                <w:bottom w:val="nil"/>
                <w:right w:val="nil"/>
                <w:between w:val="nil"/>
                <w:bar w:val="nil"/>
              </w:pBdr>
              <w:spacing w:before="60" w:after="60" w:line="240" w:lineRule="auto"/>
              <w:rPr>
                <w:rStyle w:val="ExampletextCharChar"/>
                <w:b/>
                <w:color w:val="000000"/>
                <w:bdr w:val="nil"/>
              </w:rPr>
            </w:pPr>
            <w:r w:rsidRPr="00FD7E4B">
              <w:rPr>
                <w:rStyle w:val="ExampletextCharChar"/>
                <w:b/>
                <w:color w:val="000000"/>
                <w:bdr w:val="nil"/>
              </w:rPr>
              <w:t>Department of Health</w:t>
            </w:r>
          </w:p>
        </w:tc>
      </w:tr>
      <w:tr w:rsidR="00010972" w:rsidTr="00DD145C">
        <w:tc>
          <w:tcPr>
            <w:tcW w:w="5000" w:type="pct"/>
            <w:tcBorders>
              <w:top w:val="dotted" w:sz="4" w:space="0" w:color="auto"/>
              <w:left w:val="single" w:sz="4" w:space="0" w:color="auto"/>
              <w:bottom w:val="dotted" w:sz="4" w:space="0" w:color="000000" w:themeColor="text1"/>
              <w:right w:val="single" w:sz="4" w:space="0" w:color="auto"/>
            </w:tcBorders>
            <w:hideMark/>
          </w:tcPr>
          <w:p w:rsidR="00FC4090" w:rsidRPr="00FD7E4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Pr>
                <w:rStyle w:val="ExampletextCharChar"/>
                <w:rFonts w:eastAsiaTheme="minorHAnsi"/>
                <w:b/>
                <w:i w:val="0"/>
                <w:color w:val="000000"/>
                <w:bdr w:val="nil"/>
              </w:rPr>
              <w:t>Program</w:t>
            </w:r>
          </w:p>
          <w:p w:rsidR="00FC4090" w:rsidRPr="00FD7E4B" w:rsidRDefault="00D5482E" w:rsidP="00FC4090">
            <w:pPr>
              <w:numPr>
                <w:ilvl w:val="0"/>
                <w:numId w:val="6"/>
              </w:numPr>
              <w:pBdr>
                <w:top w:val="nil"/>
                <w:left w:val="nil"/>
                <w:bottom w:val="nil"/>
                <w:right w:val="nil"/>
                <w:between w:val="nil"/>
                <w:bar w:val="nil"/>
              </w:pBdr>
              <w:spacing w:before="60" w:after="60" w:line="240" w:lineRule="auto"/>
              <w:ind w:left="714" w:hanging="357"/>
              <w:jc w:val="both"/>
              <w:rPr>
                <w:rStyle w:val="ExampletextCharChar"/>
                <w:rFonts w:eastAsia="Calibri"/>
                <w:i w:val="0"/>
                <w:color w:val="000000"/>
                <w:bdr w:val="nil"/>
              </w:rPr>
            </w:pPr>
            <w:r w:rsidRPr="00FD7E4B">
              <w:rPr>
                <w:rStyle w:val="ExampletextCharChar"/>
                <w:rFonts w:eastAsiaTheme="minorHAnsi"/>
                <w:i w:val="0"/>
                <w:color w:val="000000"/>
                <w:bdr w:val="nil"/>
              </w:rPr>
              <w:t>Program 5.3 – Immunisation</w:t>
            </w:r>
          </w:p>
        </w:tc>
      </w:tr>
      <w:tr w:rsidR="00010972" w:rsidTr="00DD145C">
        <w:tc>
          <w:tcPr>
            <w:tcW w:w="5000" w:type="pct"/>
            <w:tcBorders>
              <w:top w:val="dotted" w:sz="4" w:space="0" w:color="000000" w:themeColor="text1"/>
              <w:left w:val="single" w:sz="4" w:space="0" w:color="auto"/>
              <w:bottom w:val="single" w:sz="4" w:space="0" w:color="auto"/>
              <w:right w:val="single" w:sz="4" w:space="0" w:color="auto"/>
            </w:tcBorders>
            <w:hideMark/>
          </w:tcPr>
          <w:p w:rsidR="00FC4090" w:rsidRPr="00FD7E4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FD7E4B">
              <w:rPr>
                <w:rStyle w:val="ExampletextCharChar"/>
                <w:rFonts w:eastAsiaTheme="minorHAnsi"/>
                <w:b/>
                <w:i w:val="0"/>
                <w:color w:val="000000"/>
                <w:bdr w:val="nil"/>
              </w:rPr>
              <w:t>Contribution to O</w:t>
            </w:r>
            <w:r>
              <w:rPr>
                <w:rStyle w:val="ExampletextCharChar"/>
                <w:rFonts w:eastAsiaTheme="minorHAnsi"/>
                <w:b/>
                <w:i w:val="0"/>
                <w:color w:val="000000"/>
                <w:bdr w:val="nil"/>
              </w:rPr>
              <w:t>utcome 1 made by linked program</w:t>
            </w:r>
          </w:p>
          <w:p w:rsidR="00FC4090" w:rsidRPr="00FD7E4B" w:rsidRDefault="00D5482E" w:rsidP="00932621">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FD7E4B">
              <w:rPr>
                <w:rStyle w:val="ExampletextCharChar"/>
                <w:rFonts w:eastAsiaTheme="minorHAnsi"/>
                <w:i w:val="0"/>
                <w:color w:val="000000"/>
                <w:bdr w:val="nil"/>
              </w:rPr>
              <w:t>The Department of Health has policy responsibility for the National Immunisation Program. Eligibility for Family Tax Benefit Part A is contingent on satisfying requirements for age-related immunisation requirements contained in this Outcome.</w:t>
            </w:r>
          </w:p>
        </w:tc>
      </w:tr>
      <w:tr w:rsidR="00010972" w:rsidTr="00DD145C">
        <w:tc>
          <w:tcPr>
            <w:tcW w:w="5000" w:type="pct"/>
            <w:tcBorders>
              <w:top w:val="single" w:sz="4" w:space="0" w:color="auto"/>
              <w:left w:val="single" w:sz="4" w:space="0" w:color="auto"/>
              <w:bottom w:val="dotted" w:sz="4" w:space="0" w:color="auto"/>
              <w:right w:val="single" w:sz="4" w:space="0" w:color="auto"/>
            </w:tcBorders>
            <w:hideMark/>
          </w:tcPr>
          <w:p w:rsidR="00FC4090" w:rsidRPr="00FD7E4B" w:rsidRDefault="00D5482E">
            <w:pPr>
              <w:pStyle w:val="ExampleText0"/>
              <w:pBdr>
                <w:top w:val="nil"/>
                <w:left w:val="nil"/>
                <w:bottom w:val="nil"/>
                <w:right w:val="nil"/>
                <w:between w:val="nil"/>
                <w:bar w:val="nil"/>
              </w:pBdr>
              <w:spacing w:before="60" w:after="60" w:line="240" w:lineRule="auto"/>
              <w:rPr>
                <w:bdr w:val="nil"/>
                <w:lang w:val="en-US" w:eastAsia="en-US"/>
              </w:rPr>
            </w:pPr>
            <w:r w:rsidRPr="00FD7E4B">
              <w:rPr>
                <w:rStyle w:val="ExampletextCharChar"/>
                <w:b/>
                <w:color w:val="000000"/>
                <w:bdr w:val="nil"/>
              </w:rPr>
              <w:t>Services Australia</w:t>
            </w:r>
          </w:p>
        </w:tc>
      </w:tr>
      <w:tr w:rsidR="00010972" w:rsidTr="00DD145C">
        <w:tc>
          <w:tcPr>
            <w:tcW w:w="5000" w:type="pct"/>
            <w:tcBorders>
              <w:top w:val="dotted" w:sz="4" w:space="0" w:color="auto"/>
              <w:left w:val="single" w:sz="4" w:space="0" w:color="auto"/>
              <w:bottom w:val="dotted" w:sz="4" w:space="0" w:color="000000" w:themeColor="text1"/>
              <w:right w:val="single" w:sz="4" w:space="0" w:color="auto"/>
            </w:tcBorders>
            <w:hideMark/>
          </w:tcPr>
          <w:p w:rsidR="00FC4090" w:rsidRPr="00FD7E4B" w:rsidRDefault="00D5482E">
            <w:pPr>
              <w:keepLines/>
              <w:pBdr>
                <w:top w:val="nil"/>
                <w:left w:val="nil"/>
                <w:bottom w:val="nil"/>
                <w:right w:val="nil"/>
                <w:between w:val="nil"/>
                <w:bar w:val="nil"/>
              </w:pBdr>
              <w:spacing w:before="60" w:after="60" w:line="240" w:lineRule="auto"/>
              <w:jc w:val="both"/>
              <w:rPr>
                <w:rStyle w:val="ExampletextCharChar"/>
                <w:rFonts w:eastAsiaTheme="minorHAnsi"/>
                <w:b/>
                <w:i w:val="0"/>
                <w:color w:val="000000"/>
                <w:bdr w:val="nil"/>
              </w:rPr>
            </w:pPr>
            <w:r w:rsidRPr="00FD7E4B">
              <w:rPr>
                <w:rStyle w:val="ExampletextCharChar"/>
                <w:rFonts w:eastAsiaTheme="minorHAnsi"/>
                <w:b/>
                <w:i w:val="0"/>
                <w:color w:val="000000"/>
                <w:bdr w:val="nil"/>
              </w:rPr>
              <w:t>Programs</w:t>
            </w:r>
          </w:p>
          <w:p w:rsidR="00FC4090" w:rsidRPr="00FD7E4B" w:rsidRDefault="00D5482E" w:rsidP="00FC4090">
            <w:pPr>
              <w:numPr>
                <w:ilvl w:val="0"/>
                <w:numId w:val="6"/>
              </w:numPr>
              <w:pBdr>
                <w:top w:val="nil"/>
                <w:left w:val="nil"/>
                <w:bottom w:val="nil"/>
                <w:right w:val="nil"/>
                <w:between w:val="nil"/>
                <w:bar w:val="nil"/>
              </w:pBdr>
              <w:spacing w:before="60" w:after="60" w:line="240" w:lineRule="auto"/>
              <w:ind w:left="714" w:hanging="357"/>
              <w:jc w:val="both"/>
              <w:rPr>
                <w:rStyle w:val="ExampletextCharChar"/>
                <w:rFonts w:eastAsiaTheme="minorHAnsi"/>
                <w:i w:val="0"/>
                <w:color w:val="000000"/>
                <w:bdr w:val="nil"/>
              </w:rPr>
            </w:pPr>
            <w:r w:rsidRPr="00FD7E4B">
              <w:rPr>
                <w:rStyle w:val="ExampletextCharChar"/>
                <w:rFonts w:eastAsiaTheme="minorHAnsi"/>
                <w:i w:val="0"/>
                <w:color w:val="000000"/>
                <w:bdr w:val="nil"/>
              </w:rPr>
              <w:t>Program 1.1 – Services to the Community – Social Security and Welfare</w:t>
            </w:r>
          </w:p>
          <w:p w:rsidR="00FC4090" w:rsidRPr="00FD7E4B" w:rsidRDefault="00D5482E" w:rsidP="00FC4090">
            <w:pPr>
              <w:numPr>
                <w:ilvl w:val="0"/>
                <w:numId w:val="6"/>
              </w:numPr>
              <w:pBdr>
                <w:top w:val="nil"/>
                <w:left w:val="nil"/>
                <w:bottom w:val="nil"/>
                <w:right w:val="nil"/>
                <w:between w:val="nil"/>
                <w:bar w:val="nil"/>
              </w:pBdr>
              <w:spacing w:before="60" w:after="60" w:line="240" w:lineRule="auto"/>
              <w:ind w:left="714" w:hanging="357"/>
              <w:jc w:val="both"/>
              <w:rPr>
                <w:rStyle w:val="ExampletextCharChar"/>
                <w:rFonts w:eastAsia="Calibri"/>
                <w:i w:val="0"/>
                <w:color w:val="000000"/>
                <w:bdr w:val="nil"/>
              </w:rPr>
            </w:pPr>
            <w:r w:rsidRPr="00FD7E4B">
              <w:rPr>
                <w:rStyle w:val="ExampletextCharChar"/>
                <w:rFonts w:eastAsiaTheme="minorHAnsi"/>
                <w:i w:val="0"/>
                <w:color w:val="000000"/>
                <w:bdr w:val="nil"/>
              </w:rPr>
              <w:t>Program 1.3 – Child Support</w:t>
            </w:r>
          </w:p>
        </w:tc>
      </w:tr>
      <w:tr w:rsidR="00010972" w:rsidTr="00DD145C">
        <w:tc>
          <w:tcPr>
            <w:tcW w:w="5000" w:type="pct"/>
            <w:tcBorders>
              <w:top w:val="dotted" w:sz="4" w:space="0" w:color="000000" w:themeColor="text1"/>
              <w:left w:val="single" w:sz="4" w:space="0" w:color="auto"/>
              <w:bottom w:val="single" w:sz="4" w:space="0" w:color="auto"/>
              <w:right w:val="single" w:sz="4" w:space="0" w:color="auto"/>
            </w:tcBorders>
            <w:hideMark/>
          </w:tcPr>
          <w:p w:rsidR="00FC4090" w:rsidRPr="00FD7E4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FD7E4B">
              <w:rPr>
                <w:rStyle w:val="ExampletextCharChar"/>
                <w:rFonts w:eastAsiaTheme="minorHAnsi"/>
                <w:b/>
                <w:i w:val="0"/>
                <w:color w:val="000000"/>
                <w:bdr w:val="nil"/>
              </w:rPr>
              <w:t>Contribution to Outcome 1 made by linked programs</w:t>
            </w:r>
          </w:p>
          <w:p w:rsidR="00FC4090" w:rsidRPr="00FD7E4B" w:rsidRDefault="00D5482E">
            <w:pPr>
              <w:keepLines/>
              <w:pBdr>
                <w:top w:val="nil"/>
                <w:left w:val="nil"/>
                <w:bottom w:val="nil"/>
                <w:right w:val="nil"/>
                <w:between w:val="nil"/>
                <w:bar w:val="nil"/>
              </w:pBdr>
              <w:spacing w:before="60" w:after="60" w:line="240" w:lineRule="auto"/>
              <w:jc w:val="both"/>
              <w:rPr>
                <w:rStyle w:val="ExampletextCharChar"/>
                <w:rFonts w:eastAsia="Calibri"/>
                <w:i w:val="0"/>
                <w:color w:val="000000"/>
                <w:bdr w:val="nil"/>
              </w:rPr>
            </w:pPr>
            <w:r w:rsidRPr="00FD7E4B">
              <w:rPr>
                <w:rStyle w:val="ExampletextCharChar"/>
                <w:rFonts w:eastAsiaTheme="minorHAnsi"/>
                <w:i w:val="0"/>
                <w:color w:val="000000"/>
                <w:bdr w:val="nil"/>
              </w:rPr>
              <w:t>Various payments, concessions and the Child Support Scheme under this Outcome are delivered through the above linked programs administered by Services Australia.</w:t>
            </w:r>
          </w:p>
        </w:tc>
      </w:tr>
    </w:tbl>
    <w:p w:rsidR="007B6552" w:rsidRDefault="007B6552" w:rsidP="007B6552">
      <w:pPr>
        <w:keepLines/>
        <w:pBdr>
          <w:top w:val="nil"/>
          <w:left w:val="nil"/>
          <w:bottom w:val="nil"/>
          <w:right w:val="nil"/>
          <w:between w:val="nil"/>
          <w:bar w:val="nil"/>
        </w:pBdr>
        <w:spacing w:after="240" w:line="260" w:lineRule="exact"/>
        <w:jc w:val="both"/>
        <w:rPr>
          <w:rFonts w:ascii="Arial" w:hAnsi="Arial"/>
          <w:bdr w:val="nil"/>
        </w:rPr>
      </w:pPr>
    </w:p>
    <w:p w:rsidR="00FC4090" w:rsidRDefault="00D5482E" w:rsidP="007B6552">
      <w:pPr>
        <w:pStyle w:val="Heading4"/>
        <w:pBdr>
          <w:top w:val="nil"/>
          <w:left w:val="nil"/>
          <w:bottom w:val="nil"/>
          <w:right w:val="nil"/>
          <w:between w:val="nil"/>
          <w:bar w:val="nil"/>
        </w:pBdr>
        <w:spacing w:before="0" w:after="0"/>
        <w:ind w:right="28"/>
        <w:rPr>
          <w:color w:val="000000"/>
          <w:bdr w:val="nil"/>
        </w:rPr>
      </w:pPr>
      <w:r>
        <w:rPr>
          <w:bdr w:val="nil"/>
        </w:rPr>
        <w:t xml:space="preserve">Linked </w:t>
      </w:r>
      <w:r>
        <w:rPr>
          <w:color w:val="000000"/>
          <w:bdr w:val="nil"/>
        </w:rPr>
        <w:t>programs (continued)</w:t>
      </w:r>
    </w:p>
    <w:tbl>
      <w:tblPr>
        <w:tblW w:w="484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463"/>
      </w:tblGrid>
      <w:tr w:rsidR="00010972" w:rsidTr="00DD145C">
        <w:tc>
          <w:tcPr>
            <w:tcW w:w="5000" w:type="pct"/>
            <w:tcBorders>
              <w:top w:val="single" w:sz="4" w:space="0" w:color="auto"/>
              <w:left w:val="single" w:sz="4" w:space="0" w:color="auto"/>
              <w:bottom w:val="dotted" w:sz="4" w:space="0" w:color="auto"/>
              <w:right w:val="single" w:sz="4" w:space="0" w:color="auto"/>
            </w:tcBorders>
            <w:hideMark/>
          </w:tcPr>
          <w:p w:rsidR="00FC4090" w:rsidRDefault="00D5482E">
            <w:pPr>
              <w:pStyle w:val="ExampleText0"/>
              <w:pBdr>
                <w:top w:val="nil"/>
                <w:left w:val="nil"/>
                <w:bottom w:val="nil"/>
                <w:right w:val="nil"/>
                <w:between w:val="nil"/>
                <w:bar w:val="nil"/>
              </w:pBdr>
              <w:spacing w:before="60" w:after="60" w:line="240" w:lineRule="auto"/>
              <w:ind w:right="26"/>
              <w:rPr>
                <w:rStyle w:val="ExampletextCharChar"/>
                <w:b/>
                <w:color w:val="000000"/>
                <w:bdr w:val="nil"/>
              </w:rPr>
            </w:pPr>
            <w:r>
              <w:rPr>
                <w:rStyle w:val="ExampletextCharChar"/>
                <w:b/>
                <w:color w:val="000000"/>
                <w:bdr w:val="nil"/>
              </w:rPr>
              <w:t>National Indigenous Australians Agency</w:t>
            </w:r>
          </w:p>
        </w:tc>
      </w:tr>
      <w:tr w:rsidR="00010972" w:rsidTr="00DD145C">
        <w:tc>
          <w:tcPr>
            <w:tcW w:w="5000" w:type="pct"/>
            <w:tcBorders>
              <w:top w:val="dotted" w:sz="4" w:space="0" w:color="auto"/>
              <w:left w:val="single" w:sz="4" w:space="0" w:color="auto"/>
              <w:bottom w:val="dotted" w:sz="4" w:space="0" w:color="auto"/>
              <w:right w:val="single" w:sz="4" w:space="0" w:color="auto"/>
            </w:tcBorders>
            <w:hideMark/>
          </w:tcPr>
          <w:p w:rsidR="00FC4090" w:rsidRPr="00FD7E4B" w:rsidRDefault="00D5482E">
            <w:pPr>
              <w:keepLines/>
              <w:pBdr>
                <w:top w:val="nil"/>
                <w:left w:val="nil"/>
                <w:bottom w:val="nil"/>
                <w:right w:val="nil"/>
                <w:between w:val="nil"/>
                <w:bar w:val="nil"/>
              </w:pBdr>
              <w:spacing w:before="60" w:after="60" w:line="240" w:lineRule="auto"/>
              <w:ind w:right="26"/>
              <w:jc w:val="both"/>
              <w:rPr>
                <w:rStyle w:val="ExampletextCharChar"/>
                <w:rFonts w:eastAsiaTheme="minorHAnsi"/>
                <w:b/>
                <w:i w:val="0"/>
                <w:color w:val="000000"/>
                <w:bdr w:val="nil"/>
              </w:rPr>
            </w:pPr>
            <w:r w:rsidRPr="00FD7E4B">
              <w:rPr>
                <w:rStyle w:val="ExampletextCharChar"/>
                <w:rFonts w:eastAsiaTheme="minorHAnsi"/>
                <w:b/>
                <w:i w:val="0"/>
                <w:color w:val="000000"/>
                <w:bdr w:val="nil"/>
              </w:rPr>
              <w:t>Programs</w:t>
            </w:r>
          </w:p>
          <w:p w:rsidR="00FC4090" w:rsidRPr="00FD7E4B" w:rsidRDefault="00D5482E" w:rsidP="00FC4090">
            <w:pPr>
              <w:numPr>
                <w:ilvl w:val="0"/>
                <w:numId w:val="6"/>
              </w:numPr>
              <w:pBdr>
                <w:top w:val="nil"/>
                <w:left w:val="nil"/>
                <w:bottom w:val="nil"/>
                <w:right w:val="nil"/>
                <w:between w:val="nil"/>
                <w:bar w:val="nil"/>
              </w:pBdr>
              <w:spacing w:before="60" w:after="60" w:line="240" w:lineRule="auto"/>
              <w:ind w:left="714" w:right="26" w:hanging="357"/>
              <w:jc w:val="both"/>
              <w:rPr>
                <w:rStyle w:val="ExampletextCharChar"/>
                <w:rFonts w:eastAsiaTheme="minorHAnsi"/>
                <w:i w:val="0"/>
                <w:color w:val="000000"/>
                <w:bdr w:val="nil"/>
              </w:rPr>
            </w:pPr>
            <w:r w:rsidRPr="00FD7E4B">
              <w:rPr>
                <w:rStyle w:val="ExampletextCharChar"/>
                <w:rFonts w:eastAsiaTheme="minorHAnsi"/>
                <w:i w:val="0"/>
                <w:color w:val="000000"/>
                <w:bdr w:val="nil"/>
              </w:rPr>
              <w:t>Program 1.1 – Indigenous Advancement – Jobs, Land and the Economy</w:t>
            </w:r>
          </w:p>
          <w:p w:rsidR="00FC4090" w:rsidRPr="00FD7E4B" w:rsidRDefault="00D5482E" w:rsidP="00FC4090">
            <w:pPr>
              <w:numPr>
                <w:ilvl w:val="0"/>
                <w:numId w:val="6"/>
              </w:numPr>
              <w:pBdr>
                <w:top w:val="nil"/>
                <w:left w:val="nil"/>
                <w:bottom w:val="nil"/>
                <w:right w:val="nil"/>
                <w:between w:val="nil"/>
                <w:bar w:val="nil"/>
              </w:pBdr>
              <w:spacing w:before="60" w:after="60" w:line="240" w:lineRule="auto"/>
              <w:ind w:left="714" w:right="26" w:hanging="357"/>
              <w:jc w:val="both"/>
              <w:rPr>
                <w:rStyle w:val="ExampletextCharChar"/>
                <w:rFonts w:eastAsia="Calibri"/>
                <w:i w:val="0"/>
                <w:color w:val="000000"/>
                <w:bdr w:val="nil"/>
              </w:rPr>
            </w:pPr>
            <w:r w:rsidRPr="00FD7E4B">
              <w:rPr>
                <w:rStyle w:val="ExampletextCharChar"/>
                <w:rFonts w:eastAsiaTheme="minorHAnsi"/>
                <w:i w:val="0"/>
                <w:color w:val="000000"/>
                <w:bdr w:val="nil"/>
              </w:rPr>
              <w:t>Program 1.2 – Indigenous Advancement – Children and Schooling</w:t>
            </w:r>
          </w:p>
        </w:tc>
      </w:tr>
      <w:tr w:rsidR="00010972" w:rsidTr="00DD145C">
        <w:tc>
          <w:tcPr>
            <w:tcW w:w="5000" w:type="pct"/>
            <w:tcBorders>
              <w:top w:val="dotted" w:sz="4" w:space="0" w:color="auto"/>
              <w:left w:val="single" w:sz="4" w:space="0" w:color="auto"/>
              <w:bottom w:val="dotted" w:sz="4" w:space="0" w:color="auto"/>
              <w:right w:val="single" w:sz="4" w:space="0" w:color="auto"/>
            </w:tcBorders>
            <w:hideMark/>
          </w:tcPr>
          <w:p w:rsidR="00FC4090" w:rsidRPr="00FD7E4B" w:rsidRDefault="00D5482E">
            <w:pPr>
              <w:keepLines/>
              <w:pBdr>
                <w:top w:val="nil"/>
                <w:left w:val="nil"/>
                <w:bottom w:val="nil"/>
                <w:right w:val="nil"/>
                <w:between w:val="nil"/>
                <w:bar w:val="nil"/>
              </w:pBdr>
              <w:spacing w:before="60" w:after="60" w:line="240" w:lineRule="auto"/>
              <w:ind w:right="26"/>
              <w:jc w:val="both"/>
              <w:rPr>
                <w:rStyle w:val="ExampletextCharChar"/>
                <w:rFonts w:eastAsia="Calibri"/>
                <w:b/>
                <w:i w:val="0"/>
                <w:color w:val="000000"/>
                <w:bdr w:val="nil"/>
              </w:rPr>
            </w:pPr>
            <w:r w:rsidRPr="00FD7E4B">
              <w:rPr>
                <w:rStyle w:val="ExampletextCharChar"/>
                <w:rFonts w:eastAsiaTheme="minorHAnsi"/>
                <w:b/>
                <w:i w:val="0"/>
                <w:color w:val="000000"/>
                <w:bdr w:val="nil"/>
              </w:rPr>
              <w:t>Contribution to Outcome 1 made by linked programs</w:t>
            </w:r>
          </w:p>
          <w:p w:rsidR="00FC4090" w:rsidRPr="00FD7E4B" w:rsidRDefault="00D5482E">
            <w:pPr>
              <w:keepLines/>
              <w:pBdr>
                <w:top w:val="nil"/>
                <w:left w:val="nil"/>
                <w:bottom w:val="nil"/>
                <w:right w:val="nil"/>
                <w:between w:val="nil"/>
                <w:bar w:val="nil"/>
              </w:pBdr>
              <w:spacing w:before="60" w:after="60" w:line="240" w:lineRule="auto"/>
              <w:ind w:right="26"/>
              <w:jc w:val="both"/>
              <w:rPr>
                <w:rStyle w:val="ExampletextCharChar"/>
                <w:rFonts w:eastAsia="Calibri"/>
                <w:b/>
                <w:i w:val="0"/>
                <w:color w:val="000000"/>
                <w:bdr w:val="nil"/>
              </w:rPr>
            </w:pPr>
            <w:r w:rsidRPr="00FD7E4B">
              <w:rPr>
                <w:rStyle w:val="ExampletextCharChar"/>
                <w:rFonts w:eastAsiaTheme="minorHAnsi"/>
                <w:i w:val="0"/>
                <w:color w:val="000000"/>
                <w:bdr w:val="nil"/>
              </w:rPr>
              <w:t>Mutual exclusion provisions are shared between scholarships administered by the National Indigenous Australian Agency and scholarships administered under this Outcome. Mutual obligation requirements for various payments are linked under this Outcome.</w:t>
            </w:r>
          </w:p>
        </w:tc>
      </w:tr>
      <w:tr w:rsidR="00010972" w:rsidTr="00DD145C">
        <w:tc>
          <w:tcPr>
            <w:tcW w:w="5000" w:type="pct"/>
            <w:tcBorders>
              <w:top w:val="single" w:sz="4" w:space="0" w:color="auto"/>
              <w:left w:val="single" w:sz="4" w:space="0" w:color="auto"/>
              <w:bottom w:val="dotted" w:sz="4" w:space="0" w:color="auto"/>
              <w:right w:val="single" w:sz="4" w:space="0" w:color="auto"/>
            </w:tcBorders>
            <w:hideMark/>
          </w:tcPr>
          <w:p w:rsidR="00FC4090" w:rsidRPr="00FD7E4B" w:rsidRDefault="00D5482E">
            <w:pPr>
              <w:pStyle w:val="ExampleText0"/>
              <w:pBdr>
                <w:top w:val="nil"/>
                <w:left w:val="nil"/>
                <w:bottom w:val="nil"/>
                <w:right w:val="nil"/>
                <w:between w:val="nil"/>
                <w:bar w:val="nil"/>
              </w:pBdr>
              <w:spacing w:before="60" w:after="60" w:line="240" w:lineRule="auto"/>
              <w:ind w:right="26"/>
              <w:rPr>
                <w:bdr w:val="nil"/>
                <w:lang w:val="en-US" w:eastAsia="en-US"/>
              </w:rPr>
            </w:pPr>
            <w:r w:rsidRPr="00FD7E4B">
              <w:rPr>
                <w:rStyle w:val="ExampletextCharChar"/>
                <w:b/>
                <w:color w:val="000000"/>
                <w:bdr w:val="nil"/>
              </w:rPr>
              <w:t>Department of Veterans’ Affairs</w:t>
            </w:r>
          </w:p>
        </w:tc>
      </w:tr>
      <w:tr w:rsidR="00010972" w:rsidTr="00DD145C">
        <w:tc>
          <w:tcPr>
            <w:tcW w:w="5000" w:type="pct"/>
            <w:tcBorders>
              <w:top w:val="dotted" w:sz="4" w:space="0" w:color="auto"/>
              <w:left w:val="single" w:sz="4" w:space="0" w:color="auto"/>
              <w:bottom w:val="dotted" w:sz="4" w:space="0" w:color="000000" w:themeColor="text1"/>
              <w:right w:val="single" w:sz="4" w:space="0" w:color="auto"/>
            </w:tcBorders>
            <w:hideMark/>
          </w:tcPr>
          <w:p w:rsidR="00FC4090" w:rsidRPr="00FD7E4B" w:rsidRDefault="00D5482E">
            <w:pPr>
              <w:keepLines/>
              <w:pBdr>
                <w:top w:val="nil"/>
                <w:left w:val="nil"/>
                <w:bottom w:val="nil"/>
                <w:right w:val="nil"/>
                <w:between w:val="nil"/>
                <w:bar w:val="nil"/>
              </w:pBdr>
              <w:spacing w:before="60" w:after="60" w:line="240" w:lineRule="auto"/>
              <w:ind w:right="26"/>
              <w:jc w:val="both"/>
              <w:rPr>
                <w:rStyle w:val="ExampletextCharChar"/>
                <w:rFonts w:eastAsia="Calibri"/>
                <w:b/>
                <w:i w:val="0"/>
                <w:color w:val="000000"/>
                <w:bdr w:val="nil"/>
              </w:rPr>
            </w:pPr>
            <w:r>
              <w:rPr>
                <w:rStyle w:val="ExampletextCharChar"/>
                <w:rFonts w:eastAsiaTheme="minorHAnsi"/>
                <w:b/>
                <w:i w:val="0"/>
                <w:color w:val="000000"/>
                <w:bdr w:val="nil"/>
              </w:rPr>
              <w:t>Program</w:t>
            </w:r>
          </w:p>
          <w:p w:rsidR="00FC4090" w:rsidRPr="00FD7E4B" w:rsidRDefault="00D5482E" w:rsidP="00FC4090">
            <w:pPr>
              <w:numPr>
                <w:ilvl w:val="0"/>
                <w:numId w:val="6"/>
              </w:numPr>
              <w:pBdr>
                <w:top w:val="nil"/>
                <w:left w:val="nil"/>
                <w:bottom w:val="nil"/>
                <w:right w:val="nil"/>
                <w:between w:val="nil"/>
                <w:bar w:val="nil"/>
              </w:pBdr>
              <w:spacing w:before="60" w:after="60" w:line="240" w:lineRule="auto"/>
              <w:ind w:left="714" w:right="26" w:hanging="357"/>
              <w:jc w:val="both"/>
              <w:rPr>
                <w:rStyle w:val="ExampletextCharChar"/>
                <w:rFonts w:eastAsia="Calibri"/>
                <w:i w:val="0"/>
                <w:color w:val="000000"/>
                <w:bdr w:val="nil"/>
              </w:rPr>
            </w:pPr>
            <w:r w:rsidRPr="00FD7E4B">
              <w:rPr>
                <w:rStyle w:val="ExampletextCharChar"/>
                <w:rFonts w:eastAsiaTheme="minorHAnsi"/>
                <w:i w:val="0"/>
                <w:color w:val="000000"/>
                <w:bdr w:val="nil"/>
              </w:rPr>
              <w:t xml:space="preserve">Program 1.1 – Veterans’ Income Support and Allowances </w:t>
            </w:r>
          </w:p>
        </w:tc>
      </w:tr>
      <w:tr w:rsidR="00010972" w:rsidTr="00DD145C">
        <w:tc>
          <w:tcPr>
            <w:tcW w:w="5000" w:type="pct"/>
            <w:tcBorders>
              <w:top w:val="dotted" w:sz="4" w:space="0" w:color="000000" w:themeColor="text1"/>
              <w:left w:val="single" w:sz="4" w:space="0" w:color="auto"/>
              <w:bottom w:val="single" w:sz="4" w:space="0" w:color="auto"/>
              <w:right w:val="single" w:sz="4" w:space="0" w:color="auto"/>
            </w:tcBorders>
            <w:hideMark/>
          </w:tcPr>
          <w:p w:rsidR="00FC4090" w:rsidRPr="00FD7E4B" w:rsidRDefault="00D5482E">
            <w:pPr>
              <w:keepLines/>
              <w:pBdr>
                <w:top w:val="nil"/>
                <w:left w:val="nil"/>
                <w:bottom w:val="nil"/>
                <w:right w:val="nil"/>
                <w:between w:val="nil"/>
                <w:bar w:val="nil"/>
              </w:pBdr>
              <w:spacing w:before="60" w:after="60" w:line="240" w:lineRule="auto"/>
              <w:ind w:right="26"/>
              <w:jc w:val="both"/>
              <w:rPr>
                <w:rStyle w:val="ExampletextCharChar"/>
                <w:rFonts w:eastAsia="Calibri"/>
                <w:b/>
                <w:i w:val="0"/>
                <w:color w:val="000000"/>
                <w:bdr w:val="nil"/>
              </w:rPr>
            </w:pPr>
            <w:r w:rsidRPr="00FD7E4B">
              <w:rPr>
                <w:rStyle w:val="ExampletextCharChar"/>
                <w:rFonts w:eastAsiaTheme="minorHAnsi"/>
                <w:b/>
                <w:i w:val="0"/>
                <w:color w:val="000000"/>
                <w:bdr w:val="nil"/>
              </w:rPr>
              <w:t xml:space="preserve">Contribution to Outcome 1 made by linked </w:t>
            </w:r>
            <w:r>
              <w:rPr>
                <w:rStyle w:val="ExampletextCharChar"/>
                <w:rFonts w:eastAsiaTheme="minorHAnsi"/>
                <w:b/>
                <w:i w:val="0"/>
                <w:color w:val="000000"/>
                <w:bdr w:val="nil"/>
              </w:rPr>
              <w:t>program</w:t>
            </w:r>
          </w:p>
          <w:p w:rsidR="00FC4090" w:rsidRPr="00FD7E4B" w:rsidRDefault="00D5482E">
            <w:pPr>
              <w:keepLines/>
              <w:pBdr>
                <w:top w:val="nil"/>
                <w:left w:val="nil"/>
                <w:bottom w:val="nil"/>
                <w:right w:val="nil"/>
                <w:between w:val="nil"/>
                <w:bar w:val="nil"/>
              </w:pBdr>
              <w:spacing w:before="60" w:after="60" w:line="240" w:lineRule="auto"/>
              <w:ind w:right="26"/>
              <w:jc w:val="both"/>
              <w:rPr>
                <w:rStyle w:val="ExampletextCharChar"/>
                <w:rFonts w:eastAsia="Calibri"/>
                <w:i w:val="0"/>
                <w:color w:val="000000"/>
                <w:bdr w:val="nil"/>
              </w:rPr>
            </w:pPr>
            <w:r w:rsidRPr="00FD7E4B">
              <w:rPr>
                <w:rStyle w:val="ExampletextCharChar"/>
                <w:rFonts w:eastAsiaTheme="minorHAnsi"/>
                <w:i w:val="0"/>
                <w:color w:val="000000"/>
                <w:bdr w:val="nil"/>
              </w:rPr>
              <w:t>Various payments and concessions under this Outcome are delivered through the above linked program administered by the Department of Veterans’ Affairs.</w:t>
            </w:r>
          </w:p>
        </w:tc>
      </w:tr>
      <w:tr w:rsidR="00010972" w:rsidTr="00DD145C">
        <w:tc>
          <w:tcPr>
            <w:tcW w:w="5000" w:type="pct"/>
            <w:tcBorders>
              <w:top w:val="single" w:sz="4" w:space="0" w:color="auto"/>
              <w:left w:val="single" w:sz="4" w:space="0" w:color="auto"/>
              <w:bottom w:val="dotted" w:sz="4" w:space="0" w:color="auto"/>
              <w:right w:val="single" w:sz="4" w:space="0" w:color="auto"/>
            </w:tcBorders>
            <w:hideMark/>
          </w:tcPr>
          <w:p w:rsidR="00FC4090" w:rsidRPr="00FD7E4B" w:rsidRDefault="00D5482E">
            <w:pPr>
              <w:pStyle w:val="ExampleText0"/>
              <w:pBdr>
                <w:top w:val="nil"/>
                <w:left w:val="nil"/>
                <w:bottom w:val="nil"/>
                <w:right w:val="nil"/>
                <w:between w:val="nil"/>
                <w:bar w:val="nil"/>
              </w:pBdr>
              <w:spacing w:before="60" w:after="60" w:line="240" w:lineRule="auto"/>
              <w:ind w:right="26"/>
              <w:rPr>
                <w:bdr w:val="nil"/>
                <w:lang w:val="en-US" w:eastAsia="en-US"/>
              </w:rPr>
            </w:pPr>
            <w:r w:rsidRPr="00FD7E4B">
              <w:rPr>
                <w:rStyle w:val="ExampletextCharChar"/>
                <w:b/>
                <w:color w:val="000000"/>
                <w:bdr w:val="nil"/>
              </w:rPr>
              <w:t>The Treasury</w:t>
            </w:r>
          </w:p>
        </w:tc>
      </w:tr>
      <w:tr w:rsidR="00010972" w:rsidTr="00DD145C">
        <w:tc>
          <w:tcPr>
            <w:tcW w:w="5000" w:type="pct"/>
            <w:tcBorders>
              <w:top w:val="dotted" w:sz="4" w:space="0" w:color="auto"/>
              <w:left w:val="single" w:sz="4" w:space="0" w:color="auto"/>
              <w:bottom w:val="dotted" w:sz="4" w:space="0" w:color="000000" w:themeColor="text1"/>
              <w:right w:val="single" w:sz="4" w:space="0" w:color="auto"/>
            </w:tcBorders>
            <w:hideMark/>
          </w:tcPr>
          <w:p w:rsidR="00FC4090" w:rsidRPr="00FD7E4B" w:rsidRDefault="00D5482E">
            <w:pPr>
              <w:keepLines/>
              <w:pBdr>
                <w:top w:val="nil"/>
                <w:left w:val="nil"/>
                <w:bottom w:val="nil"/>
                <w:right w:val="nil"/>
                <w:between w:val="nil"/>
                <w:bar w:val="nil"/>
              </w:pBdr>
              <w:spacing w:before="60" w:after="60" w:line="240" w:lineRule="auto"/>
              <w:ind w:right="26"/>
              <w:jc w:val="both"/>
              <w:rPr>
                <w:rStyle w:val="ExampletextCharChar"/>
                <w:rFonts w:eastAsia="Calibri"/>
                <w:b/>
                <w:i w:val="0"/>
                <w:color w:val="000000"/>
                <w:bdr w:val="nil"/>
              </w:rPr>
            </w:pPr>
            <w:r>
              <w:rPr>
                <w:rStyle w:val="ExampletextCharChar"/>
                <w:rFonts w:eastAsiaTheme="minorHAnsi"/>
                <w:b/>
                <w:i w:val="0"/>
                <w:color w:val="000000"/>
                <w:bdr w:val="nil"/>
              </w:rPr>
              <w:t>Program</w:t>
            </w:r>
          </w:p>
          <w:p w:rsidR="00FC4090" w:rsidRPr="00FD7E4B" w:rsidRDefault="00D5482E" w:rsidP="00FC4090">
            <w:pPr>
              <w:numPr>
                <w:ilvl w:val="0"/>
                <w:numId w:val="6"/>
              </w:numPr>
              <w:pBdr>
                <w:top w:val="nil"/>
                <w:left w:val="nil"/>
                <w:bottom w:val="nil"/>
                <w:right w:val="nil"/>
                <w:between w:val="nil"/>
                <w:bar w:val="nil"/>
              </w:pBdr>
              <w:spacing w:before="60" w:after="60" w:line="240" w:lineRule="auto"/>
              <w:ind w:left="714" w:right="26" w:hanging="357"/>
              <w:jc w:val="both"/>
              <w:rPr>
                <w:rStyle w:val="ExampletextCharChar"/>
                <w:rFonts w:eastAsia="Calibri"/>
                <w:i w:val="0"/>
                <w:color w:val="000000"/>
                <w:bdr w:val="nil"/>
              </w:rPr>
            </w:pPr>
            <w:r w:rsidRPr="00FD7E4B">
              <w:rPr>
                <w:rStyle w:val="ExampletextCharChar"/>
                <w:rFonts w:eastAsiaTheme="minorHAnsi"/>
                <w:i w:val="0"/>
                <w:color w:val="000000"/>
                <w:bdr w:val="nil"/>
              </w:rPr>
              <w:t>Program 1.9 – National Partnership Payments to the States</w:t>
            </w:r>
          </w:p>
        </w:tc>
      </w:tr>
      <w:tr w:rsidR="00010972" w:rsidTr="00DD145C">
        <w:tc>
          <w:tcPr>
            <w:tcW w:w="5000" w:type="pct"/>
            <w:tcBorders>
              <w:top w:val="dotted" w:sz="4" w:space="0" w:color="000000" w:themeColor="text1"/>
              <w:left w:val="single" w:sz="4" w:space="0" w:color="auto"/>
              <w:bottom w:val="single" w:sz="4" w:space="0" w:color="auto"/>
              <w:right w:val="single" w:sz="4" w:space="0" w:color="auto"/>
            </w:tcBorders>
            <w:hideMark/>
          </w:tcPr>
          <w:p w:rsidR="00FC4090" w:rsidRPr="00FD7E4B" w:rsidRDefault="00D5482E">
            <w:pPr>
              <w:keepLines/>
              <w:pBdr>
                <w:top w:val="nil"/>
                <w:left w:val="nil"/>
                <w:bottom w:val="nil"/>
                <w:right w:val="nil"/>
                <w:between w:val="nil"/>
                <w:bar w:val="nil"/>
              </w:pBdr>
              <w:spacing w:before="60" w:after="60" w:line="240" w:lineRule="auto"/>
              <w:ind w:right="26"/>
              <w:jc w:val="both"/>
              <w:rPr>
                <w:rStyle w:val="ExampletextCharChar"/>
                <w:rFonts w:eastAsia="Calibri"/>
                <w:b/>
                <w:i w:val="0"/>
                <w:color w:val="000000"/>
                <w:bdr w:val="nil"/>
              </w:rPr>
            </w:pPr>
            <w:r w:rsidRPr="00FD7E4B">
              <w:rPr>
                <w:rStyle w:val="ExampletextCharChar"/>
                <w:rFonts w:eastAsiaTheme="minorHAnsi"/>
                <w:b/>
                <w:i w:val="0"/>
                <w:color w:val="000000"/>
                <w:bdr w:val="nil"/>
              </w:rPr>
              <w:t>Contribution to O</w:t>
            </w:r>
            <w:r>
              <w:rPr>
                <w:rStyle w:val="ExampletextCharChar"/>
                <w:rFonts w:eastAsiaTheme="minorHAnsi"/>
                <w:b/>
                <w:i w:val="0"/>
                <w:color w:val="000000"/>
                <w:bdr w:val="nil"/>
              </w:rPr>
              <w:t>utcome 1 made by linked program</w:t>
            </w:r>
          </w:p>
          <w:p w:rsidR="00FC4090" w:rsidRPr="00FD7E4B" w:rsidRDefault="00D5482E" w:rsidP="00D02E2D">
            <w:pPr>
              <w:keepLines/>
              <w:pBdr>
                <w:top w:val="nil"/>
                <w:left w:val="nil"/>
                <w:bottom w:val="nil"/>
                <w:right w:val="nil"/>
                <w:between w:val="nil"/>
                <w:bar w:val="nil"/>
              </w:pBdr>
              <w:spacing w:before="60" w:after="60" w:line="240" w:lineRule="auto"/>
              <w:ind w:right="26"/>
              <w:jc w:val="both"/>
              <w:rPr>
                <w:rStyle w:val="ExampletextCharChar"/>
                <w:rFonts w:eastAsia="Calibri"/>
                <w:b/>
                <w:i w:val="0"/>
                <w:color w:val="000000"/>
                <w:bdr w:val="nil"/>
              </w:rPr>
            </w:pPr>
            <w:r w:rsidRPr="00FD7E4B">
              <w:rPr>
                <w:rStyle w:val="ExampletextCharChar"/>
                <w:rFonts w:eastAsiaTheme="minorHAnsi"/>
                <w:i w:val="0"/>
                <w:color w:val="000000"/>
                <w:bdr w:val="nil"/>
              </w:rPr>
              <w:t xml:space="preserve">The Treasury, on behalf of </w:t>
            </w:r>
            <w:r w:rsidR="00D02E2D">
              <w:rPr>
                <w:rStyle w:val="ExampletextCharChar"/>
                <w:rFonts w:eastAsiaTheme="minorHAnsi"/>
                <w:i w:val="0"/>
                <w:color w:val="000000"/>
                <w:bdr w:val="nil"/>
              </w:rPr>
              <w:t>DSS</w:t>
            </w:r>
            <w:r w:rsidRPr="00FD7E4B">
              <w:rPr>
                <w:rStyle w:val="ExampletextCharChar"/>
                <w:rFonts w:eastAsiaTheme="minorHAnsi"/>
                <w:i w:val="0"/>
                <w:color w:val="000000"/>
                <w:bdr w:val="nil"/>
              </w:rPr>
              <w:t>, makes National Partnership payments to the states for Social Impact Investment.</w:t>
            </w:r>
          </w:p>
        </w:tc>
      </w:tr>
    </w:tbl>
    <w:p w:rsidR="008323FC" w:rsidRPr="007544FA" w:rsidRDefault="00D5482E">
      <w:pPr>
        <w:pBdr>
          <w:top w:val="nil"/>
          <w:left w:val="nil"/>
          <w:bottom w:val="nil"/>
          <w:right w:val="nil"/>
          <w:between w:val="nil"/>
          <w:bar w:val="nil"/>
        </w:pBdr>
        <w:rPr>
          <w:bCs/>
          <w:bdr w:val="nil"/>
        </w:rPr>
      </w:pPr>
      <w:r w:rsidRPr="007544FA">
        <w:rPr>
          <w:rFonts w:ascii="Book Antiqua" w:eastAsia="Times New Roman" w:hAnsi="Book Antiqua" w:cs="Times New Roman"/>
          <w:bCs/>
          <w:sz w:val="20"/>
          <w:szCs w:val="20"/>
          <w:bdr w:val="nil"/>
          <w:lang w:val="en-AU" w:eastAsia="en-AU"/>
        </w:rPr>
        <w:br w:type="page"/>
      </w:r>
    </w:p>
    <w:p w:rsidR="00C10A17" w:rsidRDefault="00D5482E" w:rsidP="00B82A1E">
      <w:pPr>
        <w:pStyle w:val="Heading5"/>
        <w:pBdr>
          <w:top w:val="nil"/>
          <w:left w:val="nil"/>
          <w:bottom w:val="nil"/>
          <w:right w:val="nil"/>
          <w:between w:val="nil"/>
          <w:bar w:val="nil"/>
        </w:pBdr>
        <w:spacing w:after="240"/>
        <w:rPr>
          <w:rFonts w:cs="Arial"/>
          <w:bCs w:val="0"/>
          <w:bdr w:val="nil"/>
        </w:rPr>
      </w:pPr>
      <w:r>
        <w:rPr>
          <w:rFonts w:cs="Arial"/>
          <w:bCs w:val="0"/>
          <w:bdr w:val="nil"/>
        </w:rPr>
        <w:lastRenderedPageBreak/>
        <w:t>Budgeted expenses for Outcome 1</w:t>
      </w:r>
    </w:p>
    <w:p w:rsidR="00C10A17" w:rsidRDefault="00D5482E" w:rsidP="007B6552">
      <w:pPr>
        <w:keepLines/>
        <w:pBdr>
          <w:top w:val="nil"/>
          <w:left w:val="nil"/>
          <w:bottom w:val="nil"/>
          <w:right w:val="nil"/>
          <w:between w:val="nil"/>
          <w:bar w:val="nil"/>
        </w:pBdr>
        <w:spacing w:after="240" w:line="240" w:lineRule="auto"/>
        <w:jc w:val="both"/>
        <w:rPr>
          <w:bdr w:val="nil"/>
        </w:rPr>
      </w:pPr>
      <w:r>
        <w:rPr>
          <w:rFonts w:ascii="Book Antiqua" w:eastAsia="Times New Roman" w:hAnsi="Book Antiqua" w:cs="Times New Roman"/>
          <w:sz w:val="20"/>
          <w:szCs w:val="20"/>
          <w:bdr w:val="nil"/>
          <w:lang w:val="en-AU" w:eastAsia="en-AU"/>
        </w:rPr>
        <w:t>This table shows how much the entity intends to spend (on an accrual basis) on achieving the outcome, broken down by program, as well as by Administered and Departmental funding sources.</w:t>
      </w:r>
    </w:p>
    <w:p w:rsidR="00D4080E" w:rsidRPr="00D4080E" w:rsidRDefault="00D5482E" w:rsidP="00D4080E">
      <w:pPr>
        <w:pStyle w:val="Heading5"/>
        <w:pBdr>
          <w:top w:val="nil"/>
          <w:left w:val="nil"/>
          <w:bottom w:val="nil"/>
          <w:right w:val="nil"/>
          <w:between w:val="nil"/>
          <w:bar w:val="nil"/>
        </w:pBdr>
        <w:spacing w:after="0"/>
        <w:rPr>
          <w:rFonts w:cs="Arial"/>
          <w:bCs w:val="0"/>
          <w:bdr w:val="nil"/>
        </w:rPr>
      </w:pPr>
      <w:r w:rsidRPr="00D4080E">
        <w:rPr>
          <w:rFonts w:cs="Arial"/>
          <w:bCs w:val="0"/>
          <w:bdr w:val="nil"/>
        </w:rPr>
        <w:t>Table 2.1.1: Budgeted expenses for Outcome 1</w:t>
      </w:r>
    </w:p>
    <w:tbl>
      <w:tblPr>
        <w:tblStyle w:val="CDMRange1"/>
        <w:tblW w:w="7770" w:type="dxa"/>
        <w:tblLayout w:type="fixed"/>
        <w:tblCellMar>
          <w:top w:w="11" w:type="dxa"/>
          <w:bottom w:w="11" w:type="dxa"/>
        </w:tblCellMar>
        <w:tblLook w:val="0600" w:firstRow="0" w:lastRow="0" w:firstColumn="0" w:lastColumn="0" w:noHBand="1" w:noVBand="1"/>
        <w:tblCaption w:val="Table 2.1.1: Budgeted expenses for Outcome 1"/>
      </w:tblPr>
      <w:tblGrid>
        <w:gridCol w:w="2595"/>
        <w:gridCol w:w="1035"/>
        <w:gridCol w:w="1035"/>
        <w:gridCol w:w="1035"/>
        <w:gridCol w:w="1035"/>
        <w:gridCol w:w="1035"/>
      </w:tblGrid>
      <w:tr w:rsidR="00010972" w:rsidTr="00B54094">
        <w:trPr>
          <w:tblHeader/>
        </w:trPr>
        <w:tc>
          <w:tcPr>
            <w:tcW w:w="2595" w:type="dxa"/>
            <w:vMerge w:val="restart"/>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Outcome 1: Social Security</w:t>
            </w:r>
          </w:p>
        </w:tc>
        <w:tc>
          <w:tcPr>
            <w:tcW w:w="103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103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35"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1035"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1035"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103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103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dotted" w:sz="2" w:space="0" w:color="000000"/>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1.1 - Family Tax Benefit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A New Tax System</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(Family Assistance)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18,621,625</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19,400,921</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18,224,879</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18,028,615</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18,219,318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18,621,625</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19,400,921</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18,224,879</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18,028,615</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18,219,318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1.1</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18,621,625</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19,400,921</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18,224,879</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18,028,615</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18,219,318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1.2 - Child Payments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103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3,173</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3,188</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3,042</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3,097</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3,241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A New Tax System</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(Family Assistance)</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19,296</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12,389</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10,029</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8,154</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8,639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Student Assistance Act 1973</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82,689</w:t>
            </w:r>
          </w:p>
        </w:tc>
        <w:tc>
          <w:tcPr>
            <w:tcW w:w="103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80,867</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82,712</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84,440</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86,170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105,158</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96,444</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95,783</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95,691</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98,050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1.2</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105,158</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96,444</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95,783</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95,691</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98,050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1.3 - Income Support for Vulnerable People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151,117</w:t>
            </w:r>
          </w:p>
        </w:tc>
        <w:tc>
          <w:tcPr>
            <w:tcW w:w="103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238,248</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133,606</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139,564</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147,661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151,117</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238,248</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133,606</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139,564</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147,661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1.3</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151,117</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238,248</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133,606</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139,564</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147,661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1.4 - Income Support for People in Special Circumstances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and</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Bill No. 3)</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667</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1,363</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1,369</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1,373</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3,063</w:t>
            </w:r>
          </w:p>
        </w:tc>
        <w:tc>
          <w:tcPr>
            <w:tcW w:w="103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3,730</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1,363</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1,369</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1,373</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1,379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1.4</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3,730</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1,363</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1,369</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1,373</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1,379</w:t>
            </w:r>
          </w:p>
        </w:tc>
      </w:tr>
    </w:tbl>
    <w:p w:rsidR="00A27E35" w:rsidRDefault="00D5482E" w:rsidP="00A27E35">
      <w:pPr>
        <w:pStyle w:val="TableHeading"/>
        <w:keepLines/>
        <w:pageBreakBefore/>
        <w:pBdr>
          <w:top w:val="nil"/>
          <w:left w:val="nil"/>
          <w:bottom w:val="nil"/>
          <w:right w:val="nil"/>
          <w:between w:val="nil"/>
          <w:bar w:val="nil"/>
        </w:pBdr>
        <w:spacing w:before="0" w:after="0"/>
        <w:rPr>
          <w:bdr w:val="nil"/>
        </w:rPr>
      </w:pPr>
      <w:r>
        <w:rPr>
          <w:bdr w:val="nil"/>
        </w:rPr>
        <w:lastRenderedPageBreak/>
        <w:t>Table 2.1.1: Budgeted expenses for Outcome 1 (continued)</w:t>
      </w:r>
    </w:p>
    <w:tbl>
      <w:tblPr>
        <w:tblStyle w:val="CDMRange2"/>
        <w:tblW w:w="7770" w:type="dxa"/>
        <w:tblLayout w:type="fixed"/>
        <w:tblCellMar>
          <w:top w:w="11" w:type="dxa"/>
          <w:bottom w:w="11" w:type="dxa"/>
        </w:tblCellMar>
        <w:tblLook w:val="0600" w:firstRow="0" w:lastRow="0" w:firstColumn="0" w:lastColumn="0" w:noHBand="1" w:noVBand="1"/>
        <w:tblCaption w:val="Table 2.1.1: Budgeted expenses for Outcome 1 (continued)"/>
      </w:tblPr>
      <w:tblGrid>
        <w:gridCol w:w="2595"/>
        <w:gridCol w:w="1035"/>
        <w:gridCol w:w="1035"/>
        <w:gridCol w:w="1035"/>
        <w:gridCol w:w="1035"/>
        <w:gridCol w:w="1035"/>
      </w:tblGrid>
      <w:tr w:rsidR="00010972" w:rsidTr="00B54094">
        <w:trPr>
          <w:tblHeader/>
        </w:trPr>
        <w:tc>
          <w:tcPr>
            <w:tcW w:w="2595" w:type="dxa"/>
            <w:vMerge w:val="restart"/>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Outcome 1: Social Security</w:t>
            </w:r>
          </w:p>
        </w:tc>
        <w:tc>
          <w:tcPr>
            <w:tcW w:w="103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103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35"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1035"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1035"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103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103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dotted" w:sz="2" w:space="0" w:color="000000"/>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1.5 - Supplementary Payments and Support for Income Support Recipients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25,359</w:t>
            </w:r>
          </w:p>
        </w:tc>
        <w:tc>
          <w:tcPr>
            <w:tcW w:w="103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23,115</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22,266</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22,190</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23,477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25,359</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23,115</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22,266</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22,190</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23,477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1.5</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25,359</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23,115</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22,266</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22,190</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23,477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1.6 - Income Support for Seniors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50,133,912</w:t>
            </w:r>
          </w:p>
        </w:tc>
        <w:tc>
          <w:tcPr>
            <w:tcW w:w="103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53,536,388</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51,486,925</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53,267,906</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55,197,074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50,133,912</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53,536,388</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51,486,925</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53,267,906</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55,197,074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1.6</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50,133,912</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53,536,388</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51,486,925</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53,267,906</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55,197,074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1.7 - Allowances and Concessions for Seniors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378,734</w:t>
            </w:r>
          </w:p>
        </w:tc>
        <w:tc>
          <w:tcPr>
            <w:tcW w:w="103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569,969</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79,075</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74,438</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70,075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378,734</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569,969</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79,075</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74,438</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70,075</w:t>
            </w:r>
          </w:p>
        </w:tc>
      </w:tr>
      <w:tr w:rsidR="00010972" w:rsidTr="002C4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1.7</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378,734</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569,969</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79,075</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74,438</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70,075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1.8 - Income Support for People with Disability</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17,781,051</w:t>
            </w:r>
          </w:p>
        </w:tc>
        <w:tc>
          <w:tcPr>
            <w:tcW w:w="103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18,525,527</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17,365,607</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17,383,654</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18,007,062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17,781,051</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18,525,527</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17,365,607</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17,383,654</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18,007,062</w:t>
            </w:r>
          </w:p>
        </w:tc>
      </w:tr>
      <w:tr w:rsidR="00010972" w:rsidTr="002C4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1.8</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17,781,051</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18,525,527</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17,365,607</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17,383,654</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18,007,062</w:t>
            </w:r>
          </w:p>
        </w:tc>
      </w:tr>
      <w:tr w:rsidR="00010972" w:rsidTr="002C4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1.9 - Income Support for Carers</w:t>
            </w:r>
          </w:p>
        </w:tc>
      </w:tr>
      <w:tr w:rsidR="00010972" w:rsidTr="002C4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1,406</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2,800</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2,800</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2,800</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9,375,816</w:t>
            </w:r>
          </w:p>
        </w:tc>
        <w:tc>
          <w:tcPr>
            <w:tcW w:w="103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10,107,854</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9,795,789</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10,177,140</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10,669,070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9,377,222</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10,110,654</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9,798,589</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10,179,940</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10,671,870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1.9</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9,377,222</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10,110,654</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9,798,589</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10,179,940</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10,671,870</w:t>
            </w:r>
          </w:p>
        </w:tc>
      </w:tr>
    </w:tbl>
    <w:p w:rsidR="00A27E35" w:rsidRDefault="00D5482E" w:rsidP="00A27E35">
      <w:pPr>
        <w:pStyle w:val="TableHeading"/>
        <w:keepLines/>
        <w:pageBreakBefore/>
        <w:pBdr>
          <w:top w:val="nil"/>
          <w:left w:val="nil"/>
          <w:bottom w:val="nil"/>
          <w:right w:val="nil"/>
          <w:between w:val="nil"/>
          <w:bar w:val="nil"/>
        </w:pBdr>
        <w:spacing w:before="0" w:after="0"/>
        <w:rPr>
          <w:bdr w:val="nil"/>
        </w:rPr>
      </w:pPr>
      <w:r>
        <w:rPr>
          <w:bdr w:val="nil"/>
        </w:rPr>
        <w:lastRenderedPageBreak/>
        <w:t>Table 2.1.1: Budgeted expenses for Outcome 1 (continued)</w:t>
      </w:r>
    </w:p>
    <w:tbl>
      <w:tblPr>
        <w:tblStyle w:val="CDMRange1"/>
        <w:tblW w:w="7770" w:type="dxa"/>
        <w:tblLayout w:type="fixed"/>
        <w:tblCellMar>
          <w:top w:w="11" w:type="dxa"/>
          <w:bottom w:w="11" w:type="dxa"/>
        </w:tblCellMar>
        <w:tblLook w:val="0600" w:firstRow="0" w:lastRow="0" w:firstColumn="0" w:lastColumn="0" w:noHBand="1" w:noVBand="1"/>
        <w:tblCaption w:val="Table 2.1.1: Budgeted expenses for Outcome 1 (continued)"/>
      </w:tblPr>
      <w:tblGrid>
        <w:gridCol w:w="2595"/>
        <w:gridCol w:w="1035"/>
        <w:gridCol w:w="1035"/>
        <w:gridCol w:w="1035"/>
        <w:gridCol w:w="1035"/>
        <w:gridCol w:w="1035"/>
      </w:tblGrid>
      <w:tr w:rsidR="00010972" w:rsidTr="002247E0">
        <w:trPr>
          <w:tblHeader/>
        </w:trPr>
        <w:tc>
          <w:tcPr>
            <w:tcW w:w="2595" w:type="dxa"/>
            <w:vMerge w:val="restart"/>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Outcome 1: Social Security</w:t>
            </w:r>
          </w:p>
        </w:tc>
        <w:tc>
          <w:tcPr>
            <w:tcW w:w="103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103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35"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1035"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1035"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103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103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dotted" w:sz="2" w:space="0" w:color="000000"/>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1.10 - Working Age Payments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36,013</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33,664</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7,378</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5,998</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3,027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26,836,280</w:t>
            </w:r>
          </w:p>
        </w:tc>
        <w:tc>
          <w:tcPr>
            <w:tcW w:w="103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43,941,509</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22,524,470</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19,351,454</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18,378,979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26,872,293</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43,975,173</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22,531,848</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19,357,452</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18,382,006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1.10</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26,872,293</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43,975,173</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22,531,848</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19,357,452</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18,382,006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1.11 - Student Payments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3,294,916</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4,107,389</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2,586,416</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2,388,909</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2,340,252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Student Assistance Act 1973</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322,461</w:t>
            </w:r>
          </w:p>
        </w:tc>
        <w:tc>
          <w:tcPr>
            <w:tcW w:w="103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327,114</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263,992</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269,918</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269,021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3,617,377</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4,434,503</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2,850,408</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2,658,827</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2,609,273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1.11</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3,617,377</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4,434,503</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2,850,408</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2,658,827</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2,609,273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1.12 - Program Support for Outcome 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expenses</w:t>
            </w: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Departmental appropriation </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114,205</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97,875</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92,421</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86,905</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85,448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s74 External Revenue (a)</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1,554</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6,702</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5,868</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5,868</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5,868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Expenses not requiring</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in the</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Budget year (b)</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9,730</w:t>
            </w:r>
          </w:p>
        </w:tc>
        <w:tc>
          <w:tcPr>
            <w:tcW w:w="103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2,261</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2,052</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1,789</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1,749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Departmental Total</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125,489</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106,838</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100,341</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94,562</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93,065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1.12</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125,489</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106,838</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100,341</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94,562</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93,065</w:t>
            </w:r>
          </w:p>
        </w:tc>
      </w:tr>
    </w:tbl>
    <w:p w:rsidR="00A27E35" w:rsidRDefault="00D5482E" w:rsidP="00A27E35">
      <w:pPr>
        <w:pStyle w:val="TableHeading"/>
        <w:keepLines/>
        <w:pageBreakBefore/>
        <w:pBdr>
          <w:top w:val="nil"/>
          <w:left w:val="nil"/>
          <w:bottom w:val="nil"/>
          <w:right w:val="nil"/>
          <w:between w:val="nil"/>
          <w:bar w:val="nil"/>
        </w:pBdr>
        <w:spacing w:before="0" w:after="0"/>
        <w:rPr>
          <w:bdr w:val="nil"/>
        </w:rPr>
      </w:pPr>
      <w:r>
        <w:rPr>
          <w:bdr w:val="nil"/>
        </w:rPr>
        <w:lastRenderedPageBreak/>
        <w:t>Table 2.1.1: Budgeted expenses for Outcome 1 (continued)</w:t>
      </w:r>
    </w:p>
    <w:tbl>
      <w:tblPr>
        <w:tblStyle w:val="CDMRange2"/>
        <w:tblW w:w="7770" w:type="dxa"/>
        <w:tblLayout w:type="fixed"/>
        <w:tblCellMar>
          <w:top w:w="11" w:type="dxa"/>
          <w:bottom w:w="11" w:type="dxa"/>
        </w:tblCellMar>
        <w:tblLook w:val="0600" w:firstRow="0" w:lastRow="0" w:firstColumn="0" w:lastColumn="0" w:noHBand="1" w:noVBand="1"/>
        <w:tblCaption w:val="Table 2.1.1: Budgeted expenses for Outcome 1 (continued)"/>
      </w:tblPr>
      <w:tblGrid>
        <w:gridCol w:w="2595"/>
        <w:gridCol w:w="1035"/>
        <w:gridCol w:w="1035"/>
        <w:gridCol w:w="1035"/>
        <w:gridCol w:w="1035"/>
        <w:gridCol w:w="1035"/>
      </w:tblGrid>
      <w:tr w:rsidR="00010972" w:rsidTr="002247E0">
        <w:trPr>
          <w:tblHeader/>
        </w:trPr>
        <w:tc>
          <w:tcPr>
            <w:tcW w:w="2595" w:type="dxa"/>
            <w:vMerge w:val="restart"/>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Outcome 1: Social Security</w:t>
            </w:r>
          </w:p>
        </w:tc>
        <w:tc>
          <w:tcPr>
            <w:tcW w:w="103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103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35"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1035"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1035"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103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103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dotted" w:sz="2" w:space="0" w:color="000000"/>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1035"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3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Outcome 1 Totals by appropriation type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38,086</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37,827</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11,547</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10,171</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7,206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127,029,492</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150,874,478</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122,578,808</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121,199,479</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123,420,039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127,067,578</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150,912,305</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122,590,355</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121,209,650</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123,427,245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expenses</w:t>
            </w: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3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appropriation</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114,205</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97,875</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92,421</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86,905</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85,448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s74 External Revenue (a)</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1,554</w:t>
            </w:r>
          </w:p>
        </w:tc>
        <w:tc>
          <w:tcPr>
            <w:tcW w:w="103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6,702</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5,868</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5,868</w:t>
            </w:r>
          </w:p>
        </w:tc>
        <w:tc>
          <w:tcPr>
            <w:tcW w:w="103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5,868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Expenses not requiring</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in the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Budget year (b)</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9,730</w:t>
            </w:r>
          </w:p>
        </w:tc>
        <w:tc>
          <w:tcPr>
            <w:tcW w:w="103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2,261</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2,052</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1,789</w:t>
            </w:r>
          </w:p>
        </w:tc>
        <w:tc>
          <w:tcPr>
            <w:tcW w:w="103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1,749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Departmental Total</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125,489</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106,838</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100,341</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94,562</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93,065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  Outcome 1</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127,193,067</w:t>
            </w:r>
          </w:p>
        </w:tc>
        <w:tc>
          <w:tcPr>
            <w:tcW w:w="103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151,019,143</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122,690,696</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121,304,212</w:t>
            </w:r>
          </w:p>
        </w:tc>
        <w:tc>
          <w:tcPr>
            <w:tcW w:w="103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123,520,310</w:t>
            </w:r>
          </w:p>
        </w:tc>
      </w:tr>
    </w:tbl>
    <w:p w:rsidR="007B6552" w:rsidRDefault="00D5482E" w:rsidP="007B6552">
      <w:pPr>
        <w:pStyle w:val="ChartandTableFootnote"/>
        <w:pBdr>
          <w:top w:val="nil"/>
          <w:left w:val="nil"/>
          <w:bottom w:val="nil"/>
          <w:right w:val="nil"/>
          <w:between w:val="nil"/>
          <w:bar w:val="nil"/>
        </w:pBdr>
        <w:tabs>
          <w:tab w:val="clear" w:pos="284"/>
          <w:tab w:val="left" w:pos="0"/>
        </w:tabs>
        <w:ind w:left="0" w:firstLine="0"/>
        <w:rPr>
          <w:bdr w:val="nil"/>
        </w:rPr>
      </w:pPr>
      <w:r>
        <w:rPr>
          <w:bdr w:val="nil"/>
        </w:rPr>
        <w:t>Note: Departmental appropriation splits and totals are indicative estimates and may change in the course of the Budget year as government priorities change.</w:t>
      </w:r>
    </w:p>
    <w:p w:rsidR="007B6552" w:rsidRDefault="00D5482E" w:rsidP="00DC7A59">
      <w:pPr>
        <w:pStyle w:val="ChartandTableFootnote"/>
        <w:numPr>
          <w:ilvl w:val="0"/>
          <w:numId w:val="7"/>
        </w:numPr>
        <w:pBdr>
          <w:top w:val="nil"/>
          <w:left w:val="nil"/>
          <w:bottom w:val="nil"/>
          <w:right w:val="nil"/>
          <w:between w:val="nil"/>
          <w:bar w:val="nil"/>
        </w:pBdr>
        <w:tabs>
          <w:tab w:val="clear" w:pos="284"/>
          <w:tab w:val="left" w:pos="0"/>
        </w:tabs>
        <w:ind w:left="284" w:hanging="284"/>
        <w:rPr>
          <w:bdr w:val="nil"/>
        </w:rPr>
      </w:pPr>
      <w:r>
        <w:rPr>
          <w:bdr w:val="nil"/>
        </w:rPr>
        <w:t xml:space="preserve">Estimated expenses incurred in relation to receipts retained under section 74 of the </w:t>
      </w:r>
      <w:r w:rsidRPr="00562B4F">
        <w:rPr>
          <w:bdr w:val="nil"/>
        </w:rPr>
        <w:t>PGPA Act</w:t>
      </w:r>
      <w:r>
        <w:rPr>
          <w:bdr w:val="nil"/>
        </w:rPr>
        <w:t xml:space="preserve">. </w:t>
      </w:r>
    </w:p>
    <w:p w:rsidR="00712060" w:rsidRDefault="00D5482E" w:rsidP="00DC7A59">
      <w:pPr>
        <w:pStyle w:val="ChartandTableFootnote"/>
        <w:numPr>
          <w:ilvl w:val="0"/>
          <w:numId w:val="7"/>
        </w:numPr>
        <w:pBdr>
          <w:top w:val="nil"/>
          <w:left w:val="nil"/>
          <w:bottom w:val="nil"/>
          <w:right w:val="nil"/>
          <w:between w:val="nil"/>
          <w:bar w:val="nil"/>
        </w:pBdr>
        <w:tabs>
          <w:tab w:val="clear" w:pos="284"/>
          <w:tab w:val="left" w:pos="0"/>
        </w:tabs>
        <w:ind w:left="284" w:hanging="284"/>
        <w:rPr>
          <w:bdr w:val="nil"/>
        </w:rPr>
      </w:pPr>
      <w:r>
        <w:rPr>
          <w:bdr w:val="nil"/>
        </w:rPr>
        <w:t>‘Expenses not requiring appropriation in the Budget year’ is made up of depreciation, amortisation and audit fees.</w:t>
      </w:r>
    </w:p>
    <w:p w:rsidR="00712060" w:rsidRPr="00712060" w:rsidRDefault="00712060" w:rsidP="00712060">
      <w:pPr>
        <w:keepLines/>
        <w:pBdr>
          <w:top w:val="nil"/>
          <w:left w:val="nil"/>
          <w:bottom w:val="nil"/>
          <w:right w:val="nil"/>
          <w:between w:val="nil"/>
          <w:bar w:val="nil"/>
        </w:pBdr>
        <w:spacing w:after="240" w:line="260" w:lineRule="exact"/>
        <w:jc w:val="both"/>
        <w:rPr>
          <w:vanish/>
          <w:bdr w:val="nil"/>
        </w:rPr>
      </w:pPr>
    </w:p>
    <w:p w:rsidR="00D86095" w:rsidRDefault="00D5482E" w:rsidP="000D48EF">
      <w:pPr>
        <w:pStyle w:val="TableHeading"/>
        <w:keepLines/>
        <w:pageBreakBefore/>
        <w:pBdr>
          <w:top w:val="nil"/>
          <w:left w:val="nil"/>
          <w:bottom w:val="nil"/>
          <w:right w:val="nil"/>
          <w:between w:val="nil"/>
          <w:bar w:val="nil"/>
        </w:pBdr>
        <w:spacing w:before="0" w:after="0"/>
        <w:rPr>
          <w:bdr w:val="nil"/>
        </w:rPr>
      </w:pPr>
      <w:r w:rsidRPr="002E3447">
        <w:rPr>
          <w:bdr w:val="nil"/>
        </w:rPr>
        <w:lastRenderedPageBreak/>
        <w:t>Table 2</w:t>
      </w:r>
      <w:r>
        <w:rPr>
          <w:bdr w:val="nil"/>
        </w:rPr>
        <w:t>.1</w:t>
      </w:r>
      <w:r w:rsidRPr="002E3447">
        <w:rPr>
          <w:bdr w:val="nil"/>
        </w:rPr>
        <w:t>.</w:t>
      </w:r>
      <w:r>
        <w:rPr>
          <w:bdr w:val="nil"/>
        </w:rPr>
        <w:t>2</w:t>
      </w:r>
      <w:r w:rsidRPr="002E3447">
        <w:rPr>
          <w:bdr w:val="nil"/>
        </w:rPr>
        <w:t xml:space="preserve">: </w:t>
      </w:r>
      <w:r>
        <w:rPr>
          <w:bdr w:val="nil"/>
        </w:rPr>
        <w:t>Program</w:t>
      </w:r>
      <w:r w:rsidRPr="002E3447">
        <w:rPr>
          <w:bdr w:val="nil"/>
        </w:rPr>
        <w:t xml:space="preserve"> </w:t>
      </w:r>
      <w:r w:rsidR="003C0F83">
        <w:rPr>
          <w:bdr w:val="nil"/>
        </w:rPr>
        <w:t>component expenses for</w:t>
      </w:r>
      <w:r>
        <w:rPr>
          <w:bdr w:val="nil"/>
        </w:rPr>
        <w:t xml:space="preserve"> </w:t>
      </w:r>
      <w:r w:rsidRPr="002E3447">
        <w:rPr>
          <w:bdr w:val="nil"/>
        </w:rPr>
        <w:t>Outcome 1</w:t>
      </w:r>
    </w:p>
    <w:tbl>
      <w:tblPr>
        <w:tblStyle w:val="CDMRange1"/>
        <w:tblW w:w="7695" w:type="dxa"/>
        <w:tblLayout w:type="fixed"/>
        <w:tblCellMar>
          <w:top w:w="11" w:type="dxa"/>
          <w:bottom w:w="11" w:type="dxa"/>
        </w:tblCellMar>
        <w:tblLook w:val="0600" w:firstRow="0" w:lastRow="0" w:firstColumn="0" w:lastColumn="0" w:noHBand="1" w:noVBand="1"/>
        <w:tblCaption w:val="Table 2.1.2: Program component expenses for Outcome 1"/>
      </w:tblPr>
      <w:tblGrid>
        <w:gridCol w:w="2820"/>
        <w:gridCol w:w="975"/>
        <w:gridCol w:w="975"/>
        <w:gridCol w:w="975"/>
        <w:gridCol w:w="975"/>
        <w:gridCol w:w="975"/>
      </w:tblGrid>
      <w:tr w:rsidR="00010972" w:rsidTr="00B54094">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1.1 - Family Tax Benefit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1.1.1 - Component 1 (Family Tax Benefit Part A)</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A New Tax System</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(Family Assistance)</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14,567,418</w:t>
            </w:r>
          </w:p>
        </w:tc>
        <w:tc>
          <w:tcPr>
            <w:tcW w:w="975" w:type="dxa"/>
            <w:tcBorders>
              <w:top w:val="nil"/>
              <w:left w:val="nil"/>
              <w:bottom w:val="dotted" w:sz="2" w:space="0" w:color="000000"/>
              <w:right w:val="nil"/>
              <w:tl2br w:val="nil"/>
              <w:tr2bl w:val="nil"/>
            </w:tcBorders>
            <w:shd w:val="clear" w:color="FFFFFF" w:fill="E6E6E6"/>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15,300,088</w:t>
            </w:r>
          </w:p>
        </w:tc>
        <w:tc>
          <w:tcPr>
            <w:tcW w:w="975" w:type="dxa"/>
            <w:tcBorders>
              <w:top w:val="nil"/>
              <w:left w:val="nil"/>
              <w:bottom w:val="dotted" w:sz="2" w:space="0" w:color="000000"/>
              <w:right w:val="nil"/>
              <w:tl2br w:val="nil"/>
              <w:tr2bl w:val="nil"/>
            </w:tcBorders>
            <w:shd w:val="clear" w:color="auto" w:fill="auto"/>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14,085,325</w:t>
            </w:r>
          </w:p>
        </w:tc>
        <w:tc>
          <w:tcPr>
            <w:tcW w:w="975" w:type="dxa"/>
            <w:tcBorders>
              <w:top w:val="nil"/>
              <w:left w:val="nil"/>
              <w:bottom w:val="dotted" w:sz="2" w:space="0" w:color="000000"/>
              <w:right w:val="nil"/>
              <w:tl2br w:val="nil"/>
              <w:tr2bl w:val="nil"/>
            </w:tcBorders>
            <w:shd w:val="clear" w:color="auto" w:fill="auto"/>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13,920,632</w:t>
            </w:r>
          </w:p>
        </w:tc>
        <w:tc>
          <w:tcPr>
            <w:tcW w:w="975" w:type="dxa"/>
            <w:tcBorders>
              <w:top w:val="nil"/>
              <w:left w:val="nil"/>
              <w:bottom w:val="dotted" w:sz="2" w:space="0" w:color="000000"/>
              <w:right w:val="nil"/>
              <w:tl2br w:val="nil"/>
              <w:tr2bl w:val="nil"/>
            </w:tcBorders>
            <w:shd w:val="clear" w:color="auto" w:fill="auto"/>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14,050,199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Total component 1 expenses </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14,567,418</w:t>
            </w:r>
          </w:p>
        </w:tc>
        <w:tc>
          <w:tcPr>
            <w:tcW w:w="975" w:type="dxa"/>
            <w:tcBorders>
              <w:top w:val="dotted" w:sz="2" w:space="0" w:color="000000"/>
              <w:left w:val="nil"/>
              <w:bottom w:val="dotted" w:sz="2" w:space="0" w:color="000000"/>
              <w:right w:val="nil"/>
              <w:tl2br w:val="nil"/>
              <w:tr2bl w:val="nil"/>
            </w:tcBorders>
            <w:shd w:val="clear" w:color="FFFFFF" w:fill="E6E6E6"/>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15,300,088</w:t>
            </w:r>
          </w:p>
        </w:tc>
        <w:tc>
          <w:tcPr>
            <w:tcW w:w="975" w:type="dxa"/>
            <w:tcBorders>
              <w:top w:val="dotted" w:sz="2" w:space="0" w:color="000000"/>
              <w:left w:val="nil"/>
              <w:bottom w:val="dotted" w:sz="2" w:space="0" w:color="000000"/>
              <w:right w:val="nil"/>
              <w:tl2br w:val="nil"/>
              <w:tr2bl w:val="nil"/>
            </w:tcBorders>
            <w:shd w:val="clear" w:color="auto" w:fill="auto"/>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14,085,325</w:t>
            </w:r>
          </w:p>
        </w:tc>
        <w:tc>
          <w:tcPr>
            <w:tcW w:w="975" w:type="dxa"/>
            <w:tcBorders>
              <w:top w:val="dotted" w:sz="2" w:space="0" w:color="000000"/>
              <w:left w:val="nil"/>
              <w:bottom w:val="dotted" w:sz="2" w:space="0" w:color="000000"/>
              <w:right w:val="nil"/>
              <w:tl2br w:val="nil"/>
              <w:tr2bl w:val="nil"/>
            </w:tcBorders>
            <w:shd w:val="clear" w:color="auto" w:fill="auto"/>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13,920,632</w:t>
            </w:r>
          </w:p>
        </w:tc>
        <w:tc>
          <w:tcPr>
            <w:tcW w:w="975" w:type="dxa"/>
            <w:tcBorders>
              <w:top w:val="dotted" w:sz="2" w:space="0" w:color="000000"/>
              <w:left w:val="nil"/>
              <w:bottom w:val="dotted" w:sz="2" w:space="0" w:color="000000"/>
              <w:right w:val="nil"/>
              <w:tl2br w:val="nil"/>
              <w:tr2bl w:val="nil"/>
            </w:tcBorders>
            <w:shd w:val="clear" w:color="auto" w:fill="auto"/>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14,050,199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1.1.2 - Component 2 (Family Tax Benefit Part B)</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A New Tax System</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(Family Assistance)</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4,054,208</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4,100,833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4,139,554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4,107,983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4,169,119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Total component 2 expenses </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4,054,208</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4,100,833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4,139,554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4,107,983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4,169,119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18,621,626</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19,400,921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18,224,879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18,028,615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18,219,318</w:t>
            </w:r>
          </w:p>
        </w:tc>
      </w:tr>
    </w:tbl>
    <w:p w:rsidR="005544C5" w:rsidRDefault="00D5482E">
      <w:pPr>
        <w:pBdr>
          <w:top w:val="nil"/>
          <w:left w:val="nil"/>
          <w:bottom w:val="nil"/>
          <w:right w:val="nil"/>
          <w:between w:val="nil"/>
          <w:bar w:val="nil"/>
        </w:pBdr>
        <w:rPr>
          <w:bdr w:val="nil"/>
        </w:rPr>
      </w:pPr>
      <w:r>
        <w:rPr>
          <w:rFonts w:ascii="Book Antiqua" w:eastAsia="Times New Roman" w:hAnsi="Book Antiqua" w:cs="Times New Roman"/>
          <w:sz w:val="20"/>
          <w:szCs w:val="20"/>
          <w:bdr w:val="nil"/>
          <w:lang w:val="en-AU" w:eastAsia="en-AU"/>
        </w:rPr>
        <w:br w:type="page"/>
      </w:r>
    </w:p>
    <w:p w:rsidR="005544C5" w:rsidRDefault="00D5482E" w:rsidP="000D48EF">
      <w:pPr>
        <w:pStyle w:val="TableHeading"/>
        <w:keepLines/>
        <w:pBdr>
          <w:top w:val="nil"/>
          <w:left w:val="nil"/>
          <w:bottom w:val="nil"/>
          <w:right w:val="nil"/>
          <w:between w:val="nil"/>
          <w:bar w:val="nil"/>
        </w:pBdr>
        <w:spacing w:before="0" w:after="0"/>
        <w:rPr>
          <w:bdr w:val="nil"/>
        </w:rPr>
      </w:pPr>
      <w:r>
        <w:rPr>
          <w:bdr w:val="nil"/>
        </w:rPr>
        <w:lastRenderedPageBreak/>
        <w:t xml:space="preserve">Table 2.1.2: Program </w:t>
      </w:r>
      <w:r w:rsidR="003C0F83">
        <w:rPr>
          <w:bdr w:val="nil"/>
        </w:rPr>
        <w:t xml:space="preserve">component expenses for </w:t>
      </w:r>
      <w:r w:rsidR="003C0F83" w:rsidRPr="002E3447">
        <w:rPr>
          <w:bdr w:val="nil"/>
        </w:rPr>
        <w:t>Outcome 1</w:t>
      </w:r>
      <w:r w:rsidR="003C0F83">
        <w:rPr>
          <w:bdr w:val="nil"/>
        </w:rPr>
        <w:t xml:space="preserve"> </w:t>
      </w:r>
      <w:r>
        <w:rPr>
          <w:bdr w:val="nil"/>
        </w:rPr>
        <w:t>(continued)</w:t>
      </w:r>
    </w:p>
    <w:tbl>
      <w:tblPr>
        <w:tblStyle w:val="CDMRange2"/>
        <w:tblW w:w="7695" w:type="dxa"/>
        <w:tblLayout w:type="fixed"/>
        <w:tblCellMar>
          <w:top w:w="11" w:type="dxa"/>
          <w:bottom w:w="11" w:type="dxa"/>
        </w:tblCellMar>
        <w:tblLook w:val="0600" w:firstRow="0" w:lastRow="0" w:firstColumn="0" w:lastColumn="0" w:noHBand="1" w:noVBand="1"/>
        <w:tblCaption w:val="Table 2.1.2: Program component expenses for Outcome 1 (continued)"/>
      </w:tblPr>
      <w:tblGrid>
        <w:gridCol w:w="2820"/>
        <w:gridCol w:w="975"/>
        <w:gridCol w:w="975"/>
        <w:gridCol w:w="975"/>
        <w:gridCol w:w="975"/>
        <w:gridCol w:w="975"/>
      </w:tblGrid>
      <w:tr w:rsidR="00010972" w:rsidTr="00D62869">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1.2 - Child Payments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1.2.1 - Component 1 (Single Income Family Supplement)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A New Tax System</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(Family Assistance)</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 </w:t>
            </w:r>
            <w:r>
              <w:rPr>
                <w:rFonts w:ascii="Arial" w:eastAsia="Arial" w:hAnsi="Arial" w:cs="Arial"/>
                <w:color w:val="000000"/>
                <w:sz w:val="16"/>
                <w:szCs w:val="20"/>
                <w:bdr w:val="nil"/>
                <w:lang w:val="en-AU" w:eastAsia="en-AU"/>
              </w:rPr>
              <w:t>(a)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17,513</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9,956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6,974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5,030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5,454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Total component 1 expenses </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17,513</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9,956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6,974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5,030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5,454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1.2.2 - Component 2 (Stillborn Baby Payment)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A New Tax System</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(Family Assistance)</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1,783</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2,433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3,055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3,124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3,185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Total component 2 expenses </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1,783</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2,433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3,055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3,124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3,185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1.2.3 - Component 3 (Double Orphan Pension)</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3,173</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3,188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3,042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3,097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3,241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Total component 3 expenses </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3,173</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3,188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3,042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3,097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3,241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1.2.4 - Component 4 (Assistance for Isolated Children)</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Student Assistance Act 1973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82,689</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80,867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82,712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84,440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86,170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Total component 4 expenses </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82,689</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80,867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82,712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84,440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86,170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105,158</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96,444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95,783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95,691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98,050</w:t>
            </w:r>
          </w:p>
        </w:tc>
      </w:tr>
    </w:tbl>
    <w:p w:rsidR="00106F18" w:rsidRPr="000D48EF" w:rsidRDefault="00D5482E" w:rsidP="00102850">
      <w:pPr>
        <w:pStyle w:val="ListParagraph"/>
        <w:keepLines/>
        <w:numPr>
          <w:ilvl w:val="0"/>
          <w:numId w:val="8"/>
        </w:numPr>
        <w:pBdr>
          <w:top w:val="nil"/>
          <w:left w:val="nil"/>
          <w:bottom w:val="nil"/>
          <w:right w:val="nil"/>
          <w:between w:val="nil"/>
          <w:bar w:val="nil"/>
        </w:pBdr>
        <w:spacing w:after="0" w:line="240" w:lineRule="auto"/>
        <w:ind w:left="284" w:hanging="284"/>
        <w:jc w:val="both"/>
        <w:rPr>
          <w:rFonts w:eastAsia="Times New Roman" w:cs="Times New Roman"/>
          <w:sz w:val="20"/>
          <w:szCs w:val="20"/>
          <w:bdr w:val="nil"/>
          <w:lang w:val="en-AU"/>
        </w:rPr>
      </w:pPr>
      <w:r w:rsidRPr="000D48EF">
        <w:rPr>
          <w:rFonts w:ascii="Arial" w:eastAsia="Times New Roman" w:hAnsi="Arial" w:cs="Arial"/>
          <w:sz w:val="16"/>
          <w:szCs w:val="16"/>
          <w:bdr w:val="nil"/>
          <w:lang w:val="en-AU"/>
        </w:rPr>
        <w:t>The Single Income Family Supplement was closed to new recipients from 1 July 2017. Grandfathering arrangements will permit eligible recipients with entitlements to Single Income Family Supplement at 30 June 2017 to continue to receive this payment as long as they remain eligible.</w:t>
      </w:r>
    </w:p>
    <w:p w:rsidR="006063DC" w:rsidRDefault="00D5482E" w:rsidP="00980118">
      <w:pPr>
        <w:pStyle w:val="ListParagraph"/>
        <w:numPr>
          <w:ilvl w:val="0"/>
          <w:numId w:val="8"/>
        </w:numPr>
        <w:pBdr>
          <w:top w:val="nil"/>
          <w:left w:val="nil"/>
          <w:bottom w:val="nil"/>
          <w:right w:val="nil"/>
          <w:between w:val="nil"/>
          <w:bar w:val="nil"/>
        </w:pBdr>
        <w:spacing w:after="0" w:line="240" w:lineRule="auto"/>
        <w:jc w:val="both"/>
        <w:rPr>
          <w:rFonts w:eastAsia="Times New Roman" w:cs="Times New Roman"/>
          <w:bdr w:val="nil"/>
          <w:lang w:val="en-AU"/>
        </w:rPr>
      </w:pPr>
      <w:r w:rsidRPr="00980118">
        <w:rPr>
          <w:rFonts w:ascii="Arial" w:eastAsia="Times New Roman" w:hAnsi="Arial" w:cs="Arial"/>
          <w:sz w:val="16"/>
          <w:szCs w:val="16"/>
          <w:bdr w:val="nil"/>
          <w:lang w:val="en-AU"/>
        </w:rPr>
        <w:br w:type="page"/>
      </w:r>
    </w:p>
    <w:p w:rsidR="00632338" w:rsidRDefault="00D5482E" w:rsidP="000D48EF">
      <w:pPr>
        <w:pStyle w:val="TableHeading"/>
        <w:keepLines/>
        <w:pBdr>
          <w:top w:val="nil"/>
          <w:left w:val="nil"/>
          <w:bottom w:val="nil"/>
          <w:right w:val="nil"/>
          <w:between w:val="nil"/>
          <w:bar w:val="nil"/>
        </w:pBdr>
        <w:spacing w:before="0" w:after="0"/>
        <w:rPr>
          <w:bdr w:val="nil"/>
        </w:rPr>
      </w:pPr>
      <w:r>
        <w:rPr>
          <w:bdr w:val="nil"/>
        </w:rPr>
        <w:lastRenderedPageBreak/>
        <w:t xml:space="preserve">Table 2.1.2: Program component expenses for </w:t>
      </w:r>
      <w:r w:rsidRPr="002E3447">
        <w:rPr>
          <w:bdr w:val="nil"/>
        </w:rPr>
        <w:t>Outcome 1</w:t>
      </w:r>
      <w:r>
        <w:rPr>
          <w:bdr w:val="nil"/>
        </w:rPr>
        <w:t xml:space="preserve"> (continued)</w:t>
      </w:r>
    </w:p>
    <w:tbl>
      <w:tblPr>
        <w:tblStyle w:val="CDMRange1"/>
        <w:tblW w:w="7695" w:type="dxa"/>
        <w:tblLayout w:type="fixed"/>
        <w:tblCellMar>
          <w:top w:w="11" w:type="dxa"/>
          <w:bottom w:w="11" w:type="dxa"/>
        </w:tblCellMar>
        <w:tblLook w:val="0600" w:firstRow="0" w:lastRow="0" w:firstColumn="0" w:lastColumn="0" w:noHBand="1" w:noVBand="1"/>
        <w:tblCaption w:val="Table 2.1.2: Program component expenses for Outcome 1 (continued)"/>
      </w:tblPr>
      <w:tblGrid>
        <w:gridCol w:w="2820"/>
        <w:gridCol w:w="975"/>
        <w:gridCol w:w="975"/>
        <w:gridCol w:w="975"/>
        <w:gridCol w:w="975"/>
        <w:gridCol w:w="975"/>
      </w:tblGrid>
      <w:tr w:rsidR="00010972" w:rsidTr="00D62869">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1.3 - Income Support for Vulnerable People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1.3.1 - Component 1 (Special Benefit)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FF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151,117</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238,248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133,606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139,564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147,661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151,117</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238,248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133,606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139,564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147,661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151,117</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238,248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133,606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139,564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147,661</w:t>
            </w:r>
          </w:p>
        </w:tc>
      </w:tr>
    </w:tbl>
    <w:p w:rsidR="0085463F" w:rsidRDefault="0085463F" w:rsidP="0085463F">
      <w:pPr>
        <w:keepLines/>
        <w:pBdr>
          <w:top w:val="nil"/>
          <w:left w:val="nil"/>
          <w:bottom w:val="nil"/>
          <w:right w:val="nil"/>
          <w:between w:val="nil"/>
          <w:bar w:val="nil"/>
        </w:pBdr>
        <w:spacing w:after="0" w:line="240" w:lineRule="auto"/>
        <w:jc w:val="both"/>
        <w:rPr>
          <w:rStyle w:val="Hyperlink"/>
          <w:bdr w:val="nil"/>
        </w:rPr>
      </w:pPr>
    </w:p>
    <w:tbl>
      <w:tblPr>
        <w:tblStyle w:val="CDMRange2"/>
        <w:tblW w:w="7695" w:type="dxa"/>
        <w:tblLayout w:type="fixed"/>
        <w:tblCellMar>
          <w:top w:w="11" w:type="dxa"/>
          <w:bottom w:w="11" w:type="dxa"/>
        </w:tblCellMar>
        <w:tblLook w:val="0600" w:firstRow="0" w:lastRow="0" w:firstColumn="0" w:lastColumn="0" w:noHBand="1" w:noVBand="1"/>
        <w:tblCaption w:val="Table 2.1.2: Program component expenses for Outcome 1 (continued)"/>
        <w:tblDescription w:val="Program 1.4 - Income Support for People in Special Circumstances"/>
      </w:tblPr>
      <w:tblGrid>
        <w:gridCol w:w="2820"/>
        <w:gridCol w:w="975"/>
        <w:gridCol w:w="975"/>
        <w:gridCol w:w="975"/>
        <w:gridCol w:w="975"/>
        <w:gridCol w:w="975"/>
      </w:tblGrid>
      <w:tr w:rsidR="00010972" w:rsidTr="0081759B">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1.4 - Income Support for People in Special Circumstances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1.4.1 - Component 1 (Payments under Special Circumstances)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667</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1,363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1,369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1,373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667</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1,363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1,369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1,373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1.4.2 - Component 2 (Bereavement Allowance)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 </w:t>
            </w:r>
            <w:r>
              <w:rPr>
                <w:rFonts w:ascii="Arial" w:eastAsia="Arial" w:hAnsi="Arial" w:cs="Arial"/>
                <w:color w:val="000000"/>
                <w:sz w:val="16"/>
                <w:szCs w:val="20"/>
                <w:bdr w:val="nil"/>
                <w:lang w:val="en-AU" w:eastAsia="en-AU"/>
              </w:rPr>
              <w:t>(a)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3,063</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2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3,063</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3,730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1,363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1,369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1,373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1,379</w:t>
            </w:r>
          </w:p>
        </w:tc>
      </w:tr>
    </w:tbl>
    <w:p w:rsidR="00632338" w:rsidRPr="000D48EF" w:rsidRDefault="00D5482E" w:rsidP="00ED0A54">
      <w:pPr>
        <w:pStyle w:val="ListParagraph"/>
        <w:keepLines/>
        <w:numPr>
          <w:ilvl w:val="0"/>
          <w:numId w:val="9"/>
        </w:numPr>
        <w:pBdr>
          <w:top w:val="nil"/>
          <w:left w:val="nil"/>
          <w:bottom w:val="nil"/>
          <w:right w:val="nil"/>
          <w:between w:val="nil"/>
          <w:bar w:val="nil"/>
        </w:pBdr>
        <w:spacing w:after="0" w:line="240" w:lineRule="auto"/>
        <w:ind w:left="284" w:hanging="284"/>
        <w:jc w:val="both"/>
        <w:rPr>
          <w:rFonts w:eastAsia="Times New Roman" w:cs="Times New Roman"/>
          <w:sz w:val="20"/>
          <w:szCs w:val="20"/>
          <w:bdr w:val="nil"/>
          <w:lang w:val="en-AU"/>
        </w:rPr>
      </w:pPr>
      <w:r w:rsidRPr="000D48EF">
        <w:rPr>
          <w:rFonts w:ascii="Arial" w:eastAsia="Times New Roman" w:hAnsi="Arial" w:cs="Arial"/>
          <w:iCs/>
          <w:sz w:val="16"/>
          <w:szCs w:val="16"/>
          <w:bdr w:val="nil"/>
          <w:lang w:val="en-AU"/>
        </w:rPr>
        <w:t xml:space="preserve">This payment ceased from 20 March 2020. This change is a result of the 2017-18 Budget measure: </w:t>
      </w:r>
      <w:r w:rsidRPr="000D48EF">
        <w:rPr>
          <w:rFonts w:ascii="Arial" w:eastAsia="Times New Roman" w:hAnsi="Arial" w:cs="Arial"/>
          <w:i/>
          <w:iCs/>
          <w:sz w:val="16"/>
          <w:szCs w:val="16"/>
          <w:bdr w:val="nil"/>
          <w:lang w:val="en-AU"/>
        </w:rPr>
        <w:t>Working Age Payments Reforms</w:t>
      </w:r>
      <w:r w:rsidRPr="000D48EF">
        <w:rPr>
          <w:rFonts w:ascii="Arial" w:eastAsia="Times New Roman" w:hAnsi="Arial" w:cs="Arial"/>
          <w:iCs/>
          <w:sz w:val="16"/>
          <w:szCs w:val="16"/>
          <w:bdr w:val="nil"/>
          <w:lang w:val="en-AU"/>
        </w:rPr>
        <w:t>.</w:t>
      </w:r>
    </w:p>
    <w:p w:rsidR="00632338" w:rsidRDefault="00D5482E">
      <w:pPr>
        <w:pBdr>
          <w:top w:val="nil"/>
          <w:left w:val="nil"/>
          <w:bottom w:val="nil"/>
          <w:right w:val="nil"/>
          <w:between w:val="nil"/>
          <w:bar w:val="nil"/>
        </w:pBdr>
        <w:rPr>
          <w:bdr w:val="nil"/>
        </w:rPr>
      </w:pPr>
      <w:r>
        <w:rPr>
          <w:rFonts w:ascii="Book Antiqua" w:eastAsia="Times New Roman" w:hAnsi="Book Antiqua" w:cs="Times New Roman"/>
          <w:sz w:val="20"/>
          <w:szCs w:val="20"/>
          <w:bdr w:val="nil"/>
          <w:lang w:val="en-AU" w:eastAsia="en-AU"/>
        </w:rPr>
        <w:br w:type="page"/>
      </w:r>
    </w:p>
    <w:p w:rsidR="00632338" w:rsidRDefault="00D5482E" w:rsidP="000D48EF">
      <w:pPr>
        <w:pStyle w:val="TableHeading"/>
        <w:keepLines/>
        <w:pBdr>
          <w:top w:val="nil"/>
          <w:left w:val="nil"/>
          <w:bottom w:val="nil"/>
          <w:right w:val="nil"/>
          <w:between w:val="nil"/>
          <w:bar w:val="nil"/>
        </w:pBdr>
        <w:spacing w:before="0" w:after="0"/>
        <w:rPr>
          <w:bdr w:val="nil"/>
        </w:rPr>
      </w:pPr>
      <w:r>
        <w:rPr>
          <w:bdr w:val="nil"/>
        </w:rPr>
        <w:lastRenderedPageBreak/>
        <w:t xml:space="preserve">Table 2.1.2: Program component expenses for </w:t>
      </w:r>
      <w:r w:rsidRPr="002E3447">
        <w:rPr>
          <w:bdr w:val="nil"/>
        </w:rPr>
        <w:t>Outcome 1</w:t>
      </w:r>
      <w:r>
        <w:rPr>
          <w:bdr w:val="nil"/>
        </w:rPr>
        <w:t xml:space="preserve"> (continued)</w:t>
      </w:r>
    </w:p>
    <w:tbl>
      <w:tblPr>
        <w:tblStyle w:val="CDMRange1"/>
        <w:tblW w:w="7695" w:type="dxa"/>
        <w:tblLayout w:type="fixed"/>
        <w:tblCellMar>
          <w:top w:w="11" w:type="dxa"/>
          <w:bottom w:w="11" w:type="dxa"/>
        </w:tblCellMar>
        <w:tblLook w:val="0600" w:firstRow="0" w:lastRow="0" w:firstColumn="0" w:lastColumn="0" w:noHBand="1" w:noVBand="1"/>
        <w:tblCaption w:val="Table 2.1.2: Program component expenses for Outcome 1 (continued)"/>
      </w:tblPr>
      <w:tblGrid>
        <w:gridCol w:w="2820"/>
        <w:gridCol w:w="975"/>
        <w:gridCol w:w="975"/>
        <w:gridCol w:w="975"/>
        <w:gridCol w:w="975"/>
        <w:gridCol w:w="975"/>
      </w:tblGrid>
      <w:tr w:rsidR="00010972" w:rsidTr="0081759B">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Program 1.5 - Supplementary Payments and Support for Income Support Recipients </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Calibri" w:eastAsia="Calibri" w:hAnsi="Calibri" w:cs="Calibri"/>
                <w:color w:val="000000"/>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Calibri" w:eastAsia="Calibri" w:hAnsi="Calibri" w:cs="Calibri"/>
                <w:color w:val="000000"/>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Calibri" w:eastAsia="Calibri" w:hAnsi="Calibri" w:cs="Calibri"/>
                <w:color w:val="000000"/>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Calibri" w:eastAsia="Calibri" w:hAnsi="Calibri" w:cs="Calibri"/>
                <w:color w:val="000000"/>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Calibri" w:eastAsia="Calibri" w:hAnsi="Calibri" w:cs="Calibri"/>
                <w:color w:val="000000"/>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1.5.1 - Component 1 (Essential Medical Equipment Payment)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7,909</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8,407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8,660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8,974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9,413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7,909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8,407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8,660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8,974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9,413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1.5.2 - Component 2 (Utilities Allowance)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17,450</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14,708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13,606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13,216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14,064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2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17,450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14,708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13,606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13,216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14,064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25,359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23,115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22,266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22,190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23,477</w:t>
            </w:r>
          </w:p>
        </w:tc>
      </w:tr>
    </w:tbl>
    <w:p w:rsidR="0085463F" w:rsidRDefault="0085463F" w:rsidP="0085463F">
      <w:pPr>
        <w:keepLines/>
        <w:pBdr>
          <w:top w:val="nil"/>
          <w:left w:val="nil"/>
          <w:bottom w:val="nil"/>
          <w:right w:val="nil"/>
          <w:between w:val="nil"/>
          <w:bar w:val="nil"/>
        </w:pBdr>
        <w:spacing w:after="0" w:line="240" w:lineRule="auto"/>
        <w:jc w:val="both"/>
        <w:rPr>
          <w:rStyle w:val="Hyperlink"/>
          <w:bdr w:val="nil"/>
        </w:rPr>
      </w:pPr>
    </w:p>
    <w:tbl>
      <w:tblPr>
        <w:tblStyle w:val="CDMRange2"/>
        <w:tblW w:w="7695" w:type="dxa"/>
        <w:tblLayout w:type="fixed"/>
        <w:tblCellMar>
          <w:top w:w="11" w:type="dxa"/>
          <w:bottom w:w="11" w:type="dxa"/>
        </w:tblCellMar>
        <w:tblLook w:val="0600" w:firstRow="0" w:lastRow="0" w:firstColumn="0" w:lastColumn="0" w:noHBand="1" w:noVBand="1"/>
        <w:tblCaption w:val="Table 2.1.2: Program component expenses for Outcome 1 (continued)"/>
        <w:tblDescription w:val="Program 1.6 - Income Support for Seniors"/>
      </w:tblPr>
      <w:tblGrid>
        <w:gridCol w:w="2820"/>
        <w:gridCol w:w="975"/>
        <w:gridCol w:w="975"/>
        <w:gridCol w:w="975"/>
        <w:gridCol w:w="975"/>
        <w:gridCol w:w="975"/>
      </w:tblGrid>
      <w:tr w:rsidR="00010972" w:rsidTr="00A31BA2">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1.6 - Income Support for Seniors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1.6.1 - Component 1 (Age Pension)</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50,077,908</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53,536,388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51,486,925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53,267,906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55,197,074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50,077,908</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53,536,388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51,486,925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53,267,906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55,197,074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1.6.2 - Component 2 (Widow B Pension)</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 </w:t>
            </w:r>
            <w:r>
              <w:rPr>
                <w:rFonts w:ascii="Arial" w:eastAsia="Arial" w:hAnsi="Arial" w:cs="Arial"/>
                <w:color w:val="000000"/>
                <w:sz w:val="16"/>
                <w:szCs w:val="20"/>
                <w:bdr w:val="nil"/>
                <w:lang w:val="en-AU" w:eastAsia="en-AU"/>
              </w:rPr>
              <w:t>(a)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4,031</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2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4,031</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1.6.3 - Component 3 (Wife Pension (Age))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 </w:t>
            </w:r>
            <w:r>
              <w:rPr>
                <w:rFonts w:ascii="Arial" w:eastAsia="Arial" w:hAnsi="Arial" w:cs="Arial"/>
                <w:color w:val="000000"/>
                <w:sz w:val="16"/>
                <w:szCs w:val="20"/>
                <w:bdr w:val="nil"/>
                <w:lang w:val="en-AU" w:eastAsia="en-AU"/>
              </w:rPr>
              <w:t>(a)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51,973</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3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51,973</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50,133,912</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53,536,388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51,486,925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53,267,906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55,197,074</w:t>
            </w:r>
          </w:p>
        </w:tc>
      </w:tr>
    </w:tbl>
    <w:p w:rsidR="00347CB4" w:rsidRPr="000D48EF" w:rsidRDefault="00D5482E" w:rsidP="00AE21A3">
      <w:pPr>
        <w:pStyle w:val="ListParagraph"/>
        <w:keepLines/>
        <w:numPr>
          <w:ilvl w:val="0"/>
          <w:numId w:val="10"/>
        </w:numPr>
        <w:pBdr>
          <w:top w:val="nil"/>
          <w:left w:val="nil"/>
          <w:bottom w:val="nil"/>
          <w:right w:val="nil"/>
          <w:between w:val="nil"/>
          <w:bar w:val="nil"/>
        </w:pBdr>
        <w:spacing w:after="0" w:line="240" w:lineRule="auto"/>
        <w:ind w:left="284" w:hanging="284"/>
        <w:jc w:val="both"/>
        <w:rPr>
          <w:rFonts w:eastAsia="Times New Roman" w:cs="Times New Roman"/>
          <w:sz w:val="20"/>
          <w:szCs w:val="20"/>
          <w:bdr w:val="nil"/>
          <w:lang w:val="en-AU"/>
        </w:rPr>
      </w:pPr>
      <w:r w:rsidRPr="000D48EF">
        <w:rPr>
          <w:rFonts w:ascii="Arial" w:eastAsia="Times New Roman" w:hAnsi="Arial" w:cs="Arial"/>
          <w:iCs/>
          <w:sz w:val="16"/>
          <w:szCs w:val="16"/>
          <w:bdr w:val="nil"/>
          <w:lang w:val="en-AU"/>
        </w:rPr>
        <w:t xml:space="preserve">This payment ceased from 20 March 2020. This change is a result of the 2017-18 Budget measure: </w:t>
      </w:r>
      <w:r w:rsidRPr="000D48EF">
        <w:rPr>
          <w:rFonts w:ascii="Arial" w:eastAsia="Times New Roman" w:hAnsi="Arial" w:cs="Arial"/>
          <w:i/>
          <w:iCs/>
          <w:sz w:val="16"/>
          <w:szCs w:val="16"/>
          <w:bdr w:val="nil"/>
          <w:lang w:val="en-AU"/>
        </w:rPr>
        <w:t>Working Age Payments Reforms</w:t>
      </w:r>
      <w:r w:rsidRPr="000D48EF">
        <w:rPr>
          <w:rFonts w:ascii="Arial" w:eastAsia="Times New Roman" w:hAnsi="Arial" w:cs="Arial"/>
          <w:iCs/>
          <w:sz w:val="16"/>
          <w:szCs w:val="16"/>
          <w:bdr w:val="nil"/>
          <w:lang w:val="en-AU"/>
        </w:rPr>
        <w:t>.</w:t>
      </w:r>
    </w:p>
    <w:p w:rsidR="00E11ACB" w:rsidRDefault="00D5482E">
      <w:pPr>
        <w:pBdr>
          <w:top w:val="nil"/>
          <w:left w:val="nil"/>
          <w:bottom w:val="nil"/>
          <w:right w:val="nil"/>
          <w:between w:val="nil"/>
          <w:bar w:val="nil"/>
        </w:pBdr>
        <w:rPr>
          <w:bdr w:val="nil"/>
        </w:rPr>
      </w:pPr>
      <w:r>
        <w:rPr>
          <w:rFonts w:ascii="Book Antiqua" w:eastAsia="Times New Roman" w:hAnsi="Book Antiqua" w:cs="Times New Roman"/>
          <w:sz w:val="20"/>
          <w:szCs w:val="20"/>
          <w:bdr w:val="nil"/>
          <w:lang w:val="en-AU" w:eastAsia="en-AU"/>
        </w:rPr>
        <w:br w:type="page"/>
      </w:r>
    </w:p>
    <w:p w:rsidR="00E11ACB" w:rsidRDefault="00D5482E" w:rsidP="000D48EF">
      <w:pPr>
        <w:pStyle w:val="TableHeading"/>
        <w:keepLines/>
        <w:pBdr>
          <w:top w:val="nil"/>
          <w:left w:val="nil"/>
          <w:bottom w:val="nil"/>
          <w:right w:val="nil"/>
          <w:between w:val="nil"/>
          <w:bar w:val="nil"/>
        </w:pBdr>
        <w:spacing w:before="0" w:after="0"/>
        <w:rPr>
          <w:bdr w:val="nil"/>
        </w:rPr>
      </w:pPr>
      <w:r w:rsidRPr="002E3447">
        <w:rPr>
          <w:bdr w:val="nil"/>
        </w:rPr>
        <w:lastRenderedPageBreak/>
        <w:t>Table 2</w:t>
      </w:r>
      <w:r>
        <w:rPr>
          <w:bdr w:val="nil"/>
        </w:rPr>
        <w:t>.1</w:t>
      </w:r>
      <w:r w:rsidRPr="002E3447">
        <w:rPr>
          <w:bdr w:val="nil"/>
        </w:rPr>
        <w:t>.</w:t>
      </w:r>
      <w:r>
        <w:rPr>
          <w:bdr w:val="nil"/>
        </w:rPr>
        <w:t>2</w:t>
      </w:r>
      <w:r w:rsidRPr="002E3447">
        <w:rPr>
          <w:bdr w:val="nil"/>
        </w:rPr>
        <w:t xml:space="preserve">: </w:t>
      </w:r>
      <w:r>
        <w:rPr>
          <w:bdr w:val="nil"/>
        </w:rPr>
        <w:t>Program</w:t>
      </w:r>
      <w:r w:rsidRPr="002E3447">
        <w:rPr>
          <w:bdr w:val="nil"/>
        </w:rPr>
        <w:t xml:space="preserve"> </w:t>
      </w:r>
      <w:r>
        <w:rPr>
          <w:bdr w:val="nil"/>
        </w:rPr>
        <w:t xml:space="preserve">component expenses for </w:t>
      </w:r>
      <w:r w:rsidRPr="002E3447">
        <w:rPr>
          <w:bdr w:val="nil"/>
        </w:rPr>
        <w:t>Outcome 1</w:t>
      </w:r>
      <w:r>
        <w:rPr>
          <w:bdr w:val="nil"/>
        </w:rPr>
        <w:t xml:space="preserve"> (continued)</w:t>
      </w:r>
    </w:p>
    <w:tbl>
      <w:tblPr>
        <w:tblStyle w:val="CDMRange1"/>
        <w:tblW w:w="7695" w:type="dxa"/>
        <w:tblLayout w:type="fixed"/>
        <w:tblCellMar>
          <w:top w:w="11" w:type="dxa"/>
          <w:bottom w:w="11" w:type="dxa"/>
        </w:tblCellMar>
        <w:tblLook w:val="0600" w:firstRow="0" w:lastRow="0" w:firstColumn="0" w:lastColumn="0" w:noHBand="1" w:noVBand="1"/>
        <w:tblCaption w:val="Table 2.1.2: Program component expenses for Outcome 1 (continued)"/>
      </w:tblPr>
      <w:tblGrid>
        <w:gridCol w:w="2820"/>
        <w:gridCol w:w="975"/>
        <w:gridCol w:w="975"/>
        <w:gridCol w:w="975"/>
        <w:gridCol w:w="975"/>
        <w:gridCol w:w="975"/>
      </w:tblGrid>
      <w:tr w:rsidR="00010972" w:rsidTr="00A31BA2">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1.7 - Allowances and Concessions for Seniors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1.7.1 - Component 1 (Energy Supplement for Commonwealth Seniors Health Card holders)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378,734</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569,969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79,075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74,438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70,075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378,734</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569,969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79,075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74,438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70,075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378,734</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569,969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79,075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74,438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70,075</w:t>
            </w:r>
          </w:p>
        </w:tc>
      </w:tr>
    </w:tbl>
    <w:p w:rsidR="0085463F" w:rsidRDefault="0085463F" w:rsidP="0085463F">
      <w:pPr>
        <w:keepLines/>
        <w:pBdr>
          <w:top w:val="nil"/>
          <w:left w:val="nil"/>
          <w:bottom w:val="nil"/>
          <w:right w:val="nil"/>
          <w:between w:val="nil"/>
          <w:bar w:val="nil"/>
        </w:pBdr>
        <w:spacing w:after="0" w:line="240" w:lineRule="auto"/>
        <w:jc w:val="both"/>
        <w:rPr>
          <w:bdr w:val="nil"/>
        </w:rPr>
      </w:pPr>
    </w:p>
    <w:tbl>
      <w:tblPr>
        <w:tblStyle w:val="CDMRange2"/>
        <w:tblW w:w="7695" w:type="dxa"/>
        <w:tblLayout w:type="fixed"/>
        <w:tblCellMar>
          <w:top w:w="11" w:type="dxa"/>
          <w:bottom w:w="11" w:type="dxa"/>
        </w:tblCellMar>
        <w:tblLook w:val="0600" w:firstRow="0" w:lastRow="0" w:firstColumn="0" w:lastColumn="0" w:noHBand="1" w:noVBand="1"/>
        <w:tblCaption w:val="Table 2.1.2: Program component expenses for Outcome 1 (continued)"/>
        <w:tblDescription w:val="Program 1.8 - Income Support for People with Disability"/>
      </w:tblPr>
      <w:tblGrid>
        <w:gridCol w:w="2820"/>
        <w:gridCol w:w="975"/>
        <w:gridCol w:w="975"/>
        <w:gridCol w:w="975"/>
        <w:gridCol w:w="975"/>
        <w:gridCol w:w="975"/>
      </w:tblGrid>
      <w:tr w:rsidR="00010972" w:rsidTr="00A31BA2">
        <w:trPr>
          <w:tblHeader/>
        </w:trPr>
        <w:tc>
          <w:tcPr>
            <w:tcW w:w="7695" w:type="dxa"/>
            <w:gridSpan w:val="6"/>
            <w:tcBorders>
              <w:top w:val="dotted" w:sz="2" w:space="0" w:color="000000"/>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1.8 - Income Support for People with Disability</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1.8.1 - Component 1 (Disability Support Pension)</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Social Security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17,739,316</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18,481,238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17,325,866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17,347,577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17,975,036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17,739,316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18,481,238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17,325,866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17,347,577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17,975,036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1.8.2 - Component 2 (Mobility Allowance)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Social Security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41,735</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44,289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39,741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36,077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32,026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2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41,735</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44,289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39,741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36,077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32,026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17,781,051</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18,525,527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17,365,607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17,383,654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18,007,062</w:t>
            </w:r>
          </w:p>
        </w:tc>
      </w:tr>
    </w:tbl>
    <w:p w:rsidR="00EC7C07" w:rsidRDefault="00D5482E">
      <w:pPr>
        <w:pBdr>
          <w:top w:val="nil"/>
          <w:left w:val="nil"/>
          <w:bottom w:val="nil"/>
          <w:right w:val="nil"/>
          <w:between w:val="nil"/>
          <w:bar w:val="nil"/>
        </w:pBdr>
        <w:rPr>
          <w:bdr w:val="nil"/>
        </w:rPr>
      </w:pPr>
      <w:r>
        <w:rPr>
          <w:rFonts w:ascii="Book Antiqua" w:eastAsia="Times New Roman" w:hAnsi="Book Antiqua" w:cs="Times New Roman"/>
          <w:sz w:val="20"/>
          <w:szCs w:val="20"/>
          <w:bdr w:val="nil"/>
          <w:lang w:val="en-AU" w:eastAsia="en-AU"/>
        </w:rPr>
        <w:br w:type="page"/>
      </w:r>
    </w:p>
    <w:p w:rsidR="00EC7C07" w:rsidRDefault="00D5482E" w:rsidP="000D48EF">
      <w:pPr>
        <w:pStyle w:val="TableHeading"/>
        <w:keepLines/>
        <w:pBdr>
          <w:top w:val="nil"/>
          <w:left w:val="nil"/>
          <w:bottom w:val="nil"/>
          <w:right w:val="nil"/>
          <w:between w:val="nil"/>
          <w:bar w:val="nil"/>
        </w:pBdr>
        <w:spacing w:before="0" w:after="0"/>
        <w:rPr>
          <w:bdr w:val="nil"/>
        </w:rPr>
      </w:pPr>
      <w:r w:rsidRPr="002E3447">
        <w:rPr>
          <w:bdr w:val="nil"/>
        </w:rPr>
        <w:lastRenderedPageBreak/>
        <w:t>Table 2</w:t>
      </w:r>
      <w:r>
        <w:rPr>
          <w:bdr w:val="nil"/>
        </w:rPr>
        <w:t>.1</w:t>
      </w:r>
      <w:r w:rsidRPr="002E3447">
        <w:rPr>
          <w:bdr w:val="nil"/>
        </w:rPr>
        <w:t>.</w:t>
      </w:r>
      <w:r>
        <w:rPr>
          <w:bdr w:val="nil"/>
        </w:rPr>
        <w:t>2</w:t>
      </w:r>
      <w:r w:rsidRPr="002E3447">
        <w:rPr>
          <w:bdr w:val="nil"/>
        </w:rPr>
        <w:t xml:space="preserve">: </w:t>
      </w:r>
      <w:r>
        <w:rPr>
          <w:bdr w:val="nil"/>
        </w:rPr>
        <w:t>Program</w:t>
      </w:r>
      <w:r w:rsidRPr="002E3447">
        <w:rPr>
          <w:bdr w:val="nil"/>
        </w:rPr>
        <w:t xml:space="preserve"> </w:t>
      </w:r>
      <w:r>
        <w:rPr>
          <w:bdr w:val="nil"/>
        </w:rPr>
        <w:t xml:space="preserve">component expenses for </w:t>
      </w:r>
      <w:r w:rsidRPr="002E3447">
        <w:rPr>
          <w:bdr w:val="nil"/>
        </w:rPr>
        <w:t>Outcome 1</w:t>
      </w:r>
      <w:r>
        <w:rPr>
          <w:bdr w:val="nil"/>
        </w:rPr>
        <w:t xml:space="preserve"> (continued)</w:t>
      </w:r>
    </w:p>
    <w:tbl>
      <w:tblPr>
        <w:tblStyle w:val="CDMRange1"/>
        <w:tblW w:w="7695" w:type="dxa"/>
        <w:tblLayout w:type="fixed"/>
        <w:tblCellMar>
          <w:top w:w="11" w:type="dxa"/>
          <w:bottom w:w="11" w:type="dxa"/>
        </w:tblCellMar>
        <w:tblLook w:val="0600" w:firstRow="0" w:lastRow="0" w:firstColumn="0" w:lastColumn="0" w:noHBand="1" w:noVBand="1"/>
        <w:tblCaption w:val="Table 2.1.2: Program component expenses for Outcome 1 (continued)"/>
      </w:tblPr>
      <w:tblGrid>
        <w:gridCol w:w="2820"/>
        <w:gridCol w:w="975"/>
        <w:gridCol w:w="975"/>
        <w:gridCol w:w="975"/>
        <w:gridCol w:w="975"/>
        <w:gridCol w:w="975"/>
      </w:tblGrid>
      <w:tr w:rsidR="00010972" w:rsidTr="00A31BA2">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1.9 - Income Support for Carers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1.9.1 - Component 1 (Ex-Gratia Payments to Unsuccessful Applicants of Carer Payment (Child))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1,406</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2,800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2,800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2,800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1,406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1.9.2 - Component 2 (Carer Allowance (Adult))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Social Security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1,783,407</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1,920,796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1,761,519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1,818,510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1,898,985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2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1,783,407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1,920,796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1,761,519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1,818,510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1,898,985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1.9.3 - Component 3 (Carer Allowance (Child))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Social Security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631,127</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667,312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689,425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720,040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761,140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3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631,127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667,312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689,425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720,040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761,140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1.9.4 - Component 4 (Carer Payment)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Social Security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6,144,296</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6,718,861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6,528,410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6,803,293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7,153,140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4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6,144,296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6,718,861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6,528,410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6,803,293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7,153,140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1.9.5 - Component 5 (Carer Supplement)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Social Security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587,333</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609,626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620,431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633,695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647,860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5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587,333</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609,626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620,431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633,695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647,860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1.9.6 - Component 6 (Child Disability Assistance Payment)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Social Security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181,814</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191,259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196,004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201,602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207,945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6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181,814</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191,259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196,004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201,602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207,945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1.9.7 - Component 7 (Wife Pension (Disability Support Pension))</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Social Security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 </w:t>
            </w:r>
            <w:r>
              <w:rPr>
                <w:rFonts w:ascii="Arial" w:eastAsia="Arial" w:hAnsi="Arial" w:cs="Arial"/>
                <w:color w:val="000000"/>
                <w:sz w:val="16"/>
                <w:szCs w:val="20"/>
                <w:bdr w:val="nil"/>
                <w:lang w:val="en-AU" w:eastAsia="en-AU"/>
              </w:rPr>
              <w:t>(a)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47,839</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7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47,839</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9,377,222</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10,110,654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9,798,589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10,179,940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10,671,870</w:t>
            </w:r>
          </w:p>
        </w:tc>
      </w:tr>
    </w:tbl>
    <w:p w:rsidR="00295789" w:rsidRPr="000D48EF" w:rsidRDefault="00D5482E" w:rsidP="00AE21A3">
      <w:pPr>
        <w:pStyle w:val="ListParagraph"/>
        <w:keepLines/>
        <w:numPr>
          <w:ilvl w:val="0"/>
          <w:numId w:val="11"/>
        </w:numPr>
        <w:pBdr>
          <w:top w:val="nil"/>
          <w:left w:val="nil"/>
          <w:bottom w:val="nil"/>
          <w:right w:val="nil"/>
          <w:between w:val="nil"/>
          <w:bar w:val="nil"/>
        </w:pBdr>
        <w:spacing w:after="0" w:line="240" w:lineRule="auto"/>
        <w:ind w:left="284" w:hanging="284"/>
        <w:jc w:val="both"/>
        <w:rPr>
          <w:rFonts w:eastAsia="Times New Roman" w:cs="Times New Roman"/>
          <w:sz w:val="20"/>
          <w:szCs w:val="20"/>
          <w:bdr w:val="nil"/>
          <w:lang w:val="en-AU"/>
        </w:rPr>
      </w:pPr>
      <w:r w:rsidRPr="000D48EF">
        <w:rPr>
          <w:rFonts w:ascii="Arial" w:eastAsia="Times New Roman" w:hAnsi="Arial" w:cs="Times New Roman"/>
          <w:sz w:val="16"/>
          <w:szCs w:val="16"/>
          <w:bdr w:val="nil"/>
          <w:lang w:val="en-AU"/>
        </w:rPr>
        <w:t xml:space="preserve">This payment ceased from 20 March 2020. This change is a result of the 2017-18 Budget measure: </w:t>
      </w:r>
      <w:r w:rsidRPr="00621E10">
        <w:rPr>
          <w:rFonts w:ascii="Arial" w:eastAsia="Times New Roman" w:hAnsi="Arial" w:cs="Times New Roman"/>
          <w:i/>
          <w:sz w:val="16"/>
          <w:szCs w:val="16"/>
          <w:bdr w:val="nil"/>
          <w:lang w:val="en-AU"/>
        </w:rPr>
        <w:t>Working Age Payments Reforms.</w:t>
      </w:r>
    </w:p>
    <w:p w:rsidR="005B3F89" w:rsidRPr="00AA1373" w:rsidRDefault="00D5482E" w:rsidP="00AA1373">
      <w:pPr>
        <w:keepLines/>
        <w:pBdr>
          <w:top w:val="nil"/>
          <w:left w:val="nil"/>
          <w:bottom w:val="nil"/>
          <w:right w:val="nil"/>
          <w:between w:val="nil"/>
          <w:bar w:val="nil"/>
        </w:pBdr>
        <w:spacing w:after="0" w:line="240" w:lineRule="auto"/>
        <w:jc w:val="both"/>
        <w:rPr>
          <w:rFonts w:ascii="Arial" w:hAnsi="Arial" w:cs="Arial"/>
          <w:sz w:val="16"/>
          <w:szCs w:val="16"/>
          <w:bdr w:val="nil"/>
        </w:rPr>
      </w:pPr>
      <w:r w:rsidRPr="00AA1373">
        <w:rPr>
          <w:rFonts w:ascii="Arial" w:eastAsia="Times New Roman" w:hAnsi="Arial" w:cs="Arial"/>
          <w:sz w:val="16"/>
          <w:szCs w:val="16"/>
          <w:bdr w:val="nil"/>
          <w:lang w:val="en-AU" w:eastAsia="en-AU"/>
        </w:rPr>
        <w:br w:type="page"/>
      </w:r>
    </w:p>
    <w:p w:rsidR="005B3F89" w:rsidRDefault="00D5482E" w:rsidP="000D48EF">
      <w:pPr>
        <w:pStyle w:val="TableHeading"/>
        <w:keepLines/>
        <w:pBdr>
          <w:top w:val="nil"/>
          <w:left w:val="nil"/>
          <w:bottom w:val="nil"/>
          <w:right w:val="nil"/>
          <w:between w:val="nil"/>
          <w:bar w:val="nil"/>
        </w:pBdr>
        <w:spacing w:before="0" w:after="0"/>
        <w:rPr>
          <w:bdr w:val="nil"/>
        </w:rPr>
      </w:pPr>
      <w:r w:rsidRPr="002E3447">
        <w:rPr>
          <w:bdr w:val="nil"/>
        </w:rPr>
        <w:lastRenderedPageBreak/>
        <w:t>Table 2</w:t>
      </w:r>
      <w:r>
        <w:rPr>
          <w:bdr w:val="nil"/>
        </w:rPr>
        <w:t>.1</w:t>
      </w:r>
      <w:r w:rsidRPr="002E3447">
        <w:rPr>
          <w:bdr w:val="nil"/>
        </w:rPr>
        <w:t>.</w:t>
      </w:r>
      <w:r>
        <w:rPr>
          <w:bdr w:val="nil"/>
        </w:rPr>
        <w:t>2</w:t>
      </w:r>
      <w:r w:rsidRPr="002E3447">
        <w:rPr>
          <w:bdr w:val="nil"/>
        </w:rPr>
        <w:t xml:space="preserve">: </w:t>
      </w:r>
      <w:r>
        <w:rPr>
          <w:bdr w:val="nil"/>
        </w:rPr>
        <w:t>Program</w:t>
      </w:r>
      <w:r w:rsidRPr="002E3447">
        <w:rPr>
          <w:bdr w:val="nil"/>
        </w:rPr>
        <w:t xml:space="preserve"> </w:t>
      </w:r>
      <w:r>
        <w:rPr>
          <w:bdr w:val="nil"/>
        </w:rPr>
        <w:t xml:space="preserve">component expenses for </w:t>
      </w:r>
      <w:r w:rsidRPr="002E3447">
        <w:rPr>
          <w:bdr w:val="nil"/>
        </w:rPr>
        <w:t>Outcome 1</w:t>
      </w:r>
      <w:r>
        <w:rPr>
          <w:bdr w:val="nil"/>
        </w:rPr>
        <w:t xml:space="preserve"> (continued)</w:t>
      </w:r>
    </w:p>
    <w:tbl>
      <w:tblPr>
        <w:tblStyle w:val="CDMRange2"/>
        <w:tblW w:w="7680" w:type="dxa"/>
        <w:tblLayout w:type="fixed"/>
        <w:tblCellMar>
          <w:top w:w="11" w:type="dxa"/>
          <w:bottom w:w="11" w:type="dxa"/>
        </w:tblCellMar>
        <w:tblLook w:val="0600" w:firstRow="0" w:lastRow="0" w:firstColumn="0" w:lastColumn="0" w:noHBand="1" w:noVBand="1"/>
        <w:tblCaption w:val="Table 2.1.2: Program component expenses for Outcome 1 (continued)"/>
      </w:tblPr>
      <w:tblGrid>
        <w:gridCol w:w="2805"/>
        <w:gridCol w:w="975"/>
        <w:gridCol w:w="975"/>
        <w:gridCol w:w="975"/>
        <w:gridCol w:w="975"/>
        <w:gridCol w:w="975"/>
      </w:tblGrid>
      <w:tr w:rsidR="00010972" w:rsidTr="00A31BA2">
        <w:trPr>
          <w:tblHeader/>
        </w:trPr>
        <w:tc>
          <w:tcPr>
            <w:tcW w:w="7680"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1.10 - Working Age Payments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vMerge w:val="restart"/>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vMerge/>
            <w:tcBorders>
              <w:top w:val="nil"/>
              <w:left w:val="nil"/>
              <w:bottom w:val="dotted" w:sz="2" w:space="0" w:color="000000"/>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80"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1.10.1 - Component 1 (Compensation and Debt Relief)</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80"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1.10.2 - Component 2 (Investment Approach to Welfare - Evaluation)</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32,267</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21,003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2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32,267</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21,003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80"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1.10.3 - Component 3 (Newstart Allowance)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Social Security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 </w:t>
            </w:r>
            <w:r>
              <w:rPr>
                <w:rFonts w:ascii="Arial" w:eastAsia="Arial" w:hAnsi="Arial" w:cs="Arial"/>
                <w:color w:val="000000"/>
                <w:sz w:val="16"/>
                <w:szCs w:val="20"/>
                <w:bdr w:val="nil"/>
                <w:lang w:val="en-AU" w:eastAsia="en-AU"/>
              </w:rPr>
              <w:t>(a)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8,507,377</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3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8,507,377</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80"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1.10.4 - Component 4 (Parenting Payment Partnered)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1,113,983</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1,549,596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821,486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787,688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808,921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4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1,113,983</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1,549,596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821,486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787,688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808,921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80"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1.10.5 - Component 5 (Parenting Payment Single)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5,183,559</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6,048,474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4,405,707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4,437,584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4,500,933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5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5,183,559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6,048,474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4,405,707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4,437,584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4,500,933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80"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1.10.6 - Component 6 (Pensioner Education Supplement)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37,430</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25,826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20,046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19,678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20,273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6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37,430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25,826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20,046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19,678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20,273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80"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1.10.7 - Component 7 (Sickness Allowance)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 </w:t>
            </w:r>
            <w:r>
              <w:rPr>
                <w:rFonts w:ascii="Arial" w:eastAsia="Arial" w:hAnsi="Arial" w:cs="Arial"/>
                <w:color w:val="000000"/>
                <w:sz w:val="16"/>
                <w:szCs w:val="20"/>
                <w:bdr w:val="nil"/>
                <w:lang w:val="en-AU" w:eastAsia="en-AU"/>
              </w:rPr>
              <w:t>(b)</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93,518</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33,906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7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93,518</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33,906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80"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1.10.8 - Component 8 (Widow Allowance)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138,408</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81,056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8,019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8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138,408</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81,056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8,019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bl>
    <w:p w:rsidR="005B3F89" w:rsidRDefault="00D5482E" w:rsidP="00A5248F">
      <w:pPr>
        <w:keepLines/>
        <w:pBdr>
          <w:top w:val="nil"/>
          <w:left w:val="nil"/>
          <w:bottom w:val="nil"/>
          <w:right w:val="nil"/>
          <w:between w:val="nil"/>
          <w:bar w:val="nil"/>
        </w:pBdr>
        <w:spacing w:after="0" w:line="260" w:lineRule="exact"/>
        <w:jc w:val="both"/>
        <w:rPr>
          <w:bdr w:val="nil"/>
        </w:rPr>
      </w:pPr>
      <w:r>
        <w:rPr>
          <w:rFonts w:ascii="Book Antiqua" w:eastAsia="Times New Roman" w:hAnsi="Book Antiqua" w:cs="Times New Roman"/>
          <w:sz w:val="20"/>
          <w:szCs w:val="20"/>
          <w:bdr w:val="nil"/>
          <w:lang w:val="en-AU" w:eastAsia="en-AU"/>
        </w:rPr>
        <w:br w:type="page"/>
      </w:r>
    </w:p>
    <w:p w:rsidR="005B3F89" w:rsidRDefault="00D5482E" w:rsidP="000D48EF">
      <w:pPr>
        <w:pStyle w:val="TableHeading"/>
        <w:keepLines/>
        <w:pBdr>
          <w:top w:val="nil"/>
          <w:left w:val="nil"/>
          <w:bottom w:val="nil"/>
          <w:right w:val="nil"/>
          <w:between w:val="nil"/>
          <w:bar w:val="nil"/>
        </w:pBdr>
        <w:spacing w:before="0" w:after="0"/>
        <w:rPr>
          <w:bdr w:val="nil"/>
        </w:rPr>
      </w:pPr>
      <w:r w:rsidRPr="002E3447">
        <w:rPr>
          <w:bdr w:val="nil"/>
        </w:rPr>
        <w:lastRenderedPageBreak/>
        <w:t>Table 2</w:t>
      </w:r>
      <w:r>
        <w:rPr>
          <w:bdr w:val="nil"/>
        </w:rPr>
        <w:t>.1</w:t>
      </w:r>
      <w:r w:rsidRPr="002E3447">
        <w:rPr>
          <w:bdr w:val="nil"/>
        </w:rPr>
        <w:t>.</w:t>
      </w:r>
      <w:r>
        <w:rPr>
          <w:bdr w:val="nil"/>
        </w:rPr>
        <w:t>2</w:t>
      </w:r>
      <w:r w:rsidRPr="002E3447">
        <w:rPr>
          <w:bdr w:val="nil"/>
        </w:rPr>
        <w:t xml:space="preserve">: </w:t>
      </w:r>
      <w:r>
        <w:rPr>
          <w:bdr w:val="nil"/>
        </w:rPr>
        <w:t>Program</w:t>
      </w:r>
      <w:r w:rsidRPr="002E3447">
        <w:rPr>
          <w:bdr w:val="nil"/>
        </w:rPr>
        <w:t xml:space="preserve"> </w:t>
      </w:r>
      <w:r>
        <w:rPr>
          <w:bdr w:val="nil"/>
        </w:rPr>
        <w:t xml:space="preserve">component expenses for </w:t>
      </w:r>
      <w:r w:rsidRPr="002E3447">
        <w:rPr>
          <w:bdr w:val="nil"/>
        </w:rPr>
        <w:t>Outcome 1</w:t>
      </w:r>
      <w:r>
        <w:rPr>
          <w:bdr w:val="nil"/>
        </w:rPr>
        <w:t xml:space="preserve"> (continued)</w:t>
      </w:r>
    </w:p>
    <w:tbl>
      <w:tblPr>
        <w:tblStyle w:val="CDMRange1"/>
        <w:tblW w:w="7680" w:type="dxa"/>
        <w:tblLayout w:type="fixed"/>
        <w:tblCellMar>
          <w:top w:w="11" w:type="dxa"/>
          <w:bottom w:w="11" w:type="dxa"/>
        </w:tblCellMar>
        <w:tblLook w:val="0600" w:firstRow="0" w:lastRow="0" w:firstColumn="0" w:lastColumn="0" w:noHBand="1" w:noVBand="1"/>
        <w:tblCaption w:val="Table 2.1.2: Program component expenses for Outcome 1 (continued)"/>
      </w:tblPr>
      <w:tblGrid>
        <w:gridCol w:w="2805"/>
        <w:gridCol w:w="975"/>
        <w:gridCol w:w="975"/>
        <w:gridCol w:w="975"/>
        <w:gridCol w:w="975"/>
        <w:gridCol w:w="975"/>
      </w:tblGrid>
      <w:tr w:rsidR="00010972" w:rsidTr="00A31BA2">
        <w:trPr>
          <w:tblHeader/>
        </w:trPr>
        <w:tc>
          <w:tcPr>
            <w:tcW w:w="7680"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1.10 - Working Age Payments (continued)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vMerge w:val="restart"/>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vMerge/>
            <w:tcBorders>
              <w:top w:val="nil"/>
              <w:left w:val="nil"/>
              <w:bottom w:val="dotted" w:sz="2" w:space="0" w:color="000000"/>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80"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1.10.9 - Component 9 (Youth Allowance (Other))</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1,726,716</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2,997,051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1,475,109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1,209,398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1,107,873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9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1,726,716</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2,997,051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1,475,109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1,209,398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1,107,873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80"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1.10.10 - Component 10 (Partner Allowance)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14,579</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8,674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10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14,579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8,674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80"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1.10.11 - Component 11 (JobSeeker Payment)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10,020,710</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33,196,926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15,793,915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12,897,106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11,940,979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10,020,710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33,196,926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15,793,915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12,897,106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11,940,979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80"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1.10.12 - Component 12 (Social Impact Investment)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3,746</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7,974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5,858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5,600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2,629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12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3,746</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7,974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5,858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5,600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2,629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80"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1.10.13 - Component 13 (Drug Testing Trial - Treatment Fund)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4,489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1,122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13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4,489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1,122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26,872,293</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43,975,173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22,531,848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19,357,452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18,382,006</w:t>
            </w:r>
          </w:p>
        </w:tc>
      </w:tr>
    </w:tbl>
    <w:p w:rsidR="003F6D55" w:rsidRPr="0093155D" w:rsidRDefault="00D5482E" w:rsidP="0093155D">
      <w:pPr>
        <w:pStyle w:val="FootnoteText"/>
        <w:numPr>
          <w:ilvl w:val="0"/>
          <w:numId w:val="12"/>
        </w:numPr>
        <w:pBdr>
          <w:top w:val="nil"/>
          <w:left w:val="nil"/>
          <w:bottom w:val="nil"/>
          <w:right w:val="nil"/>
          <w:between w:val="nil"/>
          <w:bar w:val="nil"/>
        </w:pBdr>
        <w:spacing w:after="0"/>
        <w:ind w:left="284" w:hanging="284"/>
        <w:jc w:val="both"/>
        <w:rPr>
          <w:rFonts w:ascii="Arial" w:hAnsi="Arial" w:cs="Arial"/>
          <w:bdr w:val="nil"/>
        </w:rPr>
      </w:pPr>
      <w:r w:rsidRPr="0093155D">
        <w:rPr>
          <w:rFonts w:ascii="Arial" w:hAnsi="Arial" w:cs="Arial"/>
          <w:bdr w:val="nil"/>
        </w:rPr>
        <w:t>Newstart Allowance ceased from</w:t>
      </w:r>
      <w:r>
        <w:rPr>
          <w:rFonts w:ascii="Arial" w:hAnsi="Arial" w:cs="Arial"/>
          <w:bdr w:val="nil"/>
        </w:rPr>
        <w:t xml:space="preserve"> 20 March 2020 when the new JobS</w:t>
      </w:r>
      <w:r w:rsidRPr="0093155D">
        <w:rPr>
          <w:rFonts w:ascii="Arial" w:hAnsi="Arial" w:cs="Arial"/>
          <w:bdr w:val="nil"/>
        </w:rPr>
        <w:t>eeker Payment was introduced</w:t>
      </w:r>
      <w:r>
        <w:rPr>
          <w:rFonts w:ascii="Arial" w:hAnsi="Arial" w:cs="Arial"/>
          <w:bdr w:val="nil"/>
        </w:rPr>
        <w:t>.</w:t>
      </w:r>
      <w:r w:rsidRPr="0093155D">
        <w:rPr>
          <w:rFonts w:ascii="Arial" w:hAnsi="Arial" w:cs="Arial"/>
          <w:bdr w:val="nil"/>
        </w:rPr>
        <w:t xml:space="preserve"> This change is a result of the 2017-18 Budget measure: </w:t>
      </w:r>
      <w:r w:rsidRPr="00354F1C">
        <w:rPr>
          <w:rFonts w:ascii="Arial" w:hAnsi="Arial" w:cs="Arial"/>
          <w:i/>
          <w:bdr w:val="nil"/>
        </w:rPr>
        <w:t>Working Age Payments Reforms</w:t>
      </w:r>
      <w:r w:rsidRPr="0093155D">
        <w:rPr>
          <w:rFonts w:ascii="Arial" w:hAnsi="Arial" w:cs="Arial"/>
          <w:bdr w:val="nil"/>
        </w:rPr>
        <w:t>.</w:t>
      </w:r>
    </w:p>
    <w:p w:rsidR="005B3F89" w:rsidRPr="0093155D" w:rsidRDefault="00D5482E" w:rsidP="0093155D">
      <w:pPr>
        <w:pStyle w:val="FootnoteText"/>
        <w:numPr>
          <w:ilvl w:val="0"/>
          <w:numId w:val="12"/>
        </w:numPr>
        <w:pBdr>
          <w:top w:val="nil"/>
          <w:left w:val="nil"/>
          <w:bottom w:val="nil"/>
          <w:right w:val="nil"/>
          <w:between w:val="nil"/>
          <w:bar w:val="nil"/>
        </w:pBdr>
        <w:spacing w:after="0"/>
        <w:ind w:left="284" w:hanging="284"/>
        <w:jc w:val="both"/>
        <w:rPr>
          <w:rFonts w:ascii="Arial" w:hAnsi="Arial" w:cs="Arial"/>
          <w:bdr w:val="nil"/>
        </w:rPr>
      </w:pPr>
      <w:r w:rsidRPr="0093155D">
        <w:rPr>
          <w:rFonts w:ascii="Arial" w:hAnsi="Arial" w:cs="Arial"/>
          <w:bdr w:val="nil"/>
        </w:rPr>
        <w:t>Sickness Allowance closed to new entrants from 20 March 2020 when the new Job</w:t>
      </w:r>
      <w:r>
        <w:rPr>
          <w:rFonts w:ascii="Arial" w:hAnsi="Arial" w:cs="Arial"/>
          <w:bdr w:val="nil"/>
        </w:rPr>
        <w:t>S</w:t>
      </w:r>
      <w:r w:rsidRPr="0093155D">
        <w:rPr>
          <w:rFonts w:ascii="Arial" w:hAnsi="Arial" w:cs="Arial"/>
          <w:bdr w:val="nil"/>
        </w:rPr>
        <w:t xml:space="preserve">eeker Payment was introduced, and ceased on 20 September 2020. This change is a result of the 2017-18 Budget measure: </w:t>
      </w:r>
      <w:r w:rsidRPr="00354F1C">
        <w:rPr>
          <w:rFonts w:ascii="Arial" w:hAnsi="Arial" w:cs="Arial"/>
          <w:i/>
          <w:bdr w:val="nil"/>
        </w:rPr>
        <w:t>Working Age Payments Reforms</w:t>
      </w:r>
      <w:r w:rsidRPr="0093155D">
        <w:rPr>
          <w:rFonts w:ascii="Arial" w:hAnsi="Arial" w:cs="Arial"/>
          <w:bdr w:val="nil"/>
        </w:rPr>
        <w:t>.</w:t>
      </w:r>
      <w:r w:rsidRPr="0093155D">
        <w:rPr>
          <w:rFonts w:ascii="Arial" w:hAnsi="Arial" w:cs="Arial"/>
          <w:bdr w:val="nil"/>
        </w:rPr>
        <w:tab/>
      </w:r>
    </w:p>
    <w:p w:rsidR="00C02B9A" w:rsidRPr="0093155D" w:rsidRDefault="00D5482E">
      <w:pPr>
        <w:pBdr>
          <w:top w:val="nil"/>
          <w:left w:val="nil"/>
          <w:bottom w:val="nil"/>
          <w:right w:val="nil"/>
          <w:between w:val="nil"/>
          <w:bar w:val="nil"/>
        </w:pBdr>
        <w:rPr>
          <w:rFonts w:ascii="Arial" w:hAnsi="Arial" w:cs="Arial"/>
          <w:bdr w:val="nil"/>
        </w:rPr>
      </w:pPr>
      <w:r w:rsidRPr="0093155D">
        <w:rPr>
          <w:rFonts w:ascii="Arial" w:eastAsia="Times New Roman" w:hAnsi="Arial" w:cs="Arial"/>
          <w:sz w:val="20"/>
          <w:szCs w:val="20"/>
          <w:bdr w:val="nil"/>
          <w:lang w:val="en-AU" w:eastAsia="en-AU"/>
        </w:rPr>
        <w:br w:type="page"/>
      </w:r>
    </w:p>
    <w:p w:rsidR="00B565CF" w:rsidRDefault="00D5482E" w:rsidP="000D48EF">
      <w:pPr>
        <w:pStyle w:val="TableHeading"/>
        <w:keepLines/>
        <w:pBdr>
          <w:top w:val="nil"/>
          <w:left w:val="nil"/>
          <w:bottom w:val="nil"/>
          <w:right w:val="nil"/>
          <w:between w:val="nil"/>
          <w:bar w:val="nil"/>
        </w:pBdr>
        <w:spacing w:before="0" w:after="0"/>
        <w:rPr>
          <w:bdr w:val="nil"/>
        </w:rPr>
      </w:pPr>
      <w:r>
        <w:rPr>
          <w:bdr w:val="nil"/>
        </w:rPr>
        <w:lastRenderedPageBreak/>
        <w:t xml:space="preserve">Table 2.1.2: Program component expenses for </w:t>
      </w:r>
      <w:r w:rsidRPr="002E3447">
        <w:rPr>
          <w:bdr w:val="nil"/>
        </w:rPr>
        <w:t>Outcome 1</w:t>
      </w:r>
      <w:r>
        <w:rPr>
          <w:bdr w:val="nil"/>
        </w:rPr>
        <w:t xml:space="preserve"> (continued)</w:t>
      </w:r>
    </w:p>
    <w:tbl>
      <w:tblPr>
        <w:tblStyle w:val="CDMRange2"/>
        <w:tblW w:w="7695" w:type="dxa"/>
        <w:tblLayout w:type="fixed"/>
        <w:tblCellMar>
          <w:top w:w="11" w:type="dxa"/>
          <w:bottom w:w="11" w:type="dxa"/>
        </w:tblCellMar>
        <w:tblLook w:val="0600" w:firstRow="0" w:lastRow="0" w:firstColumn="0" w:lastColumn="0" w:noHBand="1" w:noVBand="1"/>
        <w:tblCaption w:val="Table 2.1.2: Program component expenses for Outcome 1 (continued)"/>
      </w:tblPr>
      <w:tblGrid>
        <w:gridCol w:w="2820"/>
        <w:gridCol w:w="975"/>
        <w:gridCol w:w="975"/>
        <w:gridCol w:w="975"/>
        <w:gridCol w:w="975"/>
        <w:gridCol w:w="975"/>
      </w:tblGrid>
      <w:tr w:rsidR="00010972" w:rsidTr="00A31BA2">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1.11 - Student Payments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1.11.1 - Component 1 (ABSTUDY - Secondary)</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FF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Student Assistance Act 1973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178,631</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153,153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151,049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154,734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152,932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178,631</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153,153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151,049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154,734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152,932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1.11.2 - Component 2 (ABSTUDY - Tertiary)</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Student Assistance Act 1973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143,830</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171,832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110,697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112,814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113,584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2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143,830</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171,832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110,697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112,814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113,584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1.11.3 - Component 3 (Austudy)</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Social Security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609,149</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728,167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434,282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438,151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449,945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3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609,149</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728,167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434,282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438,151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449,945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1.11.4 - Component 4 (Youth Allowance (student))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Social Security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2,685,767</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3,272,398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2,039,329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1,831,737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1,765,081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4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2,685,767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3,272,398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2,039,329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1,831,737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1,765,081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1.11.5 - Component 5 (Student Start-up Loan - ABSTUDY)</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Student Assistance Act 1973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2,129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2,246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2,370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2,505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5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2,129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2,246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2,370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2,505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1.11.6 - Component 6 (Student Start-up Loan)</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Social Security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106,824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112,805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119,021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125,226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6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106,824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112,805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119,021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125,226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3,617,377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4,434,503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2,850,408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2,658,827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2,609,273</w:t>
            </w:r>
          </w:p>
        </w:tc>
      </w:tr>
    </w:tbl>
    <w:p w:rsidR="00236912" w:rsidRDefault="00D5482E">
      <w:pPr>
        <w:pBdr>
          <w:top w:val="nil"/>
          <w:left w:val="nil"/>
          <w:bottom w:val="nil"/>
          <w:right w:val="nil"/>
          <w:between w:val="nil"/>
          <w:bar w:val="nil"/>
        </w:pBdr>
        <w:rPr>
          <w:bdr w:val="nil"/>
        </w:rPr>
      </w:pPr>
      <w:r>
        <w:rPr>
          <w:rFonts w:ascii="Book Antiqua" w:eastAsia="Times New Roman" w:hAnsi="Book Antiqua" w:cs="Times New Roman"/>
          <w:sz w:val="20"/>
          <w:szCs w:val="20"/>
          <w:bdr w:val="nil"/>
          <w:lang w:val="en-AU" w:eastAsia="en-AU"/>
        </w:rPr>
        <w:br w:type="page"/>
      </w:r>
    </w:p>
    <w:p w:rsidR="00B565CF" w:rsidRDefault="00D5482E" w:rsidP="000D48EF">
      <w:pPr>
        <w:pStyle w:val="TableHeading"/>
        <w:keepLines/>
        <w:pBdr>
          <w:top w:val="nil"/>
          <w:left w:val="nil"/>
          <w:bottom w:val="nil"/>
          <w:right w:val="nil"/>
          <w:between w:val="nil"/>
          <w:bar w:val="nil"/>
        </w:pBdr>
        <w:spacing w:before="0" w:after="0"/>
        <w:rPr>
          <w:bdr w:val="nil"/>
        </w:rPr>
      </w:pPr>
      <w:r>
        <w:rPr>
          <w:bdr w:val="nil"/>
        </w:rPr>
        <w:lastRenderedPageBreak/>
        <w:t xml:space="preserve">Table 2.1.2: Program component expenses for </w:t>
      </w:r>
      <w:r w:rsidRPr="002E3447">
        <w:rPr>
          <w:bdr w:val="nil"/>
        </w:rPr>
        <w:t>Outcome 1</w:t>
      </w:r>
      <w:r>
        <w:rPr>
          <w:bdr w:val="nil"/>
        </w:rPr>
        <w:t xml:space="preserve"> (continued)</w:t>
      </w:r>
    </w:p>
    <w:tbl>
      <w:tblPr>
        <w:tblStyle w:val="CDMRange1"/>
        <w:tblW w:w="7695" w:type="dxa"/>
        <w:tblLayout w:type="fixed"/>
        <w:tblCellMar>
          <w:top w:w="11" w:type="dxa"/>
          <w:bottom w:w="11" w:type="dxa"/>
        </w:tblCellMar>
        <w:tblLook w:val="0600" w:firstRow="0" w:lastRow="0" w:firstColumn="0" w:lastColumn="0" w:noHBand="1" w:noVBand="1"/>
        <w:tblCaption w:val="Table 2.1.2: Program component expenses for Outcome 1 (continued)"/>
      </w:tblPr>
      <w:tblGrid>
        <w:gridCol w:w="2820"/>
        <w:gridCol w:w="975"/>
        <w:gridCol w:w="975"/>
        <w:gridCol w:w="975"/>
        <w:gridCol w:w="975"/>
        <w:gridCol w:w="975"/>
      </w:tblGrid>
      <w:tr w:rsidR="00010972" w:rsidTr="00A31BA2">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1.12 - Program Support for Outcome 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1.12.1 - Component 1 (Departmental DSS - Outcome 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departmental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appropriation</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114,205</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97,875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92,421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86,905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85,448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s74 External Revenue (a)</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1,554</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6,702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5,868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5,868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5,868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Expenses not requiring</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in the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Budget year (b)</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9,730</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2,261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2,052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1,749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125,489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106,838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100,341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94,562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93,065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125,489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106,838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100,341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94,562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93,065</w:t>
            </w:r>
          </w:p>
        </w:tc>
      </w:tr>
    </w:tbl>
    <w:p w:rsidR="00AD7E60" w:rsidRDefault="00D5482E" w:rsidP="00AD7E60">
      <w:pPr>
        <w:pStyle w:val="ChartandTableFootnote"/>
        <w:pBdr>
          <w:top w:val="nil"/>
          <w:left w:val="nil"/>
          <w:bottom w:val="nil"/>
          <w:right w:val="nil"/>
          <w:between w:val="nil"/>
          <w:bar w:val="nil"/>
        </w:pBdr>
        <w:tabs>
          <w:tab w:val="left" w:pos="0"/>
        </w:tabs>
        <w:ind w:left="0" w:firstLine="0"/>
        <w:rPr>
          <w:bdr w:val="nil"/>
        </w:rPr>
      </w:pPr>
      <w:r>
        <w:rPr>
          <w:bdr w:val="nil"/>
        </w:rPr>
        <w:t>Note: Departmental appropriation splits and totals are indicative estimates and may change in the course of the Budget year as government priorities change.</w:t>
      </w:r>
    </w:p>
    <w:p w:rsidR="00F32AA8" w:rsidRDefault="00D5482E" w:rsidP="00DD5C1B">
      <w:pPr>
        <w:pStyle w:val="FootnoteText"/>
        <w:numPr>
          <w:ilvl w:val="0"/>
          <w:numId w:val="13"/>
        </w:numPr>
        <w:pBdr>
          <w:top w:val="nil"/>
          <w:left w:val="nil"/>
          <w:bottom w:val="nil"/>
          <w:right w:val="nil"/>
          <w:between w:val="nil"/>
          <w:bar w:val="nil"/>
        </w:pBdr>
        <w:spacing w:after="0"/>
        <w:ind w:left="284" w:hanging="284"/>
        <w:jc w:val="both"/>
        <w:rPr>
          <w:rFonts w:ascii="Arial" w:hAnsi="Arial" w:cs="Arial"/>
          <w:bdr w:val="nil"/>
        </w:rPr>
      </w:pPr>
      <w:r>
        <w:rPr>
          <w:rFonts w:ascii="Arial" w:hAnsi="Arial" w:cs="Arial"/>
          <w:bdr w:val="nil"/>
        </w:rPr>
        <w:t>Estimated expenses incurred in relation to receipts retained under section 74 of the PGPA Act.</w:t>
      </w:r>
    </w:p>
    <w:p w:rsidR="004F08FE" w:rsidRDefault="00D5482E" w:rsidP="00DD5C1B">
      <w:pPr>
        <w:pStyle w:val="FootnoteText"/>
        <w:numPr>
          <w:ilvl w:val="0"/>
          <w:numId w:val="13"/>
        </w:numPr>
        <w:pBdr>
          <w:top w:val="nil"/>
          <w:left w:val="nil"/>
          <w:bottom w:val="nil"/>
          <w:right w:val="nil"/>
          <w:between w:val="nil"/>
          <w:bar w:val="nil"/>
        </w:pBdr>
        <w:spacing w:after="0"/>
        <w:ind w:left="284" w:hanging="284"/>
        <w:jc w:val="both"/>
        <w:rPr>
          <w:rFonts w:ascii="Arial" w:hAnsi="Arial" w:cs="Arial"/>
          <w:bdr w:val="nil"/>
        </w:rPr>
      </w:pPr>
      <w:r>
        <w:rPr>
          <w:rFonts w:ascii="Arial" w:hAnsi="Arial" w:cs="Arial"/>
          <w:bdr w:val="nil"/>
        </w:rPr>
        <w:t>‘</w:t>
      </w:r>
      <w:r w:rsidRPr="003F6D55">
        <w:rPr>
          <w:rFonts w:ascii="Arial" w:hAnsi="Arial" w:cs="Arial"/>
          <w:bdr w:val="nil"/>
        </w:rPr>
        <w:t xml:space="preserve">Expenses not requiring appropriation in the </w:t>
      </w:r>
      <w:r>
        <w:rPr>
          <w:rFonts w:ascii="Arial" w:hAnsi="Arial" w:cs="Arial"/>
          <w:bdr w:val="nil"/>
        </w:rPr>
        <w:t>Budget year’</w:t>
      </w:r>
      <w:r w:rsidRPr="003F6D55">
        <w:rPr>
          <w:rFonts w:ascii="Arial" w:hAnsi="Arial" w:cs="Arial"/>
          <w:bdr w:val="nil"/>
        </w:rPr>
        <w:t xml:space="preserve"> is made up of depreciation, amortisation expenses and audit fees.</w:t>
      </w:r>
    </w:p>
    <w:p w:rsidR="00106F18" w:rsidRPr="003F6D55" w:rsidRDefault="00106F18" w:rsidP="00106F18">
      <w:pPr>
        <w:pStyle w:val="FootnoteText"/>
        <w:pBdr>
          <w:top w:val="nil"/>
          <w:left w:val="nil"/>
          <w:bottom w:val="nil"/>
          <w:right w:val="nil"/>
          <w:between w:val="nil"/>
          <w:bar w:val="nil"/>
        </w:pBdr>
        <w:spacing w:before="40" w:after="40"/>
        <w:ind w:left="0" w:firstLine="0"/>
        <w:jc w:val="both"/>
        <w:rPr>
          <w:rFonts w:ascii="Arial" w:hAnsi="Arial" w:cs="Arial"/>
          <w:vanish/>
          <w:bdr w:val="nil"/>
        </w:rPr>
      </w:pPr>
    </w:p>
    <w:p w:rsidR="00010972" w:rsidRDefault="00010972">
      <w:pPr>
        <w:keepLines/>
        <w:pBdr>
          <w:top w:val="nil"/>
          <w:left w:val="nil"/>
          <w:bottom w:val="nil"/>
          <w:right w:val="nil"/>
          <w:between w:val="nil"/>
          <w:bar w:val="nil"/>
        </w:pBdr>
        <w:spacing w:after="240" w:line="260" w:lineRule="exact"/>
        <w:jc w:val="both"/>
        <w:rPr>
          <w:bdr w:val="nil"/>
        </w:rPr>
      </w:pPr>
    </w:p>
    <w:p w:rsidR="00E7470E" w:rsidRDefault="00D5482E" w:rsidP="008B20C0">
      <w:pPr>
        <w:pStyle w:val="TableHeading"/>
        <w:keepLines/>
        <w:pageBreakBefore/>
        <w:pBdr>
          <w:top w:val="nil"/>
          <w:left w:val="nil"/>
          <w:bottom w:val="nil"/>
          <w:right w:val="nil"/>
          <w:between w:val="nil"/>
          <w:bar w:val="nil"/>
        </w:pBdr>
        <w:spacing w:before="0" w:after="240"/>
        <w:rPr>
          <w:bdr w:val="nil"/>
        </w:rPr>
      </w:pPr>
      <w:r>
        <w:rPr>
          <w:bdr w:val="nil"/>
        </w:rPr>
        <w:lastRenderedPageBreak/>
        <w:t>Table 2.1.3: Performance criteria for Outcome 1</w:t>
      </w:r>
    </w:p>
    <w:p w:rsidR="00E7470E" w:rsidRDefault="00D5482E" w:rsidP="008B20C0">
      <w:pPr>
        <w:pStyle w:val="Normal0"/>
        <w:keepLines/>
        <w:pBdr>
          <w:top w:val="nil"/>
          <w:left w:val="nil"/>
          <w:bottom w:val="nil"/>
          <w:right w:val="nil"/>
          <w:between w:val="nil"/>
          <w:bar w:val="nil"/>
        </w:pBdr>
        <w:tabs>
          <w:tab w:val="left" w:pos="709"/>
        </w:tabs>
        <w:spacing w:after="240" w:line="240" w:lineRule="auto"/>
        <w:jc w:val="both"/>
        <w:rPr>
          <w:bdr w:val="nil"/>
        </w:rPr>
      </w:pPr>
      <w:r>
        <w:rPr>
          <w:rFonts w:eastAsia="Times New Roman"/>
          <w:sz w:val="20"/>
          <w:szCs w:val="20"/>
          <w:bdr w:val="nil"/>
          <w:lang w:eastAsia="en-AU"/>
        </w:rPr>
        <w:t xml:space="preserve">Table 2.1.3 below details the performance criteria for each program associated with Outcome 1. It is to be used by entities to describe the results they plan to achieve with the resources provided for new programs, or materially changed existing programs resulting from decisions made since the 2020-21 Budget.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2"/>
        <w:gridCol w:w="3370"/>
        <w:gridCol w:w="2533"/>
      </w:tblGrid>
      <w:tr w:rsidR="00010972" w:rsidTr="00DD145C">
        <w:trPr>
          <w:tblHeader/>
        </w:trPr>
        <w:tc>
          <w:tcPr>
            <w:tcW w:w="77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EAEA"/>
            <w:hideMark/>
          </w:tcPr>
          <w:p w:rsidR="00E7470E" w:rsidRDefault="00D5482E" w:rsidP="0047558D">
            <w:pPr>
              <w:pStyle w:val="Normal0"/>
              <w:keepLines/>
              <w:pBdr>
                <w:top w:val="nil"/>
                <w:left w:val="nil"/>
                <w:bottom w:val="nil"/>
                <w:right w:val="nil"/>
                <w:between w:val="nil"/>
                <w:bar w:val="nil"/>
              </w:pBdr>
              <w:spacing w:before="60" w:after="60" w:line="240" w:lineRule="auto"/>
              <w:jc w:val="both"/>
              <w:rPr>
                <w:rFonts w:ascii="Arial" w:hAnsi="Arial" w:cs="Arial"/>
                <w:bdr w:val="nil"/>
                <w:lang w:val="en-US"/>
              </w:rPr>
            </w:pPr>
            <w:r>
              <w:rPr>
                <w:rFonts w:ascii="Arial" w:eastAsia="Times New Roman" w:hAnsi="Arial" w:cs="Arial"/>
                <w:b/>
                <w:sz w:val="20"/>
                <w:szCs w:val="20"/>
                <w:bdr w:val="nil"/>
                <w:lang w:val="en-US"/>
              </w:rPr>
              <w:t xml:space="preserve">Outcome 1 – </w:t>
            </w:r>
            <w:r>
              <w:rPr>
                <w:rFonts w:ascii="Arial" w:eastAsia="Times New Roman" w:hAnsi="Arial" w:cs="Arial"/>
                <w:sz w:val="20"/>
                <w:szCs w:val="20"/>
                <w:bdr w:val="nil"/>
                <w:lang w:val="en-US"/>
              </w:rPr>
              <w:t>Encourage self-reliance and support people who cannot fully support themselves by providing sustainable social security payments and assistance.</w:t>
            </w:r>
          </w:p>
        </w:tc>
      </w:tr>
      <w:tr w:rsidR="00010972" w:rsidTr="00DD145C">
        <w:trPr>
          <w:tblHeader/>
        </w:trPr>
        <w:tc>
          <w:tcPr>
            <w:tcW w:w="77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EAEA"/>
            <w:hideMark/>
          </w:tcPr>
          <w:p w:rsidR="00E7470E" w:rsidRDefault="00D5482E" w:rsidP="0047558D">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1.1 –</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Family Tax Benefit</w:t>
            </w:r>
            <w:r>
              <w:rPr>
                <w:rFonts w:ascii="Arial" w:eastAsia="Times New Roman" w:hAnsi="Arial" w:cs="Arial"/>
                <w:sz w:val="16"/>
                <w:szCs w:val="16"/>
                <w:bdr w:val="nil"/>
                <w:lang w:val="en-US"/>
              </w:rPr>
              <w:t xml:space="preserve"> – To make payments to assist low and medium income families with the direct and indirect costs of raising dependent children.</w:t>
            </w:r>
          </w:p>
        </w:tc>
      </w:tr>
      <w:tr w:rsidR="00010972" w:rsidTr="00DD145C">
        <w:tc>
          <w:tcPr>
            <w:tcW w:w="1802" w:type="dxa"/>
            <w:tcBorders>
              <w:top w:val="single" w:sz="4" w:space="0" w:color="000000" w:themeColor="text1"/>
              <w:left w:val="single" w:sz="4" w:space="0" w:color="000000" w:themeColor="text1"/>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3" w:type="dxa"/>
            <w:gridSpan w:val="2"/>
            <w:tcBorders>
              <w:top w:val="single" w:sz="4" w:space="0" w:color="000000" w:themeColor="text1"/>
              <w:left w:val="single" w:sz="4" w:space="0" w:color="auto"/>
              <w:bottom w:val="double" w:sz="4" w:space="0" w:color="auto"/>
              <w:right w:val="single" w:sz="4" w:space="0" w:color="000000" w:themeColor="text1"/>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DSS administers the program as part of the social security system.</w:t>
            </w:r>
          </w:p>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Payments are made through Services Australia to eligible claimants under the provisions of the family assistance law.</w:t>
            </w:r>
          </w:p>
        </w:tc>
      </w:tr>
      <w:tr w:rsidR="00010972" w:rsidTr="00DD145C">
        <w:tc>
          <w:tcPr>
            <w:tcW w:w="7705" w:type="dxa"/>
            <w:gridSpan w:val="3"/>
            <w:tcBorders>
              <w:top w:val="doub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02" w:type="dxa"/>
            <w:tcBorders>
              <w:top w:val="double" w:sz="4" w:space="0" w:color="auto"/>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70" w:type="dxa"/>
            <w:tcBorders>
              <w:top w:val="double" w:sz="4" w:space="0" w:color="auto"/>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3" w:type="dxa"/>
            <w:tcBorders>
              <w:top w:val="double" w:sz="4" w:space="0" w:color="auto"/>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02" w:type="dxa"/>
            <w:vMerge w:val="restart"/>
            <w:tcBorders>
              <w:top w:val="dotted" w:sz="4" w:space="0" w:color="auto"/>
              <w:left w:val="single" w:sz="4" w:space="0" w:color="auto"/>
              <w:bottom w:val="dotted"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70" w:type="dxa"/>
            <w:tcBorders>
              <w:top w:val="dotted" w:sz="4" w:space="0" w:color="auto"/>
              <w:left w:val="single" w:sz="4" w:space="0" w:color="auto"/>
              <w:bottom w:val="dotted" w:sz="4" w:space="0" w:color="auto"/>
              <w:right w:val="single" w:sz="4" w:space="0" w:color="auto"/>
            </w:tcBorders>
            <w:hideMark/>
          </w:tcPr>
          <w:p w:rsidR="00E7470E" w:rsidRDefault="00D5482E">
            <w:pPr>
              <w:keepLines/>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rPr>
            </w:pPr>
            <w:r>
              <w:rPr>
                <w:rFonts w:ascii="Arial" w:eastAsia="Times New Roman" w:hAnsi="Arial" w:cs="Arial"/>
                <w:color w:val="000000"/>
                <w:sz w:val="16"/>
                <w:szCs w:val="16"/>
                <w:bdr w:val="nil"/>
              </w:rPr>
              <w:t>Extent to which families with lower incomes are supported with the costs of raising children through Family Tax Benefit.</w:t>
            </w:r>
          </w:p>
        </w:tc>
        <w:tc>
          <w:tcPr>
            <w:tcW w:w="2533" w:type="dxa"/>
            <w:tcBorders>
              <w:top w:val="dotted" w:sz="4" w:space="0" w:color="auto"/>
              <w:left w:val="single" w:sz="4" w:space="0" w:color="auto"/>
              <w:bottom w:val="dotted" w:sz="4" w:space="0" w:color="auto"/>
              <w:right w:val="single" w:sz="4" w:space="0" w:color="auto"/>
            </w:tcBorders>
            <w:hideMark/>
          </w:tcPr>
          <w:p w:rsidR="00E7470E" w:rsidRDefault="00D5482E">
            <w:pPr>
              <w:keepLines/>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rPr>
            </w:pPr>
            <w:r>
              <w:rPr>
                <w:rFonts w:ascii="Arial" w:eastAsia="Times New Roman" w:hAnsi="Arial" w:cs="Arial"/>
                <w:color w:val="000000"/>
                <w:sz w:val="16"/>
                <w:szCs w:val="16"/>
                <w:bdr w:val="nil"/>
              </w:rPr>
              <w:t xml:space="preserve">Payment targeted to low income families (67 per cent of support received by families under the Family Tax Benefit lower income free area). </w:t>
            </w:r>
          </w:p>
        </w:tc>
      </w:tr>
      <w:tr w:rsidR="00010972" w:rsidTr="00DD145C">
        <w:tc>
          <w:tcPr>
            <w:tcW w:w="1802" w:type="dxa"/>
            <w:vMerge/>
            <w:tcBorders>
              <w:top w:val="dotted" w:sz="4" w:space="0" w:color="auto"/>
              <w:left w:val="single" w:sz="4" w:space="0" w:color="auto"/>
              <w:bottom w:val="dotted" w:sz="4" w:space="0" w:color="auto"/>
              <w:right w:val="single" w:sz="4" w:space="0" w:color="auto"/>
            </w:tcBorders>
            <w:vAlign w:val="center"/>
            <w:hideMark/>
          </w:tcPr>
          <w:p w:rsidR="00E7470E" w:rsidRDefault="00E7470E">
            <w:pPr>
              <w:spacing w:after="0"/>
              <w:rPr>
                <w:rFonts w:ascii="Arial" w:hAnsi="Arial" w:cs="Arial"/>
                <w:sz w:val="16"/>
                <w:szCs w:val="16"/>
                <w:bdr w:val="nil"/>
              </w:rPr>
            </w:pPr>
          </w:p>
        </w:tc>
        <w:tc>
          <w:tcPr>
            <w:tcW w:w="3370" w:type="dxa"/>
            <w:tcBorders>
              <w:top w:val="dotted" w:sz="4" w:space="0" w:color="auto"/>
              <w:left w:val="single" w:sz="4" w:space="0" w:color="auto"/>
              <w:bottom w:val="dotted" w:sz="4" w:space="0" w:color="000000" w:themeColor="text1"/>
              <w:right w:val="single" w:sz="4" w:space="0" w:color="auto"/>
            </w:tcBorders>
            <w:hideMark/>
          </w:tcPr>
          <w:p w:rsidR="00E7470E" w:rsidRDefault="00D5482E">
            <w:pPr>
              <w:keepLines/>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rPr>
            </w:pPr>
            <w:r>
              <w:rPr>
                <w:rFonts w:ascii="Arial" w:eastAsia="Times New Roman" w:hAnsi="Arial" w:cs="Arial"/>
                <w:color w:val="000000"/>
                <w:sz w:val="16"/>
                <w:szCs w:val="16"/>
                <w:bdr w:val="nil"/>
              </w:rPr>
              <w:t>Extent to which separated parents in the child support system are supporting their children.</w:t>
            </w:r>
          </w:p>
        </w:tc>
        <w:tc>
          <w:tcPr>
            <w:tcW w:w="2533" w:type="dxa"/>
            <w:tcBorders>
              <w:top w:val="dotted" w:sz="4" w:space="0" w:color="auto"/>
              <w:left w:val="single" w:sz="4" w:space="0" w:color="auto"/>
              <w:bottom w:val="dotted" w:sz="4" w:space="0" w:color="000000" w:themeColor="text1"/>
              <w:right w:val="single" w:sz="4" w:space="0" w:color="auto"/>
            </w:tcBorders>
            <w:hideMark/>
          </w:tcPr>
          <w:p w:rsidR="00E7470E" w:rsidRDefault="00D5482E">
            <w:pPr>
              <w:keepLines/>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rPr>
            </w:pPr>
            <w:r>
              <w:rPr>
                <w:rFonts w:ascii="Arial" w:eastAsia="Times New Roman" w:hAnsi="Arial" w:cs="Arial"/>
                <w:color w:val="000000"/>
                <w:sz w:val="16"/>
                <w:szCs w:val="16"/>
                <w:bdr w:val="nil"/>
              </w:rPr>
              <w:t xml:space="preserve">At least 85 per cent of Family Tax Benefit children of separated parents meet the maintenance action test requirements. </w:t>
            </w:r>
          </w:p>
        </w:tc>
      </w:tr>
      <w:tr w:rsidR="00010972" w:rsidTr="00DD145C">
        <w:tc>
          <w:tcPr>
            <w:tcW w:w="1802" w:type="dxa"/>
            <w:vMerge/>
            <w:tcBorders>
              <w:top w:val="dotted" w:sz="4" w:space="0" w:color="auto"/>
              <w:left w:val="single" w:sz="4" w:space="0" w:color="auto"/>
              <w:bottom w:val="dotted" w:sz="4" w:space="0" w:color="auto"/>
              <w:right w:val="single" w:sz="4" w:space="0" w:color="auto"/>
            </w:tcBorders>
            <w:vAlign w:val="center"/>
            <w:hideMark/>
          </w:tcPr>
          <w:p w:rsidR="00E7470E" w:rsidRDefault="00E7470E">
            <w:pPr>
              <w:spacing w:after="0"/>
              <w:rPr>
                <w:rFonts w:ascii="Arial" w:hAnsi="Arial" w:cs="Arial"/>
                <w:sz w:val="16"/>
                <w:szCs w:val="16"/>
                <w:bdr w:val="nil"/>
              </w:rPr>
            </w:pPr>
          </w:p>
        </w:tc>
        <w:tc>
          <w:tcPr>
            <w:tcW w:w="5903" w:type="dxa"/>
            <w:gridSpan w:val="2"/>
            <w:tcBorders>
              <w:top w:val="dotted" w:sz="4" w:space="0" w:color="auto"/>
              <w:left w:val="single" w:sz="4" w:space="0" w:color="auto"/>
              <w:bottom w:val="dotted" w:sz="4" w:space="0" w:color="000000" w:themeColor="text1"/>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Outputs:</w:t>
            </w:r>
          </w:p>
          <w:p w:rsidR="00E7470E" w:rsidRDefault="00D5482E" w:rsidP="00E7470E">
            <w:pPr>
              <w:pStyle w:val="ListParagraph"/>
              <w:numPr>
                <w:ilvl w:val="0"/>
                <w:numId w:val="14"/>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Administered outlays</w:t>
            </w:r>
          </w:p>
          <w:p w:rsidR="00E7470E" w:rsidRDefault="00D5482E" w:rsidP="00E7470E">
            <w:pPr>
              <w:pStyle w:val="ListParagraph"/>
              <w:numPr>
                <w:ilvl w:val="0"/>
                <w:numId w:val="14"/>
              </w:numPr>
              <w:pBdr>
                <w:top w:val="nil"/>
                <w:left w:val="nil"/>
                <w:bottom w:val="nil"/>
                <w:right w:val="nil"/>
                <w:between w:val="nil"/>
                <w:bar w:val="nil"/>
              </w:pBdr>
              <w:tabs>
                <w:tab w:val="left" w:pos="709"/>
              </w:tabs>
              <w:spacing w:before="60" w:after="60" w:line="240" w:lineRule="auto"/>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recipients</w:t>
            </w:r>
          </w:p>
          <w:p w:rsidR="00E7470E" w:rsidRDefault="00D5482E" w:rsidP="00E7470E">
            <w:pPr>
              <w:pStyle w:val="ListParagraph"/>
              <w:numPr>
                <w:ilvl w:val="0"/>
                <w:numId w:val="14"/>
              </w:numPr>
              <w:pBdr>
                <w:top w:val="nil"/>
                <w:left w:val="nil"/>
                <w:bottom w:val="nil"/>
                <w:right w:val="nil"/>
                <w:between w:val="nil"/>
                <w:bar w:val="nil"/>
              </w:pBdr>
              <w:tabs>
                <w:tab w:val="left" w:pos="709"/>
              </w:tabs>
              <w:spacing w:before="60" w:after="60" w:line="240" w:lineRule="auto"/>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children</w:t>
            </w:r>
          </w:p>
          <w:p w:rsidR="00E7470E" w:rsidRDefault="00D5482E" w:rsidP="00E7470E">
            <w:pPr>
              <w:pStyle w:val="ListParagraph"/>
              <w:numPr>
                <w:ilvl w:val="0"/>
                <w:numId w:val="14"/>
              </w:numPr>
              <w:pBdr>
                <w:top w:val="nil"/>
                <w:left w:val="nil"/>
                <w:bottom w:val="nil"/>
                <w:right w:val="nil"/>
                <w:between w:val="nil"/>
                <w:bar w:val="nil"/>
              </w:pBdr>
              <w:tabs>
                <w:tab w:val="left" w:pos="709"/>
              </w:tabs>
              <w:spacing w:before="60" w:after="60" w:line="240" w:lineRule="auto"/>
              <w:rPr>
                <w:rFonts w:eastAsia="Times New Roman" w:cs="Arial"/>
                <w:color w:val="000000"/>
                <w:sz w:val="16"/>
                <w:szCs w:val="16"/>
                <w:bdr w:val="nil"/>
                <w:lang w:val="en-AU"/>
              </w:rPr>
            </w:pPr>
            <w:r>
              <w:rPr>
                <w:rFonts w:ascii="Arial" w:eastAsia="Times New Roman" w:hAnsi="Arial" w:cs="Arial"/>
                <w:color w:val="000000"/>
                <w:sz w:val="16"/>
                <w:szCs w:val="16"/>
                <w:bdr w:val="nil"/>
                <w:lang w:val="en-AU"/>
              </w:rPr>
              <w:t>Payment accuracy</w:t>
            </w:r>
          </w:p>
        </w:tc>
      </w:tr>
      <w:tr w:rsidR="00010972" w:rsidTr="00DD145C">
        <w:tc>
          <w:tcPr>
            <w:tcW w:w="1802" w:type="dxa"/>
            <w:tcBorders>
              <w:top w:val="dotted" w:sz="4" w:space="0" w:color="auto"/>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70" w:type="dxa"/>
            <w:tcBorders>
              <w:top w:val="dotted" w:sz="4" w:space="0" w:color="000000" w:themeColor="text1"/>
              <w:left w:val="single" w:sz="4" w:space="0" w:color="auto"/>
              <w:bottom w:val="dotted"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c>
          <w:tcPr>
            <w:tcW w:w="2533" w:type="dxa"/>
            <w:tcBorders>
              <w:top w:val="dotted" w:sz="4" w:space="0" w:color="auto"/>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jc w:val="both"/>
              <w:rPr>
                <w:rFonts w:ascii="Arial" w:hAnsi="Arial" w:cs="Arial"/>
                <w:sz w:val="16"/>
                <w:szCs w:val="16"/>
                <w:bdr w:val="nil"/>
                <w:lang w:val="en-US"/>
              </w:rPr>
            </w:pPr>
            <w:r>
              <w:rPr>
                <w:rFonts w:ascii="Arial" w:eastAsia="Times New Roman" w:hAnsi="Arial" w:cs="Arial"/>
                <w:sz w:val="16"/>
                <w:szCs w:val="16"/>
                <w:bdr w:val="nil"/>
                <w:lang w:val="en-US"/>
              </w:rPr>
              <w:t>As per 2020-21</w:t>
            </w:r>
          </w:p>
        </w:tc>
      </w:tr>
      <w:tr w:rsidR="00010972" w:rsidTr="00DD145C">
        <w:tc>
          <w:tcPr>
            <w:tcW w:w="1802" w:type="dxa"/>
            <w:tcBorders>
              <w:top w:val="single" w:sz="4" w:space="0" w:color="auto"/>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03" w:type="dxa"/>
            <w:gridSpan w:val="2"/>
            <w:tcBorders>
              <w:top w:val="single" w:sz="4" w:space="0" w:color="auto"/>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Encourage self-reliance and support people who cannot fully support themselves by providing sustainable social security payments and assistance.</w:t>
            </w:r>
          </w:p>
        </w:tc>
      </w:tr>
      <w:tr w:rsidR="00010972" w:rsidTr="00DD145C">
        <w:tc>
          <w:tcPr>
            <w:tcW w:w="7705" w:type="dxa"/>
            <w:gridSpan w:val="3"/>
            <w:tcBorders>
              <w:top w:val="single" w:sz="4" w:space="0" w:color="auto"/>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1.1: Nil.</w:t>
            </w:r>
          </w:p>
        </w:tc>
      </w:tr>
    </w:tbl>
    <w:p w:rsidR="00E7470E" w:rsidRDefault="00D5482E">
      <w:pPr>
        <w:pBdr>
          <w:top w:val="nil"/>
          <w:left w:val="nil"/>
          <w:bottom w:val="nil"/>
          <w:right w:val="nil"/>
          <w:between w:val="nil"/>
          <w:bar w:val="nil"/>
        </w:pBdr>
        <w:rPr>
          <w:bdr w:val="nil"/>
        </w:rPr>
      </w:pPr>
      <w:r>
        <w:rPr>
          <w:rFonts w:ascii="Book Antiqua" w:eastAsia="Times New Roman" w:hAnsi="Book Antiqua" w:cs="Times New Roman"/>
          <w:sz w:val="20"/>
          <w:szCs w:val="20"/>
          <w:bdr w:val="nil"/>
          <w:lang w:val="en-AU" w:eastAsia="en-AU"/>
        </w:rPr>
        <w:br w:type="page"/>
      </w:r>
    </w:p>
    <w:p w:rsidR="00E7470E" w:rsidRDefault="00D5482E" w:rsidP="00657DF0">
      <w:pPr>
        <w:pStyle w:val="TableHeading"/>
        <w:keepLines/>
        <w:pBdr>
          <w:top w:val="nil"/>
          <w:left w:val="nil"/>
          <w:bottom w:val="nil"/>
          <w:right w:val="nil"/>
          <w:between w:val="nil"/>
          <w:bar w:val="nil"/>
        </w:pBdr>
        <w:spacing w:before="0" w:after="0"/>
        <w:rPr>
          <w:bdr w:val="nil"/>
        </w:rPr>
      </w:pPr>
      <w:r>
        <w:rPr>
          <w:bdr w:val="nil"/>
        </w:rPr>
        <w:lastRenderedPageBreak/>
        <w:t>Table 2.1.3: Performance criteria for Outcome 1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2"/>
        <w:gridCol w:w="3372"/>
        <w:gridCol w:w="2531"/>
      </w:tblGrid>
      <w:tr w:rsidR="00010972" w:rsidTr="00DD145C">
        <w:trPr>
          <w:tblHeader/>
        </w:trPr>
        <w:tc>
          <w:tcPr>
            <w:tcW w:w="77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EAEA"/>
            <w:hideMark/>
          </w:tcPr>
          <w:p w:rsidR="00E7470E" w:rsidRDefault="00D5482E" w:rsidP="0047558D">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1.2 –</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 xml:space="preserve">Child Payments </w:t>
            </w:r>
            <w:r>
              <w:rPr>
                <w:rFonts w:ascii="Arial" w:eastAsia="Times New Roman" w:hAnsi="Arial" w:cs="Arial"/>
                <w:sz w:val="16"/>
                <w:szCs w:val="16"/>
                <w:bdr w:val="nil"/>
                <w:lang w:val="en-US"/>
              </w:rPr>
              <w:t>– To make payments to families in certain circumstances to assist with the costs of children.</w:t>
            </w:r>
          </w:p>
        </w:tc>
      </w:tr>
      <w:tr w:rsidR="00010972" w:rsidTr="00DD145C">
        <w:tc>
          <w:tcPr>
            <w:tcW w:w="1802" w:type="dxa"/>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3" w:type="dxa"/>
            <w:gridSpan w:val="2"/>
            <w:tcBorders>
              <w:top w:val="single" w:sz="4" w:space="0" w:color="000000" w:themeColor="text1"/>
              <w:left w:val="single" w:sz="4" w:space="0" w:color="000000" w:themeColor="text1"/>
              <w:bottom w:val="double" w:sz="4" w:space="0" w:color="000000" w:themeColor="text1"/>
              <w:right w:val="single" w:sz="4" w:space="0" w:color="000000" w:themeColor="text1"/>
            </w:tcBorders>
            <w:hideMark/>
          </w:tcPr>
          <w:p w:rsidR="00E7470E"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DSS administers the program as part of the social security system.</w:t>
            </w:r>
          </w:p>
          <w:p w:rsidR="00E7470E"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Single Income Family Supplement is paid through Services Australia to eligible families under the provisions of the family assistance law.</w:t>
            </w:r>
          </w:p>
          <w:p w:rsidR="00E7470E"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Stillborn Baby Payment is made through Services Australia to eligible claimants under the provisions of the family assistance law.</w:t>
            </w:r>
          </w:p>
          <w:p w:rsidR="00E7470E"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Double Orphan Pension is paid through Services Australia to eligible claimants under the provisions of social security law.</w:t>
            </w:r>
          </w:p>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 xml:space="preserve">Assistance for Isolated Children is paid through Services Australia to eligible families. The appropriation for payments is in the </w:t>
            </w:r>
            <w:r>
              <w:rPr>
                <w:rFonts w:ascii="Arial" w:eastAsia="Times New Roman" w:hAnsi="Arial" w:cs="Arial"/>
                <w:i/>
                <w:sz w:val="16"/>
                <w:szCs w:val="16"/>
                <w:bdr w:val="nil"/>
                <w:lang w:val="en-US"/>
              </w:rPr>
              <w:t>Student Assistance Act 1973.</w:t>
            </w:r>
          </w:p>
        </w:tc>
      </w:tr>
      <w:tr w:rsidR="00010972" w:rsidTr="00DD145C">
        <w:tc>
          <w:tcPr>
            <w:tcW w:w="7705" w:type="dxa"/>
            <w:gridSpan w:val="3"/>
            <w:tcBorders>
              <w:top w:val="double" w:sz="4" w:space="0" w:color="000000" w:themeColor="text1"/>
              <w:left w:val="single" w:sz="4" w:space="0" w:color="000000" w:themeColor="text1"/>
              <w:bottom w:val="double" w:sz="4" w:space="0" w:color="000000" w:themeColor="text1"/>
              <w:right w:val="single" w:sz="4" w:space="0" w:color="000000" w:themeColor="text1"/>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02" w:type="dxa"/>
            <w:tcBorders>
              <w:top w:val="double" w:sz="4" w:space="0" w:color="000000" w:themeColor="text1"/>
              <w:left w:val="single" w:sz="4" w:space="0" w:color="000000" w:themeColor="text1"/>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72" w:type="dxa"/>
            <w:tcBorders>
              <w:top w:val="double" w:sz="4" w:space="0" w:color="000000" w:themeColor="text1"/>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1" w:type="dxa"/>
            <w:tcBorders>
              <w:top w:val="double" w:sz="4" w:space="0" w:color="000000" w:themeColor="text1"/>
              <w:left w:val="single" w:sz="4" w:space="0" w:color="auto"/>
              <w:bottom w:val="single" w:sz="4" w:space="0" w:color="000000" w:themeColor="text1"/>
              <w:right w:val="single" w:sz="4" w:space="0" w:color="000000" w:themeColor="text1"/>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02" w:type="dxa"/>
            <w:vMerge w:val="restart"/>
            <w:tcBorders>
              <w:top w:val="dotted" w:sz="4" w:space="0" w:color="auto"/>
              <w:left w:val="single" w:sz="4" w:space="0" w:color="000000" w:themeColor="text1"/>
              <w:bottom w:val="dotted" w:sz="4" w:space="0" w:color="auto"/>
              <w:right w:val="single" w:sz="4" w:space="0" w:color="000000" w:themeColor="text1"/>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72" w:type="dxa"/>
            <w:tcBorders>
              <w:top w:val="dotted" w:sz="4" w:space="0" w:color="000000" w:themeColor="text1"/>
              <w:left w:val="single" w:sz="4" w:space="0" w:color="auto"/>
              <w:bottom w:val="dotted" w:sz="4" w:space="0" w:color="000000" w:themeColor="text1"/>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0" w:line="240" w:lineRule="auto"/>
              <w:jc w:val="left"/>
              <w:rPr>
                <w:rFonts w:cs="Arial"/>
                <w:b/>
                <w:sz w:val="16"/>
                <w:szCs w:val="16"/>
                <w:bdr w:val="nil"/>
                <w:lang w:val="en-US" w:eastAsia="en-US"/>
              </w:rPr>
            </w:pPr>
            <w:r>
              <w:rPr>
                <w:rFonts w:ascii="Arial" w:hAnsi="Arial" w:cs="Arial"/>
                <w:color w:val="000000"/>
                <w:sz w:val="16"/>
                <w:szCs w:val="16"/>
                <w:bdr w:val="nil"/>
                <w:lang w:val="en-US" w:eastAsia="en-US"/>
              </w:rPr>
              <w:t>Proportion of stillbirths for which the Stillborn Baby Payment of Parental Leave Pay is paid.</w:t>
            </w:r>
            <w:r>
              <w:rPr>
                <w:rFonts w:ascii="Arial" w:hAnsi="Arial" w:cs="Arial"/>
                <w:sz w:val="16"/>
                <w:szCs w:val="16"/>
                <w:bdr w:val="nil"/>
                <w:lang w:val="en-US" w:eastAsia="en-US"/>
              </w:rPr>
              <w:t xml:space="preserve"> </w:t>
            </w:r>
          </w:p>
        </w:tc>
        <w:tc>
          <w:tcPr>
            <w:tcW w:w="2531" w:type="dxa"/>
            <w:tcBorders>
              <w:top w:val="dotted" w:sz="4" w:space="0" w:color="000000" w:themeColor="text1"/>
              <w:left w:val="single" w:sz="4" w:space="0" w:color="000000" w:themeColor="text1"/>
              <w:bottom w:val="dotted" w:sz="4" w:space="0" w:color="auto"/>
              <w:right w:val="single" w:sz="4" w:space="0" w:color="000000" w:themeColor="text1"/>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b/>
                <w:sz w:val="16"/>
                <w:szCs w:val="16"/>
                <w:bdr w:val="nil"/>
                <w:lang w:val="en-US" w:eastAsia="en-US"/>
              </w:rPr>
            </w:pPr>
            <w:r>
              <w:rPr>
                <w:rFonts w:ascii="Arial" w:hAnsi="Arial" w:cs="Arial"/>
                <w:color w:val="000000"/>
                <w:sz w:val="16"/>
                <w:szCs w:val="16"/>
                <w:bdr w:val="nil"/>
                <w:lang w:val="en-US" w:eastAsia="en-US"/>
              </w:rPr>
              <w:t>100 per cent of eligible families receive assistance through Stillborn Baby Payment or Parental Leave Pay.</w:t>
            </w:r>
            <w:r>
              <w:rPr>
                <w:rFonts w:ascii="Arial" w:hAnsi="Arial" w:cs="Arial"/>
                <w:sz w:val="16"/>
                <w:szCs w:val="16"/>
                <w:bdr w:val="nil"/>
                <w:lang w:val="en-US" w:eastAsia="en-US"/>
              </w:rPr>
              <w:t xml:space="preserve"> </w:t>
            </w:r>
          </w:p>
        </w:tc>
      </w:tr>
      <w:tr w:rsidR="00010972" w:rsidTr="00DD145C">
        <w:tc>
          <w:tcPr>
            <w:tcW w:w="1802" w:type="dxa"/>
            <w:vMerge/>
            <w:tcBorders>
              <w:top w:val="dotted" w:sz="4" w:space="0" w:color="auto"/>
              <w:left w:val="single" w:sz="4" w:space="0" w:color="000000" w:themeColor="text1"/>
              <w:bottom w:val="dotted" w:sz="4" w:space="0" w:color="auto"/>
              <w:right w:val="single" w:sz="4" w:space="0" w:color="000000" w:themeColor="text1"/>
            </w:tcBorders>
            <w:vAlign w:val="center"/>
            <w:hideMark/>
          </w:tcPr>
          <w:p w:rsidR="00212B8B" w:rsidRDefault="00212B8B" w:rsidP="00212B8B">
            <w:pPr>
              <w:spacing w:after="0"/>
              <w:rPr>
                <w:rFonts w:ascii="Arial" w:hAnsi="Arial" w:cs="Arial"/>
                <w:sz w:val="16"/>
                <w:szCs w:val="16"/>
                <w:bdr w:val="nil"/>
              </w:rPr>
            </w:pPr>
          </w:p>
        </w:tc>
        <w:tc>
          <w:tcPr>
            <w:tcW w:w="5903" w:type="dxa"/>
            <w:gridSpan w:val="2"/>
            <w:tcBorders>
              <w:top w:val="dotted" w:sz="4" w:space="0" w:color="000000" w:themeColor="text1"/>
              <w:left w:val="single" w:sz="4" w:space="0" w:color="auto"/>
              <w:bottom w:val="dotted" w:sz="4" w:space="0" w:color="auto"/>
              <w:right w:val="single" w:sz="4" w:space="0" w:color="000000" w:themeColor="text1"/>
            </w:tcBorders>
            <w:hideMark/>
          </w:tcPr>
          <w:p w:rsidR="00212B8B" w:rsidRDefault="00D5482E" w:rsidP="00212B8B">
            <w:pPr>
              <w:keepLines/>
              <w:pBdr>
                <w:top w:val="nil"/>
                <w:left w:val="nil"/>
                <w:bottom w:val="nil"/>
                <w:right w:val="nil"/>
                <w:between w:val="nil"/>
                <w:bar w:val="nil"/>
              </w:pBdr>
              <w:tabs>
                <w:tab w:val="left" w:pos="709"/>
              </w:tabs>
              <w:spacing w:before="60" w:after="0" w:line="240" w:lineRule="auto"/>
              <w:jc w:val="both"/>
              <w:rPr>
                <w:rFonts w:ascii="Arial" w:hAnsi="Arial" w:cs="Arial"/>
                <w:i/>
                <w:color w:val="000000"/>
                <w:sz w:val="16"/>
                <w:szCs w:val="16"/>
                <w:bdr w:val="nil"/>
              </w:rPr>
            </w:pPr>
            <w:r>
              <w:rPr>
                <w:rFonts w:ascii="Arial" w:eastAsia="Times New Roman" w:hAnsi="Arial" w:cs="Arial"/>
                <w:color w:val="000000"/>
                <w:sz w:val="16"/>
                <w:szCs w:val="16"/>
                <w:bdr w:val="nil"/>
              </w:rPr>
              <w:t>Outputs:</w:t>
            </w:r>
          </w:p>
          <w:p w:rsidR="00212B8B" w:rsidRDefault="00D5482E" w:rsidP="00212B8B">
            <w:pPr>
              <w:pStyle w:val="ListParagraph"/>
              <w:numPr>
                <w:ilvl w:val="0"/>
                <w:numId w:val="15"/>
              </w:numPr>
              <w:pBdr>
                <w:top w:val="nil"/>
                <w:left w:val="nil"/>
                <w:bottom w:val="nil"/>
                <w:right w:val="nil"/>
                <w:between w:val="nil"/>
                <w:bar w:val="nil"/>
              </w:pBdr>
              <w:tabs>
                <w:tab w:val="left" w:pos="709"/>
              </w:tabs>
              <w:spacing w:after="60" w:line="240" w:lineRule="auto"/>
              <w:ind w:left="357" w:hanging="357"/>
              <w:rPr>
                <w:rFonts w:eastAsia="Times New Roman" w:cs="Arial"/>
                <w:i/>
                <w:color w:val="000000"/>
                <w:sz w:val="16"/>
                <w:szCs w:val="16"/>
                <w:bdr w:val="nil"/>
                <w:lang w:val="en-AU"/>
              </w:rPr>
            </w:pPr>
            <w:r>
              <w:rPr>
                <w:rFonts w:ascii="Arial" w:eastAsia="Times New Roman" w:hAnsi="Arial" w:cs="Arial"/>
                <w:color w:val="000000"/>
                <w:sz w:val="16"/>
                <w:szCs w:val="16"/>
                <w:bdr w:val="nil"/>
                <w:lang w:val="en-AU"/>
              </w:rPr>
              <w:t>Administered outlays</w:t>
            </w:r>
          </w:p>
          <w:p w:rsidR="00212B8B" w:rsidRDefault="00D5482E" w:rsidP="00212B8B">
            <w:pPr>
              <w:pStyle w:val="ListParagraph"/>
              <w:numPr>
                <w:ilvl w:val="0"/>
                <w:numId w:val="15"/>
              </w:numPr>
              <w:pBdr>
                <w:top w:val="nil"/>
                <w:left w:val="nil"/>
                <w:bottom w:val="nil"/>
                <w:right w:val="nil"/>
                <w:between w:val="nil"/>
                <w:bar w:val="nil"/>
              </w:pBdr>
              <w:tabs>
                <w:tab w:val="left" w:pos="709"/>
              </w:tabs>
              <w:spacing w:before="60" w:after="60" w:line="240" w:lineRule="auto"/>
              <w:ind w:left="357" w:hanging="357"/>
              <w:rPr>
                <w:rFonts w:eastAsia="Times New Roman" w:cs="Arial"/>
                <w:i/>
                <w:color w:val="000000"/>
                <w:sz w:val="16"/>
                <w:szCs w:val="16"/>
                <w:bdr w:val="nil"/>
                <w:lang w:val="en-AU"/>
              </w:rPr>
            </w:pPr>
            <w:r>
              <w:rPr>
                <w:rFonts w:ascii="Arial" w:eastAsia="Times New Roman" w:hAnsi="Arial" w:cs="Arial"/>
                <w:color w:val="000000"/>
                <w:sz w:val="16"/>
                <w:szCs w:val="16"/>
                <w:bdr w:val="nil"/>
                <w:lang w:val="en-AU"/>
              </w:rPr>
              <w:t>Number of recipients</w:t>
            </w:r>
          </w:p>
          <w:p w:rsidR="00212B8B" w:rsidRDefault="00D5482E" w:rsidP="00212B8B">
            <w:pPr>
              <w:pStyle w:val="ListParagraph"/>
              <w:numPr>
                <w:ilvl w:val="0"/>
                <w:numId w:val="15"/>
              </w:numPr>
              <w:pBdr>
                <w:top w:val="nil"/>
                <w:left w:val="nil"/>
                <w:bottom w:val="nil"/>
                <w:right w:val="nil"/>
                <w:between w:val="nil"/>
                <w:bar w:val="nil"/>
              </w:pBdr>
              <w:tabs>
                <w:tab w:val="left" w:pos="709"/>
              </w:tabs>
              <w:spacing w:before="60" w:after="60" w:line="240" w:lineRule="auto"/>
              <w:ind w:left="357" w:hanging="357"/>
              <w:rPr>
                <w:rFonts w:eastAsia="Times New Roman" w:cs="Arial"/>
                <w:i/>
                <w:color w:val="000000"/>
                <w:sz w:val="16"/>
                <w:szCs w:val="16"/>
                <w:bdr w:val="nil"/>
                <w:lang w:val="en-AU"/>
              </w:rPr>
            </w:pPr>
            <w:r>
              <w:rPr>
                <w:rFonts w:ascii="Arial" w:eastAsia="Times New Roman" w:hAnsi="Arial" w:cs="Arial"/>
                <w:color w:val="000000"/>
                <w:sz w:val="16"/>
                <w:szCs w:val="16"/>
                <w:bdr w:val="nil"/>
                <w:lang w:val="en-AU"/>
              </w:rPr>
              <w:t>Number of children</w:t>
            </w:r>
          </w:p>
        </w:tc>
      </w:tr>
      <w:tr w:rsidR="00010972" w:rsidTr="00DD145C">
        <w:tc>
          <w:tcPr>
            <w:tcW w:w="1802" w:type="dxa"/>
            <w:tcBorders>
              <w:top w:val="dotted" w:sz="4" w:space="0" w:color="000000" w:themeColor="text1"/>
              <w:left w:val="single" w:sz="4" w:space="0" w:color="000000" w:themeColor="text1"/>
              <w:bottom w:val="single" w:sz="4" w:space="0" w:color="000000" w:themeColor="text1"/>
              <w:right w:val="single" w:sz="4" w:space="0" w:color="000000" w:themeColor="text1"/>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72" w:type="dxa"/>
            <w:tcBorders>
              <w:top w:val="dotted" w:sz="4" w:space="0" w:color="auto"/>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c>
          <w:tcPr>
            <w:tcW w:w="2531" w:type="dxa"/>
            <w:tcBorders>
              <w:top w:val="dotted" w:sz="4" w:space="0" w:color="000000" w:themeColor="text1"/>
              <w:left w:val="single" w:sz="4" w:space="0" w:color="000000" w:themeColor="text1"/>
              <w:bottom w:val="single" w:sz="4" w:space="0" w:color="000000" w:themeColor="text1"/>
              <w:right w:val="single" w:sz="4" w:space="0" w:color="000000" w:themeColor="text1"/>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jc w:val="both"/>
              <w:rPr>
                <w:rFonts w:ascii="Arial" w:hAnsi="Arial" w:cs="Arial"/>
                <w:sz w:val="16"/>
                <w:szCs w:val="16"/>
                <w:bdr w:val="nil"/>
                <w:lang w:val="en-US"/>
              </w:rPr>
            </w:pPr>
            <w:r>
              <w:rPr>
                <w:rFonts w:ascii="Arial" w:eastAsia="Times New Roman" w:hAnsi="Arial" w:cs="Arial"/>
                <w:sz w:val="16"/>
                <w:szCs w:val="16"/>
                <w:bdr w:val="nil"/>
                <w:lang w:val="en-US"/>
              </w:rPr>
              <w:t>As per 2020-21</w:t>
            </w:r>
          </w:p>
        </w:tc>
      </w:tr>
      <w:tr w:rsidR="00010972" w:rsidTr="00DD145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Encourage self-reliance and support people who cannot fully support themselves by providing sustainable social security payments and assistance.</w:t>
            </w:r>
          </w:p>
        </w:tc>
      </w:tr>
      <w:tr w:rsidR="00010972" w:rsidTr="00DD145C">
        <w:tc>
          <w:tcPr>
            <w:tcW w:w="77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2B8B" w:rsidRDefault="00D5482E" w:rsidP="00212B8B">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1.2: Nil.</w:t>
            </w:r>
          </w:p>
        </w:tc>
      </w:tr>
    </w:tbl>
    <w:p w:rsidR="00E7470E" w:rsidRDefault="00D5482E" w:rsidP="00E7470E">
      <w:pPr>
        <w:pStyle w:val="Normal0"/>
        <w:keepLines/>
        <w:pBdr>
          <w:top w:val="nil"/>
          <w:left w:val="nil"/>
          <w:bottom w:val="nil"/>
          <w:right w:val="nil"/>
          <w:between w:val="nil"/>
          <w:bar w:val="nil"/>
        </w:pBdr>
        <w:spacing w:after="240" w:line="260" w:lineRule="exact"/>
        <w:jc w:val="both"/>
        <w:rPr>
          <w:bdr w:val="nil"/>
        </w:rPr>
      </w:pPr>
      <w:r>
        <w:rPr>
          <w:rFonts w:eastAsia="Times New Roman"/>
          <w:sz w:val="20"/>
          <w:szCs w:val="20"/>
          <w:bdr w:val="nil"/>
          <w:lang w:eastAsia="en-AU"/>
        </w:rPr>
        <w:br w:type="page"/>
      </w:r>
    </w:p>
    <w:p w:rsidR="00E7470E" w:rsidRDefault="00D5482E" w:rsidP="00657DF0">
      <w:pPr>
        <w:pStyle w:val="TableHeading"/>
        <w:keepLines/>
        <w:pBdr>
          <w:top w:val="nil"/>
          <w:left w:val="nil"/>
          <w:bottom w:val="nil"/>
          <w:right w:val="nil"/>
          <w:between w:val="nil"/>
          <w:bar w:val="nil"/>
        </w:pBdr>
        <w:spacing w:before="0" w:after="0"/>
        <w:rPr>
          <w:bdr w:val="nil"/>
        </w:rPr>
      </w:pPr>
      <w:r>
        <w:rPr>
          <w:bdr w:val="nil"/>
        </w:rPr>
        <w:lastRenderedPageBreak/>
        <w:t>Table 2.1.3: Performance criteria for Outcome 1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3"/>
        <w:gridCol w:w="3372"/>
        <w:gridCol w:w="2530"/>
      </w:tblGrid>
      <w:tr w:rsidR="00010972" w:rsidTr="00DD145C">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AEAEA"/>
            <w:hideMark/>
          </w:tcPr>
          <w:p w:rsidR="00E7470E" w:rsidRDefault="00D5482E" w:rsidP="0047558D">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 xml:space="preserve">Program 1.3 – Income Support for Vulnerable People </w:t>
            </w:r>
            <w:r>
              <w:rPr>
                <w:rFonts w:ascii="Arial" w:eastAsia="Times New Roman" w:hAnsi="Arial" w:cs="Arial"/>
                <w:sz w:val="16"/>
                <w:szCs w:val="16"/>
                <w:bdr w:val="nil"/>
                <w:lang w:val="en-US"/>
              </w:rPr>
              <w:t>– To make payments to financially assist eligible people in severe financial hardship who do not have any other means of support.</w:t>
            </w:r>
          </w:p>
        </w:tc>
      </w:tr>
      <w:tr w:rsidR="00010972" w:rsidTr="00DD145C">
        <w:tc>
          <w:tcPr>
            <w:tcW w:w="1803" w:type="dxa"/>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2" w:type="dxa"/>
            <w:gridSpan w:val="2"/>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DSS administers the program as part of the social security system.</w:t>
            </w:r>
          </w:p>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Payments are made through Services Australia to eligible claimants under the provisions of social security law.</w:t>
            </w:r>
          </w:p>
        </w:tc>
      </w:tr>
      <w:tr w:rsidR="00010972" w:rsidTr="00DD145C">
        <w:tc>
          <w:tcPr>
            <w:tcW w:w="7705" w:type="dxa"/>
            <w:gridSpan w:val="3"/>
            <w:tcBorders>
              <w:top w:val="doub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03"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72"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0"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03" w:type="dxa"/>
            <w:vMerge w:val="restart"/>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72" w:type="dxa"/>
            <w:tcBorders>
              <w:top w:val="dotted" w:sz="4" w:space="0" w:color="000000" w:themeColor="text1"/>
              <w:left w:val="single" w:sz="4" w:space="0" w:color="auto"/>
              <w:bottom w:val="dotted" w:sz="4" w:space="0" w:color="000000" w:themeColor="text1"/>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b/>
                <w:sz w:val="16"/>
                <w:szCs w:val="16"/>
                <w:bdr w:val="nil"/>
                <w:lang w:val="en-US" w:eastAsia="en-US"/>
              </w:rPr>
            </w:pPr>
            <w:r>
              <w:rPr>
                <w:rFonts w:ascii="Arial" w:hAnsi="Arial" w:cs="Arial"/>
                <w:color w:val="000000"/>
                <w:sz w:val="16"/>
                <w:szCs w:val="16"/>
                <w:bdr w:val="nil"/>
                <w:lang w:val="en-US" w:eastAsia="en-US"/>
              </w:rPr>
              <w:t>Extent to which payments are made to recipients who are unable to fully support themselves or access another payment.</w:t>
            </w:r>
            <w:r>
              <w:rPr>
                <w:rFonts w:ascii="Arial" w:hAnsi="Arial" w:cs="Arial"/>
                <w:sz w:val="16"/>
                <w:szCs w:val="16"/>
                <w:bdr w:val="nil"/>
                <w:lang w:val="en-US" w:eastAsia="en-US"/>
              </w:rPr>
              <w:t xml:space="preserve"> </w:t>
            </w:r>
          </w:p>
        </w:tc>
        <w:tc>
          <w:tcPr>
            <w:tcW w:w="2530" w:type="dxa"/>
            <w:tcBorders>
              <w:top w:val="dotted" w:sz="4" w:space="0" w:color="000000" w:themeColor="text1"/>
              <w:left w:val="single" w:sz="4" w:space="0" w:color="auto"/>
              <w:bottom w:val="dotted" w:sz="4" w:space="0" w:color="000000" w:themeColor="text1"/>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b/>
                <w:sz w:val="16"/>
                <w:szCs w:val="16"/>
                <w:bdr w:val="nil"/>
                <w:lang w:val="en-US" w:eastAsia="en-US"/>
              </w:rPr>
            </w:pPr>
            <w:r>
              <w:rPr>
                <w:rFonts w:ascii="Arial" w:hAnsi="Arial" w:cs="Arial"/>
                <w:color w:val="000000"/>
                <w:sz w:val="16"/>
                <w:szCs w:val="16"/>
                <w:bdr w:val="nil"/>
                <w:lang w:val="en-US" w:eastAsia="en-US"/>
              </w:rPr>
              <w:t>The average duration of recipients on Special Benefit remains below 130 weeks.</w:t>
            </w:r>
            <w:r>
              <w:rPr>
                <w:rFonts w:ascii="Arial" w:hAnsi="Arial" w:cs="Arial"/>
                <w:sz w:val="16"/>
                <w:szCs w:val="16"/>
                <w:bdr w:val="nil"/>
                <w:lang w:val="en-US" w:eastAsia="en-US"/>
              </w:rPr>
              <w:t xml:space="preserve"> </w:t>
            </w:r>
          </w:p>
        </w:tc>
      </w:tr>
      <w:tr w:rsidR="00010972" w:rsidTr="00DD145C">
        <w:tc>
          <w:tcPr>
            <w:tcW w:w="1803" w:type="dxa"/>
            <w:vMerge/>
            <w:tcBorders>
              <w:top w:val="dotted" w:sz="4" w:space="0" w:color="auto"/>
              <w:left w:val="single" w:sz="4" w:space="0" w:color="auto"/>
              <w:bottom w:val="dotted" w:sz="4" w:space="0" w:color="auto"/>
              <w:right w:val="single" w:sz="4" w:space="0" w:color="auto"/>
            </w:tcBorders>
            <w:vAlign w:val="center"/>
            <w:hideMark/>
          </w:tcPr>
          <w:p w:rsidR="00212B8B" w:rsidRDefault="00212B8B" w:rsidP="00212B8B">
            <w:pPr>
              <w:spacing w:after="0"/>
              <w:rPr>
                <w:rFonts w:ascii="Arial" w:hAnsi="Arial" w:cs="Arial"/>
                <w:sz w:val="16"/>
                <w:szCs w:val="16"/>
                <w:bdr w:val="nil"/>
              </w:rPr>
            </w:pPr>
          </w:p>
        </w:tc>
        <w:tc>
          <w:tcPr>
            <w:tcW w:w="5902" w:type="dxa"/>
            <w:gridSpan w:val="2"/>
            <w:tcBorders>
              <w:top w:val="dotted" w:sz="4" w:space="0" w:color="000000" w:themeColor="text1"/>
              <w:left w:val="single" w:sz="4" w:space="0" w:color="auto"/>
              <w:bottom w:val="dotted" w:sz="4" w:space="0" w:color="000000" w:themeColor="text1"/>
              <w:right w:val="single" w:sz="4" w:space="0" w:color="auto"/>
            </w:tcBorders>
            <w:hideMark/>
          </w:tcPr>
          <w:p w:rsidR="00212B8B" w:rsidRDefault="00D5482E" w:rsidP="00212B8B">
            <w:pPr>
              <w:keepLines/>
              <w:pBdr>
                <w:top w:val="nil"/>
                <w:left w:val="nil"/>
                <w:bottom w:val="nil"/>
                <w:right w:val="nil"/>
                <w:between w:val="nil"/>
                <w:bar w:val="nil"/>
              </w:pBdr>
              <w:tabs>
                <w:tab w:val="left" w:pos="709"/>
              </w:tabs>
              <w:spacing w:before="60" w:after="0" w:line="240" w:lineRule="auto"/>
              <w:rPr>
                <w:rFonts w:ascii="Arial" w:hAnsi="Arial" w:cs="Arial"/>
                <w:color w:val="000000"/>
                <w:sz w:val="16"/>
                <w:szCs w:val="16"/>
                <w:bdr w:val="nil"/>
              </w:rPr>
            </w:pPr>
            <w:r>
              <w:rPr>
                <w:rFonts w:ascii="Arial" w:eastAsia="Times New Roman" w:hAnsi="Arial" w:cs="Arial"/>
                <w:color w:val="000000"/>
                <w:sz w:val="16"/>
                <w:szCs w:val="16"/>
                <w:bdr w:val="nil"/>
              </w:rPr>
              <w:t>Outputs: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Administered outlays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before="60"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recipients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before="60"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Payment accuracy</w:t>
            </w:r>
          </w:p>
        </w:tc>
      </w:tr>
      <w:tr w:rsidR="00010972" w:rsidTr="00DD145C">
        <w:tc>
          <w:tcPr>
            <w:tcW w:w="1803"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72" w:type="dxa"/>
            <w:tcBorders>
              <w:top w:val="dotted" w:sz="4" w:space="0" w:color="000000" w:themeColor="text1"/>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c>
          <w:tcPr>
            <w:tcW w:w="2530" w:type="dxa"/>
            <w:tcBorders>
              <w:top w:val="dotted" w:sz="4" w:space="0" w:color="000000" w:themeColor="text1"/>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jc w:val="both"/>
              <w:rPr>
                <w:rFonts w:ascii="Arial" w:hAnsi="Arial" w:cs="Arial"/>
                <w:sz w:val="16"/>
                <w:szCs w:val="16"/>
                <w:bdr w:val="nil"/>
                <w:lang w:val="en-US"/>
              </w:rPr>
            </w:pPr>
            <w:r>
              <w:rPr>
                <w:rFonts w:ascii="Arial" w:eastAsia="Times New Roman" w:hAnsi="Arial" w:cs="Arial"/>
                <w:sz w:val="16"/>
                <w:szCs w:val="16"/>
                <w:bdr w:val="nil"/>
                <w:lang w:val="en-US"/>
              </w:rPr>
              <w:t>As per 2020-21</w:t>
            </w:r>
          </w:p>
        </w:tc>
      </w:tr>
      <w:tr w:rsidR="00010972" w:rsidTr="00DD145C">
        <w:tc>
          <w:tcPr>
            <w:tcW w:w="1803" w:type="dxa"/>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02" w:type="dxa"/>
            <w:gridSpan w:val="2"/>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Encourage self-reliance and support people who cannot fully support themselves by providing sustainable social security payments and assistance.</w:t>
            </w:r>
          </w:p>
        </w:tc>
      </w:tr>
      <w:tr w:rsidR="00010972" w:rsidTr="00DD145C">
        <w:tc>
          <w:tcPr>
            <w:tcW w:w="7705" w:type="dxa"/>
            <w:gridSpan w:val="3"/>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1.3: Nil.</w:t>
            </w:r>
          </w:p>
        </w:tc>
      </w:tr>
    </w:tbl>
    <w:p w:rsidR="00E7470E" w:rsidRDefault="00D5482E" w:rsidP="00E7470E">
      <w:pPr>
        <w:pStyle w:val="Normal0"/>
        <w:keepLines/>
        <w:pBdr>
          <w:top w:val="nil"/>
          <w:left w:val="nil"/>
          <w:bottom w:val="nil"/>
          <w:right w:val="nil"/>
          <w:between w:val="nil"/>
          <w:bar w:val="nil"/>
        </w:pBdr>
        <w:rPr>
          <w:bdr w:val="nil"/>
        </w:rPr>
      </w:pPr>
      <w:r>
        <w:rPr>
          <w:rFonts w:eastAsia="Times New Roman"/>
          <w:sz w:val="20"/>
          <w:szCs w:val="20"/>
          <w:bdr w:val="nil"/>
          <w:lang w:eastAsia="en-AU"/>
        </w:rPr>
        <w:br w:type="page"/>
      </w:r>
    </w:p>
    <w:p w:rsidR="00E7470E" w:rsidRDefault="00D5482E" w:rsidP="00657DF0">
      <w:pPr>
        <w:pStyle w:val="TableHeading"/>
        <w:keepLines/>
        <w:pBdr>
          <w:top w:val="nil"/>
          <w:left w:val="nil"/>
          <w:bottom w:val="nil"/>
          <w:right w:val="nil"/>
          <w:between w:val="nil"/>
          <w:bar w:val="nil"/>
        </w:pBdr>
        <w:spacing w:before="0" w:after="0"/>
        <w:rPr>
          <w:bdr w:val="nil"/>
        </w:rPr>
      </w:pPr>
      <w:r>
        <w:rPr>
          <w:bdr w:val="nil"/>
        </w:rPr>
        <w:lastRenderedPageBreak/>
        <w:t>Table 2.1.3: Performance criteria for Outcome 1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2"/>
        <w:gridCol w:w="3372"/>
        <w:gridCol w:w="2531"/>
      </w:tblGrid>
      <w:tr w:rsidR="00010972" w:rsidTr="00DD145C">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AEAEA"/>
            <w:hideMark/>
          </w:tcPr>
          <w:p w:rsidR="00E7470E" w:rsidRDefault="00D5482E" w:rsidP="0047558D">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1.4 –</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 xml:space="preserve">Income Support for People in Special Circumstances </w:t>
            </w:r>
            <w:r>
              <w:rPr>
                <w:rFonts w:ascii="Arial" w:eastAsia="Times New Roman" w:hAnsi="Arial" w:cs="Arial"/>
                <w:sz w:val="16"/>
                <w:szCs w:val="16"/>
                <w:bdr w:val="nil"/>
                <w:lang w:val="en-US"/>
              </w:rPr>
              <w:t>– To make payments to financially assist eligible people in severe financial hardship who do not have any other means of support. To make payments to Australians in circumstances beyond their control to support them in overcoming those circumstances and maintaining their financial wellbeing.</w:t>
            </w:r>
          </w:p>
        </w:tc>
      </w:tr>
      <w:tr w:rsidR="00010972" w:rsidTr="00DD145C">
        <w:tc>
          <w:tcPr>
            <w:tcW w:w="1802" w:type="dxa"/>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3" w:type="dxa"/>
            <w:gridSpan w:val="2"/>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DSS administers the program as part of the social security system.</w:t>
            </w:r>
          </w:p>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Payments under Special Circumstances are made to eligible claimants under the provisions of social security law and the PGPA Act.</w:t>
            </w:r>
          </w:p>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Bereavement Allowance payments are made through Services Australia to eligible claimants under the provisions of social security law.</w:t>
            </w:r>
          </w:p>
        </w:tc>
      </w:tr>
      <w:tr w:rsidR="00010972" w:rsidTr="00DD145C">
        <w:tc>
          <w:tcPr>
            <w:tcW w:w="7705" w:type="dxa"/>
            <w:gridSpan w:val="3"/>
            <w:tcBorders>
              <w:top w:val="doub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02"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72"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1"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02" w:type="dxa"/>
            <w:vMerge w:val="restart"/>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72" w:type="dxa"/>
            <w:tcBorders>
              <w:top w:val="dotted" w:sz="4" w:space="0" w:color="000000" w:themeColor="text1"/>
              <w:left w:val="single" w:sz="4" w:space="0" w:color="auto"/>
              <w:bottom w:val="dotted" w:sz="4" w:space="0" w:color="000000" w:themeColor="text1"/>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b/>
                <w:sz w:val="16"/>
                <w:szCs w:val="16"/>
                <w:bdr w:val="nil"/>
                <w:lang w:val="en-US" w:eastAsia="en-US"/>
              </w:rPr>
            </w:pPr>
            <w:r>
              <w:rPr>
                <w:rFonts w:ascii="Arial" w:hAnsi="Arial" w:cs="Arial"/>
                <w:color w:val="000000"/>
                <w:sz w:val="16"/>
                <w:szCs w:val="16"/>
                <w:bdr w:val="nil"/>
                <w:lang w:val="en-US" w:eastAsia="en-US"/>
              </w:rPr>
              <w:t>Agreements are in place (where relevant) with providers to ensure Payments under Special Circumstances are made in accordance with relevant legislation, policy, guidelines and contractual arrangements.</w:t>
            </w:r>
            <w:r>
              <w:rPr>
                <w:rFonts w:ascii="Arial" w:hAnsi="Arial" w:cs="Arial"/>
                <w:sz w:val="16"/>
                <w:szCs w:val="16"/>
                <w:bdr w:val="nil"/>
                <w:lang w:val="en-US" w:eastAsia="en-US"/>
              </w:rPr>
              <w:t xml:space="preserve"> </w:t>
            </w:r>
          </w:p>
        </w:tc>
        <w:tc>
          <w:tcPr>
            <w:tcW w:w="2531" w:type="dxa"/>
            <w:tcBorders>
              <w:top w:val="dotted" w:sz="4" w:space="0" w:color="000000" w:themeColor="text1"/>
              <w:left w:val="single" w:sz="4" w:space="0" w:color="auto"/>
              <w:bottom w:val="dotted" w:sz="4" w:space="0" w:color="000000" w:themeColor="text1"/>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b/>
                <w:sz w:val="16"/>
                <w:szCs w:val="16"/>
                <w:bdr w:val="nil"/>
                <w:lang w:val="en-US" w:eastAsia="en-US"/>
              </w:rPr>
            </w:pPr>
            <w:r>
              <w:rPr>
                <w:rFonts w:ascii="Arial" w:hAnsi="Arial" w:cs="Arial"/>
                <w:color w:val="000000"/>
                <w:sz w:val="16"/>
                <w:szCs w:val="16"/>
                <w:bdr w:val="nil"/>
                <w:lang w:val="en-US" w:eastAsia="en-US"/>
              </w:rPr>
              <w:t xml:space="preserve">100 per cent of payments are made in accordance with the individual agreements. </w:t>
            </w:r>
          </w:p>
        </w:tc>
      </w:tr>
      <w:tr w:rsidR="00010972" w:rsidTr="00DD145C">
        <w:tc>
          <w:tcPr>
            <w:tcW w:w="1802" w:type="dxa"/>
            <w:vMerge/>
            <w:tcBorders>
              <w:top w:val="dotted" w:sz="4" w:space="0" w:color="auto"/>
              <w:left w:val="single" w:sz="4" w:space="0" w:color="auto"/>
              <w:bottom w:val="dotted" w:sz="4" w:space="0" w:color="auto"/>
              <w:right w:val="single" w:sz="4" w:space="0" w:color="auto"/>
            </w:tcBorders>
            <w:vAlign w:val="center"/>
            <w:hideMark/>
          </w:tcPr>
          <w:p w:rsidR="00212B8B" w:rsidRDefault="00212B8B" w:rsidP="00212B8B">
            <w:pPr>
              <w:spacing w:after="0"/>
              <w:rPr>
                <w:rFonts w:ascii="Arial" w:hAnsi="Arial" w:cs="Arial"/>
                <w:sz w:val="16"/>
                <w:szCs w:val="16"/>
                <w:bdr w:val="nil"/>
              </w:rPr>
            </w:pPr>
          </w:p>
        </w:tc>
        <w:tc>
          <w:tcPr>
            <w:tcW w:w="5903" w:type="dxa"/>
            <w:gridSpan w:val="2"/>
            <w:tcBorders>
              <w:top w:val="dotted" w:sz="4" w:space="0" w:color="000000" w:themeColor="text1"/>
              <w:left w:val="single" w:sz="4" w:space="0" w:color="auto"/>
              <w:bottom w:val="dotted" w:sz="4" w:space="0" w:color="000000" w:themeColor="text1"/>
              <w:right w:val="single" w:sz="4" w:space="0" w:color="auto"/>
            </w:tcBorders>
            <w:hideMark/>
          </w:tcPr>
          <w:p w:rsidR="00212B8B" w:rsidRDefault="00D5482E" w:rsidP="00212B8B">
            <w:pPr>
              <w:keepLines/>
              <w:pBdr>
                <w:top w:val="nil"/>
                <w:left w:val="nil"/>
                <w:bottom w:val="nil"/>
                <w:right w:val="nil"/>
                <w:between w:val="nil"/>
                <w:bar w:val="nil"/>
              </w:pBdr>
              <w:tabs>
                <w:tab w:val="left" w:pos="709"/>
              </w:tabs>
              <w:spacing w:before="60" w:after="0" w:line="240" w:lineRule="auto"/>
              <w:rPr>
                <w:rFonts w:ascii="Arial" w:hAnsi="Arial" w:cs="Arial"/>
                <w:color w:val="000000"/>
                <w:sz w:val="16"/>
                <w:szCs w:val="16"/>
                <w:bdr w:val="nil"/>
              </w:rPr>
            </w:pPr>
            <w:r>
              <w:rPr>
                <w:rFonts w:ascii="Arial" w:eastAsia="Times New Roman" w:hAnsi="Arial" w:cs="Arial"/>
                <w:color w:val="000000"/>
                <w:sz w:val="16"/>
                <w:szCs w:val="16"/>
                <w:bdr w:val="nil"/>
              </w:rPr>
              <w:t>Outputs: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Administered outlays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before="60"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recipients</w:t>
            </w:r>
          </w:p>
        </w:tc>
      </w:tr>
      <w:tr w:rsidR="00010972" w:rsidTr="00DD145C">
        <w:tc>
          <w:tcPr>
            <w:tcW w:w="1802"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72" w:type="dxa"/>
            <w:tcBorders>
              <w:top w:val="dotted" w:sz="4" w:space="0" w:color="000000" w:themeColor="text1"/>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c>
          <w:tcPr>
            <w:tcW w:w="2531" w:type="dxa"/>
            <w:tcBorders>
              <w:top w:val="dotted" w:sz="4" w:space="0" w:color="000000" w:themeColor="text1"/>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jc w:val="both"/>
              <w:rPr>
                <w:rFonts w:ascii="Arial" w:hAnsi="Arial" w:cs="Arial"/>
                <w:sz w:val="16"/>
                <w:szCs w:val="16"/>
                <w:bdr w:val="nil"/>
                <w:lang w:val="en-US"/>
              </w:rPr>
            </w:pPr>
            <w:r>
              <w:rPr>
                <w:rFonts w:ascii="Arial" w:eastAsia="Times New Roman" w:hAnsi="Arial" w:cs="Arial"/>
                <w:sz w:val="16"/>
                <w:szCs w:val="16"/>
                <w:bdr w:val="nil"/>
                <w:lang w:val="en-US"/>
              </w:rPr>
              <w:t>As per 2020-21</w:t>
            </w:r>
          </w:p>
        </w:tc>
      </w:tr>
      <w:tr w:rsidR="00010972" w:rsidTr="00DD145C">
        <w:tc>
          <w:tcPr>
            <w:tcW w:w="1802" w:type="dxa"/>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03" w:type="dxa"/>
            <w:gridSpan w:val="2"/>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Encourage self-reliance and support people who cannot fully support themselves by providing sustainable social security payments and assistance.</w:t>
            </w:r>
          </w:p>
        </w:tc>
      </w:tr>
      <w:tr w:rsidR="00010972" w:rsidTr="00DD145C">
        <w:tc>
          <w:tcPr>
            <w:tcW w:w="7705" w:type="dxa"/>
            <w:gridSpan w:val="3"/>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1.4: Nil.</w:t>
            </w:r>
          </w:p>
        </w:tc>
      </w:tr>
    </w:tbl>
    <w:p w:rsidR="00E7470E" w:rsidRDefault="00D5482E" w:rsidP="00E7470E">
      <w:pPr>
        <w:pStyle w:val="Normal0"/>
        <w:keepLines/>
        <w:pBdr>
          <w:top w:val="nil"/>
          <w:left w:val="nil"/>
          <w:bottom w:val="nil"/>
          <w:right w:val="nil"/>
          <w:between w:val="nil"/>
          <w:bar w:val="nil"/>
        </w:pBdr>
        <w:spacing w:after="240" w:line="260" w:lineRule="exact"/>
        <w:jc w:val="both"/>
        <w:rPr>
          <w:bdr w:val="nil"/>
        </w:rPr>
      </w:pPr>
      <w:r>
        <w:rPr>
          <w:rFonts w:eastAsia="Times New Roman"/>
          <w:sz w:val="20"/>
          <w:szCs w:val="20"/>
          <w:bdr w:val="nil"/>
          <w:lang w:eastAsia="en-AU"/>
        </w:rPr>
        <w:br w:type="page"/>
      </w:r>
    </w:p>
    <w:p w:rsidR="00E7470E" w:rsidRDefault="00D5482E" w:rsidP="00657DF0">
      <w:pPr>
        <w:pStyle w:val="TableHeading"/>
        <w:keepLines/>
        <w:pBdr>
          <w:top w:val="nil"/>
          <w:left w:val="nil"/>
          <w:bottom w:val="nil"/>
          <w:right w:val="nil"/>
          <w:between w:val="nil"/>
          <w:bar w:val="nil"/>
        </w:pBdr>
        <w:spacing w:before="0" w:after="0"/>
        <w:rPr>
          <w:bdr w:val="nil"/>
        </w:rPr>
      </w:pPr>
      <w:r>
        <w:rPr>
          <w:bdr w:val="nil"/>
        </w:rPr>
        <w:lastRenderedPageBreak/>
        <w:t>Table 2.1.3: Performance criteria for Outcome 1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2"/>
        <w:gridCol w:w="3372"/>
        <w:gridCol w:w="2531"/>
      </w:tblGrid>
      <w:tr w:rsidR="00010972" w:rsidTr="00DD145C">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AEAEA"/>
            <w:hideMark/>
          </w:tcPr>
          <w:p w:rsidR="00E7470E" w:rsidRDefault="00D5482E" w:rsidP="0047558D">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1.5 –</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 xml:space="preserve">Supplementary Payments and Support for Income Support Recipients </w:t>
            </w:r>
            <w:r>
              <w:rPr>
                <w:rFonts w:ascii="Arial" w:eastAsia="Times New Roman" w:hAnsi="Arial" w:cs="Arial"/>
                <w:sz w:val="16"/>
                <w:szCs w:val="16"/>
                <w:bdr w:val="nil"/>
                <w:lang w:val="en-US"/>
              </w:rPr>
              <w:t>– To make payments and subsidise services to certain income support recipients and low income households to assist them financially and to help them continue to participate economically and socially.</w:t>
            </w:r>
          </w:p>
        </w:tc>
      </w:tr>
      <w:tr w:rsidR="00010972" w:rsidTr="00DD145C">
        <w:tc>
          <w:tcPr>
            <w:tcW w:w="1802" w:type="dxa"/>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3" w:type="dxa"/>
            <w:gridSpan w:val="2"/>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DSS administers the program as part of the social security system.</w:t>
            </w:r>
          </w:p>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Essential Medical Equipment Payment and Utilities Allowance are made through Services Australia to eligible claimants under the provisions of social security law.</w:t>
            </w:r>
          </w:p>
        </w:tc>
      </w:tr>
      <w:tr w:rsidR="00010972" w:rsidTr="00DD145C">
        <w:tc>
          <w:tcPr>
            <w:tcW w:w="7705" w:type="dxa"/>
            <w:gridSpan w:val="3"/>
            <w:tcBorders>
              <w:top w:val="double" w:sz="4" w:space="0" w:color="auto"/>
              <w:left w:val="single" w:sz="4" w:space="0" w:color="auto"/>
              <w:bottom w:val="double" w:sz="4" w:space="0" w:color="000000" w:themeColor="text1"/>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02" w:type="dxa"/>
            <w:tcBorders>
              <w:top w:val="double" w:sz="4" w:space="0" w:color="000000" w:themeColor="text1"/>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72" w:type="dxa"/>
            <w:tcBorders>
              <w:top w:val="double" w:sz="4" w:space="0" w:color="000000" w:themeColor="text1"/>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1" w:type="dxa"/>
            <w:tcBorders>
              <w:top w:val="double" w:sz="4" w:space="0" w:color="000000" w:themeColor="text1"/>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02" w:type="dxa"/>
            <w:vMerge w:val="restart"/>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72" w:type="dxa"/>
            <w:tcBorders>
              <w:top w:val="dotted" w:sz="4" w:space="0" w:color="000000" w:themeColor="text1"/>
              <w:left w:val="single" w:sz="4" w:space="0" w:color="auto"/>
              <w:bottom w:val="dotted" w:sz="4" w:space="0" w:color="auto"/>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sz w:val="16"/>
                <w:szCs w:val="16"/>
                <w:bdr w:val="nil"/>
                <w:lang w:val="en-US" w:eastAsia="en-US"/>
              </w:rPr>
            </w:pPr>
            <w:r>
              <w:rPr>
                <w:rFonts w:ascii="Arial" w:hAnsi="Arial" w:cs="Arial"/>
                <w:color w:val="000000"/>
                <w:sz w:val="16"/>
                <w:szCs w:val="16"/>
                <w:bdr w:val="nil"/>
                <w:lang w:val="en-US" w:eastAsia="en-US"/>
              </w:rPr>
              <w:t>Extent to which payments are made to, or with respect to, people unable to fully support themselves.</w:t>
            </w:r>
            <w:r>
              <w:rPr>
                <w:rFonts w:ascii="Arial" w:hAnsi="Arial" w:cs="Arial"/>
                <w:sz w:val="16"/>
                <w:szCs w:val="16"/>
                <w:bdr w:val="nil"/>
                <w:lang w:val="en-US" w:eastAsia="en-US"/>
              </w:rPr>
              <w:t xml:space="preserve"> </w:t>
            </w:r>
          </w:p>
        </w:tc>
        <w:tc>
          <w:tcPr>
            <w:tcW w:w="2531" w:type="dxa"/>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b/>
                <w:sz w:val="16"/>
                <w:szCs w:val="16"/>
                <w:bdr w:val="nil"/>
                <w:lang w:val="en-US" w:eastAsia="en-US"/>
              </w:rPr>
            </w:pPr>
            <w:r>
              <w:rPr>
                <w:rFonts w:ascii="Arial" w:hAnsi="Arial" w:cs="Arial"/>
                <w:color w:val="000000"/>
                <w:sz w:val="16"/>
                <w:szCs w:val="16"/>
                <w:bdr w:val="nil"/>
                <w:lang w:val="en-US" w:eastAsia="en-US"/>
              </w:rPr>
              <w:t>Changes in Utilities Allowance recipient numbers align with movements in the total number of people receiving Partner Allowance, Widow Allowance and Disability Support Pension (who are younger than 21 with no dependent children).</w:t>
            </w:r>
            <w:r>
              <w:rPr>
                <w:rFonts w:ascii="Arial" w:hAnsi="Arial" w:cs="Arial"/>
                <w:sz w:val="16"/>
                <w:szCs w:val="16"/>
                <w:bdr w:val="nil"/>
                <w:lang w:val="en-US" w:eastAsia="en-US"/>
              </w:rPr>
              <w:t xml:space="preserve"> </w:t>
            </w:r>
          </w:p>
        </w:tc>
      </w:tr>
      <w:tr w:rsidR="00010972" w:rsidTr="00DD145C">
        <w:tc>
          <w:tcPr>
            <w:tcW w:w="1802" w:type="dxa"/>
            <w:vMerge/>
            <w:tcBorders>
              <w:top w:val="dotted" w:sz="4" w:space="0" w:color="auto"/>
              <w:left w:val="single" w:sz="4" w:space="0" w:color="auto"/>
              <w:bottom w:val="dotted" w:sz="4" w:space="0" w:color="auto"/>
              <w:right w:val="single" w:sz="4" w:space="0" w:color="auto"/>
            </w:tcBorders>
            <w:vAlign w:val="center"/>
            <w:hideMark/>
          </w:tcPr>
          <w:p w:rsidR="00212B8B" w:rsidRDefault="00212B8B" w:rsidP="00212B8B">
            <w:pPr>
              <w:spacing w:after="0"/>
              <w:rPr>
                <w:rFonts w:ascii="Arial" w:hAnsi="Arial" w:cs="Arial"/>
                <w:sz w:val="16"/>
                <w:szCs w:val="16"/>
                <w:bdr w:val="nil"/>
              </w:rPr>
            </w:pPr>
          </w:p>
        </w:tc>
        <w:tc>
          <w:tcPr>
            <w:tcW w:w="5903" w:type="dxa"/>
            <w:gridSpan w:val="2"/>
            <w:tcBorders>
              <w:top w:val="dotted" w:sz="4" w:space="0" w:color="auto"/>
              <w:left w:val="single" w:sz="4" w:space="0" w:color="auto"/>
              <w:bottom w:val="dotted" w:sz="4" w:space="0" w:color="000000" w:themeColor="text1"/>
              <w:right w:val="single" w:sz="4" w:space="0" w:color="auto"/>
            </w:tcBorders>
            <w:hideMark/>
          </w:tcPr>
          <w:p w:rsidR="00212B8B" w:rsidRDefault="00D5482E" w:rsidP="00212B8B">
            <w:pPr>
              <w:keepLines/>
              <w:pBdr>
                <w:top w:val="nil"/>
                <w:left w:val="nil"/>
                <w:bottom w:val="nil"/>
                <w:right w:val="nil"/>
                <w:between w:val="nil"/>
                <w:bar w:val="nil"/>
              </w:pBdr>
              <w:tabs>
                <w:tab w:val="left" w:pos="709"/>
              </w:tabs>
              <w:spacing w:before="60" w:after="0" w:line="240" w:lineRule="auto"/>
              <w:rPr>
                <w:rFonts w:ascii="Arial" w:hAnsi="Arial" w:cs="Arial"/>
                <w:color w:val="000000"/>
                <w:sz w:val="16"/>
                <w:szCs w:val="16"/>
                <w:bdr w:val="nil"/>
              </w:rPr>
            </w:pPr>
            <w:r>
              <w:rPr>
                <w:rFonts w:ascii="Arial" w:eastAsia="Times New Roman" w:hAnsi="Arial" w:cs="Arial"/>
                <w:color w:val="000000"/>
                <w:sz w:val="16"/>
                <w:szCs w:val="16"/>
                <w:bdr w:val="nil"/>
              </w:rPr>
              <w:t>Outputs: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Administered outlays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before="60"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recipients</w:t>
            </w:r>
          </w:p>
        </w:tc>
      </w:tr>
      <w:tr w:rsidR="00010972" w:rsidTr="00DD145C">
        <w:tc>
          <w:tcPr>
            <w:tcW w:w="1802"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72" w:type="dxa"/>
            <w:tcBorders>
              <w:top w:val="dotted" w:sz="4" w:space="0" w:color="000000" w:themeColor="text1"/>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c>
          <w:tcPr>
            <w:tcW w:w="2531" w:type="dxa"/>
            <w:tcBorders>
              <w:top w:val="dotted" w:sz="4" w:space="0" w:color="000000" w:themeColor="text1"/>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jc w:val="both"/>
              <w:rPr>
                <w:rFonts w:ascii="Arial" w:hAnsi="Arial" w:cs="Arial"/>
                <w:sz w:val="16"/>
                <w:szCs w:val="16"/>
                <w:bdr w:val="nil"/>
                <w:lang w:val="en-US"/>
              </w:rPr>
            </w:pPr>
            <w:r>
              <w:rPr>
                <w:rFonts w:ascii="Arial" w:eastAsia="Times New Roman" w:hAnsi="Arial" w:cs="Arial"/>
                <w:sz w:val="16"/>
                <w:szCs w:val="16"/>
                <w:bdr w:val="nil"/>
                <w:lang w:val="en-US"/>
              </w:rPr>
              <w:t>As per 2020-21</w:t>
            </w:r>
          </w:p>
        </w:tc>
      </w:tr>
      <w:tr w:rsidR="00010972" w:rsidTr="00DD145C">
        <w:tc>
          <w:tcPr>
            <w:tcW w:w="1802" w:type="dxa"/>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03" w:type="dxa"/>
            <w:gridSpan w:val="2"/>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Encourage self-reliance and support people who cannot fully support themselves by providing sustainable social security payments and assistance.</w:t>
            </w:r>
          </w:p>
        </w:tc>
      </w:tr>
      <w:tr w:rsidR="00010972" w:rsidTr="00DD145C">
        <w:tc>
          <w:tcPr>
            <w:tcW w:w="7705" w:type="dxa"/>
            <w:gridSpan w:val="3"/>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1.5: Nil.</w:t>
            </w:r>
          </w:p>
        </w:tc>
      </w:tr>
    </w:tbl>
    <w:p w:rsidR="00E7470E" w:rsidRDefault="00D5482E" w:rsidP="00E7470E">
      <w:pPr>
        <w:pStyle w:val="Normal0"/>
        <w:keepLines/>
        <w:pBdr>
          <w:top w:val="nil"/>
          <w:left w:val="nil"/>
          <w:bottom w:val="nil"/>
          <w:right w:val="nil"/>
          <w:between w:val="nil"/>
          <w:bar w:val="nil"/>
        </w:pBdr>
        <w:spacing w:after="240" w:line="260" w:lineRule="exact"/>
        <w:jc w:val="both"/>
        <w:rPr>
          <w:bdr w:val="nil"/>
        </w:rPr>
      </w:pPr>
      <w:r>
        <w:rPr>
          <w:rFonts w:eastAsia="Times New Roman"/>
          <w:sz w:val="20"/>
          <w:szCs w:val="20"/>
          <w:bdr w:val="nil"/>
          <w:lang w:eastAsia="en-AU"/>
        </w:rPr>
        <w:br w:type="page"/>
      </w:r>
    </w:p>
    <w:p w:rsidR="00E7470E" w:rsidRDefault="00D5482E" w:rsidP="00657DF0">
      <w:pPr>
        <w:pStyle w:val="TableHeading"/>
        <w:keepLines/>
        <w:pBdr>
          <w:top w:val="nil"/>
          <w:left w:val="nil"/>
          <w:bottom w:val="nil"/>
          <w:right w:val="nil"/>
          <w:between w:val="nil"/>
          <w:bar w:val="nil"/>
        </w:pBdr>
        <w:spacing w:before="0" w:after="0"/>
        <w:rPr>
          <w:bdr w:val="nil"/>
        </w:rPr>
      </w:pPr>
      <w:r>
        <w:rPr>
          <w:bdr w:val="nil"/>
        </w:rPr>
        <w:lastRenderedPageBreak/>
        <w:t>Table 2.1.3: Performance criteria for Outcome 1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3"/>
        <w:gridCol w:w="3372"/>
        <w:gridCol w:w="2530"/>
      </w:tblGrid>
      <w:tr w:rsidR="00010972" w:rsidTr="00DD145C">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AEAEA"/>
            <w:hideMark/>
          </w:tcPr>
          <w:p w:rsidR="00E7470E" w:rsidRDefault="00D5482E" w:rsidP="0047558D">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1.6 –</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Income Support for Seniors</w:t>
            </w:r>
            <w:r>
              <w:rPr>
                <w:rFonts w:ascii="Arial" w:eastAsia="Times New Roman" w:hAnsi="Arial" w:cs="Arial"/>
                <w:sz w:val="16"/>
                <w:szCs w:val="16"/>
                <w:bdr w:val="nil"/>
                <w:lang w:val="en-US"/>
              </w:rPr>
              <w:t xml:space="preserve"> – To make payments to senior Australians to assist them financially in a manner that encourages them to productively manage resources and life transitions.</w:t>
            </w:r>
          </w:p>
        </w:tc>
      </w:tr>
      <w:tr w:rsidR="00010972" w:rsidTr="00DD145C">
        <w:tc>
          <w:tcPr>
            <w:tcW w:w="1803" w:type="dxa"/>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2" w:type="dxa"/>
            <w:gridSpan w:val="2"/>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DSS administers the program as part of the social security system.</w:t>
            </w:r>
          </w:p>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Payments are made through Services Australia to eligible claimants under the provisions of social security law.</w:t>
            </w:r>
          </w:p>
        </w:tc>
      </w:tr>
      <w:tr w:rsidR="00010972" w:rsidTr="00DD145C">
        <w:tc>
          <w:tcPr>
            <w:tcW w:w="7705" w:type="dxa"/>
            <w:gridSpan w:val="3"/>
            <w:tcBorders>
              <w:top w:val="doub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03" w:type="dxa"/>
            <w:tcBorders>
              <w:top w:val="double" w:sz="4" w:space="0" w:color="auto"/>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72" w:type="dxa"/>
            <w:tcBorders>
              <w:top w:val="double" w:sz="4" w:space="0" w:color="auto"/>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0" w:type="dxa"/>
            <w:tcBorders>
              <w:top w:val="double" w:sz="4" w:space="0" w:color="auto"/>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03" w:type="dxa"/>
            <w:vMerge w:val="restart"/>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72" w:type="dxa"/>
            <w:tcBorders>
              <w:top w:val="dotted" w:sz="4" w:space="0" w:color="000000" w:themeColor="text1"/>
              <w:left w:val="single" w:sz="4" w:space="0" w:color="auto"/>
              <w:bottom w:val="dotted" w:sz="4" w:space="0" w:color="auto"/>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sz w:val="16"/>
                <w:szCs w:val="16"/>
                <w:bdr w:val="nil"/>
                <w:lang w:val="en-US" w:eastAsia="en-US"/>
              </w:rPr>
            </w:pPr>
            <w:r>
              <w:rPr>
                <w:rFonts w:ascii="Arial" w:hAnsi="Arial" w:cs="Arial"/>
                <w:color w:val="000000"/>
                <w:sz w:val="16"/>
                <w:szCs w:val="16"/>
                <w:bdr w:val="nil"/>
                <w:lang w:val="en-US" w:eastAsia="en-US"/>
              </w:rPr>
              <w:t>Extent to which people over the Age Pension qualification age are supported in their retirement through the Age Pension or other income support.</w:t>
            </w:r>
          </w:p>
        </w:tc>
        <w:tc>
          <w:tcPr>
            <w:tcW w:w="2530" w:type="dxa"/>
            <w:tcBorders>
              <w:top w:val="dotted" w:sz="4" w:space="0" w:color="000000" w:themeColor="text1"/>
              <w:left w:val="single" w:sz="4" w:space="0" w:color="auto"/>
              <w:bottom w:val="dotted" w:sz="4" w:space="0" w:color="auto"/>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color w:val="000000"/>
                <w:sz w:val="16"/>
                <w:szCs w:val="16"/>
                <w:bdr w:val="nil"/>
                <w:lang w:val="en-US" w:eastAsia="en-US"/>
              </w:rPr>
              <w:t>75 per cent or below of people of age pension age are supported by the Age Pension or other income support.</w:t>
            </w:r>
          </w:p>
        </w:tc>
      </w:tr>
      <w:tr w:rsidR="00010972" w:rsidTr="00DD145C">
        <w:tc>
          <w:tcPr>
            <w:tcW w:w="1803" w:type="dxa"/>
            <w:vMerge/>
            <w:tcBorders>
              <w:top w:val="dotted" w:sz="4" w:space="0" w:color="auto"/>
              <w:left w:val="single" w:sz="4" w:space="0" w:color="auto"/>
              <w:bottom w:val="dotted" w:sz="4" w:space="0" w:color="auto"/>
              <w:right w:val="single" w:sz="4" w:space="0" w:color="auto"/>
            </w:tcBorders>
            <w:vAlign w:val="center"/>
            <w:hideMark/>
          </w:tcPr>
          <w:p w:rsidR="00212B8B" w:rsidRDefault="00212B8B" w:rsidP="00212B8B">
            <w:pPr>
              <w:spacing w:after="0"/>
              <w:rPr>
                <w:rFonts w:ascii="Arial" w:hAnsi="Arial" w:cs="Arial"/>
                <w:sz w:val="16"/>
                <w:szCs w:val="16"/>
                <w:bdr w:val="nil"/>
              </w:rPr>
            </w:pPr>
          </w:p>
        </w:tc>
        <w:tc>
          <w:tcPr>
            <w:tcW w:w="5902" w:type="dxa"/>
            <w:gridSpan w:val="2"/>
            <w:tcBorders>
              <w:top w:val="dotted" w:sz="4" w:space="0" w:color="auto"/>
              <w:left w:val="single" w:sz="4" w:space="0" w:color="auto"/>
              <w:bottom w:val="dotted"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0" w:line="240" w:lineRule="auto"/>
              <w:rPr>
                <w:rFonts w:ascii="Arial" w:hAnsi="Arial" w:cs="Arial"/>
                <w:sz w:val="16"/>
                <w:szCs w:val="16"/>
                <w:bdr w:val="nil"/>
                <w:lang w:val="en-US"/>
              </w:rPr>
            </w:pPr>
            <w:r>
              <w:rPr>
                <w:rFonts w:ascii="Arial" w:eastAsia="Times New Roman" w:hAnsi="Arial" w:cs="Arial"/>
                <w:sz w:val="16"/>
                <w:szCs w:val="16"/>
                <w:bdr w:val="nil"/>
                <w:lang w:val="en-US"/>
              </w:rPr>
              <w:t>Outputs: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rPr>
            </w:pPr>
            <w:r>
              <w:rPr>
                <w:rFonts w:ascii="Arial" w:eastAsia="Times New Roman" w:hAnsi="Arial" w:cs="Arial"/>
                <w:sz w:val="16"/>
                <w:szCs w:val="16"/>
                <w:bdr w:val="nil"/>
                <w:lang w:val="en-AU"/>
              </w:rPr>
              <w:t>Administered outlays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after="60" w:line="240" w:lineRule="auto"/>
              <w:rPr>
                <w:rFonts w:eastAsia="Times New Roman" w:cs="Arial"/>
                <w:sz w:val="16"/>
                <w:szCs w:val="16"/>
                <w:bdr w:val="nil"/>
                <w:lang w:val="en-AU"/>
              </w:rPr>
            </w:pPr>
            <w:r>
              <w:rPr>
                <w:rFonts w:ascii="Arial" w:eastAsia="Times New Roman" w:hAnsi="Arial" w:cs="Arial"/>
                <w:sz w:val="16"/>
                <w:szCs w:val="16"/>
                <w:bdr w:val="nil"/>
                <w:lang w:val="en-AU"/>
              </w:rPr>
              <w:t>Number of recipients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after="60" w:line="240" w:lineRule="auto"/>
              <w:rPr>
                <w:rFonts w:eastAsia="Times New Roman" w:cs="Arial"/>
                <w:color w:val="000000"/>
                <w:sz w:val="16"/>
                <w:szCs w:val="16"/>
                <w:bdr w:val="nil"/>
                <w:lang w:val="en-AU"/>
              </w:rPr>
            </w:pPr>
            <w:r>
              <w:rPr>
                <w:rFonts w:ascii="Arial" w:eastAsia="Times New Roman" w:hAnsi="Arial" w:cs="Arial"/>
                <w:sz w:val="16"/>
                <w:szCs w:val="16"/>
                <w:bdr w:val="nil"/>
                <w:lang w:val="en-AU"/>
              </w:rPr>
              <w:t xml:space="preserve">Payment accuracy </w:t>
            </w:r>
          </w:p>
        </w:tc>
      </w:tr>
      <w:tr w:rsidR="00010972" w:rsidTr="00DD145C">
        <w:tc>
          <w:tcPr>
            <w:tcW w:w="1803" w:type="dxa"/>
            <w:tcBorders>
              <w:top w:val="dotted" w:sz="4" w:space="0" w:color="auto"/>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72" w:type="dxa"/>
            <w:tcBorders>
              <w:top w:val="dotted" w:sz="4" w:space="0" w:color="000000" w:themeColor="text1"/>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c>
          <w:tcPr>
            <w:tcW w:w="2530" w:type="dxa"/>
            <w:tcBorders>
              <w:top w:val="dotted" w:sz="4" w:space="0" w:color="000000" w:themeColor="text1"/>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jc w:val="both"/>
              <w:rPr>
                <w:rFonts w:ascii="Arial" w:hAnsi="Arial" w:cs="Arial"/>
                <w:sz w:val="16"/>
                <w:szCs w:val="16"/>
                <w:bdr w:val="nil"/>
                <w:lang w:val="en-US"/>
              </w:rPr>
            </w:pPr>
            <w:r>
              <w:rPr>
                <w:rFonts w:ascii="Arial" w:eastAsia="Times New Roman" w:hAnsi="Arial" w:cs="Arial"/>
                <w:sz w:val="16"/>
                <w:szCs w:val="16"/>
                <w:bdr w:val="nil"/>
                <w:lang w:val="en-US"/>
              </w:rPr>
              <w:t>As per 2020-21</w:t>
            </w:r>
          </w:p>
        </w:tc>
      </w:tr>
      <w:tr w:rsidR="00010972" w:rsidTr="00DD145C">
        <w:tc>
          <w:tcPr>
            <w:tcW w:w="1803" w:type="dxa"/>
            <w:tcBorders>
              <w:top w:val="single" w:sz="4" w:space="0" w:color="000000" w:themeColor="text1"/>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02" w:type="dxa"/>
            <w:gridSpan w:val="2"/>
            <w:tcBorders>
              <w:top w:val="single" w:sz="4" w:space="0" w:color="000000" w:themeColor="text1"/>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Encourage self-reliance and support people who cannot fully support themselves by providing sustainable social security payments and assistance.</w:t>
            </w:r>
          </w:p>
        </w:tc>
      </w:tr>
      <w:tr w:rsidR="00010972" w:rsidTr="00DD145C">
        <w:tc>
          <w:tcPr>
            <w:tcW w:w="7705" w:type="dxa"/>
            <w:gridSpan w:val="3"/>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1.6: Nil.</w:t>
            </w:r>
          </w:p>
        </w:tc>
      </w:tr>
    </w:tbl>
    <w:p w:rsidR="00E7470E" w:rsidRDefault="00D5482E" w:rsidP="00E7470E">
      <w:pPr>
        <w:pStyle w:val="Normal0"/>
        <w:keepLines/>
        <w:numPr>
          <w:ilvl w:val="0"/>
          <w:numId w:val="17"/>
        </w:numPr>
        <w:pBdr>
          <w:top w:val="nil"/>
          <w:left w:val="nil"/>
          <w:bottom w:val="nil"/>
          <w:right w:val="nil"/>
          <w:between w:val="nil"/>
          <w:bar w:val="nil"/>
        </w:pBdr>
        <w:spacing w:after="240" w:line="260" w:lineRule="exact"/>
        <w:jc w:val="both"/>
        <w:rPr>
          <w:bdr w:val="nil"/>
        </w:rPr>
      </w:pPr>
      <w:r>
        <w:rPr>
          <w:rFonts w:eastAsia="Times New Roman"/>
          <w:sz w:val="20"/>
          <w:szCs w:val="20"/>
          <w:bdr w:val="nil"/>
          <w:lang w:eastAsia="en-AU"/>
        </w:rPr>
        <w:br w:type="page"/>
      </w:r>
    </w:p>
    <w:p w:rsidR="00E7470E" w:rsidRDefault="00D5482E" w:rsidP="00657DF0">
      <w:pPr>
        <w:pStyle w:val="TableHeading"/>
        <w:keepLines/>
        <w:pBdr>
          <w:top w:val="nil"/>
          <w:left w:val="nil"/>
          <w:bottom w:val="nil"/>
          <w:right w:val="nil"/>
          <w:between w:val="nil"/>
          <w:bar w:val="nil"/>
        </w:pBdr>
        <w:spacing w:before="0" w:after="0"/>
        <w:rPr>
          <w:bdr w:val="nil"/>
        </w:rPr>
      </w:pPr>
      <w:r>
        <w:rPr>
          <w:bdr w:val="nil"/>
        </w:rPr>
        <w:lastRenderedPageBreak/>
        <w:t>Table 2.1.3: Performance criteria for Outcome 1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2"/>
        <w:gridCol w:w="3369"/>
        <w:gridCol w:w="2534"/>
      </w:tblGrid>
      <w:tr w:rsidR="00010972" w:rsidTr="00DD145C">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AEAEA"/>
            <w:hideMark/>
          </w:tcPr>
          <w:p w:rsidR="00E7470E" w:rsidRDefault="00D5482E" w:rsidP="0047558D">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1.7 –</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Allowances and Concessions for Seniors</w:t>
            </w:r>
            <w:r>
              <w:rPr>
                <w:rFonts w:ascii="Arial" w:eastAsia="Times New Roman" w:hAnsi="Arial" w:cs="Arial"/>
                <w:sz w:val="16"/>
                <w:szCs w:val="16"/>
                <w:bdr w:val="nil"/>
                <w:lang w:val="en-US"/>
              </w:rPr>
              <w:t xml:space="preserve"> – To make payments and provide services to senior Australians to assist with household expenses, enabling them to maintain their standard of living.</w:t>
            </w:r>
          </w:p>
        </w:tc>
      </w:tr>
      <w:tr w:rsidR="00010972" w:rsidTr="00DD145C">
        <w:tc>
          <w:tcPr>
            <w:tcW w:w="1802" w:type="dxa"/>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3" w:type="dxa"/>
            <w:gridSpan w:val="2"/>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DSS administers the program as part of the social security system.</w:t>
            </w:r>
          </w:p>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Payments are made through Services Australia to eligible claimants under the provisions of social security law.</w:t>
            </w:r>
          </w:p>
        </w:tc>
      </w:tr>
      <w:tr w:rsidR="00010972" w:rsidTr="00DD145C">
        <w:tc>
          <w:tcPr>
            <w:tcW w:w="7705" w:type="dxa"/>
            <w:gridSpan w:val="3"/>
            <w:tcBorders>
              <w:top w:val="doub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02" w:type="dxa"/>
            <w:tcBorders>
              <w:top w:val="double" w:sz="4" w:space="0" w:color="auto"/>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69" w:type="dxa"/>
            <w:tcBorders>
              <w:top w:val="double" w:sz="4" w:space="0" w:color="auto"/>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4" w:type="dxa"/>
            <w:tcBorders>
              <w:top w:val="double" w:sz="4" w:space="0" w:color="auto"/>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02" w:type="dxa"/>
            <w:vMerge w:val="restart"/>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69" w:type="dxa"/>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b/>
                <w:sz w:val="16"/>
                <w:szCs w:val="16"/>
                <w:bdr w:val="nil"/>
                <w:lang w:val="en-US" w:eastAsia="en-US"/>
              </w:rPr>
            </w:pPr>
            <w:r>
              <w:rPr>
                <w:rFonts w:ascii="Arial" w:hAnsi="Arial" w:cs="Arial"/>
                <w:color w:val="000000"/>
                <w:sz w:val="16"/>
                <w:szCs w:val="16"/>
                <w:bdr w:val="nil"/>
                <w:lang w:val="en-US" w:eastAsia="en-US"/>
              </w:rPr>
              <w:t>To provide financial support to eligible senior Australians to assist with their household expenses.</w:t>
            </w:r>
          </w:p>
        </w:tc>
        <w:tc>
          <w:tcPr>
            <w:tcW w:w="2534" w:type="dxa"/>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b/>
                <w:sz w:val="16"/>
                <w:szCs w:val="16"/>
                <w:bdr w:val="nil"/>
                <w:lang w:val="en-US" w:eastAsia="en-US"/>
              </w:rPr>
            </w:pPr>
            <w:r>
              <w:rPr>
                <w:rFonts w:ascii="Arial" w:hAnsi="Arial" w:cs="Arial"/>
                <w:color w:val="000000"/>
                <w:sz w:val="16"/>
                <w:szCs w:val="16"/>
                <w:bdr w:val="nil"/>
                <w:lang w:val="en-US" w:eastAsia="en-US"/>
              </w:rPr>
              <w:t>100 per cent of eligible Commonwealth Health Card holders receive the Energy Supplement each year.</w:t>
            </w:r>
          </w:p>
        </w:tc>
      </w:tr>
      <w:tr w:rsidR="00010972" w:rsidTr="00DD145C">
        <w:tc>
          <w:tcPr>
            <w:tcW w:w="1802" w:type="dxa"/>
            <w:vMerge/>
            <w:tcBorders>
              <w:top w:val="dotted" w:sz="4" w:space="0" w:color="auto"/>
              <w:left w:val="single" w:sz="4" w:space="0" w:color="auto"/>
              <w:bottom w:val="dotted" w:sz="4" w:space="0" w:color="auto"/>
              <w:right w:val="single" w:sz="4" w:space="0" w:color="auto"/>
            </w:tcBorders>
            <w:vAlign w:val="center"/>
            <w:hideMark/>
          </w:tcPr>
          <w:p w:rsidR="00212B8B" w:rsidRDefault="00212B8B" w:rsidP="00212B8B">
            <w:pPr>
              <w:spacing w:after="0"/>
              <w:rPr>
                <w:rFonts w:ascii="Arial" w:hAnsi="Arial" w:cs="Arial"/>
                <w:sz w:val="16"/>
                <w:szCs w:val="16"/>
                <w:bdr w:val="nil"/>
              </w:rPr>
            </w:pPr>
          </w:p>
        </w:tc>
        <w:tc>
          <w:tcPr>
            <w:tcW w:w="5903" w:type="dxa"/>
            <w:gridSpan w:val="2"/>
            <w:tcBorders>
              <w:top w:val="dotted" w:sz="4" w:space="0" w:color="auto"/>
              <w:left w:val="single" w:sz="4" w:space="0" w:color="auto"/>
              <w:bottom w:val="dotted" w:sz="4" w:space="0" w:color="auto"/>
              <w:right w:val="single" w:sz="4" w:space="0" w:color="auto"/>
            </w:tcBorders>
            <w:hideMark/>
          </w:tcPr>
          <w:p w:rsidR="00212B8B" w:rsidRDefault="00D5482E" w:rsidP="00212B8B">
            <w:pPr>
              <w:keepLines/>
              <w:pBdr>
                <w:top w:val="nil"/>
                <w:left w:val="nil"/>
                <w:bottom w:val="nil"/>
                <w:right w:val="nil"/>
                <w:between w:val="nil"/>
                <w:bar w:val="nil"/>
              </w:pBdr>
              <w:tabs>
                <w:tab w:val="left" w:pos="709"/>
              </w:tabs>
              <w:spacing w:before="60" w:after="0" w:line="240" w:lineRule="auto"/>
              <w:rPr>
                <w:rFonts w:ascii="Arial" w:hAnsi="Arial" w:cs="Arial"/>
                <w:color w:val="000000"/>
                <w:sz w:val="16"/>
                <w:szCs w:val="16"/>
                <w:bdr w:val="nil"/>
              </w:rPr>
            </w:pPr>
            <w:r>
              <w:rPr>
                <w:rFonts w:ascii="Arial" w:eastAsia="Times New Roman" w:hAnsi="Arial" w:cs="Arial"/>
                <w:color w:val="000000"/>
                <w:sz w:val="16"/>
                <w:szCs w:val="16"/>
                <w:bdr w:val="nil"/>
              </w:rPr>
              <w:t>Outputs: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Administered outlays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recipients</w:t>
            </w:r>
          </w:p>
        </w:tc>
      </w:tr>
      <w:tr w:rsidR="00010972" w:rsidTr="00DD145C">
        <w:tc>
          <w:tcPr>
            <w:tcW w:w="1802"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69"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c>
          <w:tcPr>
            <w:tcW w:w="2534"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jc w:val="both"/>
              <w:rPr>
                <w:rFonts w:ascii="Arial" w:hAnsi="Arial" w:cs="Arial"/>
                <w:sz w:val="16"/>
                <w:szCs w:val="16"/>
                <w:bdr w:val="nil"/>
                <w:lang w:val="en-US"/>
              </w:rPr>
            </w:pPr>
            <w:r>
              <w:rPr>
                <w:rFonts w:ascii="Arial" w:eastAsia="Times New Roman" w:hAnsi="Arial" w:cs="Arial"/>
                <w:sz w:val="16"/>
                <w:szCs w:val="16"/>
                <w:bdr w:val="nil"/>
                <w:lang w:val="en-US"/>
              </w:rPr>
              <w:t>As per 2020-21</w:t>
            </w:r>
          </w:p>
        </w:tc>
      </w:tr>
      <w:tr w:rsidR="00010972" w:rsidTr="00DD145C">
        <w:tc>
          <w:tcPr>
            <w:tcW w:w="1802" w:type="dxa"/>
            <w:tcBorders>
              <w:top w:val="single" w:sz="4" w:space="0" w:color="auto"/>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03" w:type="dxa"/>
            <w:gridSpan w:val="2"/>
            <w:tcBorders>
              <w:top w:val="single" w:sz="4" w:space="0" w:color="auto"/>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Encourage self-reliance and support people who cannot fully support themselves by providing sustainable social security payments and assistance.</w:t>
            </w:r>
          </w:p>
        </w:tc>
      </w:tr>
      <w:tr w:rsidR="00010972" w:rsidTr="00DD145C">
        <w:tc>
          <w:tcPr>
            <w:tcW w:w="7705" w:type="dxa"/>
            <w:gridSpan w:val="3"/>
            <w:tcBorders>
              <w:top w:val="single" w:sz="4" w:space="0" w:color="000000" w:themeColor="text1"/>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1.7: Nil.</w:t>
            </w:r>
          </w:p>
        </w:tc>
      </w:tr>
    </w:tbl>
    <w:p w:rsidR="00E7470E" w:rsidRDefault="00D5482E" w:rsidP="00E7470E">
      <w:pPr>
        <w:pStyle w:val="Normal0"/>
        <w:keepLines/>
        <w:pBdr>
          <w:top w:val="nil"/>
          <w:left w:val="nil"/>
          <w:bottom w:val="nil"/>
          <w:right w:val="nil"/>
          <w:between w:val="nil"/>
          <w:bar w:val="nil"/>
        </w:pBdr>
        <w:spacing w:after="240" w:line="260" w:lineRule="exact"/>
        <w:jc w:val="both"/>
        <w:rPr>
          <w:bdr w:val="nil"/>
        </w:rPr>
      </w:pPr>
      <w:r>
        <w:rPr>
          <w:rFonts w:eastAsia="Times New Roman"/>
          <w:sz w:val="20"/>
          <w:szCs w:val="20"/>
          <w:bdr w:val="nil"/>
          <w:lang w:eastAsia="en-AU"/>
        </w:rPr>
        <w:br w:type="page"/>
      </w:r>
    </w:p>
    <w:p w:rsidR="00E7470E" w:rsidRDefault="00D5482E" w:rsidP="00657DF0">
      <w:pPr>
        <w:pStyle w:val="TableHeading"/>
        <w:keepLines/>
        <w:pBdr>
          <w:top w:val="nil"/>
          <w:left w:val="nil"/>
          <w:bottom w:val="nil"/>
          <w:right w:val="nil"/>
          <w:between w:val="nil"/>
          <w:bar w:val="nil"/>
        </w:pBdr>
        <w:spacing w:before="0" w:after="0"/>
        <w:rPr>
          <w:bdr w:val="nil"/>
        </w:rPr>
      </w:pPr>
      <w:r>
        <w:rPr>
          <w:bdr w:val="nil"/>
        </w:rPr>
        <w:lastRenderedPageBreak/>
        <w:t>Table 2.1.3: Performance criteria for Outcome 1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3"/>
        <w:gridCol w:w="3372"/>
        <w:gridCol w:w="2530"/>
      </w:tblGrid>
      <w:tr w:rsidR="00010972" w:rsidTr="00DD145C">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AEAEA"/>
            <w:hideMark/>
          </w:tcPr>
          <w:p w:rsidR="00E7470E" w:rsidRDefault="00D5482E" w:rsidP="0047558D">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1.8</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 Income Support for People with Disability</w:t>
            </w:r>
            <w:r>
              <w:rPr>
                <w:rFonts w:ascii="Arial" w:eastAsia="Times New Roman" w:hAnsi="Arial" w:cs="Arial"/>
                <w:sz w:val="16"/>
                <w:szCs w:val="16"/>
                <w:bdr w:val="nil"/>
                <w:lang w:val="en-US"/>
              </w:rPr>
              <w:t xml:space="preserve"> – To make payments to eligible people with disability who are unable to support themselves to achieve financial independence.</w:t>
            </w:r>
          </w:p>
        </w:tc>
      </w:tr>
      <w:tr w:rsidR="00010972" w:rsidTr="00DD145C">
        <w:tc>
          <w:tcPr>
            <w:tcW w:w="1803" w:type="dxa"/>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2" w:type="dxa"/>
            <w:gridSpan w:val="2"/>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DSS administers the program as part of the social security system.</w:t>
            </w:r>
          </w:p>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Payments are made through Services Australia to eligible claimants under the provisions of social security law.</w:t>
            </w:r>
          </w:p>
        </w:tc>
      </w:tr>
      <w:tr w:rsidR="00010972" w:rsidTr="00DD145C">
        <w:tc>
          <w:tcPr>
            <w:tcW w:w="7705" w:type="dxa"/>
            <w:gridSpan w:val="3"/>
            <w:tcBorders>
              <w:top w:val="doub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03"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72"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0"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03" w:type="dxa"/>
            <w:vMerge w:val="restart"/>
            <w:tcBorders>
              <w:top w:val="dotted" w:sz="4" w:space="0" w:color="auto"/>
              <w:left w:val="single" w:sz="4" w:space="0" w:color="auto"/>
              <w:bottom w:val="dotted"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72" w:type="dxa"/>
            <w:tcBorders>
              <w:top w:val="dotted" w:sz="4" w:space="0" w:color="000000" w:themeColor="text1"/>
              <w:left w:val="single" w:sz="4" w:space="0" w:color="auto"/>
              <w:bottom w:val="dotted" w:sz="4" w:space="0" w:color="auto"/>
              <w:right w:val="single" w:sz="4" w:space="0" w:color="auto"/>
            </w:tcBorders>
            <w:hideMark/>
          </w:tcPr>
          <w:p w:rsidR="00E7470E" w:rsidRDefault="00D5482E">
            <w:pPr>
              <w:pStyle w:val="Normal00"/>
              <w:pBdr>
                <w:top w:val="nil"/>
                <w:left w:val="nil"/>
                <w:bottom w:val="nil"/>
                <w:right w:val="nil"/>
                <w:between w:val="nil"/>
                <w:bar w:val="nil"/>
              </w:pBdr>
              <w:tabs>
                <w:tab w:val="left" w:pos="709"/>
              </w:tabs>
              <w:spacing w:before="60" w:after="60" w:line="240" w:lineRule="auto"/>
              <w:jc w:val="left"/>
              <w:rPr>
                <w:rFonts w:cs="Arial"/>
                <w:b/>
                <w:sz w:val="16"/>
                <w:szCs w:val="16"/>
                <w:bdr w:val="nil"/>
                <w:lang w:val="en-US" w:eastAsia="en-US"/>
              </w:rPr>
            </w:pPr>
            <w:r>
              <w:rPr>
                <w:rFonts w:ascii="Arial" w:hAnsi="Arial" w:cs="Arial"/>
                <w:color w:val="000000"/>
                <w:sz w:val="16"/>
                <w:szCs w:val="16"/>
                <w:bdr w:val="nil"/>
                <w:lang w:val="en-US" w:eastAsia="en-US"/>
              </w:rPr>
              <w:t>Extent to which people of working age with a profound or severe disability are paid Disability Support Pension.</w:t>
            </w:r>
            <w:r>
              <w:rPr>
                <w:rFonts w:ascii="Arial" w:hAnsi="Arial" w:cs="Arial"/>
                <w:sz w:val="16"/>
                <w:szCs w:val="16"/>
                <w:bdr w:val="nil"/>
                <w:lang w:val="en-US" w:eastAsia="en-US"/>
              </w:rPr>
              <w:t xml:space="preserve"> </w:t>
            </w:r>
          </w:p>
        </w:tc>
        <w:tc>
          <w:tcPr>
            <w:tcW w:w="2530" w:type="dxa"/>
            <w:tcBorders>
              <w:top w:val="dotted" w:sz="4" w:space="0" w:color="000000" w:themeColor="text1"/>
              <w:left w:val="single" w:sz="4" w:space="0" w:color="auto"/>
              <w:bottom w:val="dotted" w:sz="4" w:space="0" w:color="auto"/>
              <w:right w:val="single" w:sz="4" w:space="0" w:color="auto"/>
            </w:tcBorders>
            <w:hideMark/>
          </w:tcPr>
          <w:p w:rsidR="00E7470E" w:rsidRDefault="00D5482E">
            <w:pPr>
              <w:pStyle w:val="Normal00"/>
              <w:pBdr>
                <w:top w:val="nil"/>
                <w:left w:val="nil"/>
                <w:bottom w:val="nil"/>
                <w:right w:val="nil"/>
                <w:between w:val="nil"/>
                <w:bar w:val="nil"/>
              </w:pBdr>
              <w:tabs>
                <w:tab w:val="left" w:pos="709"/>
              </w:tabs>
              <w:spacing w:before="60" w:after="60" w:line="240" w:lineRule="auto"/>
              <w:jc w:val="left"/>
              <w:rPr>
                <w:rFonts w:cs="Arial"/>
                <w:sz w:val="16"/>
                <w:szCs w:val="16"/>
                <w:bdr w:val="nil"/>
                <w:lang w:val="en-US" w:eastAsia="en-US"/>
              </w:rPr>
            </w:pPr>
            <w:r>
              <w:rPr>
                <w:rFonts w:ascii="Arial" w:hAnsi="Arial" w:cs="Arial"/>
                <w:color w:val="000000"/>
                <w:sz w:val="16"/>
                <w:szCs w:val="16"/>
                <w:bdr w:val="nil"/>
                <w:lang w:val="en-US" w:eastAsia="en-US"/>
              </w:rPr>
              <w:t>90 per cent of people with a profound or severe disability of working age are supported by the Disability Support Pension.</w:t>
            </w:r>
          </w:p>
        </w:tc>
      </w:tr>
      <w:tr w:rsidR="00010972" w:rsidTr="00DD145C">
        <w:tc>
          <w:tcPr>
            <w:tcW w:w="1803" w:type="dxa"/>
            <w:vMerge/>
            <w:tcBorders>
              <w:top w:val="dotted" w:sz="4" w:space="0" w:color="auto"/>
              <w:left w:val="single" w:sz="4" w:space="0" w:color="auto"/>
              <w:bottom w:val="dotted" w:sz="4" w:space="0" w:color="auto"/>
              <w:right w:val="single" w:sz="4" w:space="0" w:color="auto"/>
            </w:tcBorders>
            <w:vAlign w:val="center"/>
            <w:hideMark/>
          </w:tcPr>
          <w:p w:rsidR="00E7470E" w:rsidRDefault="00E7470E">
            <w:pPr>
              <w:spacing w:after="0"/>
              <w:rPr>
                <w:rFonts w:ascii="Arial" w:hAnsi="Arial" w:cs="Arial"/>
                <w:sz w:val="16"/>
                <w:szCs w:val="16"/>
                <w:bdr w:val="nil"/>
              </w:rPr>
            </w:pPr>
          </w:p>
        </w:tc>
        <w:tc>
          <w:tcPr>
            <w:tcW w:w="5902" w:type="dxa"/>
            <w:gridSpan w:val="2"/>
            <w:tcBorders>
              <w:top w:val="dotted" w:sz="4" w:space="0" w:color="auto"/>
              <w:left w:val="single" w:sz="4" w:space="0" w:color="auto"/>
              <w:bottom w:val="dotted" w:sz="4" w:space="0" w:color="000000" w:themeColor="text1"/>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0" w:line="240" w:lineRule="auto"/>
              <w:rPr>
                <w:rFonts w:ascii="Arial" w:hAnsi="Arial" w:cs="Arial"/>
                <w:sz w:val="16"/>
                <w:szCs w:val="16"/>
                <w:bdr w:val="nil"/>
                <w:lang w:val="en-US"/>
              </w:rPr>
            </w:pPr>
            <w:r>
              <w:rPr>
                <w:rFonts w:ascii="Arial" w:eastAsia="Times New Roman" w:hAnsi="Arial" w:cs="Arial"/>
                <w:sz w:val="16"/>
                <w:szCs w:val="16"/>
                <w:bdr w:val="nil"/>
                <w:lang w:val="en-US"/>
              </w:rPr>
              <w:t>Outputs:</w:t>
            </w:r>
          </w:p>
          <w:p w:rsidR="00E7470E" w:rsidRDefault="00D5482E" w:rsidP="00E7470E">
            <w:pPr>
              <w:pStyle w:val="ListParagraph"/>
              <w:numPr>
                <w:ilvl w:val="0"/>
                <w:numId w:val="16"/>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rPr>
            </w:pPr>
            <w:r>
              <w:rPr>
                <w:rFonts w:ascii="Arial" w:eastAsia="Times New Roman" w:hAnsi="Arial" w:cs="Arial"/>
                <w:sz w:val="16"/>
                <w:szCs w:val="16"/>
                <w:bdr w:val="nil"/>
                <w:lang w:val="en-AU"/>
              </w:rPr>
              <w:t>Administered outlays</w:t>
            </w:r>
          </w:p>
          <w:p w:rsidR="00E7470E" w:rsidRDefault="00D5482E" w:rsidP="00E7470E">
            <w:pPr>
              <w:pStyle w:val="ListParagraph"/>
              <w:numPr>
                <w:ilvl w:val="0"/>
                <w:numId w:val="16"/>
              </w:numPr>
              <w:pBdr>
                <w:top w:val="nil"/>
                <w:left w:val="nil"/>
                <w:bottom w:val="nil"/>
                <w:right w:val="nil"/>
                <w:between w:val="nil"/>
                <w:bar w:val="nil"/>
              </w:pBdr>
              <w:tabs>
                <w:tab w:val="left" w:pos="709"/>
              </w:tabs>
              <w:spacing w:after="60" w:line="240" w:lineRule="auto"/>
              <w:rPr>
                <w:rFonts w:eastAsia="Times New Roman" w:cs="Arial"/>
                <w:sz w:val="16"/>
                <w:szCs w:val="16"/>
                <w:bdr w:val="nil"/>
                <w:lang w:val="en-AU"/>
              </w:rPr>
            </w:pPr>
            <w:r>
              <w:rPr>
                <w:rFonts w:ascii="Arial" w:eastAsia="Times New Roman" w:hAnsi="Arial" w:cs="Arial"/>
                <w:sz w:val="16"/>
                <w:szCs w:val="16"/>
                <w:bdr w:val="nil"/>
                <w:lang w:val="en-AU"/>
              </w:rPr>
              <w:t>Number of recipients</w:t>
            </w:r>
          </w:p>
          <w:p w:rsidR="00E7470E" w:rsidRDefault="00D5482E" w:rsidP="00E7470E">
            <w:pPr>
              <w:pStyle w:val="ListParagraph"/>
              <w:numPr>
                <w:ilvl w:val="0"/>
                <w:numId w:val="16"/>
              </w:numPr>
              <w:pBdr>
                <w:top w:val="nil"/>
                <w:left w:val="nil"/>
                <w:bottom w:val="nil"/>
                <w:right w:val="nil"/>
                <w:between w:val="nil"/>
                <w:bar w:val="nil"/>
              </w:pBdr>
              <w:tabs>
                <w:tab w:val="left" w:pos="709"/>
              </w:tabs>
              <w:spacing w:after="60" w:line="240" w:lineRule="auto"/>
              <w:rPr>
                <w:rFonts w:eastAsia="Times New Roman" w:cs="Arial"/>
                <w:color w:val="000000"/>
                <w:sz w:val="16"/>
                <w:szCs w:val="16"/>
                <w:bdr w:val="nil"/>
                <w:lang w:val="en-AU"/>
              </w:rPr>
            </w:pPr>
            <w:r>
              <w:rPr>
                <w:rFonts w:ascii="Arial" w:eastAsia="Times New Roman" w:hAnsi="Arial" w:cs="Arial"/>
                <w:sz w:val="16"/>
                <w:szCs w:val="16"/>
                <w:bdr w:val="nil"/>
                <w:lang w:val="en-AU"/>
              </w:rPr>
              <w:t>Payment accuracy</w:t>
            </w:r>
          </w:p>
        </w:tc>
      </w:tr>
      <w:tr w:rsidR="00010972" w:rsidTr="00DD145C">
        <w:tc>
          <w:tcPr>
            <w:tcW w:w="1803" w:type="dxa"/>
            <w:tcBorders>
              <w:top w:val="dotted" w:sz="4" w:space="0" w:color="auto"/>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72" w:type="dxa"/>
            <w:tcBorders>
              <w:top w:val="dotted" w:sz="4" w:space="0" w:color="000000" w:themeColor="text1"/>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c>
          <w:tcPr>
            <w:tcW w:w="2530" w:type="dxa"/>
            <w:tcBorders>
              <w:top w:val="dotted" w:sz="4" w:space="0" w:color="000000" w:themeColor="text1"/>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jc w:val="both"/>
              <w:rPr>
                <w:rFonts w:ascii="Arial" w:hAnsi="Arial" w:cs="Arial"/>
                <w:sz w:val="16"/>
                <w:szCs w:val="16"/>
                <w:bdr w:val="nil"/>
                <w:lang w:val="en-US"/>
              </w:rPr>
            </w:pPr>
            <w:r>
              <w:rPr>
                <w:rFonts w:ascii="Arial" w:eastAsia="Times New Roman" w:hAnsi="Arial" w:cs="Arial"/>
                <w:sz w:val="16"/>
                <w:szCs w:val="16"/>
                <w:bdr w:val="nil"/>
                <w:lang w:val="en-US"/>
              </w:rPr>
              <w:t>As per 2020-21</w:t>
            </w:r>
          </w:p>
        </w:tc>
      </w:tr>
      <w:tr w:rsidR="00010972" w:rsidTr="00DD145C">
        <w:tc>
          <w:tcPr>
            <w:tcW w:w="1803" w:type="dxa"/>
            <w:tcBorders>
              <w:top w:val="single" w:sz="4" w:space="0" w:color="auto"/>
              <w:left w:val="single" w:sz="4" w:space="0" w:color="auto"/>
              <w:bottom w:val="single" w:sz="4" w:space="0" w:color="000000" w:themeColor="text1"/>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02" w:type="dxa"/>
            <w:gridSpan w:val="2"/>
            <w:tcBorders>
              <w:top w:val="single" w:sz="4" w:space="0" w:color="auto"/>
              <w:left w:val="single" w:sz="4" w:space="0" w:color="auto"/>
              <w:bottom w:val="single" w:sz="4" w:space="0" w:color="000000" w:themeColor="text1"/>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Encourage self-reliance and support people who cannot fully support themselves by providing sustainable social security payments and assistance.</w:t>
            </w:r>
          </w:p>
        </w:tc>
      </w:tr>
      <w:tr w:rsidR="00010972" w:rsidTr="00DD145C">
        <w:tc>
          <w:tcPr>
            <w:tcW w:w="7705" w:type="dxa"/>
            <w:gridSpan w:val="3"/>
            <w:tcBorders>
              <w:top w:val="single" w:sz="4" w:space="0" w:color="000000" w:themeColor="text1"/>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1.8: Nil.</w:t>
            </w:r>
          </w:p>
        </w:tc>
      </w:tr>
    </w:tbl>
    <w:p w:rsidR="00E7470E" w:rsidRDefault="00D5482E" w:rsidP="00E7470E">
      <w:pPr>
        <w:pStyle w:val="Normal0"/>
        <w:keepLines/>
        <w:pBdr>
          <w:top w:val="nil"/>
          <w:left w:val="nil"/>
          <w:bottom w:val="nil"/>
          <w:right w:val="nil"/>
          <w:between w:val="nil"/>
          <w:bar w:val="nil"/>
        </w:pBdr>
        <w:spacing w:after="240" w:line="260" w:lineRule="exact"/>
        <w:jc w:val="both"/>
        <w:rPr>
          <w:bdr w:val="nil"/>
        </w:rPr>
      </w:pPr>
      <w:r>
        <w:rPr>
          <w:rFonts w:eastAsia="Times New Roman"/>
          <w:sz w:val="20"/>
          <w:szCs w:val="20"/>
          <w:bdr w:val="nil"/>
          <w:lang w:eastAsia="en-AU"/>
        </w:rPr>
        <w:br w:type="page"/>
      </w:r>
    </w:p>
    <w:p w:rsidR="00E7470E" w:rsidRDefault="00D5482E" w:rsidP="00657DF0">
      <w:pPr>
        <w:pStyle w:val="TableHeading"/>
        <w:keepLines/>
        <w:pBdr>
          <w:top w:val="nil"/>
          <w:left w:val="nil"/>
          <w:bottom w:val="nil"/>
          <w:right w:val="nil"/>
          <w:between w:val="nil"/>
          <w:bar w:val="nil"/>
        </w:pBdr>
        <w:spacing w:before="0" w:after="0"/>
        <w:rPr>
          <w:bdr w:val="nil"/>
        </w:rPr>
      </w:pPr>
      <w:r>
        <w:rPr>
          <w:bdr w:val="nil"/>
        </w:rPr>
        <w:lastRenderedPageBreak/>
        <w:t>Table 2.1.3: Performance criteria for Outcome 1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2"/>
        <w:gridCol w:w="3372"/>
        <w:gridCol w:w="2531"/>
      </w:tblGrid>
      <w:tr w:rsidR="00010972" w:rsidTr="00DD145C">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AEAEA"/>
            <w:hideMark/>
          </w:tcPr>
          <w:p w:rsidR="00E7470E" w:rsidRDefault="00D5482E" w:rsidP="0047558D">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1.9</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Income Support for Carers</w:t>
            </w:r>
            <w:r>
              <w:rPr>
                <w:rFonts w:ascii="Arial" w:eastAsia="Times New Roman" w:hAnsi="Arial" w:cs="Arial"/>
                <w:sz w:val="16"/>
                <w:szCs w:val="16"/>
                <w:bdr w:val="nil"/>
                <w:lang w:val="en-US"/>
              </w:rPr>
              <w:t xml:space="preserve"> – To make payments and allowances to financially assist eligible carers of people with disability or a severe medical condition.</w:t>
            </w:r>
          </w:p>
        </w:tc>
      </w:tr>
      <w:tr w:rsidR="00010972" w:rsidTr="00DD145C">
        <w:tc>
          <w:tcPr>
            <w:tcW w:w="1802" w:type="dxa"/>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3" w:type="dxa"/>
            <w:gridSpan w:val="2"/>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DSS administers the program as part of the social security system.</w:t>
            </w:r>
          </w:p>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Payments are made through Services Australia to eligible claimants under the provisions of social security law.</w:t>
            </w:r>
          </w:p>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Ex-gratia payments to unsuccessful applicants of Carer Payment (Child) (Carer Adjustment Payment) are paid under the provisions of the PGPA Act.</w:t>
            </w:r>
          </w:p>
        </w:tc>
      </w:tr>
      <w:tr w:rsidR="00010972" w:rsidTr="00DD145C">
        <w:tc>
          <w:tcPr>
            <w:tcW w:w="7705" w:type="dxa"/>
            <w:gridSpan w:val="3"/>
            <w:tcBorders>
              <w:top w:val="doub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02"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72"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1"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02" w:type="dxa"/>
            <w:vMerge w:val="restart"/>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72" w:type="dxa"/>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b/>
                <w:sz w:val="16"/>
                <w:szCs w:val="16"/>
                <w:bdr w:val="nil"/>
                <w:lang w:val="en-US" w:eastAsia="en-US"/>
              </w:rPr>
            </w:pPr>
            <w:r>
              <w:rPr>
                <w:rFonts w:ascii="Arial" w:hAnsi="Arial" w:cs="Arial"/>
                <w:color w:val="000000"/>
                <w:sz w:val="16"/>
                <w:szCs w:val="16"/>
                <w:bdr w:val="nil"/>
                <w:lang w:val="en-US" w:eastAsia="en-US"/>
              </w:rPr>
              <w:t>Extent to which payments are made to, or with respect to, carers unable to fully support themselves.</w:t>
            </w:r>
          </w:p>
        </w:tc>
        <w:tc>
          <w:tcPr>
            <w:tcW w:w="2531" w:type="dxa"/>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b/>
                <w:sz w:val="16"/>
                <w:szCs w:val="16"/>
                <w:bdr w:val="nil"/>
                <w:lang w:val="en-US" w:eastAsia="en-US"/>
              </w:rPr>
            </w:pPr>
            <w:r>
              <w:rPr>
                <w:rFonts w:ascii="Arial" w:hAnsi="Arial" w:cs="Arial"/>
                <w:color w:val="000000"/>
                <w:sz w:val="16"/>
                <w:szCs w:val="16"/>
                <w:bdr w:val="nil"/>
                <w:lang w:val="en-US" w:eastAsia="en-US"/>
              </w:rPr>
              <w:t>70 per cent of primary carers in Australia are supported by Carer Payment and Carer Allowance.</w:t>
            </w:r>
          </w:p>
        </w:tc>
      </w:tr>
      <w:tr w:rsidR="00010972" w:rsidTr="00DD145C">
        <w:tc>
          <w:tcPr>
            <w:tcW w:w="1802" w:type="dxa"/>
            <w:vMerge/>
            <w:tcBorders>
              <w:top w:val="dotted" w:sz="4" w:space="0" w:color="auto"/>
              <w:left w:val="single" w:sz="4" w:space="0" w:color="auto"/>
              <w:bottom w:val="dotted" w:sz="4" w:space="0" w:color="auto"/>
              <w:right w:val="single" w:sz="4" w:space="0" w:color="auto"/>
            </w:tcBorders>
            <w:vAlign w:val="center"/>
            <w:hideMark/>
          </w:tcPr>
          <w:p w:rsidR="00212B8B" w:rsidRDefault="00212B8B" w:rsidP="00212B8B">
            <w:pPr>
              <w:spacing w:after="0"/>
              <w:rPr>
                <w:rFonts w:ascii="Arial" w:hAnsi="Arial" w:cs="Arial"/>
                <w:sz w:val="16"/>
                <w:szCs w:val="16"/>
                <w:bdr w:val="nil"/>
              </w:rPr>
            </w:pPr>
          </w:p>
        </w:tc>
        <w:tc>
          <w:tcPr>
            <w:tcW w:w="5903" w:type="dxa"/>
            <w:gridSpan w:val="2"/>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0" w:line="240" w:lineRule="auto"/>
              <w:rPr>
                <w:rFonts w:ascii="Arial" w:hAnsi="Arial" w:cs="Arial"/>
                <w:sz w:val="16"/>
                <w:szCs w:val="16"/>
                <w:bdr w:val="nil"/>
                <w:lang w:val="en-US"/>
              </w:rPr>
            </w:pPr>
            <w:r>
              <w:rPr>
                <w:rFonts w:ascii="Arial" w:eastAsia="Times New Roman" w:hAnsi="Arial" w:cs="Arial"/>
                <w:sz w:val="16"/>
                <w:szCs w:val="16"/>
                <w:bdr w:val="nil"/>
                <w:lang w:val="en-US"/>
              </w:rPr>
              <w:t>Outputs: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rPr>
            </w:pPr>
            <w:r>
              <w:rPr>
                <w:rFonts w:ascii="Arial" w:eastAsia="Times New Roman" w:hAnsi="Arial" w:cs="Arial"/>
                <w:sz w:val="16"/>
                <w:szCs w:val="16"/>
                <w:bdr w:val="nil"/>
                <w:lang w:val="en-AU"/>
              </w:rPr>
              <w:t>Administered outlays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after="60" w:line="240" w:lineRule="auto"/>
              <w:rPr>
                <w:rFonts w:eastAsia="Times New Roman" w:cs="Arial"/>
                <w:sz w:val="16"/>
                <w:szCs w:val="16"/>
                <w:bdr w:val="nil"/>
                <w:lang w:val="en-AU"/>
              </w:rPr>
            </w:pPr>
            <w:r>
              <w:rPr>
                <w:rFonts w:ascii="Arial" w:eastAsia="Times New Roman" w:hAnsi="Arial" w:cs="Arial"/>
                <w:sz w:val="16"/>
                <w:szCs w:val="16"/>
                <w:bdr w:val="nil"/>
                <w:lang w:val="en-AU"/>
              </w:rPr>
              <w:t>Number of recipients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after="60" w:line="240" w:lineRule="auto"/>
              <w:rPr>
                <w:rFonts w:eastAsia="Times New Roman" w:cs="Arial"/>
                <w:color w:val="000000"/>
                <w:sz w:val="16"/>
                <w:szCs w:val="16"/>
                <w:bdr w:val="nil"/>
                <w:lang w:val="en-AU"/>
              </w:rPr>
            </w:pPr>
            <w:r>
              <w:rPr>
                <w:rFonts w:ascii="Arial" w:eastAsia="Times New Roman" w:hAnsi="Arial" w:cs="Arial"/>
                <w:sz w:val="16"/>
                <w:szCs w:val="16"/>
                <w:bdr w:val="nil"/>
                <w:lang w:val="en-AU"/>
              </w:rPr>
              <w:t xml:space="preserve">Payment accuracy </w:t>
            </w:r>
          </w:p>
        </w:tc>
      </w:tr>
      <w:tr w:rsidR="00010972" w:rsidTr="00DD145C">
        <w:tc>
          <w:tcPr>
            <w:tcW w:w="1802"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72"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c>
          <w:tcPr>
            <w:tcW w:w="2531"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jc w:val="both"/>
              <w:rPr>
                <w:rFonts w:ascii="Arial" w:hAnsi="Arial" w:cs="Arial"/>
                <w:sz w:val="16"/>
                <w:szCs w:val="16"/>
                <w:bdr w:val="nil"/>
                <w:lang w:val="en-US"/>
              </w:rPr>
            </w:pPr>
            <w:r>
              <w:rPr>
                <w:rFonts w:ascii="Arial" w:eastAsia="Times New Roman" w:hAnsi="Arial" w:cs="Arial"/>
                <w:sz w:val="16"/>
                <w:szCs w:val="16"/>
                <w:bdr w:val="nil"/>
                <w:lang w:val="en-US"/>
              </w:rPr>
              <w:t>As per 2020-21</w:t>
            </w:r>
          </w:p>
        </w:tc>
      </w:tr>
      <w:tr w:rsidR="00010972" w:rsidTr="00DD145C">
        <w:tc>
          <w:tcPr>
            <w:tcW w:w="1802" w:type="dxa"/>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03" w:type="dxa"/>
            <w:gridSpan w:val="2"/>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Encourage self-reliance and support people who cannot fully support themselves by providing sustainable social security payments and assistance.</w:t>
            </w:r>
          </w:p>
        </w:tc>
      </w:tr>
      <w:tr w:rsidR="00010972" w:rsidTr="00DD145C">
        <w:tc>
          <w:tcPr>
            <w:tcW w:w="7705" w:type="dxa"/>
            <w:gridSpan w:val="3"/>
            <w:tcBorders>
              <w:top w:val="single" w:sz="4" w:space="0" w:color="auto"/>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1.9: Nil.</w:t>
            </w:r>
          </w:p>
        </w:tc>
      </w:tr>
    </w:tbl>
    <w:p w:rsidR="00E7470E" w:rsidRDefault="00D5482E" w:rsidP="00E7470E">
      <w:pPr>
        <w:pStyle w:val="Normal0"/>
        <w:keepLines/>
        <w:pBdr>
          <w:top w:val="nil"/>
          <w:left w:val="nil"/>
          <w:bottom w:val="nil"/>
          <w:right w:val="nil"/>
          <w:between w:val="nil"/>
          <w:bar w:val="nil"/>
        </w:pBdr>
        <w:spacing w:after="240" w:line="260" w:lineRule="exact"/>
        <w:jc w:val="both"/>
        <w:rPr>
          <w:bdr w:val="nil"/>
        </w:rPr>
      </w:pPr>
      <w:r>
        <w:rPr>
          <w:rFonts w:eastAsia="Times New Roman"/>
          <w:sz w:val="20"/>
          <w:szCs w:val="20"/>
          <w:bdr w:val="nil"/>
          <w:lang w:eastAsia="en-AU"/>
        </w:rPr>
        <w:br w:type="page"/>
      </w:r>
    </w:p>
    <w:p w:rsidR="00E7470E" w:rsidRDefault="00D5482E" w:rsidP="00657DF0">
      <w:pPr>
        <w:pStyle w:val="TableHeading"/>
        <w:keepLines/>
        <w:pBdr>
          <w:top w:val="nil"/>
          <w:left w:val="nil"/>
          <w:bottom w:val="nil"/>
          <w:right w:val="nil"/>
          <w:between w:val="nil"/>
          <w:bar w:val="nil"/>
        </w:pBdr>
        <w:spacing w:before="0" w:after="0"/>
        <w:rPr>
          <w:bdr w:val="nil"/>
        </w:rPr>
      </w:pPr>
      <w:r>
        <w:rPr>
          <w:bdr w:val="nil"/>
        </w:rPr>
        <w:lastRenderedPageBreak/>
        <w:t>Table 2.1.3: Performance criteria for Outcome 1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2"/>
        <w:gridCol w:w="3370"/>
        <w:gridCol w:w="2533"/>
      </w:tblGrid>
      <w:tr w:rsidR="00010972" w:rsidTr="00DD145C">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AEAEA"/>
            <w:hideMark/>
          </w:tcPr>
          <w:p w:rsidR="00E7470E" w:rsidRDefault="00D5482E" w:rsidP="0047558D">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1.10 –</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Working Age Payments</w:t>
            </w:r>
            <w:r>
              <w:rPr>
                <w:rFonts w:ascii="Arial" w:eastAsia="Times New Roman" w:hAnsi="Arial" w:cs="Arial"/>
                <w:sz w:val="16"/>
                <w:szCs w:val="16"/>
                <w:bdr w:val="nil"/>
                <w:lang w:val="en-US"/>
              </w:rPr>
              <w:t xml:space="preserve"> – To assist people who are temporarily unable to support themselves through work or have a limited capacity to work due to disability or caring responsibilities for young children.</w:t>
            </w:r>
          </w:p>
        </w:tc>
      </w:tr>
      <w:tr w:rsidR="00010972" w:rsidTr="00DD145C">
        <w:tc>
          <w:tcPr>
            <w:tcW w:w="1802" w:type="dxa"/>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3" w:type="dxa"/>
            <w:gridSpan w:val="2"/>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DSS administers the program as part of the social security system.</w:t>
            </w:r>
          </w:p>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Payments are made through Services Australia to eligible claimants under the provisions of social security law.</w:t>
            </w:r>
          </w:p>
        </w:tc>
      </w:tr>
      <w:tr w:rsidR="00010972" w:rsidTr="00DD145C">
        <w:tc>
          <w:tcPr>
            <w:tcW w:w="7705" w:type="dxa"/>
            <w:gridSpan w:val="3"/>
            <w:tcBorders>
              <w:top w:val="doub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02"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70"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3"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02" w:type="dxa"/>
            <w:vMerge w:val="restart"/>
            <w:tcBorders>
              <w:top w:val="dotted" w:sz="4" w:space="0" w:color="auto"/>
              <w:left w:val="single" w:sz="4" w:space="0" w:color="auto"/>
              <w:bottom w:val="dotted"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70" w:type="dxa"/>
            <w:tcBorders>
              <w:top w:val="dotted" w:sz="4" w:space="0" w:color="auto"/>
              <w:left w:val="single" w:sz="4" w:space="0" w:color="auto"/>
              <w:bottom w:val="dotted" w:sz="4" w:space="0" w:color="auto"/>
              <w:right w:val="single" w:sz="4" w:space="0" w:color="auto"/>
            </w:tcBorders>
            <w:hideMark/>
          </w:tcPr>
          <w:p w:rsidR="00E7470E" w:rsidRDefault="00D5482E">
            <w:pPr>
              <w:pStyle w:val="Normal00"/>
              <w:pBdr>
                <w:top w:val="nil"/>
                <w:left w:val="nil"/>
                <w:bottom w:val="nil"/>
                <w:right w:val="nil"/>
                <w:between w:val="nil"/>
                <w:bar w:val="nil"/>
              </w:pBdr>
              <w:tabs>
                <w:tab w:val="left" w:pos="709"/>
              </w:tabs>
              <w:spacing w:before="60" w:after="60" w:line="240" w:lineRule="auto"/>
              <w:jc w:val="left"/>
              <w:rPr>
                <w:rFonts w:cs="Arial"/>
                <w:sz w:val="16"/>
                <w:szCs w:val="16"/>
                <w:bdr w:val="nil"/>
                <w:lang w:val="en-US" w:eastAsia="en-US"/>
              </w:rPr>
            </w:pPr>
            <w:r>
              <w:rPr>
                <w:rFonts w:ascii="Arial" w:hAnsi="Arial" w:cs="Arial"/>
                <w:color w:val="000000"/>
                <w:sz w:val="16"/>
                <w:szCs w:val="16"/>
                <w:bdr w:val="nil"/>
                <w:lang w:val="en-US" w:eastAsia="en-US"/>
              </w:rPr>
              <w:t>Extent to which payments are made to, or with respect to, people unable to fully support themselves.</w:t>
            </w:r>
            <w:r>
              <w:rPr>
                <w:rFonts w:ascii="Arial" w:hAnsi="Arial" w:cs="Arial"/>
                <w:sz w:val="16"/>
                <w:szCs w:val="16"/>
                <w:bdr w:val="nil"/>
                <w:lang w:val="en-US" w:eastAsia="en-US"/>
              </w:rPr>
              <w:t xml:space="preserve"> </w:t>
            </w:r>
          </w:p>
        </w:tc>
        <w:tc>
          <w:tcPr>
            <w:tcW w:w="2533" w:type="dxa"/>
            <w:tcBorders>
              <w:top w:val="dotted" w:sz="4" w:space="0" w:color="auto"/>
              <w:left w:val="single" w:sz="4" w:space="0" w:color="auto"/>
              <w:bottom w:val="dotted" w:sz="4" w:space="0" w:color="auto"/>
              <w:right w:val="single" w:sz="4" w:space="0" w:color="auto"/>
            </w:tcBorders>
            <w:hideMark/>
          </w:tcPr>
          <w:p w:rsidR="00E7470E" w:rsidRDefault="00D5482E">
            <w:pPr>
              <w:pStyle w:val="Normal00"/>
              <w:pBdr>
                <w:top w:val="nil"/>
                <w:left w:val="nil"/>
                <w:bottom w:val="nil"/>
                <w:right w:val="nil"/>
                <w:between w:val="nil"/>
                <w:bar w:val="nil"/>
              </w:pBdr>
              <w:tabs>
                <w:tab w:val="left" w:pos="709"/>
              </w:tabs>
              <w:spacing w:before="60" w:after="60" w:line="240" w:lineRule="auto"/>
              <w:jc w:val="left"/>
              <w:rPr>
                <w:rFonts w:cs="Arial"/>
                <w:b/>
                <w:sz w:val="16"/>
                <w:szCs w:val="16"/>
                <w:bdr w:val="nil"/>
                <w:lang w:val="en-US" w:eastAsia="en-US"/>
              </w:rPr>
            </w:pPr>
            <w:r>
              <w:rPr>
                <w:rFonts w:ascii="Arial" w:hAnsi="Arial" w:cs="Arial"/>
                <w:color w:val="000000"/>
                <w:sz w:val="16"/>
                <w:szCs w:val="16"/>
                <w:bdr w:val="nil"/>
                <w:lang w:val="en-US" w:eastAsia="en-US"/>
              </w:rPr>
              <w:t>Changes in recipient numbers align with movements in the unemployment rate.</w:t>
            </w:r>
          </w:p>
        </w:tc>
      </w:tr>
      <w:tr w:rsidR="00010972" w:rsidTr="00DD145C">
        <w:tc>
          <w:tcPr>
            <w:tcW w:w="1802" w:type="dxa"/>
            <w:vMerge/>
            <w:tcBorders>
              <w:top w:val="dotted" w:sz="4" w:space="0" w:color="auto"/>
              <w:left w:val="single" w:sz="4" w:space="0" w:color="auto"/>
              <w:bottom w:val="dotted" w:sz="4" w:space="0" w:color="auto"/>
              <w:right w:val="single" w:sz="4" w:space="0" w:color="auto"/>
            </w:tcBorders>
            <w:vAlign w:val="center"/>
            <w:hideMark/>
          </w:tcPr>
          <w:p w:rsidR="00E7470E" w:rsidRDefault="00E7470E">
            <w:pPr>
              <w:spacing w:after="0"/>
              <w:rPr>
                <w:rFonts w:ascii="Arial" w:hAnsi="Arial" w:cs="Arial"/>
                <w:sz w:val="16"/>
                <w:szCs w:val="16"/>
                <w:bdr w:val="nil"/>
              </w:rPr>
            </w:pPr>
          </w:p>
        </w:tc>
        <w:tc>
          <w:tcPr>
            <w:tcW w:w="5903" w:type="dxa"/>
            <w:gridSpan w:val="2"/>
            <w:tcBorders>
              <w:top w:val="dotted" w:sz="4" w:space="0" w:color="auto"/>
              <w:left w:val="single" w:sz="4" w:space="0" w:color="auto"/>
              <w:bottom w:val="dotted"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0" w:line="240" w:lineRule="auto"/>
              <w:rPr>
                <w:rFonts w:ascii="Arial" w:hAnsi="Arial" w:cs="Arial"/>
                <w:sz w:val="16"/>
                <w:szCs w:val="16"/>
                <w:bdr w:val="nil"/>
                <w:lang w:val="en-US"/>
              </w:rPr>
            </w:pPr>
            <w:r>
              <w:rPr>
                <w:rFonts w:ascii="Arial" w:eastAsia="Times New Roman" w:hAnsi="Arial" w:cs="Arial"/>
                <w:sz w:val="16"/>
                <w:szCs w:val="16"/>
                <w:bdr w:val="nil"/>
                <w:lang w:val="en-US"/>
              </w:rPr>
              <w:t>Outputs:</w:t>
            </w:r>
          </w:p>
          <w:p w:rsidR="00E7470E" w:rsidRDefault="00D5482E" w:rsidP="00E7470E">
            <w:pPr>
              <w:pStyle w:val="ListParagraph"/>
              <w:numPr>
                <w:ilvl w:val="0"/>
                <w:numId w:val="16"/>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rPr>
            </w:pPr>
            <w:r>
              <w:rPr>
                <w:rFonts w:ascii="Arial" w:eastAsia="Times New Roman" w:hAnsi="Arial" w:cs="Arial"/>
                <w:sz w:val="16"/>
                <w:szCs w:val="16"/>
                <w:bdr w:val="nil"/>
                <w:lang w:val="en-AU"/>
              </w:rPr>
              <w:t>Administered outlays</w:t>
            </w:r>
          </w:p>
          <w:p w:rsidR="00E7470E" w:rsidRDefault="00D5482E" w:rsidP="00E7470E">
            <w:pPr>
              <w:pStyle w:val="ListParagraph"/>
              <w:numPr>
                <w:ilvl w:val="0"/>
                <w:numId w:val="16"/>
              </w:numPr>
              <w:pBdr>
                <w:top w:val="nil"/>
                <w:left w:val="nil"/>
                <w:bottom w:val="nil"/>
                <w:right w:val="nil"/>
                <w:between w:val="nil"/>
                <w:bar w:val="nil"/>
              </w:pBdr>
              <w:tabs>
                <w:tab w:val="left" w:pos="709"/>
              </w:tabs>
              <w:spacing w:after="60" w:line="240" w:lineRule="auto"/>
              <w:rPr>
                <w:rFonts w:eastAsia="Times New Roman" w:cs="Arial"/>
                <w:sz w:val="16"/>
                <w:szCs w:val="16"/>
                <w:bdr w:val="nil"/>
                <w:lang w:val="en-AU"/>
              </w:rPr>
            </w:pPr>
            <w:r>
              <w:rPr>
                <w:rFonts w:ascii="Arial" w:eastAsia="Times New Roman" w:hAnsi="Arial" w:cs="Arial"/>
                <w:sz w:val="16"/>
                <w:szCs w:val="16"/>
                <w:bdr w:val="nil"/>
                <w:lang w:val="en-AU"/>
              </w:rPr>
              <w:t>Number of recipients</w:t>
            </w:r>
          </w:p>
          <w:p w:rsidR="00E7470E" w:rsidRDefault="00D5482E" w:rsidP="00E7470E">
            <w:pPr>
              <w:pStyle w:val="ListParagraph"/>
              <w:numPr>
                <w:ilvl w:val="0"/>
                <w:numId w:val="16"/>
              </w:numPr>
              <w:pBdr>
                <w:top w:val="nil"/>
                <w:left w:val="nil"/>
                <w:bottom w:val="nil"/>
                <w:right w:val="nil"/>
                <w:between w:val="nil"/>
                <w:bar w:val="nil"/>
              </w:pBdr>
              <w:tabs>
                <w:tab w:val="left" w:pos="709"/>
              </w:tabs>
              <w:spacing w:before="60" w:after="60" w:line="240" w:lineRule="auto"/>
              <w:rPr>
                <w:rFonts w:eastAsia="Times New Roman" w:cs="Arial"/>
                <w:color w:val="000000"/>
                <w:sz w:val="16"/>
                <w:szCs w:val="16"/>
                <w:bdr w:val="nil"/>
                <w:lang w:val="en-AU"/>
              </w:rPr>
            </w:pPr>
            <w:r>
              <w:rPr>
                <w:rFonts w:ascii="Arial" w:eastAsia="Times New Roman" w:hAnsi="Arial" w:cs="Arial"/>
                <w:sz w:val="16"/>
                <w:szCs w:val="16"/>
                <w:bdr w:val="nil"/>
                <w:lang w:val="en-AU"/>
              </w:rPr>
              <w:t>Payment accuracy</w:t>
            </w:r>
          </w:p>
        </w:tc>
      </w:tr>
      <w:tr w:rsidR="00010972" w:rsidTr="00DD145C">
        <w:tc>
          <w:tcPr>
            <w:tcW w:w="1802" w:type="dxa"/>
            <w:tcBorders>
              <w:top w:val="dotted" w:sz="4" w:space="0" w:color="auto"/>
              <w:left w:val="single" w:sz="4" w:space="0" w:color="auto"/>
              <w:bottom w:val="single" w:sz="4" w:space="0" w:color="000000" w:themeColor="text1"/>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70" w:type="dxa"/>
            <w:tcBorders>
              <w:top w:val="dotted" w:sz="4" w:space="0" w:color="auto"/>
              <w:left w:val="single" w:sz="4" w:space="0" w:color="auto"/>
              <w:bottom w:val="single" w:sz="4" w:space="0" w:color="000000" w:themeColor="text1"/>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c>
          <w:tcPr>
            <w:tcW w:w="2533" w:type="dxa"/>
            <w:tcBorders>
              <w:top w:val="dotted" w:sz="4" w:space="0" w:color="auto"/>
              <w:left w:val="single" w:sz="4" w:space="0" w:color="auto"/>
              <w:bottom w:val="single" w:sz="4" w:space="0" w:color="000000" w:themeColor="text1"/>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jc w:val="both"/>
              <w:rPr>
                <w:rFonts w:ascii="Arial" w:hAnsi="Arial" w:cs="Arial"/>
                <w:sz w:val="16"/>
                <w:szCs w:val="16"/>
                <w:bdr w:val="nil"/>
                <w:lang w:val="en-US"/>
              </w:rPr>
            </w:pPr>
            <w:r>
              <w:rPr>
                <w:rFonts w:ascii="Arial" w:eastAsia="Times New Roman" w:hAnsi="Arial" w:cs="Arial"/>
                <w:sz w:val="16"/>
                <w:szCs w:val="16"/>
                <w:bdr w:val="nil"/>
                <w:lang w:val="en-US"/>
              </w:rPr>
              <w:t>As per 2020-21</w:t>
            </w:r>
          </w:p>
        </w:tc>
      </w:tr>
      <w:tr w:rsidR="00010972" w:rsidTr="00DD145C">
        <w:tc>
          <w:tcPr>
            <w:tcW w:w="1802" w:type="dxa"/>
            <w:tcBorders>
              <w:top w:val="single" w:sz="4" w:space="0" w:color="000000" w:themeColor="text1"/>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03" w:type="dxa"/>
            <w:gridSpan w:val="2"/>
            <w:tcBorders>
              <w:top w:val="single" w:sz="4" w:space="0" w:color="000000" w:themeColor="text1"/>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Encourage self-reliance and support people who cannot fully support themselves by providing sustainable social security payments and assistance.</w:t>
            </w:r>
          </w:p>
        </w:tc>
      </w:tr>
      <w:tr w:rsidR="00010972" w:rsidTr="00DD145C">
        <w:tc>
          <w:tcPr>
            <w:tcW w:w="7705" w:type="dxa"/>
            <w:gridSpan w:val="3"/>
            <w:tcBorders>
              <w:top w:val="single" w:sz="4" w:space="0" w:color="auto"/>
              <w:left w:val="single" w:sz="4" w:space="0" w:color="auto"/>
              <w:bottom w:val="single" w:sz="4" w:space="0" w:color="auto"/>
              <w:right w:val="single" w:sz="4" w:space="0" w:color="auto"/>
            </w:tcBorders>
            <w:hideMark/>
          </w:tcPr>
          <w:p w:rsidR="00E7470E" w:rsidRDefault="00D5482E">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1.10: Nil.</w:t>
            </w:r>
          </w:p>
        </w:tc>
      </w:tr>
    </w:tbl>
    <w:p w:rsidR="00E7470E" w:rsidRDefault="00D5482E" w:rsidP="00E7470E">
      <w:pPr>
        <w:pStyle w:val="Normal0"/>
        <w:keepLines/>
        <w:pBdr>
          <w:top w:val="nil"/>
          <w:left w:val="nil"/>
          <w:bottom w:val="nil"/>
          <w:right w:val="nil"/>
          <w:between w:val="nil"/>
          <w:bar w:val="nil"/>
        </w:pBdr>
        <w:spacing w:after="240" w:line="260" w:lineRule="exact"/>
        <w:jc w:val="both"/>
        <w:rPr>
          <w:bdr w:val="nil"/>
        </w:rPr>
      </w:pPr>
      <w:r>
        <w:rPr>
          <w:rFonts w:eastAsia="Times New Roman"/>
          <w:sz w:val="20"/>
          <w:szCs w:val="20"/>
          <w:bdr w:val="nil"/>
          <w:lang w:eastAsia="en-AU"/>
        </w:rPr>
        <w:br w:type="page"/>
      </w:r>
    </w:p>
    <w:p w:rsidR="00E7470E" w:rsidRDefault="00D5482E" w:rsidP="00657DF0">
      <w:pPr>
        <w:pStyle w:val="TableHeading"/>
        <w:keepLines/>
        <w:pBdr>
          <w:top w:val="nil"/>
          <w:left w:val="nil"/>
          <w:bottom w:val="nil"/>
          <w:right w:val="nil"/>
          <w:between w:val="nil"/>
          <w:bar w:val="nil"/>
        </w:pBdr>
        <w:spacing w:before="0" w:after="0"/>
        <w:rPr>
          <w:bdr w:val="nil"/>
        </w:rPr>
      </w:pPr>
      <w:r>
        <w:rPr>
          <w:bdr w:val="nil"/>
        </w:rPr>
        <w:lastRenderedPageBreak/>
        <w:t>Table 2.1.3: Performance criteria for Outcome 1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2"/>
        <w:gridCol w:w="3370"/>
        <w:gridCol w:w="2533"/>
      </w:tblGrid>
      <w:tr w:rsidR="00010972" w:rsidTr="00DD145C">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AEAEA"/>
            <w:hideMark/>
          </w:tcPr>
          <w:p w:rsidR="00E7470E" w:rsidRDefault="00D5482E" w:rsidP="0047558D">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1.11 – Student Payments</w:t>
            </w:r>
            <w:r>
              <w:rPr>
                <w:rFonts w:ascii="Arial" w:eastAsia="Times New Roman" w:hAnsi="Arial" w:cs="Arial"/>
                <w:sz w:val="16"/>
                <w:szCs w:val="16"/>
                <w:bdr w:val="nil"/>
                <w:lang w:val="en-US"/>
              </w:rPr>
              <w:t xml:space="preserve"> – To achieve growth in skills, qualifications and productivity through providing income support and other financial assistance to students to assist them to undertake further education and training. To increase access and participation by Indigenous Australian students in school education, vocational education and training and higher education and accelerate their educational outcomes.</w:t>
            </w:r>
          </w:p>
        </w:tc>
      </w:tr>
      <w:tr w:rsidR="00010972" w:rsidTr="00DD145C">
        <w:tc>
          <w:tcPr>
            <w:tcW w:w="1802" w:type="dxa"/>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3" w:type="dxa"/>
            <w:gridSpan w:val="2"/>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DSS administers the program as part of the social security system.</w:t>
            </w:r>
          </w:p>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Payments and other financial assistance are made through Services Australia to eligible claimants under the provisions of social security and student assistance law.</w:t>
            </w:r>
          </w:p>
        </w:tc>
      </w:tr>
      <w:tr w:rsidR="00010972" w:rsidTr="00DD145C">
        <w:tc>
          <w:tcPr>
            <w:tcW w:w="7705" w:type="dxa"/>
            <w:gridSpan w:val="3"/>
            <w:tcBorders>
              <w:top w:val="doub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02"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70"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3"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02" w:type="dxa"/>
            <w:vMerge w:val="restart"/>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70" w:type="dxa"/>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b/>
                <w:sz w:val="16"/>
                <w:szCs w:val="16"/>
                <w:bdr w:val="nil"/>
                <w:lang w:val="en-US" w:eastAsia="en-US"/>
              </w:rPr>
            </w:pPr>
            <w:r>
              <w:rPr>
                <w:rFonts w:ascii="Arial" w:hAnsi="Arial" w:cs="Arial"/>
                <w:color w:val="000000"/>
                <w:sz w:val="16"/>
                <w:szCs w:val="16"/>
                <w:bdr w:val="nil"/>
                <w:lang w:val="en-US" w:eastAsia="en-US"/>
              </w:rPr>
              <w:t>Extent to which payment recipients have improved financial self-reliance.</w:t>
            </w:r>
          </w:p>
        </w:tc>
        <w:tc>
          <w:tcPr>
            <w:tcW w:w="2533" w:type="dxa"/>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color w:val="000000"/>
                <w:sz w:val="16"/>
                <w:szCs w:val="16"/>
                <w:bdr w:val="nil"/>
                <w:lang w:val="en-US" w:eastAsia="en-US"/>
              </w:rPr>
              <w:t>The proportion of Austudy, Youth Allowance and ABSTUDY recipients who are not receiving income support 3/6/12 months after exiting student payments align with movements in the unemployment rate.</w:t>
            </w:r>
          </w:p>
        </w:tc>
      </w:tr>
      <w:tr w:rsidR="00010972" w:rsidTr="00DD145C">
        <w:tc>
          <w:tcPr>
            <w:tcW w:w="1802" w:type="dxa"/>
            <w:vMerge/>
            <w:tcBorders>
              <w:top w:val="dotted" w:sz="4" w:space="0" w:color="auto"/>
              <w:left w:val="single" w:sz="4" w:space="0" w:color="auto"/>
              <w:bottom w:val="dotted" w:sz="4" w:space="0" w:color="auto"/>
              <w:right w:val="single" w:sz="4" w:space="0" w:color="auto"/>
            </w:tcBorders>
            <w:vAlign w:val="center"/>
            <w:hideMark/>
          </w:tcPr>
          <w:p w:rsidR="00212B8B" w:rsidRDefault="00212B8B" w:rsidP="00212B8B">
            <w:pPr>
              <w:spacing w:after="0"/>
              <w:rPr>
                <w:rFonts w:ascii="Arial" w:hAnsi="Arial" w:cs="Arial"/>
                <w:sz w:val="16"/>
                <w:szCs w:val="16"/>
                <w:bdr w:val="nil"/>
              </w:rPr>
            </w:pPr>
          </w:p>
        </w:tc>
        <w:tc>
          <w:tcPr>
            <w:tcW w:w="5903" w:type="dxa"/>
            <w:gridSpan w:val="2"/>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0" w:line="240" w:lineRule="auto"/>
              <w:rPr>
                <w:rFonts w:ascii="Arial" w:hAnsi="Arial" w:cs="Arial"/>
                <w:sz w:val="16"/>
                <w:szCs w:val="16"/>
                <w:bdr w:val="nil"/>
                <w:lang w:val="en-US"/>
              </w:rPr>
            </w:pPr>
            <w:r>
              <w:rPr>
                <w:rFonts w:ascii="Arial" w:eastAsia="Times New Roman" w:hAnsi="Arial" w:cs="Arial"/>
                <w:sz w:val="16"/>
                <w:szCs w:val="16"/>
                <w:bdr w:val="nil"/>
                <w:lang w:val="en-US"/>
              </w:rPr>
              <w:t>Outputs: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rPr>
            </w:pPr>
            <w:r>
              <w:rPr>
                <w:rFonts w:ascii="Arial" w:eastAsia="Times New Roman" w:hAnsi="Arial" w:cs="Arial"/>
                <w:sz w:val="16"/>
                <w:szCs w:val="16"/>
                <w:bdr w:val="nil"/>
                <w:lang w:val="en-AU"/>
              </w:rPr>
              <w:t>Administered outlays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after="60" w:line="240" w:lineRule="auto"/>
              <w:rPr>
                <w:rFonts w:eastAsia="Times New Roman" w:cs="Arial"/>
                <w:sz w:val="16"/>
                <w:szCs w:val="16"/>
                <w:bdr w:val="nil"/>
                <w:lang w:val="en-AU"/>
              </w:rPr>
            </w:pPr>
            <w:r>
              <w:rPr>
                <w:rFonts w:ascii="Arial" w:eastAsia="Times New Roman" w:hAnsi="Arial" w:cs="Arial"/>
                <w:sz w:val="16"/>
                <w:szCs w:val="16"/>
                <w:bdr w:val="nil"/>
                <w:lang w:val="en-AU"/>
              </w:rPr>
              <w:t>Number of recipients</w:t>
            </w:r>
          </w:p>
          <w:p w:rsidR="00212B8B" w:rsidRDefault="00D5482E" w:rsidP="00212B8B">
            <w:pPr>
              <w:pStyle w:val="ListParagraph"/>
              <w:numPr>
                <w:ilvl w:val="0"/>
                <w:numId w:val="16"/>
              </w:numPr>
              <w:pBdr>
                <w:top w:val="nil"/>
                <w:left w:val="nil"/>
                <w:bottom w:val="nil"/>
                <w:right w:val="nil"/>
                <w:between w:val="nil"/>
                <w:bar w:val="nil"/>
              </w:pBdr>
              <w:tabs>
                <w:tab w:val="left" w:pos="709"/>
              </w:tabs>
              <w:spacing w:before="60" w:after="60" w:line="240" w:lineRule="auto"/>
              <w:rPr>
                <w:rFonts w:eastAsia="Times New Roman" w:cs="Arial"/>
                <w:color w:val="000000"/>
                <w:sz w:val="16"/>
                <w:szCs w:val="16"/>
                <w:bdr w:val="nil"/>
                <w:lang w:val="en-AU"/>
              </w:rPr>
            </w:pPr>
            <w:r>
              <w:rPr>
                <w:rFonts w:ascii="Arial" w:eastAsia="Times New Roman" w:hAnsi="Arial" w:cs="Arial"/>
                <w:sz w:val="16"/>
                <w:szCs w:val="16"/>
                <w:bdr w:val="nil"/>
                <w:lang w:val="en-AU"/>
              </w:rPr>
              <w:t>Payment accuracy</w:t>
            </w:r>
          </w:p>
        </w:tc>
      </w:tr>
      <w:tr w:rsidR="00010972" w:rsidTr="00DD145C">
        <w:tc>
          <w:tcPr>
            <w:tcW w:w="1802"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70"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c>
          <w:tcPr>
            <w:tcW w:w="2533"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jc w:val="both"/>
              <w:rPr>
                <w:rFonts w:ascii="Arial" w:hAnsi="Arial" w:cs="Arial"/>
                <w:sz w:val="16"/>
                <w:szCs w:val="16"/>
                <w:bdr w:val="nil"/>
                <w:lang w:val="en-US"/>
              </w:rPr>
            </w:pPr>
            <w:r>
              <w:rPr>
                <w:rFonts w:ascii="Arial" w:eastAsia="Times New Roman" w:hAnsi="Arial" w:cs="Arial"/>
                <w:sz w:val="16"/>
                <w:szCs w:val="16"/>
                <w:bdr w:val="nil"/>
                <w:lang w:val="en-US"/>
              </w:rPr>
              <w:t>As per 2020-21</w:t>
            </w:r>
          </w:p>
        </w:tc>
      </w:tr>
      <w:tr w:rsidR="00010972" w:rsidTr="00DD145C">
        <w:tc>
          <w:tcPr>
            <w:tcW w:w="1802" w:type="dxa"/>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03" w:type="dxa"/>
            <w:gridSpan w:val="2"/>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Encourage self-reliance and support people who cannot fully support themselves by providing sustainable social security payments and assistance.</w:t>
            </w:r>
          </w:p>
        </w:tc>
      </w:tr>
      <w:tr w:rsidR="00010972" w:rsidTr="00DD145C">
        <w:tc>
          <w:tcPr>
            <w:tcW w:w="7705" w:type="dxa"/>
            <w:gridSpan w:val="3"/>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1.11: Nil.</w:t>
            </w:r>
          </w:p>
        </w:tc>
      </w:tr>
    </w:tbl>
    <w:p w:rsidR="00E7470E" w:rsidRDefault="00D5482E" w:rsidP="00E7470E">
      <w:pPr>
        <w:pStyle w:val="Normal0"/>
        <w:keepLines/>
        <w:pBdr>
          <w:top w:val="nil"/>
          <w:left w:val="nil"/>
          <w:bottom w:val="nil"/>
          <w:right w:val="nil"/>
          <w:between w:val="nil"/>
          <w:bar w:val="nil"/>
        </w:pBdr>
        <w:spacing w:after="240" w:line="260" w:lineRule="exact"/>
        <w:jc w:val="both"/>
        <w:rPr>
          <w:bdr w:val="nil"/>
        </w:rPr>
      </w:pPr>
      <w:r>
        <w:rPr>
          <w:rFonts w:eastAsia="Times New Roman"/>
          <w:sz w:val="20"/>
          <w:szCs w:val="20"/>
          <w:bdr w:val="nil"/>
          <w:lang w:eastAsia="en-AU"/>
        </w:rPr>
        <w:br w:type="page"/>
      </w:r>
    </w:p>
    <w:p w:rsidR="00E7470E" w:rsidRDefault="00D5482E" w:rsidP="00657DF0">
      <w:pPr>
        <w:pStyle w:val="TableHeading"/>
        <w:keepLines/>
        <w:pBdr>
          <w:top w:val="nil"/>
          <w:left w:val="nil"/>
          <w:bottom w:val="nil"/>
          <w:right w:val="nil"/>
          <w:between w:val="nil"/>
          <w:bar w:val="nil"/>
        </w:pBdr>
        <w:spacing w:before="0" w:after="0"/>
        <w:rPr>
          <w:bdr w:val="nil"/>
        </w:rPr>
      </w:pPr>
      <w:r>
        <w:rPr>
          <w:bdr w:val="nil"/>
        </w:rPr>
        <w:lastRenderedPageBreak/>
        <w:t>Table 2.1.3: Performance criteria for Outcome 1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2"/>
        <w:gridCol w:w="3369"/>
        <w:gridCol w:w="2534"/>
      </w:tblGrid>
      <w:tr w:rsidR="00010972" w:rsidTr="00DD145C">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AEAEA"/>
            <w:hideMark/>
          </w:tcPr>
          <w:p w:rsidR="00E7470E" w:rsidRDefault="00D5482E" w:rsidP="00BC7940">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1.12</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 xml:space="preserve">– Program Support for Outcome 1 </w:t>
            </w:r>
            <w:r>
              <w:rPr>
                <w:rFonts w:ascii="Arial" w:eastAsia="Times New Roman" w:hAnsi="Arial" w:cs="Arial"/>
                <w:sz w:val="16"/>
                <w:szCs w:val="16"/>
                <w:bdr w:val="nil"/>
                <w:lang w:val="en-US"/>
              </w:rPr>
              <w:t>– To provide departmental funding for the annual operating costs of DSS to achieve agency objectives.</w:t>
            </w:r>
          </w:p>
        </w:tc>
      </w:tr>
      <w:tr w:rsidR="00010972" w:rsidTr="00DD145C">
        <w:tc>
          <w:tcPr>
            <w:tcW w:w="1802" w:type="dxa"/>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3" w:type="dxa"/>
            <w:gridSpan w:val="2"/>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 w:val="center" w:pos="286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Departmental funding.</w:t>
            </w:r>
          </w:p>
        </w:tc>
      </w:tr>
      <w:tr w:rsidR="00010972" w:rsidTr="00DD145C">
        <w:tc>
          <w:tcPr>
            <w:tcW w:w="7705" w:type="dxa"/>
            <w:gridSpan w:val="3"/>
            <w:tcBorders>
              <w:top w:val="doub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02"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69"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4"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02" w:type="dxa"/>
            <w:vMerge w:val="restart"/>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69" w:type="dxa"/>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color w:val="000000"/>
                <w:sz w:val="16"/>
                <w:szCs w:val="16"/>
                <w:bdr w:val="nil"/>
                <w:lang w:val="en-US"/>
              </w:rPr>
              <w:t>Cross-Outcome departmental expenditure.</w:t>
            </w:r>
          </w:p>
        </w:tc>
        <w:tc>
          <w:tcPr>
            <w:tcW w:w="2534" w:type="dxa"/>
            <w:tcBorders>
              <w:top w:val="dotted" w:sz="4" w:space="0" w:color="auto"/>
              <w:left w:val="single" w:sz="4" w:space="0" w:color="auto"/>
              <w:bottom w:val="dotted" w:sz="4" w:space="0" w:color="auto"/>
              <w:right w:val="single" w:sz="4" w:space="0" w:color="auto"/>
            </w:tcBorders>
            <w:hideMark/>
          </w:tcPr>
          <w:p w:rsidR="00212B8B" w:rsidRDefault="00D5482E" w:rsidP="00BC7940">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color w:val="000000"/>
                <w:sz w:val="16"/>
                <w:szCs w:val="16"/>
                <w:bdr w:val="nil"/>
                <w:lang w:val="en-US"/>
              </w:rPr>
              <w:t>Budget estimates are accurate (taking into account, to the extent possible, all government decisions and other circumstances that may have a material effect) and explanations are provided where variances are equivalent to or greater than two per cent between budgeted expenses and Final Budget Outcome for all DSS’ Outcomes.</w:t>
            </w:r>
          </w:p>
        </w:tc>
      </w:tr>
      <w:tr w:rsidR="00010972" w:rsidTr="00DD145C">
        <w:tc>
          <w:tcPr>
            <w:tcW w:w="1802" w:type="dxa"/>
            <w:vMerge/>
            <w:tcBorders>
              <w:top w:val="dotted" w:sz="4" w:space="0" w:color="auto"/>
              <w:left w:val="single" w:sz="4" w:space="0" w:color="auto"/>
              <w:bottom w:val="dotted" w:sz="4" w:space="0" w:color="auto"/>
              <w:right w:val="single" w:sz="4" w:space="0" w:color="auto"/>
            </w:tcBorders>
            <w:vAlign w:val="center"/>
            <w:hideMark/>
          </w:tcPr>
          <w:p w:rsidR="00212B8B" w:rsidRDefault="00212B8B" w:rsidP="00212B8B">
            <w:pPr>
              <w:spacing w:after="0"/>
              <w:rPr>
                <w:rFonts w:ascii="Arial" w:hAnsi="Arial" w:cs="Arial"/>
                <w:sz w:val="16"/>
                <w:szCs w:val="16"/>
                <w:bdr w:val="nil"/>
              </w:rPr>
            </w:pPr>
          </w:p>
        </w:tc>
        <w:tc>
          <w:tcPr>
            <w:tcW w:w="3369" w:type="dxa"/>
            <w:tcBorders>
              <w:top w:val="dotted" w:sz="4" w:space="0" w:color="auto"/>
              <w:left w:val="single" w:sz="4" w:space="0" w:color="auto"/>
              <w:bottom w:val="dotted" w:sz="4" w:space="0" w:color="auto"/>
              <w:right w:val="single" w:sz="4" w:space="0" w:color="auto"/>
            </w:tcBorders>
            <w:hideMark/>
          </w:tcPr>
          <w:p w:rsidR="00212B8B" w:rsidRDefault="00D5482E" w:rsidP="00BC7940">
            <w:pPr>
              <w:pStyle w:val="Normal0"/>
              <w:keepLines/>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Timeliness of advice and support provided to Portfolio Ministers and Assistant Ministers by DSS across the four outcomes.</w:t>
            </w:r>
          </w:p>
        </w:tc>
        <w:tc>
          <w:tcPr>
            <w:tcW w:w="2534" w:type="dxa"/>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At least 95 per cent of ministerial briefs and correspondence across the four outcomes are provided on time.</w:t>
            </w:r>
          </w:p>
        </w:tc>
      </w:tr>
      <w:tr w:rsidR="00010972" w:rsidTr="00DD145C">
        <w:tc>
          <w:tcPr>
            <w:tcW w:w="1802"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69"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c>
          <w:tcPr>
            <w:tcW w:w="2534"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jc w:val="both"/>
              <w:rPr>
                <w:rFonts w:ascii="Arial" w:hAnsi="Arial" w:cs="Arial"/>
                <w:sz w:val="16"/>
                <w:szCs w:val="16"/>
                <w:bdr w:val="nil"/>
                <w:lang w:val="en-US"/>
              </w:rPr>
            </w:pPr>
            <w:r>
              <w:rPr>
                <w:rFonts w:ascii="Arial" w:eastAsia="Times New Roman" w:hAnsi="Arial" w:cs="Arial"/>
                <w:sz w:val="16"/>
                <w:szCs w:val="16"/>
                <w:bdr w:val="nil"/>
                <w:lang w:val="en-US"/>
              </w:rPr>
              <w:t>As per 2020-21</w:t>
            </w:r>
          </w:p>
        </w:tc>
      </w:tr>
      <w:tr w:rsidR="00010972" w:rsidTr="00DD145C">
        <w:tc>
          <w:tcPr>
            <w:tcW w:w="1802" w:type="dxa"/>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03" w:type="dxa"/>
            <w:gridSpan w:val="2"/>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Encourage self-reliance and support people who cannot fully support themselves by providing sustainable social security payments and assistance.</w:t>
            </w:r>
          </w:p>
        </w:tc>
      </w:tr>
      <w:tr w:rsidR="00010972" w:rsidTr="00DD145C">
        <w:tc>
          <w:tcPr>
            <w:tcW w:w="7705" w:type="dxa"/>
            <w:gridSpan w:val="3"/>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1.12: Nil.</w:t>
            </w:r>
          </w:p>
        </w:tc>
      </w:tr>
    </w:tbl>
    <w:p w:rsidR="00E7470E" w:rsidRDefault="00D5482E" w:rsidP="00E7470E">
      <w:pPr>
        <w:pStyle w:val="Normal0"/>
        <w:keepLines/>
        <w:pBdr>
          <w:top w:val="nil"/>
          <w:left w:val="nil"/>
          <w:bottom w:val="nil"/>
          <w:right w:val="nil"/>
          <w:between w:val="nil"/>
          <w:bar w:val="nil"/>
        </w:pBdr>
        <w:spacing w:after="240" w:line="260" w:lineRule="exact"/>
        <w:jc w:val="both"/>
        <w:rPr>
          <w:bdr w:val="nil"/>
        </w:rPr>
      </w:pPr>
      <w:r>
        <w:rPr>
          <w:rFonts w:eastAsia="Times New Roman"/>
          <w:sz w:val="20"/>
          <w:szCs w:val="20"/>
          <w:bdr w:val="nil"/>
          <w:lang w:eastAsia="en-AU"/>
        </w:rPr>
        <w:br w:type="page"/>
      </w:r>
    </w:p>
    <w:p w:rsidR="00E7470E" w:rsidRDefault="00D5482E" w:rsidP="00657DF0">
      <w:pPr>
        <w:pStyle w:val="TableHeading"/>
        <w:keepLines/>
        <w:pBdr>
          <w:top w:val="nil"/>
          <w:left w:val="nil"/>
          <w:bottom w:val="nil"/>
          <w:right w:val="nil"/>
          <w:between w:val="nil"/>
          <w:bar w:val="nil"/>
        </w:pBdr>
        <w:spacing w:before="0" w:after="0"/>
        <w:rPr>
          <w:bdr w:val="nil"/>
        </w:rPr>
      </w:pPr>
      <w:r>
        <w:rPr>
          <w:bdr w:val="nil"/>
        </w:rPr>
        <w:lastRenderedPageBreak/>
        <w:t>Table 2.1.3: Performance criteria for Outcome 1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3"/>
        <w:gridCol w:w="3370"/>
        <w:gridCol w:w="2532"/>
      </w:tblGrid>
      <w:tr w:rsidR="00010972" w:rsidTr="00DD145C">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AEAEA"/>
            <w:hideMark/>
          </w:tcPr>
          <w:p w:rsidR="00E7470E" w:rsidRDefault="00D5482E" w:rsidP="0047558D">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Cross-Program – Rent Assistance</w:t>
            </w:r>
            <w:r>
              <w:rPr>
                <w:rFonts w:ascii="Arial" w:eastAsia="Times New Roman" w:hAnsi="Arial" w:cs="Arial"/>
                <w:sz w:val="16"/>
                <w:szCs w:val="16"/>
                <w:bdr w:val="nil"/>
                <w:lang w:val="en-US"/>
              </w:rPr>
              <w:t xml:space="preserve"> – To make payments to low and moderate income Australians receiving income support or Family Tax Benefit Part A to assist with the costs of renting private and community housing.</w:t>
            </w:r>
          </w:p>
        </w:tc>
      </w:tr>
      <w:tr w:rsidR="00010972" w:rsidTr="00DD145C">
        <w:tc>
          <w:tcPr>
            <w:tcW w:w="1803" w:type="dxa"/>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2" w:type="dxa"/>
            <w:gridSpan w:val="2"/>
            <w:tcBorders>
              <w:top w:val="sing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DSS administers the program as part of the social security system.</w:t>
            </w:r>
          </w:p>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Rent Assistance payments are made through Services Australia to eligible claimants under the provisions of the social security law and family assistance law.</w:t>
            </w:r>
          </w:p>
        </w:tc>
      </w:tr>
      <w:tr w:rsidR="00010972" w:rsidTr="00DD145C">
        <w:tc>
          <w:tcPr>
            <w:tcW w:w="7705" w:type="dxa"/>
            <w:gridSpan w:val="3"/>
            <w:tcBorders>
              <w:top w:val="double" w:sz="4" w:space="0" w:color="auto"/>
              <w:left w:val="single" w:sz="4" w:space="0" w:color="auto"/>
              <w:bottom w:val="double" w:sz="4" w:space="0" w:color="auto"/>
              <w:right w:val="single" w:sz="4" w:space="0" w:color="auto"/>
            </w:tcBorders>
            <w:hideMark/>
          </w:tcPr>
          <w:p w:rsidR="00E7470E"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03"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70"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2" w:type="dxa"/>
            <w:tcBorders>
              <w:top w:val="doub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03" w:type="dxa"/>
            <w:vMerge w:val="restart"/>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70" w:type="dxa"/>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sz w:val="16"/>
                <w:szCs w:val="16"/>
                <w:bdr w:val="nil"/>
                <w:lang w:val="en-US" w:eastAsia="en-US"/>
              </w:rPr>
            </w:pPr>
            <w:r>
              <w:rPr>
                <w:rFonts w:ascii="Arial" w:hAnsi="Arial" w:cs="Arial"/>
                <w:color w:val="000000"/>
                <w:sz w:val="16"/>
                <w:szCs w:val="16"/>
                <w:bdr w:val="nil"/>
                <w:lang w:val="en-US" w:eastAsia="en-US"/>
              </w:rPr>
              <w:t>Extent to which income support or family payment recipients are assisted with the costs of renting private and community housing.</w:t>
            </w:r>
          </w:p>
        </w:tc>
        <w:tc>
          <w:tcPr>
            <w:tcW w:w="2532" w:type="dxa"/>
            <w:tcBorders>
              <w:top w:val="dotted" w:sz="4" w:space="0" w:color="auto"/>
              <w:left w:val="single" w:sz="4" w:space="0" w:color="auto"/>
              <w:bottom w:val="dotted" w:sz="4" w:space="0" w:color="auto"/>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cs="Arial"/>
                <w:sz w:val="16"/>
                <w:szCs w:val="16"/>
                <w:bdr w:val="nil"/>
                <w:lang w:val="en-US" w:eastAsia="en-US"/>
              </w:rPr>
            </w:pPr>
            <w:r>
              <w:rPr>
                <w:rFonts w:ascii="Arial" w:hAnsi="Arial" w:cs="Arial"/>
                <w:color w:val="000000"/>
                <w:sz w:val="16"/>
                <w:szCs w:val="16"/>
                <w:bdr w:val="nil"/>
                <w:lang w:val="en-US" w:eastAsia="en-US"/>
              </w:rPr>
              <w:t>Of the individuals and families renting and receiving Rent Assistance, the proportion experiencing rental stress after receipt of Rent Assistance is at least 25 percentage points lower than it would be without Rent Assistance.</w:t>
            </w:r>
          </w:p>
        </w:tc>
      </w:tr>
      <w:tr w:rsidR="00010972" w:rsidTr="00DD145C">
        <w:tc>
          <w:tcPr>
            <w:tcW w:w="1803" w:type="dxa"/>
            <w:vMerge/>
            <w:tcBorders>
              <w:top w:val="dotted" w:sz="4" w:space="0" w:color="auto"/>
              <w:left w:val="single" w:sz="4" w:space="0" w:color="auto"/>
              <w:bottom w:val="dotted" w:sz="4" w:space="0" w:color="auto"/>
              <w:right w:val="single" w:sz="4" w:space="0" w:color="auto"/>
            </w:tcBorders>
            <w:vAlign w:val="center"/>
            <w:hideMark/>
          </w:tcPr>
          <w:p w:rsidR="00212B8B" w:rsidRDefault="00212B8B" w:rsidP="00212B8B">
            <w:pPr>
              <w:spacing w:after="0"/>
              <w:rPr>
                <w:rFonts w:ascii="Arial" w:hAnsi="Arial" w:cs="Arial"/>
                <w:sz w:val="16"/>
                <w:szCs w:val="16"/>
                <w:bdr w:val="nil"/>
              </w:rPr>
            </w:pPr>
          </w:p>
        </w:tc>
        <w:tc>
          <w:tcPr>
            <w:tcW w:w="5902" w:type="dxa"/>
            <w:gridSpan w:val="2"/>
            <w:tcBorders>
              <w:top w:val="dotted" w:sz="4" w:space="0" w:color="auto"/>
              <w:left w:val="single" w:sz="4" w:space="0" w:color="auto"/>
              <w:bottom w:val="dotted" w:sz="4" w:space="0" w:color="auto"/>
              <w:right w:val="single" w:sz="4" w:space="0" w:color="auto"/>
            </w:tcBorders>
            <w:hideMark/>
          </w:tcPr>
          <w:p w:rsidR="00212B8B" w:rsidRDefault="00D5482E" w:rsidP="00212B8B">
            <w:pPr>
              <w:keepLines/>
              <w:pBdr>
                <w:top w:val="nil"/>
                <w:left w:val="nil"/>
                <w:bottom w:val="nil"/>
                <w:right w:val="nil"/>
                <w:between w:val="nil"/>
                <w:bar w:val="nil"/>
              </w:pBdr>
              <w:tabs>
                <w:tab w:val="left" w:pos="709"/>
              </w:tabs>
              <w:spacing w:before="60" w:after="0" w:line="240" w:lineRule="auto"/>
              <w:rPr>
                <w:rFonts w:ascii="Arial" w:hAnsi="Arial" w:cs="Arial"/>
                <w:i/>
                <w:color w:val="000000"/>
                <w:sz w:val="16"/>
                <w:szCs w:val="16"/>
                <w:bdr w:val="nil"/>
              </w:rPr>
            </w:pPr>
            <w:r>
              <w:rPr>
                <w:rFonts w:ascii="Arial" w:eastAsia="Times New Roman" w:hAnsi="Arial" w:cs="Arial"/>
                <w:color w:val="000000"/>
                <w:sz w:val="16"/>
                <w:szCs w:val="16"/>
                <w:bdr w:val="nil"/>
              </w:rPr>
              <w:t>Output:</w:t>
            </w:r>
          </w:p>
          <w:p w:rsidR="00212B8B" w:rsidRDefault="00D5482E" w:rsidP="00212B8B">
            <w:pPr>
              <w:pStyle w:val="ListParagraph"/>
              <w:numPr>
                <w:ilvl w:val="0"/>
                <w:numId w:val="16"/>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Commonwealth Rent Assistance income units</w:t>
            </w:r>
          </w:p>
        </w:tc>
      </w:tr>
      <w:tr w:rsidR="00010972" w:rsidTr="00DD145C">
        <w:tc>
          <w:tcPr>
            <w:tcW w:w="1803"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70"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As per 2020-21</w:t>
            </w:r>
          </w:p>
        </w:tc>
        <w:tc>
          <w:tcPr>
            <w:tcW w:w="2532" w:type="dxa"/>
            <w:tcBorders>
              <w:top w:val="dotted" w:sz="4" w:space="0" w:color="auto"/>
              <w:left w:val="single" w:sz="4" w:space="0" w:color="auto"/>
              <w:bottom w:val="single" w:sz="4" w:space="0" w:color="auto"/>
              <w:right w:val="single" w:sz="4" w:space="0" w:color="auto"/>
            </w:tcBorders>
            <w:hideMark/>
          </w:tcPr>
          <w:p w:rsidR="00212B8B" w:rsidRDefault="00D5482E" w:rsidP="00212B8B">
            <w:pPr>
              <w:pStyle w:val="Normal00"/>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eastAsia="en-US"/>
              </w:rPr>
            </w:pPr>
            <w:r>
              <w:rPr>
                <w:rFonts w:ascii="Arial" w:hAnsi="Arial" w:cs="Arial"/>
                <w:sz w:val="16"/>
                <w:szCs w:val="16"/>
                <w:bdr w:val="nil"/>
                <w:lang w:val="en-US" w:eastAsia="en-US"/>
              </w:rPr>
              <w:t>As per 2020-21</w:t>
            </w:r>
          </w:p>
        </w:tc>
      </w:tr>
      <w:tr w:rsidR="00010972" w:rsidTr="00DD145C">
        <w:tc>
          <w:tcPr>
            <w:tcW w:w="1803" w:type="dxa"/>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Purposes</w:t>
            </w:r>
          </w:p>
        </w:tc>
        <w:tc>
          <w:tcPr>
            <w:tcW w:w="5902" w:type="dxa"/>
            <w:gridSpan w:val="2"/>
            <w:tcBorders>
              <w:top w:val="single" w:sz="4" w:space="0" w:color="auto"/>
              <w:left w:val="single" w:sz="4" w:space="0" w:color="auto"/>
              <w:bottom w:val="single" w:sz="4" w:space="0" w:color="auto"/>
              <w:right w:val="single" w:sz="4" w:space="0" w:color="auto"/>
            </w:tcBorders>
            <w:hideMark/>
          </w:tcPr>
          <w:p w:rsidR="00212B8B" w:rsidRDefault="00D5482E" w:rsidP="00212B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color w:val="000000"/>
                <w:sz w:val="16"/>
                <w:szCs w:val="16"/>
                <w:bdr w:val="nil"/>
                <w:lang w:val="en-US"/>
              </w:rPr>
              <w:t>Encourage self-reliance and support people who cannot fully support themselves by providing sustainable social security payments and assistance.</w:t>
            </w:r>
          </w:p>
        </w:tc>
      </w:tr>
      <w:tr w:rsidR="00010972" w:rsidTr="00DD145C">
        <w:tc>
          <w:tcPr>
            <w:tcW w:w="7705" w:type="dxa"/>
            <w:gridSpan w:val="3"/>
            <w:tcBorders>
              <w:top w:val="single" w:sz="4" w:space="0" w:color="auto"/>
              <w:left w:val="single" w:sz="4" w:space="0" w:color="auto"/>
              <w:bottom w:val="single" w:sz="4" w:space="0" w:color="000000" w:themeColor="text1"/>
              <w:right w:val="single" w:sz="4" w:space="0" w:color="auto"/>
            </w:tcBorders>
            <w:hideMark/>
          </w:tcPr>
          <w:p w:rsidR="00212B8B" w:rsidRDefault="00D5482E" w:rsidP="00212B8B">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 xml:space="preserve">Material changes to Cross-Program </w:t>
            </w:r>
            <w:r>
              <w:rPr>
                <w:rFonts w:ascii="Arial" w:eastAsia="Times New Roman" w:hAnsi="Arial" w:cs="Arial"/>
                <w:b/>
                <w:sz w:val="16"/>
                <w:szCs w:val="16"/>
                <w:bdr w:val="nil"/>
                <w:lang w:val="en-US"/>
              </w:rPr>
              <w:t>–</w:t>
            </w:r>
            <w:r>
              <w:rPr>
                <w:rStyle w:val="BodyTextChar"/>
                <w:rFonts w:ascii="Arial" w:eastAsiaTheme="minorHAnsi" w:hAnsi="Arial" w:cs="Arial"/>
                <w:b/>
                <w:bCs/>
                <w:iCs/>
                <w:spacing w:val="-6"/>
                <w:sz w:val="16"/>
                <w:szCs w:val="16"/>
                <w:bdr w:val="nil"/>
                <w:lang w:eastAsia="en-US"/>
              </w:rPr>
              <w:t xml:space="preserve"> Rent Assistance: Nil.</w:t>
            </w:r>
          </w:p>
        </w:tc>
      </w:tr>
    </w:tbl>
    <w:p w:rsidR="00D86095" w:rsidRDefault="00D5482E" w:rsidP="002F7C42">
      <w:pPr>
        <w:keepNext/>
        <w:keepLines/>
        <w:pageBreakBefore/>
        <w:pBdr>
          <w:top w:val="nil"/>
          <w:left w:val="nil"/>
          <w:bottom w:val="nil"/>
          <w:right w:val="nil"/>
          <w:between w:val="nil"/>
          <w:bar w:val="nil"/>
        </w:pBdr>
        <w:tabs>
          <w:tab w:val="left" w:pos="709"/>
        </w:tabs>
        <w:spacing w:after="240" w:line="240" w:lineRule="auto"/>
        <w:ind w:right="28"/>
        <w:outlineLvl w:val="2"/>
        <w:rPr>
          <w:rFonts w:ascii="Arial" w:hAnsi="Arial"/>
          <w:b/>
          <w:smallCaps/>
          <w:sz w:val="26"/>
          <w:bdr w:val="nil"/>
        </w:rPr>
      </w:pPr>
      <w:r>
        <w:rPr>
          <w:rFonts w:ascii="Arial" w:eastAsia="Times New Roman" w:hAnsi="Arial" w:cs="Times New Roman"/>
          <w:b/>
          <w:smallCaps/>
          <w:sz w:val="26"/>
          <w:szCs w:val="20"/>
          <w:bdr w:val="nil"/>
          <w:lang w:val="en-AU" w:eastAsia="en-AU"/>
        </w:rPr>
        <w:lastRenderedPageBreak/>
        <w:t>2.2</w:t>
      </w:r>
      <w:r w:rsidRPr="00CA0CF0">
        <w:rPr>
          <w:rFonts w:ascii="Arial" w:eastAsia="Times New Roman" w:hAnsi="Arial" w:cs="Times New Roman"/>
          <w:b/>
          <w:smallCaps/>
          <w:sz w:val="26"/>
          <w:szCs w:val="20"/>
          <w:bdr w:val="nil"/>
          <w:lang w:val="en-AU" w:eastAsia="en-AU"/>
        </w:rPr>
        <w:tab/>
        <w:t>Budgeted expens</w:t>
      </w:r>
      <w:r>
        <w:rPr>
          <w:rFonts w:ascii="Arial" w:eastAsia="Times New Roman" w:hAnsi="Arial" w:cs="Times New Roman"/>
          <w:b/>
          <w:smallCaps/>
          <w:sz w:val="26"/>
          <w:szCs w:val="20"/>
          <w:bdr w:val="nil"/>
          <w:lang w:val="en-AU" w:eastAsia="en-AU"/>
        </w:rPr>
        <w:t>es and performance for Outcome 2</w:t>
      </w:r>
    </w:p>
    <w:tbl>
      <w:tblPr>
        <w:tblStyle w:val="TableGrid"/>
        <w:tblW w:w="5000" w:type="pct"/>
        <w:tblInd w:w="-5" w:type="dxa"/>
        <w:shd w:val="clear" w:color="auto" w:fill="D9D9D9" w:themeFill="background1" w:themeFillShade="D9"/>
        <w:tblCellMar>
          <w:top w:w="57" w:type="dxa"/>
          <w:bottom w:w="11" w:type="dxa"/>
        </w:tblCellMar>
        <w:tblLook w:val="04A0" w:firstRow="1" w:lastRow="0" w:firstColumn="1" w:lastColumn="0" w:noHBand="0" w:noVBand="1"/>
        <w:tblCaption w:val="Outcome 1: Social Security"/>
        <w:tblDescription w:val="Financial support for individuals and families who are unable to fully support themselves by providing a sustainable payments and concessions system."/>
      </w:tblPr>
      <w:tblGrid>
        <w:gridCol w:w="7705"/>
      </w:tblGrid>
      <w:tr w:rsidR="00010972" w:rsidTr="00241B17">
        <w:trPr>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01298" w:rsidRPr="00241B17" w:rsidRDefault="00D5482E" w:rsidP="00241B17">
            <w:pPr>
              <w:keepLines/>
              <w:pBdr>
                <w:top w:val="nil"/>
                <w:left w:val="nil"/>
                <w:bottom w:val="nil"/>
                <w:right w:val="nil"/>
                <w:between w:val="nil"/>
                <w:bar w:val="nil"/>
              </w:pBdr>
              <w:spacing w:before="60" w:after="60"/>
              <w:ind w:right="-80"/>
              <w:jc w:val="both"/>
              <w:rPr>
                <w:rFonts w:ascii="Arial" w:eastAsia="Times New Roman" w:hAnsi="Arial" w:cs="Arial"/>
                <w:b/>
                <w:bdr w:val="nil"/>
              </w:rPr>
            </w:pPr>
            <w:r>
              <w:rPr>
                <w:b/>
                <w:bdr w:val="nil"/>
              </w:rPr>
              <w:br w:type="page"/>
            </w:r>
            <w:r>
              <w:rPr>
                <w:bdr w:val="nil"/>
              </w:rPr>
              <w:br w:type="page"/>
            </w:r>
            <w:r w:rsidRPr="00241B17">
              <w:rPr>
                <w:rFonts w:ascii="Arial" w:eastAsia="Times New Roman" w:hAnsi="Arial" w:cs="Arial"/>
                <w:b/>
                <w:bdr w:val="nil"/>
              </w:rPr>
              <w:t>Outcome 2: Families and Communities</w:t>
            </w:r>
          </w:p>
          <w:p w:rsidR="00001298" w:rsidRDefault="00D5482E" w:rsidP="00241B17">
            <w:pPr>
              <w:keepLines/>
              <w:pBdr>
                <w:top w:val="nil"/>
                <w:left w:val="nil"/>
                <w:bottom w:val="nil"/>
                <w:right w:val="nil"/>
                <w:between w:val="nil"/>
                <w:bar w:val="nil"/>
              </w:pBdr>
              <w:spacing w:before="60" w:after="60"/>
              <w:ind w:right="-80"/>
              <w:jc w:val="both"/>
              <w:rPr>
                <w:bdr w:val="nil"/>
              </w:rPr>
            </w:pPr>
            <w:r w:rsidRPr="00241B17">
              <w:rPr>
                <w:rFonts w:ascii="Arial" w:eastAsia="Times New Roman" w:hAnsi="Arial" w:cs="Arial"/>
                <w:b/>
                <w:bdr w:val="nil"/>
              </w:rPr>
              <w:t>Contribute to stronger and more resilient individuals, families and communities by providing targeted services and initiatives.</w:t>
            </w:r>
          </w:p>
        </w:tc>
      </w:tr>
    </w:tbl>
    <w:p w:rsidR="00E86B73" w:rsidRDefault="00D5482E" w:rsidP="002F7C42">
      <w:pPr>
        <w:pStyle w:val="ProgramHeading1"/>
        <w:pBdr>
          <w:top w:val="nil"/>
          <w:left w:val="nil"/>
          <w:bottom w:val="nil"/>
          <w:right w:val="nil"/>
          <w:between w:val="nil"/>
          <w:bar w:val="nil"/>
        </w:pBdr>
        <w:spacing w:before="240" w:after="0"/>
        <w:rPr>
          <w:rFonts w:cs="Arial"/>
          <w:color w:val="000000"/>
          <w:sz w:val="22"/>
          <w:szCs w:val="22"/>
          <w:bdr w:val="nil"/>
        </w:rPr>
      </w:pPr>
      <w:r>
        <w:rPr>
          <w:rFonts w:cs="Arial"/>
          <w:sz w:val="22"/>
          <w:szCs w:val="22"/>
          <w:bdr w:val="nil"/>
        </w:rPr>
        <w:t xml:space="preserve">Linked </w:t>
      </w:r>
      <w:r>
        <w:rPr>
          <w:rFonts w:cs="Arial"/>
          <w:color w:val="000000"/>
          <w:sz w:val="22"/>
          <w:szCs w:val="22"/>
          <w:bdr w:val="nil"/>
        </w:rPr>
        <w:t>programs</w:t>
      </w: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797"/>
      </w:tblGrid>
      <w:tr w:rsidR="00010972" w:rsidTr="00DD145C">
        <w:tc>
          <w:tcPr>
            <w:tcW w:w="7797" w:type="dxa"/>
            <w:tcBorders>
              <w:top w:val="single" w:sz="4" w:space="0" w:color="auto"/>
              <w:left w:val="single" w:sz="4" w:space="0" w:color="auto"/>
              <w:bottom w:val="dotted" w:sz="4" w:space="0" w:color="auto"/>
              <w:right w:val="single" w:sz="4" w:space="0" w:color="auto"/>
            </w:tcBorders>
            <w:hideMark/>
          </w:tcPr>
          <w:p w:rsidR="00E86B73" w:rsidRDefault="00D5482E">
            <w:pPr>
              <w:pStyle w:val="ExampleText0"/>
              <w:pBdr>
                <w:top w:val="nil"/>
                <w:left w:val="nil"/>
                <w:bottom w:val="nil"/>
                <w:right w:val="nil"/>
                <w:between w:val="nil"/>
                <w:bar w:val="nil"/>
              </w:pBdr>
              <w:spacing w:before="60" w:after="60" w:line="240" w:lineRule="auto"/>
              <w:rPr>
                <w:color w:val="000000"/>
                <w:bdr w:val="nil"/>
                <w:lang w:val="en-US" w:eastAsia="en-US"/>
              </w:rPr>
            </w:pPr>
            <w:r>
              <w:rPr>
                <w:rStyle w:val="ExampletextCharChar"/>
                <w:b/>
                <w:color w:val="000000"/>
                <w:bdr w:val="nil"/>
              </w:rPr>
              <w:t>Attorney-General’s Department</w:t>
            </w:r>
          </w:p>
        </w:tc>
      </w:tr>
      <w:tr w:rsidR="00010972" w:rsidTr="00DD145C">
        <w:tc>
          <w:tcPr>
            <w:tcW w:w="7797" w:type="dxa"/>
            <w:tcBorders>
              <w:top w:val="dotted" w:sz="4" w:space="0" w:color="auto"/>
              <w:left w:val="single" w:sz="4" w:space="0" w:color="auto"/>
              <w:bottom w:val="dotted" w:sz="4" w:space="0" w:color="000000" w:themeColor="text1"/>
              <w:right w:val="single" w:sz="4" w:space="0" w:color="auto"/>
            </w:tcBorders>
            <w:hideMark/>
          </w:tcPr>
          <w:p w:rsidR="00E86B73" w:rsidRPr="00E86B73"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E86B73">
              <w:rPr>
                <w:rStyle w:val="ExampletextCharChar"/>
                <w:rFonts w:eastAsiaTheme="minorHAnsi"/>
                <w:b/>
                <w:i w:val="0"/>
                <w:color w:val="000000"/>
                <w:bdr w:val="nil"/>
              </w:rPr>
              <w:t>Programs</w:t>
            </w:r>
          </w:p>
          <w:p w:rsidR="00E86B73" w:rsidRPr="00E86B73" w:rsidRDefault="00D5482E" w:rsidP="00E86B73">
            <w:pPr>
              <w:numPr>
                <w:ilvl w:val="0"/>
                <w:numId w:val="18"/>
              </w:numPr>
              <w:pBdr>
                <w:top w:val="nil"/>
                <w:left w:val="nil"/>
                <w:bottom w:val="nil"/>
                <w:right w:val="nil"/>
                <w:between w:val="nil"/>
                <w:bar w:val="nil"/>
              </w:pBdr>
              <w:spacing w:before="60" w:after="60" w:line="240" w:lineRule="auto"/>
              <w:ind w:left="714" w:hanging="357"/>
              <w:rPr>
                <w:rStyle w:val="ExampletextCharChar"/>
                <w:rFonts w:eastAsiaTheme="minorHAnsi"/>
                <w:i w:val="0"/>
                <w:color w:val="000000"/>
                <w:bdr w:val="nil"/>
              </w:rPr>
            </w:pPr>
            <w:r w:rsidRPr="00E86B73">
              <w:rPr>
                <w:rStyle w:val="ExampletextCharChar"/>
                <w:rFonts w:eastAsiaTheme="minorHAnsi"/>
                <w:i w:val="0"/>
                <w:color w:val="000000"/>
                <w:bdr w:val="nil"/>
              </w:rPr>
              <w:t xml:space="preserve">Program 1.1 – Attorney-General’s Department Operating Expenses – Civil Justice and Legal Services </w:t>
            </w:r>
          </w:p>
          <w:p w:rsidR="00E86B73" w:rsidRPr="00E86B73" w:rsidRDefault="00D5482E" w:rsidP="00E86B73">
            <w:pPr>
              <w:numPr>
                <w:ilvl w:val="0"/>
                <w:numId w:val="18"/>
              </w:numPr>
              <w:pBdr>
                <w:top w:val="nil"/>
                <w:left w:val="nil"/>
                <w:bottom w:val="nil"/>
                <w:right w:val="nil"/>
                <w:between w:val="nil"/>
                <w:bar w:val="nil"/>
              </w:pBdr>
              <w:spacing w:before="60" w:after="60" w:line="240" w:lineRule="auto"/>
              <w:ind w:left="714" w:hanging="357"/>
              <w:jc w:val="both"/>
              <w:rPr>
                <w:rStyle w:val="ExampletextCharChar"/>
                <w:rFonts w:eastAsiaTheme="minorHAnsi"/>
                <w:i w:val="0"/>
                <w:color w:val="000000"/>
                <w:bdr w:val="nil"/>
              </w:rPr>
            </w:pPr>
            <w:r w:rsidRPr="00E86B73">
              <w:rPr>
                <w:rStyle w:val="ExampletextCharChar"/>
                <w:rFonts w:eastAsiaTheme="minorHAnsi"/>
                <w:i w:val="0"/>
                <w:color w:val="000000"/>
                <w:bdr w:val="nil"/>
              </w:rPr>
              <w:t>Program 1.4 – Justice Services</w:t>
            </w:r>
          </w:p>
          <w:p w:rsidR="00E86B73" w:rsidRPr="003826A4" w:rsidRDefault="00D5482E" w:rsidP="003826A4">
            <w:pPr>
              <w:numPr>
                <w:ilvl w:val="0"/>
                <w:numId w:val="18"/>
              </w:numPr>
              <w:pBdr>
                <w:top w:val="nil"/>
                <w:left w:val="nil"/>
                <w:bottom w:val="nil"/>
                <w:right w:val="nil"/>
                <w:between w:val="nil"/>
                <w:bar w:val="nil"/>
              </w:pBdr>
              <w:spacing w:before="60" w:after="60" w:line="240" w:lineRule="auto"/>
              <w:ind w:left="714" w:hanging="357"/>
              <w:jc w:val="both"/>
              <w:rPr>
                <w:rStyle w:val="ExampletextCharChar"/>
                <w:rFonts w:eastAsiaTheme="minorHAnsi"/>
                <w:i w:val="0"/>
                <w:color w:val="000000"/>
                <w:bdr w:val="nil"/>
              </w:rPr>
            </w:pPr>
            <w:r w:rsidRPr="00E86B73">
              <w:rPr>
                <w:rStyle w:val="ExampletextCharChar"/>
                <w:rFonts w:eastAsiaTheme="minorHAnsi"/>
                <w:i w:val="0"/>
                <w:color w:val="000000"/>
                <w:bdr w:val="nil"/>
              </w:rPr>
              <w:t>Program 1.5 – Family Relationships</w:t>
            </w:r>
          </w:p>
        </w:tc>
      </w:tr>
      <w:tr w:rsidR="00010972" w:rsidTr="00DD145C">
        <w:tc>
          <w:tcPr>
            <w:tcW w:w="7797" w:type="dxa"/>
            <w:tcBorders>
              <w:top w:val="dotted" w:sz="4" w:space="0" w:color="000000" w:themeColor="text1"/>
              <w:left w:val="single" w:sz="4" w:space="0" w:color="auto"/>
              <w:bottom w:val="single" w:sz="4" w:space="0" w:color="auto"/>
              <w:right w:val="single" w:sz="4" w:space="0" w:color="auto"/>
            </w:tcBorders>
            <w:hideMark/>
          </w:tcPr>
          <w:p w:rsidR="00E86B73" w:rsidRPr="00E86B73"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E86B73">
              <w:rPr>
                <w:rStyle w:val="ExampletextCharChar"/>
                <w:rFonts w:eastAsiaTheme="minorHAnsi"/>
                <w:b/>
                <w:i w:val="0"/>
                <w:color w:val="000000"/>
                <w:bdr w:val="nil"/>
              </w:rPr>
              <w:t>Contribution to Outcome 2 made by linked programs</w:t>
            </w:r>
          </w:p>
          <w:p w:rsidR="00E86B73" w:rsidRPr="00E86B73" w:rsidRDefault="00D5482E" w:rsidP="00ED4BDD">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3826A4">
              <w:rPr>
                <w:rStyle w:val="ExampletextCharChar"/>
                <w:rFonts w:eastAsiaTheme="minorHAnsi"/>
                <w:i w:val="0"/>
                <w:color w:val="000000"/>
                <w:bdr w:val="nil"/>
              </w:rPr>
              <w:t>The Attorney-General’s Department has policy responsibility for Commonwealth legal assistance and for family matters, including Family Law Services and Family Violence and Elder Abuse measures. These linked programs provide payments for services to support this responsibility, and are administered by</w:t>
            </w:r>
            <w:r w:rsidR="00ED4BDD">
              <w:rPr>
                <w:rStyle w:val="ExampletextCharChar"/>
                <w:rFonts w:eastAsiaTheme="minorHAnsi"/>
                <w:i w:val="0"/>
                <w:color w:val="000000"/>
                <w:bdr w:val="nil"/>
              </w:rPr>
              <w:t xml:space="preserve"> DSS </w:t>
            </w:r>
            <w:r w:rsidRPr="003826A4">
              <w:rPr>
                <w:rStyle w:val="ExampletextCharChar"/>
                <w:rFonts w:eastAsiaTheme="minorHAnsi"/>
                <w:i w:val="0"/>
                <w:color w:val="000000"/>
                <w:bdr w:val="nil"/>
              </w:rPr>
              <w:t>under this Outcome.</w:t>
            </w:r>
          </w:p>
        </w:tc>
      </w:tr>
      <w:tr w:rsidR="00010972" w:rsidTr="00DD145C">
        <w:tc>
          <w:tcPr>
            <w:tcW w:w="7797" w:type="dxa"/>
            <w:tcBorders>
              <w:top w:val="single" w:sz="4" w:space="0" w:color="auto"/>
              <w:left w:val="single" w:sz="4" w:space="0" w:color="auto"/>
              <w:bottom w:val="dotted" w:sz="4" w:space="0" w:color="auto"/>
              <w:right w:val="single" w:sz="4" w:space="0" w:color="auto"/>
            </w:tcBorders>
            <w:hideMark/>
          </w:tcPr>
          <w:p w:rsidR="00E86B73" w:rsidRPr="00E86B73" w:rsidRDefault="00D5482E">
            <w:pPr>
              <w:pStyle w:val="ExampleText0"/>
              <w:pBdr>
                <w:top w:val="nil"/>
                <w:left w:val="nil"/>
                <w:bottom w:val="nil"/>
                <w:right w:val="nil"/>
                <w:between w:val="nil"/>
                <w:bar w:val="nil"/>
              </w:pBdr>
              <w:spacing w:before="60" w:after="60" w:line="240" w:lineRule="auto"/>
              <w:rPr>
                <w:bdr w:val="nil"/>
                <w:lang w:val="en-US" w:eastAsia="en-US"/>
              </w:rPr>
            </w:pPr>
            <w:r w:rsidRPr="00E86B73">
              <w:rPr>
                <w:rStyle w:val="ExampletextCharChar"/>
                <w:b/>
                <w:color w:val="000000"/>
                <w:bdr w:val="nil"/>
              </w:rPr>
              <w:t>Services Australia</w:t>
            </w:r>
          </w:p>
        </w:tc>
      </w:tr>
      <w:tr w:rsidR="00010972" w:rsidTr="00DD145C">
        <w:tc>
          <w:tcPr>
            <w:tcW w:w="7797" w:type="dxa"/>
            <w:tcBorders>
              <w:top w:val="dotted" w:sz="4" w:space="0" w:color="auto"/>
              <w:left w:val="single" w:sz="4" w:space="0" w:color="auto"/>
              <w:bottom w:val="dotted" w:sz="4" w:space="0" w:color="000000" w:themeColor="text1"/>
              <w:right w:val="single" w:sz="4" w:space="0" w:color="auto"/>
            </w:tcBorders>
            <w:hideMark/>
          </w:tcPr>
          <w:p w:rsidR="00E86B73" w:rsidRPr="00E86B73"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Pr>
                <w:rStyle w:val="ExampletextCharChar"/>
                <w:rFonts w:eastAsiaTheme="minorHAnsi"/>
                <w:b/>
                <w:i w:val="0"/>
                <w:color w:val="000000"/>
                <w:bdr w:val="nil"/>
              </w:rPr>
              <w:t>Program</w:t>
            </w:r>
          </w:p>
          <w:p w:rsidR="00E86B73" w:rsidRPr="00E86B73" w:rsidRDefault="00D5482E" w:rsidP="00E86B73">
            <w:pPr>
              <w:numPr>
                <w:ilvl w:val="0"/>
                <w:numId w:val="18"/>
              </w:numPr>
              <w:pBdr>
                <w:top w:val="nil"/>
                <w:left w:val="nil"/>
                <w:bottom w:val="nil"/>
                <w:right w:val="nil"/>
                <w:between w:val="nil"/>
                <w:bar w:val="nil"/>
              </w:pBdr>
              <w:spacing w:before="60" w:after="60" w:line="240" w:lineRule="auto"/>
              <w:ind w:left="714" w:hanging="357"/>
              <w:jc w:val="both"/>
              <w:rPr>
                <w:rStyle w:val="ExampletextCharChar"/>
                <w:rFonts w:eastAsia="Calibri"/>
                <w:i w:val="0"/>
                <w:color w:val="000000"/>
                <w:bdr w:val="nil"/>
              </w:rPr>
            </w:pPr>
            <w:r w:rsidRPr="00E86B73">
              <w:rPr>
                <w:rStyle w:val="ExampletextCharChar"/>
                <w:rFonts w:eastAsiaTheme="minorHAnsi"/>
                <w:i w:val="0"/>
                <w:color w:val="000000"/>
                <w:bdr w:val="nil"/>
              </w:rPr>
              <w:t>Program 1.1 – Services to the Community – Social Security and Welfare</w:t>
            </w:r>
          </w:p>
        </w:tc>
      </w:tr>
      <w:tr w:rsidR="00010972" w:rsidTr="00DD145C">
        <w:tc>
          <w:tcPr>
            <w:tcW w:w="7797" w:type="dxa"/>
            <w:tcBorders>
              <w:top w:val="dotted" w:sz="4" w:space="0" w:color="000000" w:themeColor="text1"/>
              <w:left w:val="single" w:sz="4" w:space="0" w:color="auto"/>
              <w:bottom w:val="single" w:sz="4" w:space="0" w:color="auto"/>
              <w:right w:val="single" w:sz="4" w:space="0" w:color="auto"/>
            </w:tcBorders>
            <w:hideMark/>
          </w:tcPr>
          <w:p w:rsidR="00E86B73" w:rsidRPr="00E86B73"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E86B73">
              <w:rPr>
                <w:rStyle w:val="ExampletextCharChar"/>
                <w:rFonts w:eastAsiaTheme="minorHAnsi"/>
                <w:b/>
                <w:i w:val="0"/>
                <w:color w:val="000000"/>
                <w:bdr w:val="nil"/>
              </w:rPr>
              <w:t>Contribution to O</w:t>
            </w:r>
            <w:r>
              <w:rPr>
                <w:rStyle w:val="ExampletextCharChar"/>
                <w:rFonts w:eastAsiaTheme="minorHAnsi"/>
                <w:b/>
                <w:i w:val="0"/>
                <w:color w:val="000000"/>
                <w:bdr w:val="nil"/>
              </w:rPr>
              <w:t>utcome 2 made by linked program</w:t>
            </w:r>
          </w:p>
          <w:p w:rsidR="00E86B73" w:rsidRPr="00E86B73" w:rsidRDefault="00D5482E">
            <w:pPr>
              <w:keepLines/>
              <w:pBdr>
                <w:top w:val="nil"/>
                <w:left w:val="nil"/>
                <w:bottom w:val="nil"/>
                <w:right w:val="nil"/>
                <w:between w:val="nil"/>
                <w:bar w:val="nil"/>
              </w:pBdr>
              <w:spacing w:before="60" w:after="60" w:line="240" w:lineRule="auto"/>
              <w:jc w:val="both"/>
              <w:rPr>
                <w:rStyle w:val="ExampletextCharChar"/>
                <w:rFonts w:eastAsia="Calibri"/>
                <w:i w:val="0"/>
                <w:color w:val="000000"/>
                <w:bdr w:val="nil"/>
              </w:rPr>
            </w:pPr>
            <w:r w:rsidRPr="00E86B73">
              <w:rPr>
                <w:rStyle w:val="ExampletextCharChar"/>
                <w:rFonts w:eastAsiaTheme="minorHAnsi"/>
                <w:i w:val="0"/>
                <w:color w:val="000000"/>
                <w:bdr w:val="nil"/>
              </w:rPr>
              <w:t>The administrative aspects of Income Management and Cashless Debit Card and payments under the Paid Parental Leave Scheme and the Transition to Independent Living Allowance that fall under this Outcome are delivered by Services Australia through the above linked program.</w:t>
            </w:r>
          </w:p>
        </w:tc>
      </w:tr>
    </w:tbl>
    <w:p w:rsidR="00E86B73" w:rsidRDefault="00E86B73" w:rsidP="00E86B73">
      <w:pPr>
        <w:keepLines/>
        <w:pBdr>
          <w:top w:val="nil"/>
          <w:left w:val="nil"/>
          <w:bottom w:val="nil"/>
          <w:right w:val="nil"/>
          <w:between w:val="nil"/>
          <w:bar w:val="nil"/>
        </w:pBdr>
        <w:spacing w:after="240" w:line="260" w:lineRule="exact"/>
        <w:jc w:val="both"/>
        <w:rPr>
          <w:bdr w:val="nil"/>
        </w:rPr>
      </w:pPr>
    </w:p>
    <w:p w:rsidR="00E86B73" w:rsidRDefault="00D5482E">
      <w:pPr>
        <w:pBdr>
          <w:top w:val="nil"/>
          <w:left w:val="nil"/>
          <w:bottom w:val="nil"/>
          <w:right w:val="nil"/>
          <w:between w:val="nil"/>
          <w:bar w:val="nil"/>
        </w:pBdr>
        <w:rPr>
          <w:bdr w:val="nil"/>
        </w:rPr>
      </w:pPr>
      <w:r>
        <w:rPr>
          <w:rFonts w:ascii="Book Antiqua" w:eastAsia="Times New Roman" w:hAnsi="Book Antiqua" w:cs="Times New Roman"/>
          <w:sz w:val="20"/>
          <w:szCs w:val="20"/>
          <w:bdr w:val="nil"/>
          <w:lang w:val="en-AU" w:eastAsia="en-AU"/>
        </w:rPr>
        <w:br w:type="page"/>
      </w:r>
    </w:p>
    <w:p w:rsidR="00E86B73" w:rsidRDefault="00D5482E" w:rsidP="002F7C42">
      <w:pPr>
        <w:pStyle w:val="ProgramHeading1"/>
        <w:pBdr>
          <w:top w:val="nil"/>
          <w:left w:val="nil"/>
          <w:bottom w:val="nil"/>
          <w:right w:val="nil"/>
          <w:between w:val="nil"/>
          <w:bar w:val="nil"/>
        </w:pBdr>
        <w:spacing w:before="0" w:after="0"/>
        <w:rPr>
          <w:bdr w:val="nil"/>
        </w:rPr>
      </w:pPr>
      <w:r>
        <w:rPr>
          <w:rFonts w:cs="Arial"/>
          <w:sz w:val="22"/>
          <w:szCs w:val="22"/>
          <w:bdr w:val="nil"/>
        </w:rPr>
        <w:lastRenderedPageBreak/>
        <w:t xml:space="preserve">Linked </w:t>
      </w:r>
      <w:r>
        <w:rPr>
          <w:rFonts w:cs="Arial"/>
          <w:color w:val="000000"/>
          <w:sz w:val="22"/>
          <w:szCs w:val="22"/>
          <w:bdr w:val="nil"/>
        </w:rPr>
        <w:t>programs (continued)</w:t>
      </w:r>
    </w:p>
    <w:tbl>
      <w:tblPr>
        <w:tblW w:w="7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910"/>
      </w:tblGrid>
      <w:tr w:rsidR="00010972" w:rsidTr="00DD145C">
        <w:tc>
          <w:tcPr>
            <w:tcW w:w="7910" w:type="dxa"/>
            <w:tcBorders>
              <w:top w:val="single" w:sz="4" w:space="0" w:color="auto"/>
              <w:left w:val="single" w:sz="4" w:space="0" w:color="auto"/>
              <w:bottom w:val="dotted" w:sz="4" w:space="0" w:color="auto"/>
              <w:right w:val="single" w:sz="4" w:space="0" w:color="auto"/>
            </w:tcBorders>
            <w:hideMark/>
          </w:tcPr>
          <w:p w:rsidR="00E86B73" w:rsidRDefault="00D5482E">
            <w:pPr>
              <w:pStyle w:val="ExampleText0"/>
              <w:pBdr>
                <w:top w:val="nil"/>
                <w:left w:val="nil"/>
                <w:bottom w:val="nil"/>
                <w:right w:val="nil"/>
                <w:between w:val="nil"/>
                <w:bar w:val="nil"/>
              </w:pBdr>
              <w:spacing w:before="60" w:after="60" w:line="240" w:lineRule="auto"/>
              <w:rPr>
                <w:b/>
                <w:bdr w:val="nil"/>
                <w:lang w:val="en-US" w:eastAsia="en-US"/>
              </w:rPr>
            </w:pPr>
            <w:r>
              <w:rPr>
                <w:rStyle w:val="ExampletextCharChar"/>
                <w:b/>
                <w:color w:val="000000"/>
                <w:bdr w:val="nil"/>
              </w:rPr>
              <w:t>National Indigenous Australians Agency</w:t>
            </w:r>
          </w:p>
        </w:tc>
      </w:tr>
      <w:tr w:rsidR="00010972" w:rsidTr="00DD145C">
        <w:tc>
          <w:tcPr>
            <w:tcW w:w="7910" w:type="dxa"/>
            <w:tcBorders>
              <w:top w:val="dotted" w:sz="4" w:space="0" w:color="auto"/>
              <w:left w:val="single" w:sz="4" w:space="0" w:color="auto"/>
              <w:bottom w:val="single" w:sz="4" w:space="0" w:color="auto"/>
              <w:right w:val="single" w:sz="4" w:space="0" w:color="auto"/>
            </w:tcBorders>
            <w:hideMark/>
          </w:tcPr>
          <w:p w:rsidR="00E86B73" w:rsidRPr="00E86B73" w:rsidRDefault="00D5482E">
            <w:pPr>
              <w:keepLines/>
              <w:pBdr>
                <w:top w:val="nil"/>
                <w:left w:val="nil"/>
                <w:bottom w:val="nil"/>
                <w:right w:val="nil"/>
                <w:between w:val="nil"/>
                <w:bar w:val="nil"/>
              </w:pBdr>
              <w:spacing w:before="60" w:after="60" w:line="240" w:lineRule="auto"/>
              <w:jc w:val="both"/>
              <w:rPr>
                <w:rStyle w:val="ExampletextCharChar"/>
                <w:rFonts w:eastAsia="Calibri"/>
                <w:i w:val="0"/>
                <w:color w:val="000000"/>
                <w:bdr w:val="nil"/>
              </w:rPr>
            </w:pPr>
            <w:r w:rsidRPr="00E86B73">
              <w:rPr>
                <w:rStyle w:val="ExampletextCharChar"/>
                <w:rFonts w:eastAsiaTheme="minorHAnsi"/>
                <w:b/>
                <w:i w:val="0"/>
                <w:color w:val="000000"/>
                <w:bdr w:val="nil"/>
              </w:rPr>
              <w:t>Programs</w:t>
            </w:r>
          </w:p>
          <w:p w:rsidR="00E86B73" w:rsidRPr="00E86B73" w:rsidRDefault="00D5482E" w:rsidP="00E86B73">
            <w:pPr>
              <w:numPr>
                <w:ilvl w:val="0"/>
                <w:numId w:val="18"/>
              </w:numPr>
              <w:pBdr>
                <w:top w:val="nil"/>
                <w:left w:val="nil"/>
                <w:bottom w:val="nil"/>
                <w:right w:val="nil"/>
                <w:between w:val="nil"/>
                <w:bar w:val="nil"/>
              </w:pBdr>
              <w:spacing w:before="60" w:after="60" w:line="240" w:lineRule="auto"/>
              <w:ind w:left="714" w:hanging="357"/>
              <w:jc w:val="both"/>
              <w:rPr>
                <w:rStyle w:val="ExampletextCharChar"/>
                <w:rFonts w:eastAsiaTheme="minorHAnsi"/>
                <w:i w:val="0"/>
                <w:color w:val="000000"/>
                <w:bdr w:val="nil"/>
              </w:rPr>
            </w:pPr>
            <w:r w:rsidRPr="00E86B73">
              <w:rPr>
                <w:rStyle w:val="ExampletextCharChar"/>
                <w:rFonts w:eastAsiaTheme="minorHAnsi"/>
                <w:i w:val="0"/>
                <w:color w:val="000000"/>
                <w:bdr w:val="nil"/>
              </w:rPr>
              <w:t>Program 1.2 – Indigenous Advancement – Children and Schooling</w:t>
            </w:r>
          </w:p>
          <w:p w:rsidR="00E86B73" w:rsidRPr="00E86B73" w:rsidRDefault="00D5482E" w:rsidP="00E86B73">
            <w:pPr>
              <w:numPr>
                <w:ilvl w:val="0"/>
                <w:numId w:val="18"/>
              </w:numPr>
              <w:pBdr>
                <w:top w:val="nil"/>
                <w:left w:val="nil"/>
                <w:bottom w:val="nil"/>
                <w:right w:val="nil"/>
                <w:between w:val="nil"/>
                <w:bar w:val="nil"/>
              </w:pBdr>
              <w:spacing w:before="60" w:after="60" w:line="240" w:lineRule="auto"/>
              <w:ind w:left="714" w:hanging="357"/>
              <w:jc w:val="both"/>
              <w:rPr>
                <w:rStyle w:val="ExampletextCharChar"/>
                <w:rFonts w:eastAsiaTheme="minorHAnsi"/>
                <w:i w:val="0"/>
                <w:color w:val="000000"/>
                <w:bdr w:val="nil"/>
              </w:rPr>
            </w:pPr>
            <w:r w:rsidRPr="00E86B73">
              <w:rPr>
                <w:rStyle w:val="ExampletextCharChar"/>
                <w:rFonts w:eastAsiaTheme="minorHAnsi"/>
                <w:i w:val="0"/>
                <w:color w:val="000000"/>
                <w:bdr w:val="nil"/>
              </w:rPr>
              <w:t>Program 1.3 – Indigenous Advancement – Safety and Wellbeing</w:t>
            </w:r>
          </w:p>
          <w:p w:rsidR="00E86B73" w:rsidRPr="00E86B73" w:rsidRDefault="00D5482E" w:rsidP="00E86B73">
            <w:pPr>
              <w:numPr>
                <w:ilvl w:val="0"/>
                <w:numId w:val="18"/>
              </w:numPr>
              <w:pBdr>
                <w:top w:val="nil"/>
                <w:left w:val="nil"/>
                <w:bottom w:val="nil"/>
                <w:right w:val="nil"/>
                <w:between w:val="nil"/>
                <w:bar w:val="nil"/>
              </w:pBdr>
              <w:spacing w:before="60" w:after="60" w:line="240" w:lineRule="auto"/>
              <w:ind w:left="714" w:hanging="357"/>
              <w:jc w:val="both"/>
              <w:rPr>
                <w:rStyle w:val="ExampletextCharChar"/>
                <w:rFonts w:eastAsia="Calibri"/>
                <w:i w:val="0"/>
                <w:color w:val="000000"/>
                <w:bdr w:val="nil"/>
              </w:rPr>
            </w:pPr>
            <w:r w:rsidRPr="00E86B73">
              <w:rPr>
                <w:rStyle w:val="ExampletextCharChar"/>
                <w:rFonts w:eastAsiaTheme="minorHAnsi"/>
                <w:i w:val="0"/>
                <w:color w:val="000000"/>
                <w:bdr w:val="nil"/>
              </w:rPr>
              <w:t>Program 1.5 – Indigenous Advancement – Remote Australia Strategies</w:t>
            </w:r>
          </w:p>
        </w:tc>
      </w:tr>
      <w:tr w:rsidR="00010972" w:rsidTr="00DD145C">
        <w:tc>
          <w:tcPr>
            <w:tcW w:w="7910" w:type="dxa"/>
            <w:tcBorders>
              <w:top w:val="single" w:sz="4" w:space="0" w:color="000000" w:themeColor="text1"/>
              <w:left w:val="single" w:sz="4" w:space="0" w:color="auto"/>
              <w:bottom w:val="single" w:sz="4" w:space="0" w:color="auto"/>
              <w:right w:val="single" w:sz="4" w:space="0" w:color="auto"/>
            </w:tcBorders>
            <w:hideMark/>
          </w:tcPr>
          <w:p w:rsidR="00E86B73" w:rsidRPr="00E86B73"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E86B73">
              <w:rPr>
                <w:rStyle w:val="ExampletextCharChar"/>
                <w:rFonts w:eastAsiaTheme="minorHAnsi"/>
                <w:b/>
                <w:i w:val="0"/>
                <w:color w:val="000000"/>
                <w:bdr w:val="nil"/>
              </w:rPr>
              <w:t>Contribution to Outcome 2 made by linked programs</w:t>
            </w:r>
          </w:p>
          <w:p w:rsidR="00E86B73" w:rsidRPr="00E86B73" w:rsidRDefault="00D5482E">
            <w:pPr>
              <w:keepLines/>
              <w:pBdr>
                <w:top w:val="nil"/>
                <w:left w:val="nil"/>
                <w:bottom w:val="nil"/>
                <w:right w:val="nil"/>
                <w:between w:val="nil"/>
                <w:bar w:val="nil"/>
              </w:pBdr>
              <w:spacing w:before="60" w:after="60" w:line="240" w:lineRule="auto"/>
              <w:jc w:val="both"/>
              <w:rPr>
                <w:rStyle w:val="ExampletextCharChar"/>
                <w:rFonts w:eastAsiaTheme="minorHAnsi"/>
                <w:i w:val="0"/>
                <w:iCs/>
                <w:color w:val="1F497D"/>
                <w:bdr w:val="nil"/>
              </w:rPr>
            </w:pPr>
            <w:r w:rsidRPr="00E86B73">
              <w:rPr>
                <w:rStyle w:val="ExampletextCharChar"/>
                <w:rFonts w:eastAsiaTheme="minorHAnsi"/>
                <w:i w:val="0"/>
                <w:color w:val="000000"/>
                <w:bdr w:val="nil"/>
              </w:rPr>
              <w:t>These linked programs support Government efforts to ensure: Aboriginal and Torres Strait Islander children receive a healthy and safe start to life; and families and communities can access responsive, connected and fit-for-purpose services. These linked programs also contribute to this Outcome by supporting remote strategic investments.</w:t>
            </w:r>
          </w:p>
        </w:tc>
      </w:tr>
      <w:tr w:rsidR="00010972" w:rsidTr="00DD145C">
        <w:tc>
          <w:tcPr>
            <w:tcW w:w="7910" w:type="dxa"/>
            <w:tcBorders>
              <w:top w:val="single" w:sz="4" w:space="0" w:color="auto"/>
              <w:left w:val="single" w:sz="4" w:space="0" w:color="auto"/>
              <w:bottom w:val="dotted" w:sz="4" w:space="0" w:color="auto"/>
              <w:right w:val="single" w:sz="4" w:space="0" w:color="auto"/>
            </w:tcBorders>
            <w:hideMark/>
          </w:tcPr>
          <w:p w:rsidR="00E86B73" w:rsidRPr="00E86B73" w:rsidRDefault="00D5482E">
            <w:pPr>
              <w:keepLines/>
              <w:pBdr>
                <w:top w:val="nil"/>
                <w:left w:val="nil"/>
                <w:bottom w:val="nil"/>
                <w:right w:val="nil"/>
                <w:between w:val="nil"/>
                <w:bar w:val="nil"/>
              </w:pBdr>
              <w:spacing w:before="60" w:after="60" w:line="240" w:lineRule="auto"/>
              <w:jc w:val="both"/>
              <w:rPr>
                <w:rStyle w:val="ExampletextCharChar"/>
                <w:rFonts w:eastAsiaTheme="minorHAnsi"/>
                <w:b/>
                <w:i w:val="0"/>
                <w:color w:val="000000"/>
                <w:bdr w:val="nil"/>
              </w:rPr>
            </w:pPr>
            <w:r w:rsidRPr="00E86B73">
              <w:rPr>
                <w:rStyle w:val="ExampletextCharChar"/>
                <w:rFonts w:eastAsiaTheme="minorHAnsi"/>
                <w:b/>
                <w:i w:val="0"/>
                <w:color w:val="000000"/>
                <w:bdr w:val="nil"/>
              </w:rPr>
              <w:t>The Treasury</w:t>
            </w:r>
          </w:p>
        </w:tc>
      </w:tr>
      <w:tr w:rsidR="00010972" w:rsidTr="00DD145C">
        <w:tc>
          <w:tcPr>
            <w:tcW w:w="7910" w:type="dxa"/>
            <w:tcBorders>
              <w:top w:val="dotted" w:sz="4" w:space="0" w:color="auto"/>
              <w:left w:val="single" w:sz="4" w:space="0" w:color="auto"/>
              <w:bottom w:val="dotted" w:sz="4" w:space="0" w:color="auto"/>
              <w:right w:val="single" w:sz="4" w:space="0" w:color="auto"/>
            </w:tcBorders>
            <w:hideMark/>
          </w:tcPr>
          <w:p w:rsidR="00E86B73" w:rsidRPr="00E86B73" w:rsidRDefault="00D5482E">
            <w:pPr>
              <w:keepLines/>
              <w:pBdr>
                <w:top w:val="nil"/>
                <w:left w:val="nil"/>
                <w:bottom w:val="nil"/>
                <w:right w:val="nil"/>
                <w:between w:val="nil"/>
                <w:bar w:val="nil"/>
              </w:pBdr>
              <w:spacing w:before="60" w:after="60" w:line="240" w:lineRule="auto"/>
              <w:jc w:val="both"/>
              <w:rPr>
                <w:rStyle w:val="ExampletextCharChar"/>
                <w:rFonts w:eastAsiaTheme="minorHAnsi"/>
                <w:b/>
                <w:i w:val="0"/>
                <w:color w:val="000000"/>
                <w:bdr w:val="nil"/>
              </w:rPr>
            </w:pPr>
            <w:r>
              <w:rPr>
                <w:rStyle w:val="ExampletextCharChar"/>
                <w:rFonts w:eastAsiaTheme="minorHAnsi"/>
                <w:b/>
                <w:i w:val="0"/>
                <w:color w:val="000000"/>
                <w:bdr w:val="nil"/>
              </w:rPr>
              <w:t>Program</w:t>
            </w:r>
          </w:p>
          <w:p w:rsidR="00E86B73" w:rsidRPr="00E86B73" w:rsidRDefault="00D5482E" w:rsidP="00E86B73">
            <w:pPr>
              <w:numPr>
                <w:ilvl w:val="0"/>
                <w:numId w:val="18"/>
              </w:numPr>
              <w:pBdr>
                <w:top w:val="nil"/>
                <w:left w:val="nil"/>
                <w:bottom w:val="nil"/>
                <w:right w:val="nil"/>
                <w:between w:val="nil"/>
                <w:bar w:val="nil"/>
              </w:pBdr>
              <w:spacing w:before="60" w:after="60" w:line="240" w:lineRule="auto"/>
              <w:ind w:left="714" w:hanging="357"/>
              <w:jc w:val="both"/>
              <w:rPr>
                <w:rStyle w:val="ExampletextCharChar"/>
                <w:rFonts w:eastAsiaTheme="minorHAnsi"/>
                <w:b/>
                <w:i w:val="0"/>
                <w:color w:val="000000"/>
                <w:bdr w:val="nil"/>
              </w:rPr>
            </w:pPr>
            <w:r w:rsidRPr="00E86B73">
              <w:rPr>
                <w:rStyle w:val="ExampletextCharChar"/>
                <w:rFonts w:eastAsiaTheme="minorHAnsi"/>
                <w:i w:val="0"/>
                <w:color w:val="000000"/>
                <w:bdr w:val="nil"/>
              </w:rPr>
              <w:t>Program 1.9 – National Partnership Payments to the States</w:t>
            </w:r>
          </w:p>
        </w:tc>
      </w:tr>
      <w:tr w:rsidR="00010972" w:rsidTr="00DD145C">
        <w:tc>
          <w:tcPr>
            <w:tcW w:w="7910" w:type="dxa"/>
            <w:tcBorders>
              <w:top w:val="dotted" w:sz="4" w:space="0" w:color="auto"/>
              <w:left w:val="single" w:sz="4" w:space="0" w:color="auto"/>
              <w:bottom w:val="single" w:sz="4" w:space="0" w:color="auto"/>
              <w:right w:val="single" w:sz="4" w:space="0" w:color="auto"/>
            </w:tcBorders>
            <w:hideMark/>
          </w:tcPr>
          <w:p w:rsidR="00E86B73" w:rsidRPr="00E86B73" w:rsidRDefault="00D5482E">
            <w:pPr>
              <w:keepLines/>
              <w:pBdr>
                <w:top w:val="nil"/>
                <w:left w:val="nil"/>
                <w:bottom w:val="nil"/>
                <w:right w:val="nil"/>
                <w:between w:val="nil"/>
                <w:bar w:val="nil"/>
              </w:pBdr>
              <w:spacing w:before="60" w:after="60" w:line="240" w:lineRule="auto"/>
              <w:jc w:val="both"/>
              <w:rPr>
                <w:rStyle w:val="ExampletextCharChar"/>
                <w:rFonts w:eastAsiaTheme="minorHAnsi"/>
                <w:b/>
                <w:i w:val="0"/>
                <w:color w:val="000000"/>
                <w:bdr w:val="nil"/>
              </w:rPr>
            </w:pPr>
            <w:r w:rsidRPr="00E86B73">
              <w:rPr>
                <w:rStyle w:val="ExampletextCharChar"/>
                <w:rFonts w:eastAsiaTheme="minorHAnsi"/>
                <w:b/>
                <w:i w:val="0"/>
                <w:color w:val="000000"/>
                <w:bdr w:val="nil"/>
              </w:rPr>
              <w:t>Contribution to O</w:t>
            </w:r>
            <w:r>
              <w:rPr>
                <w:rStyle w:val="ExampletextCharChar"/>
                <w:rFonts w:eastAsiaTheme="minorHAnsi"/>
                <w:b/>
                <w:i w:val="0"/>
                <w:color w:val="000000"/>
                <w:bdr w:val="nil"/>
              </w:rPr>
              <w:t>utcome 2 made by linked program</w:t>
            </w:r>
          </w:p>
          <w:p w:rsidR="00E86B73" w:rsidRPr="00E86B73" w:rsidRDefault="00D5482E" w:rsidP="00FA6C3E">
            <w:pPr>
              <w:keepLines/>
              <w:pBdr>
                <w:top w:val="nil"/>
                <w:left w:val="nil"/>
                <w:bottom w:val="nil"/>
                <w:right w:val="nil"/>
                <w:between w:val="nil"/>
                <w:bar w:val="nil"/>
              </w:pBdr>
              <w:spacing w:before="60" w:after="60" w:line="240" w:lineRule="auto"/>
              <w:jc w:val="both"/>
              <w:rPr>
                <w:rStyle w:val="ExampletextCharChar"/>
                <w:rFonts w:eastAsiaTheme="minorHAnsi"/>
                <w:i w:val="0"/>
                <w:color w:val="000000"/>
                <w:bdr w:val="nil"/>
              </w:rPr>
            </w:pPr>
            <w:r w:rsidRPr="00E86B73">
              <w:rPr>
                <w:rStyle w:val="ExampletextCharChar"/>
                <w:rFonts w:eastAsiaTheme="minorHAnsi"/>
                <w:i w:val="0"/>
                <w:color w:val="000000"/>
                <w:bdr w:val="nil"/>
              </w:rPr>
              <w:t xml:space="preserve">The Treasury, on behalf of </w:t>
            </w:r>
            <w:r>
              <w:rPr>
                <w:rStyle w:val="ExampletextCharChar"/>
                <w:rFonts w:eastAsiaTheme="minorHAnsi"/>
                <w:i w:val="0"/>
                <w:color w:val="000000"/>
                <w:bdr w:val="nil"/>
              </w:rPr>
              <w:t>DSS</w:t>
            </w:r>
            <w:r w:rsidRPr="00E86B73">
              <w:rPr>
                <w:rStyle w:val="ExampletextCharChar"/>
                <w:rFonts w:eastAsiaTheme="minorHAnsi"/>
                <w:i w:val="0"/>
                <w:color w:val="000000"/>
                <w:bdr w:val="nil"/>
              </w:rPr>
              <w:t>, makes National Partnership payments to the states for the Social and Community Services Sector and other agreements.</w:t>
            </w:r>
          </w:p>
        </w:tc>
      </w:tr>
    </w:tbl>
    <w:p w:rsidR="00E86B73" w:rsidRDefault="00E86B73" w:rsidP="00E86B73">
      <w:pPr>
        <w:keepLines/>
        <w:pBdr>
          <w:top w:val="nil"/>
          <w:left w:val="nil"/>
          <w:bottom w:val="nil"/>
          <w:right w:val="nil"/>
          <w:between w:val="nil"/>
          <w:bar w:val="nil"/>
        </w:pBdr>
        <w:spacing w:after="240" w:line="260" w:lineRule="exact"/>
        <w:jc w:val="both"/>
        <w:rPr>
          <w:bdr w:val="nil"/>
        </w:rPr>
      </w:pPr>
    </w:p>
    <w:p w:rsidR="00E86B73" w:rsidRDefault="00D5482E" w:rsidP="00E86B73">
      <w:pPr>
        <w:pBdr>
          <w:top w:val="nil"/>
          <w:left w:val="nil"/>
          <w:bottom w:val="nil"/>
          <w:right w:val="nil"/>
          <w:between w:val="nil"/>
          <w:bar w:val="nil"/>
        </w:pBdr>
        <w:rPr>
          <w:bdr w:val="nil"/>
        </w:rPr>
      </w:pPr>
      <w:r>
        <w:rPr>
          <w:rFonts w:ascii="Book Antiqua" w:eastAsia="Times New Roman" w:hAnsi="Book Antiqua" w:cs="Times New Roman"/>
          <w:sz w:val="20"/>
          <w:szCs w:val="20"/>
          <w:bdr w:val="nil"/>
          <w:lang w:val="en-AU" w:eastAsia="en-AU"/>
        </w:rPr>
        <w:br w:type="page"/>
      </w:r>
    </w:p>
    <w:p w:rsidR="002E7D0B" w:rsidRDefault="00D5482E" w:rsidP="00653491">
      <w:pPr>
        <w:pStyle w:val="TableHeading"/>
        <w:keepLines/>
        <w:pageBreakBefore/>
        <w:pBdr>
          <w:top w:val="nil"/>
          <w:left w:val="nil"/>
          <w:bottom w:val="nil"/>
          <w:right w:val="nil"/>
          <w:between w:val="nil"/>
          <w:bar w:val="nil"/>
        </w:pBdr>
        <w:spacing w:before="0" w:after="240"/>
        <w:rPr>
          <w:bdr w:val="nil"/>
        </w:rPr>
      </w:pPr>
      <w:r>
        <w:rPr>
          <w:bdr w:val="nil"/>
        </w:rPr>
        <w:lastRenderedPageBreak/>
        <w:t>Budgeted expenses for Outcome 2</w:t>
      </w:r>
    </w:p>
    <w:p w:rsidR="00BE686D" w:rsidRDefault="00D5482E" w:rsidP="002F7C42">
      <w:pPr>
        <w:keepLines/>
        <w:pBdr>
          <w:top w:val="nil"/>
          <w:left w:val="nil"/>
          <w:bottom w:val="nil"/>
          <w:right w:val="nil"/>
          <w:between w:val="nil"/>
          <w:bar w:val="nil"/>
        </w:pBdr>
        <w:spacing w:after="240" w:line="260" w:lineRule="exact"/>
        <w:jc w:val="both"/>
        <w:rPr>
          <w:bdr w:val="nil"/>
        </w:rPr>
      </w:pPr>
      <w:r>
        <w:rPr>
          <w:rFonts w:ascii="Book Antiqua" w:eastAsia="Times New Roman" w:hAnsi="Book Antiqua" w:cs="Times New Roman"/>
          <w:sz w:val="20"/>
          <w:szCs w:val="20"/>
          <w:bdr w:val="nil"/>
          <w:lang w:val="en-AU" w:eastAsia="en-AU"/>
        </w:rPr>
        <w:t>This table shows how much the entity intends to spend (on an accrual basis) on achieving the outcome, broken down by program, as well as by Administered and Departmental funding sources.</w:t>
      </w:r>
    </w:p>
    <w:p w:rsidR="00BE686D" w:rsidRPr="00BE686D" w:rsidRDefault="00D5482E" w:rsidP="002E7D0B">
      <w:pPr>
        <w:keepLines/>
        <w:pBdr>
          <w:top w:val="nil"/>
          <w:left w:val="nil"/>
          <w:bottom w:val="nil"/>
          <w:right w:val="nil"/>
          <w:between w:val="nil"/>
          <w:bar w:val="nil"/>
        </w:pBdr>
        <w:spacing w:after="0" w:line="260" w:lineRule="exact"/>
        <w:jc w:val="both"/>
        <w:rPr>
          <w:rFonts w:ascii="Arial" w:hAnsi="Arial" w:cs="Arial"/>
          <w:b/>
          <w:bdr w:val="nil"/>
        </w:rPr>
      </w:pPr>
      <w:r w:rsidRPr="00BE686D">
        <w:rPr>
          <w:rFonts w:ascii="Arial" w:eastAsia="Times New Roman" w:hAnsi="Arial" w:cs="Arial"/>
          <w:b/>
          <w:sz w:val="20"/>
          <w:szCs w:val="20"/>
          <w:bdr w:val="nil"/>
          <w:lang w:val="en-AU" w:eastAsia="en-AU"/>
        </w:rPr>
        <w:t>Table 2.2.1: Budget</w:t>
      </w:r>
      <w:r w:rsidR="007C214F">
        <w:rPr>
          <w:rFonts w:ascii="Arial" w:eastAsia="Times New Roman" w:hAnsi="Arial" w:cs="Arial"/>
          <w:b/>
          <w:sz w:val="20"/>
          <w:szCs w:val="20"/>
          <w:bdr w:val="nil"/>
          <w:lang w:val="en-AU" w:eastAsia="en-AU"/>
        </w:rPr>
        <w:t>ed</w:t>
      </w:r>
      <w:r w:rsidRPr="00BE686D">
        <w:rPr>
          <w:rFonts w:ascii="Arial" w:eastAsia="Times New Roman" w:hAnsi="Arial" w:cs="Arial"/>
          <w:b/>
          <w:sz w:val="20"/>
          <w:szCs w:val="20"/>
          <w:bdr w:val="nil"/>
          <w:lang w:val="en-AU" w:eastAsia="en-AU"/>
        </w:rPr>
        <w:t xml:space="preserve"> expenses for Outcome 2</w:t>
      </w:r>
    </w:p>
    <w:tbl>
      <w:tblPr>
        <w:tblStyle w:val="CDMRange1"/>
        <w:tblW w:w="7695" w:type="dxa"/>
        <w:tblLayout w:type="fixed"/>
        <w:tblCellMar>
          <w:top w:w="11" w:type="dxa"/>
          <w:bottom w:w="11" w:type="dxa"/>
        </w:tblCellMar>
        <w:tblLook w:val="0600" w:firstRow="0" w:lastRow="0" w:firstColumn="0" w:lastColumn="0" w:noHBand="1" w:noVBand="1"/>
        <w:tblCaption w:val="Table 2.2.1: Budgeted expenses for Outcome 2"/>
      </w:tblPr>
      <w:tblGrid>
        <w:gridCol w:w="2820"/>
        <w:gridCol w:w="975"/>
        <w:gridCol w:w="975"/>
        <w:gridCol w:w="975"/>
        <w:gridCol w:w="975"/>
        <w:gridCol w:w="975"/>
      </w:tblGrid>
      <w:tr w:rsidR="00010972" w:rsidTr="00A31BA2">
        <w:trPr>
          <w:tblHeader/>
        </w:trPr>
        <w:tc>
          <w:tcPr>
            <w:tcW w:w="2820" w:type="dxa"/>
            <w:vMerge w:val="restart"/>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Outcome 2: Families and Communities</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2.1 - Families and Communities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E0345B">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692,3</w:t>
            </w:r>
            <w:r w:rsidR="00D5482E">
              <w:rPr>
                <w:rFonts w:ascii="Arial" w:eastAsia="Arial" w:hAnsi="Arial" w:cs="Arial"/>
                <w:color w:val="000000"/>
                <w:sz w:val="16"/>
                <w:szCs w:val="20"/>
                <w:bdr w:val="nil"/>
                <w:lang w:val="en-AU" w:eastAsia="en-AU"/>
              </w:rPr>
              <w:t>30</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855,420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655,725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604,484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613,765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(640)</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National Redress Scheme for</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Institutional Child Sexual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Abuse Act 2018 </w:t>
            </w:r>
            <w:r>
              <w:rPr>
                <w:rFonts w:ascii="Arial" w:eastAsia="Arial" w:hAnsi="Arial" w:cs="Arial"/>
                <w:color w:val="000000"/>
                <w:sz w:val="16"/>
                <w:szCs w:val="20"/>
                <w:bdr w:val="nil"/>
                <w:lang w:val="en-AU" w:eastAsia="en-AU"/>
              </w:rPr>
              <w:t>(a)</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255,917</w:t>
            </w:r>
          </w:p>
        </w:tc>
        <w:tc>
          <w:tcPr>
            <w:tcW w:w="97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Accounts</w:t>
            </w:r>
          </w:p>
        </w:tc>
        <w:tc>
          <w:tcPr>
            <w:tcW w:w="97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Other Services - Services for Other Entities and Trust Moneys</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5,689</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15,274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3,400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E0345B">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953,29</w:t>
            </w:r>
            <w:r w:rsidR="00D5482E" w:rsidRPr="009D7D0D">
              <w:rPr>
                <w:rFonts w:ascii="Arial" w:eastAsia="Arial" w:hAnsi="Arial" w:cs="Arial"/>
                <w:b/>
                <w:color w:val="000000"/>
                <w:sz w:val="16"/>
                <w:szCs w:val="20"/>
                <w:bdr w:val="nil"/>
                <w:lang w:val="en-AU" w:eastAsia="en-AU"/>
              </w:rPr>
              <w:t>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870,702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659,133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604,484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613,765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2.1</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E0345B">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953,2</w:t>
            </w:r>
            <w:r w:rsidR="00D5482E">
              <w:rPr>
                <w:rFonts w:ascii="Arial" w:eastAsia="Arial" w:hAnsi="Arial" w:cs="Arial"/>
                <w:b/>
                <w:color w:val="000000"/>
                <w:sz w:val="16"/>
                <w:szCs w:val="20"/>
                <w:bdr w:val="nil"/>
                <w:lang w:val="en-AU" w:eastAsia="en-AU"/>
              </w:rPr>
              <w:t>96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870,702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659,133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604,484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613,765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2.2 - Paid Parental Leave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Paid Parental Leave Act 2010</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2,399,563</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2,277,082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2,282,322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2,409,538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2,527,094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2,399,563</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2,277,082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2,282,322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2,409,538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2,527,094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2.2</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2,399,563</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2,277,082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2,282,322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2,409,538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2,527,094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2.3 - Social and Community Services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Accounts</w:t>
            </w:r>
          </w:p>
        </w:tc>
        <w:tc>
          <w:tcPr>
            <w:tcW w:w="97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rsidP="002A7B0C">
            <w:pPr>
              <w:keepLines/>
              <w:pBdr>
                <w:top w:val="nil"/>
                <w:left w:val="nil"/>
                <w:bottom w:val="nil"/>
                <w:right w:val="nil"/>
                <w:between w:val="nil"/>
                <w:bar w:val="nil"/>
              </w:pBdr>
              <w:spacing w:after="0" w:line="240" w:lineRule="auto"/>
              <w:ind w:left="114" w:hanging="114"/>
              <w:rPr>
                <w:rFonts w:ascii="Arial" w:eastAsia="Arial" w:hAnsi="Arial" w:cs="Arial"/>
                <w:color w:val="000000"/>
                <w:sz w:val="16"/>
                <w:bdr w:val="nil"/>
              </w:rPr>
            </w:pPr>
            <w:r>
              <w:rPr>
                <w:rFonts w:ascii="Arial" w:eastAsia="Arial" w:hAnsi="Arial" w:cs="Arial"/>
                <w:color w:val="000000"/>
                <w:sz w:val="16"/>
                <w:szCs w:val="20"/>
                <w:bdr w:val="nil"/>
                <w:lang w:val="en-AU" w:eastAsia="en-AU"/>
              </w:rPr>
              <w:t>Social and Community Services Pay Equity Special Account</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411,920</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547,108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411,920</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547,108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2.3</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411,920</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547,108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r>
    </w:tbl>
    <w:p w:rsidR="000D010B" w:rsidRDefault="00D5482E" w:rsidP="001C0CD0">
      <w:pPr>
        <w:keepNext/>
        <w:keepLines/>
        <w:pBdr>
          <w:top w:val="nil"/>
          <w:left w:val="nil"/>
          <w:bottom w:val="nil"/>
          <w:right w:val="nil"/>
          <w:between w:val="nil"/>
          <w:bar w:val="nil"/>
        </w:pBdr>
        <w:tabs>
          <w:tab w:val="left" w:pos="709"/>
        </w:tabs>
        <w:spacing w:after="240" w:line="240" w:lineRule="auto"/>
        <w:outlineLvl w:val="2"/>
        <w:rPr>
          <w:rFonts w:ascii="Arial" w:hAnsi="Arial"/>
          <w:b/>
          <w:smallCaps/>
          <w:sz w:val="26"/>
          <w:bdr w:val="nil"/>
        </w:rPr>
      </w:pPr>
      <w:r>
        <w:rPr>
          <w:rFonts w:ascii="Arial" w:eastAsia="Times New Roman" w:hAnsi="Arial" w:cs="Times New Roman"/>
          <w:b/>
          <w:smallCaps/>
          <w:sz w:val="26"/>
          <w:szCs w:val="20"/>
          <w:bdr w:val="nil"/>
          <w:lang w:val="en-AU" w:eastAsia="en-AU"/>
        </w:rPr>
        <w:br w:type="page"/>
      </w:r>
    </w:p>
    <w:p w:rsidR="000D010B" w:rsidRDefault="00D5482E" w:rsidP="00CF2AA9">
      <w:pPr>
        <w:pStyle w:val="TableHeading"/>
        <w:keepLines/>
        <w:pBdr>
          <w:top w:val="nil"/>
          <w:left w:val="nil"/>
          <w:bottom w:val="nil"/>
          <w:right w:val="nil"/>
          <w:between w:val="nil"/>
          <w:bar w:val="nil"/>
        </w:pBdr>
        <w:spacing w:before="0" w:after="0"/>
        <w:rPr>
          <w:bdr w:val="nil"/>
        </w:rPr>
      </w:pPr>
      <w:r>
        <w:rPr>
          <w:bdr w:val="nil"/>
        </w:rPr>
        <w:lastRenderedPageBreak/>
        <w:t>Table 2.2.1: Budgeted expenses for Outcome 2 (continued)</w:t>
      </w:r>
    </w:p>
    <w:tbl>
      <w:tblPr>
        <w:tblStyle w:val="CDMRange2"/>
        <w:tblW w:w="7695" w:type="dxa"/>
        <w:tblLayout w:type="fixed"/>
        <w:tblCellMar>
          <w:top w:w="11" w:type="dxa"/>
          <w:bottom w:w="11" w:type="dxa"/>
        </w:tblCellMar>
        <w:tblLook w:val="0600" w:firstRow="0" w:lastRow="0" w:firstColumn="0" w:lastColumn="0" w:noHBand="1" w:noVBand="1"/>
        <w:tblCaption w:val="Table 2.2.1: Budgeted expenses for Outcome 2 (continued)"/>
      </w:tblPr>
      <w:tblGrid>
        <w:gridCol w:w="2820"/>
        <w:gridCol w:w="975"/>
        <w:gridCol w:w="975"/>
        <w:gridCol w:w="975"/>
        <w:gridCol w:w="975"/>
        <w:gridCol w:w="975"/>
      </w:tblGrid>
      <w:tr w:rsidR="00010972" w:rsidTr="00A31BA2">
        <w:trPr>
          <w:tblHeader/>
        </w:trPr>
        <w:tc>
          <w:tcPr>
            <w:tcW w:w="2820" w:type="dxa"/>
            <w:vMerge w:val="restart"/>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Outcome 2: Families and Communities</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2.4 - Program Support for Outcome 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appropriation</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170,935</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178,271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155,818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146,851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144,956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s74 External Revenue (b)</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46,099</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13,092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13,215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13,215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13,215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Expenses not requiring</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in the</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Budget year (c) </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18,243</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3,748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3,386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2,959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Departmental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235,277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195,111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172,419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163,025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161,062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Outcome 2 Totals by appropriation type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E0345B">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692,3</w:t>
            </w:r>
            <w:r w:rsidR="00D5482E">
              <w:rPr>
                <w:rFonts w:ascii="Arial" w:eastAsia="Arial" w:hAnsi="Arial" w:cs="Arial"/>
                <w:color w:val="000000"/>
                <w:sz w:val="16"/>
                <w:szCs w:val="20"/>
                <w:bdr w:val="nil"/>
                <w:lang w:val="en-AU" w:eastAsia="en-AU"/>
              </w:rPr>
              <w:t>30</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855,420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655,725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604,484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613,765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2,654,840</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2,277,090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2,282,330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2,409,538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2,527,094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accounts</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417,609</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562,382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3,400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rsidP="00E0345B">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3,764,</w:t>
            </w:r>
            <w:r w:rsidR="00E0345B" w:rsidRPr="009D7D0D">
              <w:rPr>
                <w:rFonts w:ascii="Arial" w:eastAsia="Arial" w:hAnsi="Arial" w:cs="Arial"/>
                <w:b/>
                <w:color w:val="000000"/>
                <w:sz w:val="16"/>
                <w:szCs w:val="20"/>
                <w:bdr w:val="nil"/>
                <w:lang w:val="en-AU" w:eastAsia="en-AU"/>
              </w:rPr>
              <w:t>7</w:t>
            </w:r>
            <w:r w:rsidRPr="009D7D0D">
              <w:rPr>
                <w:rFonts w:ascii="Arial" w:eastAsia="Arial" w:hAnsi="Arial" w:cs="Arial"/>
                <w:b/>
                <w:color w:val="000000"/>
                <w:sz w:val="16"/>
                <w:szCs w:val="20"/>
                <w:bdr w:val="nil"/>
                <w:lang w:val="en-AU" w:eastAsia="en-AU"/>
              </w:rPr>
              <w:t>79</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3,694,892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2,941,455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3,014,022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3,140,859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appropriation</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170,935</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178,271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155,818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146,851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144,956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s74 External Revenue (b)</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46,099</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13,092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13,215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13,215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13,215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Expenses not requiring</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in the</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Budget year (c) </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18,243</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3,748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3,386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2,959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Departmental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235,277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195,111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172,419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163,025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161,062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Outcome 2</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E0345B">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4,000,0</w:t>
            </w:r>
            <w:r w:rsidR="00D5482E">
              <w:rPr>
                <w:rFonts w:ascii="Arial" w:eastAsia="Arial" w:hAnsi="Arial" w:cs="Arial"/>
                <w:b/>
                <w:color w:val="000000"/>
                <w:sz w:val="16"/>
                <w:szCs w:val="20"/>
                <w:bdr w:val="nil"/>
                <w:lang w:val="en-AU" w:eastAsia="en-AU"/>
              </w:rPr>
              <w:t>56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3,890,003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3,113,874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3,177,047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3,301,921</w:t>
            </w:r>
          </w:p>
        </w:tc>
      </w:tr>
    </w:tbl>
    <w:p w:rsidR="00305008" w:rsidRDefault="00D5482E" w:rsidP="00305008">
      <w:pPr>
        <w:keepLines/>
        <w:pBdr>
          <w:top w:val="nil"/>
          <w:left w:val="nil"/>
          <w:bottom w:val="nil"/>
          <w:right w:val="nil"/>
          <w:between w:val="nil"/>
          <w:bar w:val="nil"/>
        </w:pBdr>
        <w:spacing w:after="0" w:line="240" w:lineRule="auto"/>
        <w:jc w:val="both"/>
        <w:rPr>
          <w:rFonts w:ascii="Arial" w:hAnsi="Arial" w:cs="Arial"/>
          <w:sz w:val="16"/>
          <w:szCs w:val="16"/>
          <w:bdr w:val="nil"/>
        </w:rPr>
      </w:pPr>
      <w:r>
        <w:rPr>
          <w:rFonts w:ascii="Arial" w:eastAsia="Times New Roman" w:hAnsi="Arial" w:cs="Arial"/>
          <w:sz w:val="16"/>
          <w:szCs w:val="16"/>
          <w:bdr w:val="nil"/>
          <w:lang w:val="en-AU" w:eastAsia="en-AU"/>
        </w:rPr>
        <w:t>Note: Departmental appropriation splits and totals are indicative estimates and may change in the course of the Budget year as Government priorities change.</w:t>
      </w:r>
    </w:p>
    <w:p w:rsidR="001A1B62" w:rsidRPr="005F7C40" w:rsidRDefault="00D5482E" w:rsidP="001A1B62">
      <w:pPr>
        <w:pStyle w:val="ListParagraph"/>
        <w:keepLines/>
        <w:numPr>
          <w:ilvl w:val="0"/>
          <w:numId w:val="19"/>
        </w:numPr>
        <w:pBdr>
          <w:top w:val="nil"/>
          <w:left w:val="nil"/>
          <w:bottom w:val="nil"/>
          <w:right w:val="nil"/>
          <w:between w:val="nil"/>
          <w:bar w:val="nil"/>
        </w:pBdr>
        <w:spacing w:after="0" w:line="240" w:lineRule="auto"/>
        <w:ind w:left="284" w:hanging="284"/>
        <w:jc w:val="both"/>
        <w:rPr>
          <w:rFonts w:eastAsia="Times New Roman" w:cs="Arial"/>
          <w:iCs/>
          <w:sz w:val="16"/>
          <w:szCs w:val="16"/>
          <w:bdr w:val="nil"/>
          <w:lang w:val="en-AU"/>
        </w:rPr>
      </w:pPr>
      <w:r w:rsidRPr="005F7C40">
        <w:rPr>
          <w:rFonts w:ascii="Arial" w:eastAsia="Times New Roman" w:hAnsi="Arial" w:cs="Arial"/>
          <w:iCs/>
          <w:sz w:val="16"/>
          <w:szCs w:val="16"/>
          <w:bdr w:val="nil"/>
          <w:lang w:val="en-AU"/>
        </w:rPr>
        <w:t xml:space="preserve">The payments relating to </w:t>
      </w:r>
      <w:r>
        <w:rPr>
          <w:rFonts w:ascii="Arial" w:eastAsia="Times New Roman" w:hAnsi="Arial" w:cs="Arial"/>
          <w:iCs/>
          <w:sz w:val="16"/>
          <w:szCs w:val="16"/>
          <w:bdr w:val="nil"/>
          <w:lang w:val="en-AU"/>
        </w:rPr>
        <w:t xml:space="preserve">the </w:t>
      </w:r>
      <w:r w:rsidRPr="005F7C40">
        <w:rPr>
          <w:rFonts w:ascii="Arial" w:eastAsia="Times New Roman" w:hAnsi="Arial" w:cs="Arial"/>
          <w:iCs/>
          <w:sz w:val="16"/>
          <w:szCs w:val="16"/>
          <w:bdr w:val="nil"/>
          <w:lang w:val="en-AU"/>
        </w:rPr>
        <w:t>National Redress Scheme for Institutional Child Sexual Abuse are not for publication due to ongoing negotiations with other organisations</w:t>
      </w:r>
      <w:r w:rsidRPr="005F7C40">
        <w:rPr>
          <w:rFonts w:ascii="Arial" w:eastAsia="Times New Roman" w:hAnsi="Arial" w:cs="Arial"/>
          <w:sz w:val="16"/>
          <w:szCs w:val="16"/>
          <w:bdr w:val="nil"/>
          <w:lang w:val="en-AU"/>
        </w:rPr>
        <w:t>.</w:t>
      </w:r>
    </w:p>
    <w:p w:rsidR="005F7C40" w:rsidRDefault="00D5482E" w:rsidP="00814166">
      <w:pPr>
        <w:pStyle w:val="ListParagraph"/>
        <w:keepLines/>
        <w:numPr>
          <w:ilvl w:val="0"/>
          <w:numId w:val="19"/>
        </w:numPr>
        <w:pBdr>
          <w:top w:val="nil"/>
          <w:left w:val="nil"/>
          <w:bottom w:val="nil"/>
          <w:right w:val="nil"/>
          <w:between w:val="nil"/>
          <w:bar w:val="nil"/>
        </w:pBdr>
        <w:spacing w:after="0" w:line="240" w:lineRule="auto"/>
        <w:ind w:left="284" w:hanging="284"/>
        <w:jc w:val="both"/>
        <w:rPr>
          <w:rFonts w:eastAsia="Times New Roman" w:cs="Arial"/>
          <w:iCs/>
          <w:sz w:val="16"/>
          <w:szCs w:val="16"/>
          <w:bdr w:val="nil"/>
          <w:lang w:val="en-AU"/>
        </w:rPr>
      </w:pPr>
      <w:r w:rsidRPr="005F7C40">
        <w:rPr>
          <w:rFonts w:ascii="Arial" w:eastAsia="Times New Roman" w:hAnsi="Arial" w:cs="Arial"/>
          <w:iCs/>
          <w:sz w:val="16"/>
          <w:szCs w:val="16"/>
          <w:bdr w:val="nil"/>
          <w:lang w:val="en-AU"/>
        </w:rPr>
        <w:t>Estimated expenses incurred in relation to receipts retained under section 74 of the PGPA Act.</w:t>
      </w:r>
    </w:p>
    <w:p w:rsidR="000D010B" w:rsidRPr="0025266A" w:rsidRDefault="00D5482E" w:rsidP="0025266A">
      <w:pPr>
        <w:pStyle w:val="ListParagraph"/>
        <w:keepLines/>
        <w:numPr>
          <w:ilvl w:val="0"/>
          <w:numId w:val="19"/>
        </w:numPr>
        <w:pBdr>
          <w:top w:val="nil"/>
          <w:left w:val="nil"/>
          <w:bottom w:val="nil"/>
          <w:right w:val="nil"/>
          <w:between w:val="nil"/>
          <w:bar w:val="nil"/>
        </w:pBdr>
        <w:spacing w:after="0" w:line="240" w:lineRule="auto"/>
        <w:ind w:left="284" w:hanging="284"/>
        <w:jc w:val="both"/>
        <w:rPr>
          <w:rFonts w:eastAsia="Times New Roman" w:cs="Arial"/>
          <w:iCs/>
          <w:sz w:val="16"/>
          <w:szCs w:val="16"/>
          <w:bdr w:val="nil"/>
          <w:lang w:val="en-AU"/>
        </w:rPr>
      </w:pPr>
      <w:r>
        <w:rPr>
          <w:rFonts w:ascii="Arial" w:eastAsia="Times New Roman" w:hAnsi="Arial" w:cs="Arial"/>
          <w:iCs/>
          <w:sz w:val="16"/>
          <w:szCs w:val="16"/>
          <w:bdr w:val="nil"/>
          <w:lang w:val="en-AU"/>
        </w:rPr>
        <w:t>‘</w:t>
      </w:r>
      <w:r w:rsidRPr="005F7C40">
        <w:rPr>
          <w:rFonts w:ascii="Arial" w:eastAsia="Times New Roman" w:hAnsi="Arial" w:cs="Arial"/>
          <w:iCs/>
          <w:sz w:val="16"/>
          <w:szCs w:val="16"/>
          <w:bdr w:val="nil"/>
          <w:lang w:val="en-AU"/>
        </w:rPr>
        <w:t xml:space="preserve">Expenses not requiring appropriation in the </w:t>
      </w:r>
      <w:r>
        <w:rPr>
          <w:rFonts w:ascii="Arial" w:eastAsia="Times New Roman" w:hAnsi="Arial" w:cs="Arial"/>
          <w:iCs/>
          <w:sz w:val="16"/>
          <w:szCs w:val="16"/>
          <w:bdr w:val="nil"/>
          <w:lang w:val="en-AU"/>
        </w:rPr>
        <w:t>B</w:t>
      </w:r>
      <w:r w:rsidRPr="005F7C40">
        <w:rPr>
          <w:rFonts w:ascii="Arial" w:eastAsia="Times New Roman" w:hAnsi="Arial" w:cs="Arial"/>
          <w:iCs/>
          <w:sz w:val="16"/>
          <w:szCs w:val="16"/>
          <w:bdr w:val="nil"/>
          <w:lang w:val="en-AU"/>
        </w:rPr>
        <w:t>udget year</w:t>
      </w:r>
      <w:r>
        <w:rPr>
          <w:rFonts w:ascii="Arial" w:eastAsia="Times New Roman" w:hAnsi="Arial" w:cs="Arial"/>
          <w:iCs/>
          <w:sz w:val="16"/>
          <w:szCs w:val="16"/>
          <w:bdr w:val="nil"/>
          <w:lang w:val="en-AU"/>
        </w:rPr>
        <w:t>’</w:t>
      </w:r>
      <w:r w:rsidRPr="005F7C40">
        <w:rPr>
          <w:rFonts w:ascii="Arial" w:eastAsia="Times New Roman" w:hAnsi="Arial" w:cs="Arial"/>
          <w:iCs/>
          <w:sz w:val="16"/>
          <w:szCs w:val="16"/>
          <w:bdr w:val="nil"/>
          <w:lang w:val="en-AU"/>
        </w:rPr>
        <w:t xml:space="preserve"> is made up of depreciation, amortisation expenses and audit fees.</w:t>
      </w:r>
    </w:p>
    <w:p w:rsidR="000D010B" w:rsidRPr="00CA0CF0" w:rsidRDefault="000D010B" w:rsidP="00CA0CF0">
      <w:pPr>
        <w:keepNext/>
        <w:keepLines/>
        <w:pBdr>
          <w:top w:val="nil"/>
          <w:left w:val="nil"/>
          <w:bottom w:val="nil"/>
          <w:right w:val="nil"/>
          <w:between w:val="nil"/>
          <w:bar w:val="nil"/>
        </w:pBdr>
        <w:tabs>
          <w:tab w:val="left" w:pos="709"/>
        </w:tabs>
        <w:spacing w:before="240" w:after="240" w:line="240" w:lineRule="auto"/>
        <w:outlineLvl w:val="2"/>
        <w:rPr>
          <w:rFonts w:ascii="Arial" w:hAnsi="Arial"/>
          <w:b/>
          <w:smallCaps/>
          <w:vanish/>
          <w:sz w:val="26"/>
          <w:bdr w:val="nil"/>
        </w:rPr>
      </w:pPr>
    </w:p>
    <w:p w:rsidR="00D86095" w:rsidRDefault="00D5482E" w:rsidP="0040508A">
      <w:pPr>
        <w:pStyle w:val="TableHeading"/>
        <w:keepLines/>
        <w:pageBreakBefore/>
        <w:pBdr>
          <w:top w:val="nil"/>
          <w:left w:val="nil"/>
          <w:bottom w:val="nil"/>
          <w:right w:val="nil"/>
          <w:between w:val="nil"/>
          <w:bar w:val="nil"/>
        </w:pBdr>
        <w:spacing w:before="0" w:after="0"/>
        <w:rPr>
          <w:bdr w:val="nil"/>
        </w:rPr>
      </w:pPr>
      <w:r w:rsidRPr="002E3447">
        <w:rPr>
          <w:bdr w:val="nil"/>
        </w:rPr>
        <w:lastRenderedPageBreak/>
        <w:t>Table 2</w:t>
      </w:r>
      <w:r>
        <w:rPr>
          <w:bdr w:val="nil"/>
        </w:rPr>
        <w:t>.2</w:t>
      </w:r>
      <w:r w:rsidRPr="002E3447">
        <w:rPr>
          <w:bdr w:val="nil"/>
        </w:rPr>
        <w:t>.</w:t>
      </w:r>
      <w:r>
        <w:rPr>
          <w:bdr w:val="nil"/>
        </w:rPr>
        <w:t>2</w:t>
      </w:r>
      <w:r w:rsidRPr="002E3447">
        <w:rPr>
          <w:bdr w:val="nil"/>
        </w:rPr>
        <w:t xml:space="preserve">: </w:t>
      </w:r>
      <w:r>
        <w:rPr>
          <w:bdr w:val="nil"/>
        </w:rPr>
        <w:t>Program</w:t>
      </w:r>
      <w:r w:rsidRPr="002E3447">
        <w:rPr>
          <w:bdr w:val="nil"/>
        </w:rPr>
        <w:t xml:space="preserve"> </w:t>
      </w:r>
      <w:r w:rsidR="00986B53">
        <w:rPr>
          <w:bdr w:val="nil"/>
        </w:rPr>
        <w:t>component expenses for Outcome 2</w:t>
      </w:r>
    </w:p>
    <w:tbl>
      <w:tblPr>
        <w:tblStyle w:val="CDMRange1"/>
        <w:tblW w:w="7695" w:type="dxa"/>
        <w:tblLayout w:type="fixed"/>
        <w:tblCellMar>
          <w:top w:w="11" w:type="dxa"/>
          <w:bottom w:w="11" w:type="dxa"/>
        </w:tblCellMar>
        <w:tblLook w:val="0600" w:firstRow="0" w:lastRow="0" w:firstColumn="0" w:lastColumn="0" w:noHBand="1" w:noVBand="1"/>
        <w:tblCaption w:val="Table 2.2.2: Program component expenses for Outcome 2"/>
      </w:tblPr>
      <w:tblGrid>
        <w:gridCol w:w="2820"/>
        <w:gridCol w:w="975"/>
        <w:gridCol w:w="975"/>
        <w:gridCol w:w="975"/>
        <w:gridCol w:w="975"/>
        <w:gridCol w:w="975"/>
      </w:tblGrid>
      <w:tr w:rsidR="00010972" w:rsidTr="00942D20">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2.1 - Families and Communities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2.1.1 - Component 1 (Civil Society)</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221</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1,126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1,281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1,290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1,307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221</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1,126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1,281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1,290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1,307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2.1.2 - Component 2 (Families and Children)</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290,986</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295,724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320,435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319,720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325,095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2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290,986</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295,724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320,435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319,720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325,095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2.1.3 - Component 3 (Families and Communities Services Improvement)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2,728</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2,667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2,877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2,880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2,895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3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2,728</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2,667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2,877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2,880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2,895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2.1.4 - Component 4 (Financial Wellbeing and Capability)</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218,420</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338,434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160,404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147,096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147,871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4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218,420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338,434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160,404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147,096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147,871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2.1.5 - Component 5 (National Initiatives)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102,756</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139,502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106,556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68,882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71,604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5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102,756</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139,502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106,556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68,882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71,604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2.1.6 - Component 6 (Strong and Resilient Communities)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57,454</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58,380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44,056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44,438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44,705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6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57,454</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58,380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44,056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44,438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44,705</w:t>
            </w:r>
          </w:p>
        </w:tc>
      </w:tr>
    </w:tbl>
    <w:p w:rsidR="00C707B1" w:rsidRDefault="00D5482E" w:rsidP="00F3064F">
      <w:pPr>
        <w:keepLines/>
        <w:pBdr>
          <w:top w:val="nil"/>
          <w:left w:val="nil"/>
          <w:bottom w:val="nil"/>
          <w:right w:val="nil"/>
          <w:between w:val="nil"/>
          <w:bar w:val="nil"/>
        </w:pBdr>
        <w:spacing w:after="0" w:line="260" w:lineRule="exact"/>
        <w:jc w:val="both"/>
        <w:rPr>
          <w:rFonts w:ascii="Arial" w:hAnsi="Arial"/>
          <w:b/>
          <w:bdr w:val="nil"/>
        </w:rPr>
      </w:pPr>
      <w:r>
        <w:rPr>
          <w:rFonts w:ascii="Book Antiqua" w:eastAsia="Times New Roman" w:hAnsi="Book Antiqua" w:cs="Times New Roman"/>
          <w:sz w:val="20"/>
          <w:szCs w:val="20"/>
          <w:bdr w:val="nil"/>
          <w:lang w:val="en-AU" w:eastAsia="en-AU"/>
        </w:rPr>
        <w:br w:type="page"/>
      </w:r>
    </w:p>
    <w:p w:rsidR="00855482" w:rsidRDefault="00D5482E" w:rsidP="0040508A">
      <w:pPr>
        <w:pStyle w:val="TableHeading"/>
        <w:keepLines/>
        <w:pBdr>
          <w:top w:val="nil"/>
          <w:left w:val="nil"/>
          <w:bottom w:val="nil"/>
          <w:right w:val="nil"/>
          <w:between w:val="nil"/>
          <w:bar w:val="nil"/>
        </w:pBdr>
        <w:spacing w:before="0" w:after="0"/>
        <w:rPr>
          <w:bdr w:val="nil"/>
        </w:rPr>
      </w:pPr>
      <w:r>
        <w:rPr>
          <w:bdr w:val="nil"/>
        </w:rPr>
        <w:lastRenderedPageBreak/>
        <w:t xml:space="preserve">Table 2.2.2: Program </w:t>
      </w:r>
      <w:r w:rsidR="00986B53">
        <w:rPr>
          <w:bdr w:val="nil"/>
        </w:rPr>
        <w:t>component expenses for Outcome 2</w:t>
      </w:r>
      <w:r>
        <w:rPr>
          <w:bdr w:val="nil"/>
        </w:rPr>
        <w:t xml:space="preserve"> (continued)</w:t>
      </w:r>
    </w:p>
    <w:tbl>
      <w:tblPr>
        <w:tblStyle w:val="CDMRange2"/>
        <w:tblW w:w="7695" w:type="dxa"/>
        <w:tblLayout w:type="fixed"/>
        <w:tblCellMar>
          <w:top w:w="11" w:type="dxa"/>
          <w:bottom w:w="11" w:type="dxa"/>
        </w:tblCellMar>
        <w:tblLook w:val="0600" w:firstRow="0" w:lastRow="0" w:firstColumn="0" w:lastColumn="0" w:noHBand="1" w:noVBand="1"/>
        <w:tblCaption w:val="Table 2.2.2: Program component expenses for Outcome 2 (continued)"/>
      </w:tblPr>
      <w:tblGrid>
        <w:gridCol w:w="2820"/>
        <w:gridCol w:w="975"/>
        <w:gridCol w:w="975"/>
        <w:gridCol w:w="975"/>
        <w:gridCol w:w="975"/>
        <w:gridCol w:w="975"/>
      </w:tblGrid>
      <w:tr w:rsidR="00010972" w:rsidTr="00942D20">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2.1 - Families and Communities (continued)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2.1.7 - Component 7 (Transition to Independent Living Allowance)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1,836</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3,512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3,512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3,512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3,512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7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1,836</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3,512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3,512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3,512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3,512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2.1.8 - Component 8 (Income Management Balancing Appropriation)</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FF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(640)</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8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(640)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2.1.9 - Component 9 (Other Services - Services for Other Entities and Trust Moneys)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Account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FF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Other Services - Services for</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Other Entities and Trust Moneys</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5,689</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15,274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3,400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9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5,689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15,274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3,400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2.1.10 - Component 10 (National Redress Scheme for Institutional Child Sexual Abuse -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Redress payment)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FF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National Redress Scheme for</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Institutional Child Sexual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Abuse Act 2018 </w:t>
            </w:r>
            <w:r>
              <w:rPr>
                <w:rFonts w:ascii="Arial" w:eastAsia="Arial" w:hAnsi="Arial" w:cs="Arial"/>
                <w:color w:val="000000"/>
                <w:sz w:val="16"/>
                <w:szCs w:val="20"/>
                <w:bdr w:val="nil"/>
                <w:lang w:val="en-AU" w:eastAsia="en-AU"/>
              </w:rPr>
              <w:t>(a)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253,567</w:t>
            </w:r>
          </w:p>
        </w:tc>
        <w:tc>
          <w:tcPr>
            <w:tcW w:w="97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10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253,567</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2.1.11 - Component 11 (National Redress Scheme for Institutional Child Sexual Abuse - Psychological Support payment)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FF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National Redress Scheme for</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Institutional Child Sexual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Abuse Act 2018 </w:t>
            </w:r>
            <w:r>
              <w:rPr>
                <w:rFonts w:ascii="Arial" w:eastAsia="Arial" w:hAnsi="Arial" w:cs="Arial"/>
                <w:color w:val="000000"/>
                <w:sz w:val="16"/>
                <w:szCs w:val="20"/>
                <w:bdr w:val="nil"/>
                <w:lang w:val="en-AU" w:eastAsia="en-AU"/>
              </w:rPr>
              <w:t>(a)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2,350</w:t>
            </w:r>
          </w:p>
        </w:tc>
        <w:tc>
          <w:tcPr>
            <w:tcW w:w="97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2,350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nfp </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2.1.12 - Component 12 (Volunteer Management)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5,539</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6,075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6,604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6,666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6,776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12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5,539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6,075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6,604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6,666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6,776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2.1.13 - Component 13 (Volunteer Grants)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12,390</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10,000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10,000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10,000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13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12,390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953,296</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870,702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659,133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604,484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613,765</w:t>
            </w:r>
          </w:p>
        </w:tc>
      </w:tr>
    </w:tbl>
    <w:p w:rsidR="00855482" w:rsidRDefault="00D5482E" w:rsidP="00241A74">
      <w:pPr>
        <w:keepLines/>
        <w:pBdr>
          <w:top w:val="nil"/>
          <w:left w:val="nil"/>
          <w:bottom w:val="nil"/>
          <w:right w:val="nil"/>
          <w:between w:val="nil"/>
          <w:bar w:val="nil"/>
        </w:pBdr>
        <w:spacing w:before="40" w:after="40" w:line="240" w:lineRule="auto"/>
        <w:ind w:left="142" w:hanging="142"/>
        <w:jc w:val="both"/>
        <w:rPr>
          <w:bdr w:val="nil"/>
        </w:rPr>
      </w:pPr>
      <w:r>
        <w:rPr>
          <w:rFonts w:ascii="Book Antiqua" w:eastAsia="Times New Roman" w:hAnsi="Book Antiqua" w:cs="Times New Roman"/>
          <w:sz w:val="20"/>
          <w:szCs w:val="20"/>
          <w:bdr w:val="nil"/>
          <w:lang w:val="en-AU" w:eastAsia="en-AU"/>
        </w:rPr>
        <w:br w:type="page"/>
      </w:r>
    </w:p>
    <w:p w:rsidR="00855482" w:rsidRDefault="00D5482E" w:rsidP="0040508A">
      <w:pPr>
        <w:pStyle w:val="TableHeading"/>
        <w:keepLines/>
        <w:pBdr>
          <w:top w:val="nil"/>
          <w:left w:val="nil"/>
          <w:bottom w:val="nil"/>
          <w:right w:val="nil"/>
          <w:between w:val="nil"/>
          <w:bar w:val="nil"/>
        </w:pBdr>
        <w:spacing w:before="0" w:after="0"/>
        <w:rPr>
          <w:bdr w:val="nil"/>
        </w:rPr>
      </w:pPr>
      <w:r>
        <w:rPr>
          <w:bdr w:val="nil"/>
        </w:rPr>
        <w:lastRenderedPageBreak/>
        <w:t xml:space="preserve">Table 2.2.2: Program </w:t>
      </w:r>
      <w:r w:rsidR="00986B53">
        <w:rPr>
          <w:bdr w:val="nil"/>
        </w:rPr>
        <w:t>component expenses for Outcome 2</w:t>
      </w:r>
      <w:r>
        <w:rPr>
          <w:bdr w:val="nil"/>
        </w:rPr>
        <w:t xml:space="preserve"> (continued)</w:t>
      </w:r>
    </w:p>
    <w:tbl>
      <w:tblPr>
        <w:tblStyle w:val="CDMRange1"/>
        <w:tblW w:w="7695" w:type="dxa"/>
        <w:tblLayout w:type="fixed"/>
        <w:tblCellMar>
          <w:top w:w="11" w:type="dxa"/>
          <w:bottom w:w="11" w:type="dxa"/>
        </w:tblCellMar>
        <w:tblLook w:val="0600" w:firstRow="0" w:lastRow="0" w:firstColumn="0" w:lastColumn="0" w:noHBand="1" w:noVBand="1"/>
        <w:tblCaption w:val="Table 2.2.2: Program component expenses for Outcome 2 (continued)"/>
      </w:tblPr>
      <w:tblGrid>
        <w:gridCol w:w="2820"/>
        <w:gridCol w:w="975"/>
        <w:gridCol w:w="975"/>
        <w:gridCol w:w="975"/>
        <w:gridCol w:w="975"/>
        <w:gridCol w:w="975"/>
      </w:tblGrid>
      <w:tr w:rsidR="00010972" w:rsidTr="00942D20">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2.2 - Paid Parental Leave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2.2.1 - Component 1 (Dad and Partner Pay)</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Paid Parental Leave Act 2010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129,681</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146,088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144,643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146,840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150,050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129,681</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146,088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144,643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146,840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150,050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2.2.2 - Component 2 (Parental Leave Pay)</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Paid Parental Leave Act 2010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2,269,882</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2,130,994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2,137,679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2,262,698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2,377,044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2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2,269,882</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2,130,994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2,137,679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2,262,698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2,377,044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2,399,563</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2,277,082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2,282,322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2,409,538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2,527,094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r>
    </w:tbl>
    <w:tbl>
      <w:tblPr>
        <w:tblStyle w:val="CDMRange2"/>
        <w:tblW w:w="7695" w:type="dxa"/>
        <w:tblLayout w:type="fixed"/>
        <w:tblCellMar>
          <w:top w:w="11" w:type="dxa"/>
          <w:bottom w:w="11" w:type="dxa"/>
        </w:tblCellMar>
        <w:tblLook w:val="0600" w:firstRow="0" w:lastRow="0" w:firstColumn="0" w:lastColumn="0" w:noHBand="1" w:noVBand="1"/>
        <w:tblCaption w:val="Table 2.2.2: Program component expenses for Outcome 2 (continued)"/>
      </w:tblPr>
      <w:tblGrid>
        <w:gridCol w:w="2820"/>
        <w:gridCol w:w="975"/>
        <w:gridCol w:w="975"/>
        <w:gridCol w:w="975"/>
        <w:gridCol w:w="975"/>
        <w:gridCol w:w="975"/>
      </w:tblGrid>
      <w:tr w:rsidR="00010972" w:rsidTr="00942D20">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2.3 - Social and Community Services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2.3.1 - Component 1 (Social and Community Services Pay Equity Special Account)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Account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rsidP="002A7B0C">
            <w:pPr>
              <w:keepLines/>
              <w:pBdr>
                <w:top w:val="nil"/>
                <w:left w:val="nil"/>
                <w:bottom w:val="nil"/>
                <w:right w:val="nil"/>
                <w:between w:val="nil"/>
                <w:bar w:val="nil"/>
              </w:pBdr>
              <w:spacing w:after="0" w:line="240" w:lineRule="auto"/>
              <w:ind w:left="114" w:hanging="114"/>
              <w:rPr>
                <w:rFonts w:ascii="Arial" w:eastAsia="Arial" w:hAnsi="Arial" w:cs="Arial"/>
                <w:color w:val="000000"/>
                <w:sz w:val="16"/>
                <w:bdr w:val="nil"/>
              </w:rPr>
            </w:pPr>
            <w:r>
              <w:rPr>
                <w:rFonts w:ascii="Arial" w:eastAsia="Arial" w:hAnsi="Arial" w:cs="Arial"/>
                <w:color w:val="000000"/>
                <w:sz w:val="16"/>
                <w:szCs w:val="20"/>
                <w:bdr w:val="nil"/>
                <w:lang w:val="en-AU" w:eastAsia="en-AU"/>
              </w:rPr>
              <w:t>Social and Community Services Pay Equity Special Account (b)</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411,920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547,108</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411,920</w:t>
            </w:r>
          </w:p>
        </w:tc>
        <w:tc>
          <w:tcPr>
            <w:tcW w:w="97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547,108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411,920</w:t>
            </w:r>
          </w:p>
        </w:tc>
        <w:tc>
          <w:tcPr>
            <w:tcW w:w="97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547,108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r>
    </w:tbl>
    <w:p w:rsidR="00DA7468" w:rsidRDefault="00D5482E">
      <w:pPr>
        <w:pBdr>
          <w:top w:val="nil"/>
          <w:left w:val="nil"/>
          <w:bottom w:val="nil"/>
          <w:right w:val="nil"/>
          <w:between w:val="nil"/>
          <w:bar w:val="nil"/>
        </w:pBdr>
        <w:rPr>
          <w:rFonts w:ascii="Arial" w:hAnsi="Arial"/>
          <w:b/>
          <w:bdr w:val="nil"/>
        </w:rPr>
      </w:pPr>
      <w:r>
        <w:rPr>
          <w:rFonts w:ascii="Book Antiqua" w:eastAsia="Times New Roman" w:hAnsi="Book Antiqua" w:cs="Times New Roman"/>
          <w:sz w:val="20"/>
          <w:szCs w:val="20"/>
          <w:bdr w:val="nil"/>
          <w:lang w:val="en-AU" w:eastAsia="en-AU"/>
        </w:rPr>
        <w:br w:type="page"/>
      </w:r>
    </w:p>
    <w:p w:rsidR="008A0BA8" w:rsidRDefault="00D5482E" w:rsidP="0040508A">
      <w:pPr>
        <w:pStyle w:val="TableHeading"/>
        <w:keepLines/>
        <w:pBdr>
          <w:top w:val="nil"/>
          <w:left w:val="nil"/>
          <w:bottom w:val="nil"/>
          <w:right w:val="nil"/>
          <w:between w:val="nil"/>
          <w:bar w:val="nil"/>
        </w:pBdr>
        <w:spacing w:before="0" w:after="0"/>
        <w:rPr>
          <w:bdr w:val="nil"/>
        </w:rPr>
      </w:pPr>
      <w:r>
        <w:rPr>
          <w:bdr w:val="nil"/>
        </w:rPr>
        <w:lastRenderedPageBreak/>
        <w:t xml:space="preserve">Table 2.2.2: Program </w:t>
      </w:r>
      <w:r w:rsidR="00986B53">
        <w:rPr>
          <w:bdr w:val="nil"/>
        </w:rPr>
        <w:t>component expenses for Outcome 2</w:t>
      </w:r>
      <w:r>
        <w:rPr>
          <w:bdr w:val="nil"/>
        </w:rPr>
        <w:t xml:space="preserve"> (continued)</w:t>
      </w:r>
    </w:p>
    <w:tbl>
      <w:tblPr>
        <w:tblStyle w:val="CDMRange1"/>
        <w:tblW w:w="7695" w:type="dxa"/>
        <w:tblLayout w:type="fixed"/>
        <w:tblCellMar>
          <w:top w:w="11" w:type="dxa"/>
          <w:bottom w:w="11" w:type="dxa"/>
        </w:tblCellMar>
        <w:tblLook w:val="0600" w:firstRow="0" w:lastRow="0" w:firstColumn="0" w:lastColumn="0" w:noHBand="1" w:noVBand="1"/>
        <w:tblCaption w:val="Table 2.2.2: Program component expenses for Outcome 2 (continued)"/>
      </w:tblPr>
      <w:tblGrid>
        <w:gridCol w:w="2820"/>
        <w:gridCol w:w="975"/>
        <w:gridCol w:w="975"/>
        <w:gridCol w:w="975"/>
        <w:gridCol w:w="975"/>
        <w:gridCol w:w="975"/>
      </w:tblGrid>
      <w:tr w:rsidR="00010972" w:rsidTr="00E42292">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2.4 - Program Support for Outcome 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2.4.1 - Component 1 (Departmental DSS - Outcome 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departmental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appropriation</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170,935</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178,271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155,818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146,851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144,956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s74 external revenue (c) </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46,099</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13,092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13,215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13,215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13,215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Expenses not requiring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in the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Budget year (d)</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18,243</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3,748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3,386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2,959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235,277</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195,111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172,419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163,025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161,062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235,277</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195,111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172,419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163,025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161,062</w:t>
            </w:r>
          </w:p>
        </w:tc>
      </w:tr>
    </w:tbl>
    <w:p w:rsidR="005A4D6B" w:rsidRDefault="00D5482E" w:rsidP="005A4D6B">
      <w:pPr>
        <w:pStyle w:val="ChartandTableFootnote"/>
        <w:pBdr>
          <w:top w:val="nil"/>
          <w:left w:val="nil"/>
          <w:bottom w:val="nil"/>
          <w:right w:val="nil"/>
          <w:between w:val="nil"/>
          <w:bar w:val="nil"/>
        </w:pBdr>
        <w:tabs>
          <w:tab w:val="left" w:pos="0"/>
        </w:tabs>
        <w:ind w:left="0" w:firstLine="0"/>
        <w:rPr>
          <w:bdr w:val="nil"/>
        </w:rPr>
      </w:pPr>
      <w:r>
        <w:rPr>
          <w:bdr w:val="nil"/>
        </w:rPr>
        <w:t>Note: Departmental appropriation splits and totals are indicative estimates and may change in the course of the Budget year as government priorities change.</w:t>
      </w:r>
    </w:p>
    <w:p w:rsidR="00E159CD" w:rsidRPr="00D62AD7" w:rsidRDefault="00D5482E" w:rsidP="007479ED">
      <w:pPr>
        <w:pStyle w:val="ListParagraph"/>
        <w:keepLines/>
        <w:numPr>
          <w:ilvl w:val="0"/>
          <w:numId w:val="20"/>
        </w:numPr>
        <w:pBdr>
          <w:top w:val="nil"/>
          <w:left w:val="nil"/>
          <w:bottom w:val="nil"/>
          <w:right w:val="nil"/>
          <w:between w:val="nil"/>
          <w:bar w:val="nil"/>
        </w:pBdr>
        <w:spacing w:after="0" w:line="240" w:lineRule="auto"/>
        <w:ind w:left="284" w:hanging="284"/>
        <w:contextualSpacing w:val="0"/>
        <w:jc w:val="both"/>
        <w:rPr>
          <w:rFonts w:eastAsia="Times New Roman" w:cs="Arial"/>
          <w:iCs/>
          <w:sz w:val="16"/>
          <w:szCs w:val="16"/>
          <w:bdr w:val="nil"/>
          <w:lang w:val="en-AU"/>
        </w:rPr>
      </w:pPr>
      <w:r w:rsidRPr="00D62AD7">
        <w:rPr>
          <w:rFonts w:ascii="Arial" w:eastAsia="Times New Roman" w:hAnsi="Arial" w:cs="Arial"/>
          <w:iCs/>
          <w:sz w:val="16"/>
          <w:szCs w:val="16"/>
          <w:bdr w:val="nil"/>
          <w:lang w:val="en-AU"/>
        </w:rPr>
        <w:t xml:space="preserve">The payments relating to </w:t>
      </w:r>
      <w:r>
        <w:rPr>
          <w:rFonts w:ascii="Arial" w:eastAsia="Times New Roman" w:hAnsi="Arial" w:cs="Arial"/>
          <w:iCs/>
          <w:sz w:val="16"/>
          <w:szCs w:val="16"/>
          <w:bdr w:val="nil"/>
          <w:lang w:val="en-AU"/>
        </w:rPr>
        <w:t xml:space="preserve">the </w:t>
      </w:r>
      <w:r w:rsidRPr="00D62AD7">
        <w:rPr>
          <w:rFonts w:ascii="Arial" w:eastAsia="Times New Roman" w:hAnsi="Arial" w:cs="Arial"/>
          <w:iCs/>
          <w:sz w:val="16"/>
          <w:szCs w:val="16"/>
          <w:bdr w:val="nil"/>
          <w:lang w:val="en-AU"/>
        </w:rPr>
        <w:t>National Redress Scheme for Institutional Child Sexual Abuse are not for publication due to ongoing negotiations with other organisations.</w:t>
      </w:r>
    </w:p>
    <w:p w:rsidR="00E159CD" w:rsidRDefault="00D5482E" w:rsidP="007479ED">
      <w:pPr>
        <w:pStyle w:val="FootnoteText"/>
        <w:numPr>
          <w:ilvl w:val="0"/>
          <w:numId w:val="20"/>
        </w:numPr>
        <w:pBdr>
          <w:top w:val="nil"/>
          <w:left w:val="nil"/>
          <w:bottom w:val="nil"/>
          <w:right w:val="nil"/>
          <w:between w:val="nil"/>
          <w:bar w:val="nil"/>
        </w:pBdr>
        <w:spacing w:after="0"/>
        <w:ind w:left="284" w:hanging="284"/>
        <w:jc w:val="both"/>
        <w:rPr>
          <w:rFonts w:ascii="Arial" w:hAnsi="Arial" w:cs="Arial"/>
          <w:bdr w:val="nil"/>
        </w:rPr>
      </w:pPr>
      <w:r>
        <w:rPr>
          <w:rFonts w:ascii="Arial" w:hAnsi="Arial" w:cs="Arial"/>
          <w:bdr w:val="nil"/>
        </w:rPr>
        <w:t xml:space="preserve">The funding for the Social and Community Services Pay Equity Special Account is directly appropriated through the </w:t>
      </w:r>
      <w:r>
        <w:rPr>
          <w:rFonts w:ascii="Arial" w:hAnsi="Arial" w:cs="Arial"/>
          <w:i/>
          <w:bdr w:val="nil"/>
        </w:rPr>
        <w:t>Social and Community Services Pay Equity Special Account Act 2012</w:t>
      </w:r>
      <w:r>
        <w:rPr>
          <w:rFonts w:ascii="Arial" w:hAnsi="Arial" w:cs="Arial"/>
          <w:bdr w:val="nil"/>
        </w:rPr>
        <w:t>. This Act ceases to have effect on 30 June 2021.</w:t>
      </w:r>
    </w:p>
    <w:p w:rsidR="00EA156A" w:rsidRDefault="00D5482E" w:rsidP="007479ED">
      <w:pPr>
        <w:pStyle w:val="FootnoteText"/>
        <w:numPr>
          <w:ilvl w:val="0"/>
          <w:numId w:val="20"/>
        </w:numPr>
        <w:pBdr>
          <w:top w:val="nil"/>
          <w:left w:val="nil"/>
          <w:bottom w:val="nil"/>
          <w:right w:val="nil"/>
          <w:between w:val="nil"/>
          <w:bar w:val="nil"/>
        </w:pBdr>
        <w:spacing w:after="0"/>
        <w:ind w:left="284" w:hanging="284"/>
        <w:jc w:val="both"/>
        <w:rPr>
          <w:rFonts w:ascii="Arial" w:hAnsi="Arial" w:cs="Arial"/>
          <w:bdr w:val="nil"/>
        </w:rPr>
      </w:pPr>
      <w:r>
        <w:rPr>
          <w:rFonts w:ascii="Arial" w:hAnsi="Arial" w:cs="Arial"/>
          <w:bdr w:val="nil"/>
        </w:rPr>
        <w:t>Estimated expenses incurred in relation to receipts retained under section 74 of the PGPA Act.</w:t>
      </w:r>
    </w:p>
    <w:p w:rsidR="009B7C35" w:rsidRPr="00E159CD" w:rsidRDefault="00D5482E" w:rsidP="007479ED">
      <w:pPr>
        <w:pStyle w:val="FootnoteText"/>
        <w:numPr>
          <w:ilvl w:val="0"/>
          <w:numId w:val="20"/>
        </w:numPr>
        <w:pBdr>
          <w:top w:val="nil"/>
          <w:left w:val="nil"/>
          <w:bottom w:val="nil"/>
          <w:right w:val="nil"/>
          <w:between w:val="nil"/>
          <w:bar w:val="nil"/>
        </w:pBdr>
        <w:spacing w:after="0"/>
        <w:ind w:left="284" w:hanging="284"/>
        <w:jc w:val="both"/>
        <w:rPr>
          <w:rFonts w:ascii="Arial" w:hAnsi="Arial" w:cs="Arial"/>
          <w:bdr w:val="nil"/>
        </w:rPr>
      </w:pPr>
      <w:r>
        <w:rPr>
          <w:rFonts w:ascii="Arial" w:hAnsi="Arial" w:cs="Arial"/>
          <w:bdr w:val="nil"/>
        </w:rPr>
        <w:t>‘Expenses not requiring appropriation in the Budget year’ is made up of depreciation, amortisation expenses and audit fees.</w:t>
      </w:r>
    </w:p>
    <w:p w:rsidR="00F745FD" w:rsidRDefault="00D5482E" w:rsidP="00DE6FE8">
      <w:pPr>
        <w:pStyle w:val="TableHeading"/>
        <w:keepLines/>
        <w:pageBreakBefore/>
        <w:pBdr>
          <w:top w:val="nil"/>
          <w:left w:val="nil"/>
          <w:bottom w:val="nil"/>
          <w:right w:val="nil"/>
          <w:between w:val="nil"/>
          <w:bar w:val="nil"/>
        </w:pBdr>
        <w:spacing w:before="0" w:after="240"/>
        <w:rPr>
          <w:bdr w:val="nil"/>
        </w:rPr>
      </w:pPr>
      <w:r>
        <w:rPr>
          <w:bdr w:val="nil"/>
        </w:rPr>
        <w:lastRenderedPageBreak/>
        <w:t>Table 2.2.3: Performance criteria for Outcome 2</w:t>
      </w:r>
    </w:p>
    <w:p w:rsidR="00F745FD" w:rsidRDefault="00D5482E" w:rsidP="00CD10A1">
      <w:pPr>
        <w:pStyle w:val="Normal0"/>
        <w:keepLines/>
        <w:pBdr>
          <w:top w:val="nil"/>
          <w:left w:val="nil"/>
          <w:bottom w:val="nil"/>
          <w:right w:val="nil"/>
          <w:between w:val="nil"/>
          <w:bar w:val="nil"/>
        </w:pBdr>
        <w:tabs>
          <w:tab w:val="left" w:pos="709"/>
        </w:tabs>
        <w:spacing w:after="240" w:line="240" w:lineRule="auto"/>
        <w:jc w:val="both"/>
        <w:rPr>
          <w:bdr w:val="nil"/>
        </w:rPr>
      </w:pPr>
      <w:r>
        <w:rPr>
          <w:rFonts w:eastAsia="Times New Roman"/>
          <w:sz w:val="20"/>
          <w:szCs w:val="20"/>
          <w:bdr w:val="nil"/>
          <w:lang w:eastAsia="en-AU"/>
        </w:rPr>
        <w:t>Table 2.2.3 below details the performance criteria for each program associated with Outcome 2. It is to be used by entities to describe the results they plan to achieve with the resources provided for new programs, or materially changed existing programs resulting from decisions made since the 2020-21 Budget.</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14"/>
        <w:gridCol w:w="3261"/>
        <w:gridCol w:w="2693"/>
      </w:tblGrid>
      <w:tr w:rsidR="00010972" w:rsidTr="00DD145C">
        <w:tc>
          <w:tcPr>
            <w:tcW w:w="7768" w:type="dxa"/>
            <w:gridSpan w:val="3"/>
            <w:tcBorders>
              <w:top w:val="single" w:sz="4" w:space="0" w:color="auto"/>
              <w:left w:val="single" w:sz="4" w:space="0" w:color="auto"/>
              <w:bottom w:val="single" w:sz="4" w:space="0" w:color="auto"/>
              <w:right w:val="single" w:sz="4" w:space="0" w:color="auto"/>
            </w:tcBorders>
            <w:shd w:val="clear" w:color="auto" w:fill="E6E6E6"/>
            <w:hideMark/>
          </w:tcPr>
          <w:p w:rsidR="00F745FD" w:rsidRDefault="00D5482E" w:rsidP="00156591">
            <w:pPr>
              <w:pStyle w:val="TableColumnHeadingLeft"/>
              <w:pBdr>
                <w:top w:val="nil"/>
                <w:left w:val="nil"/>
                <w:bottom w:val="nil"/>
                <w:right w:val="nil"/>
                <w:between w:val="nil"/>
                <w:bar w:val="nil"/>
              </w:pBdr>
              <w:rPr>
                <w:bdr w:val="nil"/>
                <w:lang w:val="en-US" w:eastAsia="en-US"/>
              </w:rPr>
            </w:pPr>
            <w:r>
              <w:rPr>
                <w:bdr w:val="nil"/>
                <w:lang w:val="en-US" w:eastAsia="en-US"/>
              </w:rPr>
              <w:t xml:space="preserve">Outcome 2 – </w:t>
            </w:r>
            <w:r w:rsidRPr="00156591">
              <w:rPr>
                <w:b w:val="0"/>
                <w:bdr w:val="nil"/>
                <w:lang w:val="en-US" w:eastAsia="en-US"/>
              </w:rPr>
              <w:t>Contribute to stronger and more resilient individuals, families and communities by providing targeted services and initiatives.</w:t>
            </w:r>
          </w:p>
        </w:tc>
      </w:tr>
      <w:tr w:rsidR="00010972" w:rsidTr="00DD145C">
        <w:tc>
          <w:tcPr>
            <w:tcW w:w="7768" w:type="dxa"/>
            <w:gridSpan w:val="3"/>
            <w:tcBorders>
              <w:top w:val="single" w:sz="4" w:space="0" w:color="auto"/>
              <w:left w:val="single" w:sz="4" w:space="0" w:color="auto"/>
              <w:bottom w:val="single" w:sz="4" w:space="0" w:color="auto"/>
              <w:right w:val="single" w:sz="4" w:space="0" w:color="auto"/>
            </w:tcBorders>
            <w:shd w:val="clear" w:color="auto" w:fill="E6E6E6"/>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2.1 –</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 xml:space="preserve">Families and Communities </w:t>
            </w:r>
            <w:r>
              <w:rPr>
                <w:rFonts w:ascii="Arial" w:eastAsia="Times New Roman" w:hAnsi="Arial" w:cs="Arial"/>
                <w:sz w:val="16"/>
                <w:szCs w:val="16"/>
                <w:bdr w:val="nil"/>
                <w:lang w:val="en-US"/>
              </w:rPr>
              <w:t>– To strengthen relationships, support families, improve wellbeing of children and young people, reduce the cost of family breakdown, strengthen family and community functioning.</w:t>
            </w:r>
          </w:p>
        </w:tc>
      </w:tr>
      <w:tr w:rsidR="00010972" w:rsidTr="00DD145C">
        <w:tc>
          <w:tcPr>
            <w:tcW w:w="1814" w:type="dxa"/>
            <w:tcBorders>
              <w:top w:val="single" w:sz="4" w:space="0" w:color="auto"/>
              <w:left w:val="single" w:sz="4" w:space="0" w:color="auto"/>
              <w:bottom w:val="doub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54" w:type="dxa"/>
            <w:gridSpan w:val="2"/>
            <w:tcBorders>
              <w:top w:val="single" w:sz="4" w:space="0" w:color="auto"/>
              <w:left w:val="single" w:sz="4" w:space="0" w:color="auto"/>
              <w:bottom w:val="doub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Assist organisations through a program of grants, procurements and subsidies targeting families, children, young people, volunteers and other individuals with special circumstances.</w:t>
            </w:r>
          </w:p>
        </w:tc>
      </w:tr>
      <w:tr w:rsidR="00010972" w:rsidTr="00DD145C">
        <w:tc>
          <w:tcPr>
            <w:tcW w:w="7768" w:type="dxa"/>
            <w:gridSpan w:val="3"/>
            <w:tcBorders>
              <w:top w:val="double" w:sz="4" w:space="0" w:color="auto"/>
              <w:left w:val="single" w:sz="4" w:space="0" w:color="auto"/>
              <w:bottom w:val="doub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14" w:type="dxa"/>
            <w:tcBorders>
              <w:top w:val="double" w:sz="4" w:space="0" w:color="auto"/>
              <w:left w:val="single" w:sz="4" w:space="0" w:color="auto"/>
              <w:bottom w:val="sing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261" w:type="dxa"/>
            <w:tcBorders>
              <w:top w:val="double" w:sz="4" w:space="0" w:color="auto"/>
              <w:left w:val="single" w:sz="4" w:space="0" w:color="auto"/>
              <w:bottom w:val="sing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693" w:type="dxa"/>
            <w:tcBorders>
              <w:top w:val="double" w:sz="4" w:space="0" w:color="auto"/>
              <w:left w:val="single" w:sz="4" w:space="0" w:color="auto"/>
              <w:bottom w:val="single" w:sz="4" w:space="0" w:color="auto"/>
              <w:right w:val="single" w:sz="4" w:space="0" w:color="auto"/>
            </w:tcBorders>
            <w:hideMark/>
          </w:tcPr>
          <w:p w:rsidR="00F745FD"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14" w:type="dxa"/>
            <w:vMerge w:val="restart"/>
            <w:tcBorders>
              <w:top w:val="dotted" w:sz="4" w:space="0" w:color="auto"/>
              <w:left w:val="single" w:sz="4" w:space="0" w:color="auto"/>
              <w:right w:val="single" w:sz="4" w:space="0" w:color="auto"/>
            </w:tcBorders>
            <w:hideMark/>
          </w:tcPr>
          <w:p w:rsidR="006930C0"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w:t>
            </w:r>
            <w:r>
              <w:rPr>
                <w:rFonts w:ascii="Arial" w:eastAsia="Times New Roman" w:hAnsi="Arial" w:cs="Arial"/>
                <w:sz w:val="16"/>
                <w:szCs w:val="16"/>
                <w:bdr w:val="nil"/>
                <w:lang w:val="en-US"/>
              </w:rPr>
              <w:softHyphen/>
              <w:t>21</w:t>
            </w:r>
          </w:p>
        </w:tc>
        <w:tc>
          <w:tcPr>
            <w:tcW w:w="3261" w:type="dxa"/>
            <w:tcBorders>
              <w:top w:val="dotted" w:sz="4" w:space="0" w:color="auto"/>
              <w:left w:val="single" w:sz="4" w:space="0" w:color="auto"/>
              <w:bottom w:val="dotted" w:sz="4" w:space="0" w:color="auto"/>
              <w:right w:val="single" w:sz="4" w:space="0" w:color="auto"/>
            </w:tcBorders>
            <w:hideMark/>
          </w:tcPr>
          <w:p w:rsidR="006930C0"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Extent to which individuals have improved individual and family functioning.</w:t>
            </w:r>
          </w:p>
        </w:tc>
        <w:tc>
          <w:tcPr>
            <w:tcW w:w="2693" w:type="dxa"/>
            <w:tcBorders>
              <w:top w:val="dotted" w:sz="4" w:space="0" w:color="auto"/>
              <w:left w:val="single" w:sz="4" w:space="0" w:color="auto"/>
              <w:bottom w:val="dotted" w:sz="4" w:space="0" w:color="auto"/>
              <w:right w:val="single" w:sz="4" w:space="0" w:color="auto"/>
            </w:tcBorders>
            <w:hideMark/>
          </w:tcPr>
          <w:p w:rsidR="006930C0"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At least 75 per cent of clients in reporting services have improved family functioning.</w:t>
            </w:r>
          </w:p>
        </w:tc>
      </w:tr>
      <w:tr w:rsidR="00010972" w:rsidTr="00DD145C">
        <w:tc>
          <w:tcPr>
            <w:tcW w:w="1814" w:type="dxa"/>
            <w:vMerge/>
            <w:tcBorders>
              <w:left w:val="single" w:sz="4" w:space="0" w:color="auto"/>
              <w:right w:val="single" w:sz="4" w:space="0" w:color="auto"/>
            </w:tcBorders>
            <w:vAlign w:val="center"/>
            <w:hideMark/>
          </w:tcPr>
          <w:p w:rsidR="006930C0" w:rsidRDefault="006930C0">
            <w:pPr>
              <w:spacing w:after="0"/>
              <w:rPr>
                <w:rFonts w:ascii="Arial" w:hAnsi="Arial" w:cs="Arial"/>
                <w:sz w:val="16"/>
                <w:szCs w:val="16"/>
                <w:bdr w:val="nil"/>
              </w:rPr>
            </w:pPr>
          </w:p>
        </w:tc>
        <w:tc>
          <w:tcPr>
            <w:tcW w:w="3261" w:type="dxa"/>
            <w:tcBorders>
              <w:top w:val="dotted" w:sz="4" w:space="0" w:color="auto"/>
              <w:left w:val="single" w:sz="4" w:space="0" w:color="auto"/>
              <w:bottom w:val="dotted" w:sz="4" w:space="0" w:color="auto"/>
              <w:right w:val="single" w:sz="4" w:space="0" w:color="auto"/>
            </w:tcBorders>
            <w:hideMark/>
          </w:tcPr>
          <w:p w:rsidR="006930C0"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Extent to which Families and Communities Service Improvement organisations support and drive continuous improvement of member organisations.</w:t>
            </w:r>
          </w:p>
        </w:tc>
        <w:tc>
          <w:tcPr>
            <w:tcW w:w="2693" w:type="dxa"/>
            <w:tcBorders>
              <w:top w:val="dotted" w:sz="4" w:space="0" w:color="auto"/>
              <w:left w:val="single" w:sz="4" w:space="0" w:color="auto"/>
              <w:bottom w:val="dotted" w:sz="4" w:space="0" w:color="auto"/>
              <w:right w:val="single" w:sz="4" w:space="0" w:color="auto"/>
            </w:tcBorders>
            <w:hideMark/>
          </w:tcPr>
          <w:p w:rsidR="006930C0"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At least 90 per cent of members are satisfied with support received from funded service providers.</w:t>
            </w:r>
          </w:p>
        </w:tc>
      </w:tr>
      <w:tr w:rsidR="00010972" w:rsidTr="00DD145C">
        <w:tc>
          <w:tcPr>
            <w:tcW w:w="1814" w:type="dxa"/>
            <w:vMerge/>
            <w:tcBorders>
              <w:left w:val="single" w:sz="4" w:space="0" w:color="auto"/>
              <w:right w:val="single" w:sz="4" w:space="0" w:color="auto"/>
            </w:tcBorders>
            <w:vAlign w:val="center"/>
            <w:hideMark/>
          </w:tcPr>
          <w:p w:rsidR="006930C0" w:rsidRDefault="006930C0">
            <w:pPr>
              <w:spacing w:after="0"/>
              <w:rPr>
                <w:rFonts w:ascii="Arial" w:hAnsi="Arial" w:cs="Arial"/>
                <w:sz w:val="16"/>
                <w:szCs w:val="16"/>
                <w:bdr w:val="nil"/>
              </w:rPr>
            </w:pPr>
          </w:p>
        </w:tc>
        <w:tc>
          <w:tcPr>
            <w:tcW w:w="3261" w:type="dxa"/>
            <w:tcBorders>
              <w:top w:val="dotted" w:sz="4" w:space="0" w:color="auto"/>
              <w:left w:val="single" w:sz="4" w:space="0" w:color="auto"/>
              <w:bottom w:val="dotted" w:sz="4" w:space="0" w:color="auto"/>
              <w:right w:val="single" w:sz="4" w:space="0" w:color="auto"/>
            </w:tcBorders>
            <w:hideMark/>
          </w:tcPr>
          <w:p w:rsidR="006930C0"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Extent of contribution to a reduction in violence through successful implementation of the</w:t>
            </w:r>
            <w:r>
              <w:rPr>
                <w:rFonts w:ascii="Arial" w:eastAsia="Times New Roman" w:hAnsi="Arial" w:cs="Arial"/>
                <w:i/>
                <w:color w:val="000000"/>
                <w:sz w:val="16"/>
                <w:szCs w:val="16"/>
                <w:bdr w:val="nil"/>
                <w:lang w:val="en-US"/>
              </w:rPr>
              <w:t xml:space="preserve"> </w:t>
            </w:r>
            <w:r>
              <w:rPr>
                <w:rFonts w:ascii="Arial" w:eastAsia="Times New Roman" w:hAnsi="Arial" w:cs="Arial"/>
                <w:color w:val="000000"/>
                <w:sz w:val="16"/>
                <w:szCs w:val="16"/>
                <w:bdr w:val="nil"/>
                <w:lang w:val="en-US"/>
              </w:rPr>
              <w:t>National Plan to Reduce Violence against Women and their Children 2010-2022.</w:t>
            </w:r>
          </w:p>
        </w:tc>
        <w:tc>
          <w:tcPr>
            <w:tcW w:w="2693" w:type="dxa"/>
            <w:tcBorders>
              <w:top w:val="dotted" w:sz="4" w:space="0" w:color="auto"/>
              <w:left w:val="single" w:sz="4" w:space="0" w:color="auto"/>
              <w:bottom w:val="dotted" w:sz="4" w:space="0" w:color="auto"/>
              <w:right w:val="single" w:sz="4" w:space="0" w:color="auto"/>
            </w:tcBorders>
            <w:hideMark/>
          </w:tcPr>
          <w:p w:rsidR="006930C0"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Successful implementation of departmental actions to contribute towards a reduction in women experiencing family, domestic and sexual violence and a reduction in attitudes supportive of violence.</w:t>
            </w:r>
          </w:p>
        </w:tc>
      </w:tr>
      <w:tr w:rsidR="00010972" w:rsidTr="00DD145C">
        <w:tc>
          <w:tcPr>
            <w:tcW w:w="1814" w:type="dxa"/>
            <w:vMerge/>
            <w:tcBorders>
              <w:left w:val="single" w:sz="4" w:space="0" w:color="auto"/>
              <w:right w:val="single" w:sz="4" w:space="0" w:color="auto"/>
            </w:tcBorders>
            <w:vAlign w:val="center"/>
          </w:tcPr>
          <w:p w:rsidR="006930C0" w:rsidRDefault="006930C0" w:rsidP="006930C0">
            <w:pPr>
              <w:spacing w:after="0"/>
              <w:rPr>
                <w:rFonts w:ascii="Arial" w:hAnsi="Arial" w:cs="Arial"/>
                <w:sz w:val="16"/>
                <w:szCs w:val="16"/>
                <w:bdr w:val="nil"/>
              </w:rPr>
            </w:pPr>
          </w:p>
        </w:tc>
        <w:tc>
          <w:tcPr>
            <w:tcW w:w="3261" w:type="dxa"/>
            <w:tcBorders>
              <w:top w:val="dotted" w:sz="4" w:space="0" w:color="auto"/>
              <w:left w:val="single" w:sz="4" w:space="0" w:color="auto"/>
              <w:bottom w:val="dotted" w:sz="4" w:space="0" w:color="auto"/>
              <w:right w:val="single" w:sz="4" w:space="0" w:color="auto"/>
            </w:tcBorders>
          </w:tcPr>
          <w:p w:rsidR="006930C0" w:rsidRDefault="00D5482E" w:rsidP="006930C0">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Extent of contribution to creating and implementing a national children's strategy and related initiatives.</w:t>
            </w:r>
          </w:p>
        </w:tc>
        <w:tc>
          <w:tcPr>
            <w:tcW w:w="2693" w:type="dxa"/>
            <w:tcBorders>
              <w:top w:val="dotted" w:sz="4" w:space="0" w:color="auto"/>
              <w:left w:val="single" w:sz="4" w:space="0" w:color="auto"/>
              <w:bottom w:val="dotted" w:sz="4" w:space="0" w:color="auto"/>
              <w:right w:val="single" w:sz="4" w:space="0" w:color="auto"/>
            </w:tcBorders>
          </w:tcPr>
          <w:p w:rsidR="006930C0" w:rsidRDefault="00D5482E" w:rsidP="006930C0">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A new children's strategy is approved/adopted by Commonwealth, State and Territory First Ministers, by June 2021.</w:t>
            </w:r>
          </w:p>
        </w:tc>
      </w:tr>
      <w:tr w:rsidR="00010972" w:rsidTr="00DD145C">
        <w:tc>
          <w:tcPr>
            <w:tcW w:w="1814" w:type="dxa"/>
            <w:vMerge/>
            <w:tcBorders>
              <w:left w:val="single" w:sz="4" w:space="0" w:color="auto"/>
              <w:right w:val="single" w:sz="4" w:space="0" w:color="auto"/>
            </w:tcBorders>
            <w:vAlign w:val="center"/>
          </w:tcPr>
          <w:p w:rsidR="006930C0" w:rsidRDefault="006930C0" w:rsidP="006930C0">
            <w:pPr>
              <w:spacing w:after="0"/>
              <w:rPr>
                <w:rFonts w:ascii="Arial" w:hAnsi="Arial" w:cs="Arial"/>
                <w:sz w:val="16"/>
                <w:szCs w:val="16"/>
                <w:bdr w:val="nil"/>
              </w:rPr>
            </w:pPr>
          </w:p>
        </w:tc>
        <w:tc>
          <w:tcPr>
            <w:tcW w:w="3261" w:type="dxa"/>
            <w:tcBorders>
              <w:top w:val="dotted" w:sz="4" w:space="0" w:color="auto"/>
              <w:left w:val="single" w:sz="4" w:space="0" w:color="auto"/>
              <w:bottom w:val="dotted" w:sz="4" w:space="0" w:color="auto"/>
              <w:right w:val="single" w:sz="4" w:space="0" w:color="auto"/>
            </w:tcBorders>
          </w:tcPr>
          <w:p w:rsidR="006930C0" w:rsidRDefault="00D5482E" w:rsidP="006930C0">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Extent to which individuals and families can navigate through financial crisis, build financial resilience and reduce vulnerability to financial shock.</w:t>
            </w:r>
          </w:p>
        </w:tc>
        <w:tc>
          <w:tcPr>
            <w:tcW w:w="2693" w:type="dxa"/>
            <w:tcBorders>
              <w:top w:val="dotted" w:sz="4" w:space="0" w:color="auto"/>
              <w:left w:val="single" w:sz="4" w:space="0" w:color="auto"/>
              <w:bottom w:val="dotted" w:sz="4" w:space="0" w:color="auto"/>
              <w:right w:val="single" w:sz="4" w:space="0" w:color="auto"/>
            </w:tcBorders>
          </w:tcPr>
          <w:p w:rsidR="006930C0" w:rsidRDefault="00D5482E" w:rsidP="006930C0">
            <w:pPr>
              <w:pStyle w:val="ListParagraph"/>
              <w:numPr>
                <w:ilvl w:val="0"/>
                <w:numId w:val="21"/>
              </w:numPr>
              <w:pBdr>
                <w:top w:val="nil"/>
                <w:left w:val="nil"/>
                <w:bottom w:val="nil"/>
                <w:right w:val="nil"/>
                <w:between w:val="nil"/>
                <w:bar w:val="nil"/>
              </w:pBdr>
              <w:tabs>
                <w:tab w:val="left" w:pos="709"/>
              </w:tabs>
              <w:spacing w:before="20" w:after="20" w:line="240" w:lineRule="auto"/>
              <w:ind w:left="323" w:hanging="323"/>
              <w:rPr>
                <w:rFonts w:eastAsia="Times New Roman" w:cs="Arial"/>
                <w:color w:val="000000"/>
                <w:sz w:val="16"/>
                <w:szCs w:val="16"/>
                <w:bdr w:val="nil"/>
                <w:lang w:val="en-AU"/>
              </w:rPr>
            </w:pPr>
            <w:r>
              <w:rPr>
                <w:rFonts w:ascii="Arial" w:eastAsia="Times New Roman" w:hAnsi="Arial" w:cs="Arial"/>
                <w:color w:val="000000"/>
                <w:sz w:val="16"/>
                <w:szCs w:val="16"/>
                <w:bdr w:val="nil"/>
                <w:lang w:val="en-AU"/>
              </w:rPr>
              <w:t>At least a 20 per cent reduction in the number of people with multiple requests for emergency relief.</w:t>
            </w:r>
          </w:p>
          <w:p w:rsidR="006930C0" w:rsidRDefault="00D5482E" w:rsidP="006930C0">
            <w:pPr>
              <w:pStyle w:val="ListParagraph"/>
              <w:numPr>
                <w:ilvl w:val="0"/>
                <w:numId w:val="21"/>
              </w:numPr>
              <w:pBdr>
                <w:top w:val="nil"/>
                <w:left w:val="nil"/>
                <w:bottom w:val="nil"/>
                <w:right w:val="nil"/>
                <w:between w:val="nil"/>
                <w:bar w:val="nil"/>
              </w:pBdr>
              <w:tabs>
                <w:tab w:val="left" w:pos="709"/>
              </w:tabs>
              <w:spacing w:before="20" w:after="20" w:line="240" w:lineRule="auto"/>
              <w:ind w:left="323" w:hanging="323"/>
              <w:rPr>
                <w:rFonts w:eastAsia="Times New Roman" w:cs="Arial"/>
                <w:color w:val="000000"/>
                <w:sz w:val="16"/>
                <w:szCs w:val="16"/>
                <w:bdr w:val="nil"/>
                <w:lang w:val="en-AU"/>
              </w:rPr>
            </w:pPr>
            <w:r>
              <w:rPr>
                <w:rFonts w:ascii="Arial" w:eastAsia="Times New Roman" w:hAnsi="Arial" w:cs="Arial"/>
                <w:color w:val="000000"/>
                <w:sz w:val="16"/>
                <w:szCs w:val="16"/>
                <w:bdr w:val="nil"/>
                <w:lang w:val="en-AU"/>
              </w:rPr>
              <w:t>At least 70 per cent of people report an improvement in their financial wellbeing following engagement with a funded service.</w:t>
            </w:r>
          </w:p>
        </w:tc>
      </w:tr>
      <w:tr w:rsidR="00010972" w:rsidTr="00DD145C">
        <w:tc>
          <w:tcPr>
            <w:tcW w:w="1814" w:type="dxa"/>
            <w:vMerge/>
            <w:tcBorders>
              <w:left w:val="single" w:sz="4" w:space="0" w:color="auto"/>
              <w:right w:val="single" w:sz="4" w:space="0" w:color="auto"/>
            </w:tcBorders>
            <w:vAlign w:val="center"/>
          </w:tcPr>
          <w:p w:rsidR="006930C0" w:rsidRDefault="006930C0" w:rsidP="006930C0">
            <w:pPr>
              <w:spacing w:after="0"/>
              <w:rPr>
                <w:rFonts w:ascii="Arial" w:hAnsi="Arial" w:cs="Arial"/>
                <w:sz w:val="16"/>
                <w:szCs w:val="16"/>
                <w:bdr w:val="nil"/>
              </w:rPr>
            </w:pPr>
          </w:p>
        </w:tc>
        <w:tc>
          <w:tcPr>
            <w:tcW w:w="3261" w:type="dxa"/>
            <w:tcBorders>
              <w:top w:val="dotted" w:sz="4" w:space="0" w:color="auto"/>
              <w:left w:val="single" w:sz="4" w:space="0" w:color="auto"/>
              <w:bottom w:val="dotted" w:sz="4" w:space="0" w:color="auto"/>
              <w:right w:val="single" w:sz="4" w:space="0" w:color="auto"/>
            </w:tcBorders>
          </w:tcPr>
          <w:p w:rsidR="006930C0" w:rsidRDefault="00D5482E" w:rsidP="006930C0">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Extent to which volunteer grant recipients are satisfied with the program.</w:t>
            </w:r>
          </w:p>
        </w:tc>
        <w:tc>
          <w:tcPr>
            <w:tcW w:w="2693" w:type="dxa"/>
            <w:tcBorders>
              <w:top w:val="dotted" w:sz="4" w:space="0" w:color="auto"/>
              <w:left w:val="single" w:sz="4" w:space="0" w:color="auto"/>
              <w:bottom w:val="dotted" w:sz="4" w:space="0" w:color="auto"/>
              <w:right w:val="single" w:sz="4" w:space="0" w:color="auto"/>
            </w:tcBorders>
          </w:tcPr>
          <w:p w:rsidR="006930C0" w:rsidRDefault="00D5482E" w:rsidP="006930C0">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80 per cent of surveyed grant recipients considered the grants assisted in meeting their objective.</w:t>
            </w:r>
          </w:p>
        </w:tc>
      </w:tr>
      <w:tr w:rsidR="00010972" w:rsidTr="00DD145C">
        <w:tc>
          <w:tcPr>
            <w:tcW w:w="1814" w:type="dxa"/>
            <w:vMerge/>
            <w:tcBorders>
              <w:left w:val="single" w:sz="4" w:space="0" w:color="auto"/>
              <w:bottom w:val="single" w:sz="4" w:space="0" w:color="auto"/>
              <w:right w:val="single" w:sz="4" w:space="0" w:color="auto"/>
            </w:tcBorders>
            <w:vAlign w:val="center"/>
          </w:tcPr>
          <w:p w:rsidR="006930C0" w:rsidRDefault="006930C0" w:rsidP="006930C0">
            <w:pPr>
              <w:spacing w:after="0"/>
              <w:rPr>
                <w:rFonts w:ascii="Arial" w:hAnsi="Arial" w:cs="Arial"/>
                <w:sz w:val="16"/>
                <w:szCs w:val="16"/>
                <w:bdr w:val="nil"/>
              </w:rPr>
            </w:pPr>
          </w:p>
        </w:tc>
        <w:tc>
          <w:tcPr>
            <w:tcW w:w="3261" w:type="dxa"/>
            <w:tcBorders>
              <w:top w:val="dotted" w:sz="4" w:space="0" w:color="auto"/>
              <w:left w:val="single" w:sz="4" w:space="0" w:color="auto"/>
              <w:bottom w:val="single" w:sz="4" w:space="0" w:color="auto"/>
              <w:right w:val="single" w:sz="4" w:space="0" w:color="auto"/>
            </w:tcBorders>
          </w:tcPr>
          <w:p w:rsidR="006930C0" w:rsidRDefault="00D5482E" w:rsidP="006930C0">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Extent to which participants are satisfied with the support received through the Be Connected program to develop their digital skills, confidence and online safety.  </w:t>
            </w:r>
          </w:p>
        </w:tc>
        <w:tc>
          <w:tcPr>
            <w:tcW w:w="2693" w:type="dxa"/>
            <w:tcBorders>
              <w:top w:val="dotted" w:sz="4" w:space="0" w:color="auto"/>
              <w:left w:val="single" w:sz="4" w:space="0" w:color="auto"/>
              <w:bottom w:val="single" w:sz="4" w:space="0" w:color="auto"/>
              <w:right w:val="single" w:sz="4" w:space="0" w:color="auto"/>
            </w:tcBorders>
          </w:tcPr>
          <w:p w:rsidR="006930C0" w:rsidRDefault="00D5482E" w:rsidP="006930C0">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At least 85 per cent of participants report satisfaction with the quality of the Be Connected program supports.</w:t>
            </w:r>
          </w:p>
        </w:tc>
      </w:tr>
    </w:tbl>
    <w:p w:rsidR="00F745FD" w:rsidRDefault="00D5482E" w:rsidP="00F745FD">
      <w:pPr>
        <w:keepLines/>
        <w:pBdr>
          <w:top w:val="nil"/>
          <w:left w:val="nil"/>
          <w:bottom w:val="nil"/>
          <w:right w:val="nil"/>
          <w:between w:val="nil"/>
          <w:bar w:val="nil"/>
        </w:pBdr>
        <w:spacing w:after="240" w:line="260" w:lineRule="exact"/>
        <w:jc w:val="both"/>
        <w:rPr>
          <w:bdr w:val="nil"/>
        </w:rPr>
      </w:pPr>
      <w:r>
        <w:rPr>
          <w:rFonts w:ascii="Book Antiqua" w:eastAsia="Times New Roman" w:hAnsi="Book Antiqua" w:cs="Times New Roman"/>
          <w:sz w:val="20"/>
          <w:szCs w:val="20"/>
          <w:bdr w:val="nil"/>
          <w:lang w:val="en-AU" w:eastAsia="en-AU"/>
        </w:rPr>
        <w:br w:type="page"/>
      </w:r>
    </w:p>
    <w:p w:rsidR="00F745FD" w:rsidRDefault="00D5482E" w:rsidP="00156591">
      <w:pPr>
        <w:pStyle w:val="TableHeading"/>
        <w:keepLines/>
        <w:pBdr>
          <w:top w:val="nil"/>
          <w:left w:val="nil"/>
          <w:bottom w:val="nil"/>
          <w:right w:val="nil"/>
          <w:between w:val="nil"/>
          <w:bar w:val="nil"/>
        </w:pBdr>
        <w:spacing w:before="0" w:after="0"/>
        <w:rPr>
          <w:bdr w:val="nil"/>
        </w:rPr>
      </w:pPr>
      <w:r>
        <w:rPr>
          <w:bdr w:val="nil"/>
        </w:rPr>
        <w:lastRenderedPageBreak/>
        <w:t>Table 2.2.3: Performance criteria for Outcome 2 (continued)</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14"/>
        <w:gridCol w:w="3261"/>
        <w:gridCol w:w="2693"/>
      </w:tblGrid>
      <w:tr w:rsidR="00010972" w:rsidTr="00DD145C">
        <w:tc>
          <w:tcPr>
            <w:tcW w:w="7768" w:type="dxa"/>
            <w:gridSpan w:val="3"/>
            <w:tcBorders>
              <w:top w:val="single" w:sz="4" w:space="0" w:color="auto"/>
              <w:left w:val="single" w:sz="4" w:space="0" w:color="auto"/>
              <w:bottom w:val="single" w:sz="4" w:space="0" w:color="auto"/>
              <w:right w:val="single" w:sz="4" w:space="0" w:color="auto"/>
            </w:tcBorders>
            <w:shd w:val="clear" w:color="auto" w:fill="E6E6E6"/>
            <w:hideMark/>
          </w:tcPr>
          <w:p w:rsidR="00F745FD" w:rsidRDefault="00D5482E" w:rsidP="00DE6FE8">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2.1 –</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 xml:space="preserve">Families and Communities </w:t>
            </w:r>
            <w:r>
              <w:rPr>
                <w:rFonts w:ascii="Arial" w:eastAsia="Times New Roman" w:hAnsi="Arial" w:cs="Arial"/>
                <w:sz w:val="16"/>
                <w:szCs w:val="16"/>
                <w:bdr w:val="nil"/>
                <w:lang w:val="en-US"/>
              </w:rPr>
              <w:t>– To strengthen relationships, support families, improve wellbeing of children and young people, reduce the cost of family breakdown, strengthen family and community functioning.</w:t>
            </w:r>
          </w:p>
        </w:tc>
      </w:tr>
      <w:tr w:rsidR="00010972" w:rsidTr="00DD145C">
        <w:tc>
          <w:tcPr>
            <w:tcW w:w="1814" w:type="dxa"/>
            <w:tcBorders>
              <w:top w:val="double" w:sz="4" w:space="0" w:color="auto"/>
              <w:left w:val="single" w:sz="4" w:space="0" w:color="auto"/>
              <w:bottom w:val="single" w:sz="4" w:space="0" w:color="auto"/>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20" w:after="2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261" w:type="dxa"/>
            <w:tcBorders>
              <w:top w:val="double" w:sz="4" w:space="0" w:color="auto"/>
              <w:left w:val="single" w:sz="4" w:space="0" w:color="auto"/>
              <w:bottom w:val="single" w:sz="4" w:space="0" w:color="auto"/>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693" w:type="dxa"/>
            <w:tcBorders>
              <w:top w:val="double" w:sz="4" w:space="0" w:color="auto"/>
              <w:left w:val="single" w:sz="4" w:space="0" w:color="auto"/>
              <w:bottom w:val="single" w:sz="4" w:space="0" w:color="auto"/>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14" w:type="dxa"/>
            <w:vMerge w:val="restart"/>
            <w:tcBorders>
              <w:top w:val="single" w:sz="4" w:space="0" w:color="auto"/>
              <w:left w:val="single" w:sz="4" w:space="0" w:color="auto"/>
              <w:right w:val="single" w:sz="4" w:space="0" w:color="auto"/>
            </w:tcBorders>
            <w:hideMark/>
          </w:tcPr>
          <w:p w:rsidR="006930C0"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lang w:val="en-US"/>
              </w:rPr>
            </w:pPr>
            <w:r>
              <w:rPr>
                <w:rFonts w:ascii="Arial" w:eastAsia="Times New Roman" w:hAnsi="Arial" w:cs="Arial"/>
                <w:sz w:val="16"/>
                <w:szCs w:val="16"/>
                <w:bdr w:val="nil"/>
                <w:lang w:val="en-US"/>
              </w:rPr>
              <w:t>2020-</w:t>
            </w:r>
            <w:r>
              <w:rPr>
                <w:rFonts w:ascii="Arial" w:eastAsia="Times New Roman" w:hAnsi="Arial" w:cs="Arial"/>
                <w:sz w:val="16"/>
                <w:szCs w:val="16"/>
                <w:bdr w:val="nil"/>
                <w:lang w:val="en-US"/>
              </w:rPr>
              <w:softHyphen/>
              <w:t>21</w:t>
            </w:r>
          </w:p>
        </w:tc>
        <w:tc>
          <w:tcPr>
            <w:tcW w:w="3261" w:type="dxa"/>
            <w:tcBorders>
              <w:top w:val="dotted" w:sz="4" w:space="0" w:color="auto"/>
              <w:left w:val="single" w:sz="4" w:space="0" w:color="auto"/>
              <w:bottom w:val="dotted" w:sz="4" w:space="0" w:color="auto"/>
              <w:right w:val="single" w:sz="4" w:space="0" w:color="auto"/>
            </w:tcBorders>
            <w:hideMark/>
          </w:tcPr>
          <w:p w:rsidR="006930C0"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Extent to which participants (seniors connected) are satisfied with the support received through Friend Line to help address loneliness and social isolation.</w:t>
            </w:r>
          </w:p>
        </w:tc>
        <w:tc>
          <w:tcPr>
            <w:tcW w:w="2693" w:type="dxa"/>
            <w:tcBorders>
              <w:top w:val="dotted" w:sz="4" w:space="0" w:color="auto"/>
              <w:left w:val="single" w:sz="4" w:space="0" w:color="auto"/>
              <w:bottom w:val="dotted" w:sz="4" w:space="0" w:color="auto"/>
              <w:right w:val="single" w:sz="4" w:space="0" w:color="auto"/>
            </w:tcBorders>
            <w:hideMark/>
          </w:tcPr>
          <w:p w:rsidR="006930C0"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At least 80 per cent of participants report satisfaction with the quality of Friend Line support.</w:t>
            </w:r>
          </w:p>
        </w:tc>
      </w:tr>
      <w:tr w:rsidR="00010972" w:rsidTr="00DD145C">
        <w:tc>
          <w:tcPr>
            <w:tcW w:w="1814" w:type="dxa"/>
            <w:vMerge/>
            <w:tcBorders>
              <w:left w:val="single" w:sz="4" w:space="0" w:color="auto"/>
              <w:right w:val="single" w:sz="4" w:space="0" w:color="auto"/>
            </w:tcBorders>
            <w:vAlign w:val="center"/>
            <w:hideMark/>
          </w:tcPr>
          <w:p w:rsidR="006930C0" w:rsidRDefault="006930C0">
            <w:pPr>
              <w:spacing w:after="0"/>
              <w:rPr>
                <w:rFonts w:ascii="Arial" w:hAnsi="Arial" w:cs="Arial"/>
                <w:sz w:val="16"/>
                <w:szCs w:val="16"/>
                <w:bdr w:val="nil"/>
              </w:rPr>
            </w:pPr>
          </w:p>
        </w:tc>
        <w:tc>
          <w:tcPr>
            <w:tcW w:w="3261" w:type="dxa"/>
            <w:tcBorders>
              <w:top w:val="dotted" w:sz="4" w:space="0" w:color="auto"/>
              <w:left w:val="single" w:sz="4" w:space="0" w:color="auto"/>
              <w:bottom w:val="dotted" w:sz="4" w:space="0" w:color="auto"/>
              <w:right w:val="single" w:sz="4" w:space="0" w:color="auto"/>
            </w:tcBorders>
            <w:hideMark/>
          </w:tcPr>
          <w:p w:rsidR="006930C0"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Extent to which the Cashless Debit Card supports a reduction in social harm in communities.</w:t>
            </w:r>
          </w:p>
        </w:tc>
        <w:tc>
          <w:tcPr>
            <w:tcW w:w="2693" w:type="dxa"/>
            <w:tcBorders>
              <w:top w:val="dotted" w:sz="4" w:space="0" w:color="auto"/>
              <w:left w:val="single" w:sz="4" w:space="0" w:color="auto"/>
              <w:bottom w:val="dotted" w:sz="4" w:space="0" w:color="auto"/>
              <w:right w:val="single" w:sz="4" w:space="0" w:color="auto"/>
            </w:tcBorders>
            <w:hideMark/>
          </w:tcPr>
          <w:p w:rsidR="006930C0" w:rsidRDefault="00D5482E" w:rsidP="00F745FD">
            <w:pPr>
              <w:pStyle w:val="ListParagraph"/>
              <w:numPr>
                <w:ilvl w:val="0"/>
                <w:numId w:val="21"/>
              </w:numPr>
              <w:pBdr>
                <w:top w:val="nil"/>
                <w:left w:val="nil"/>
                <w:bottom w:val="nil"/>
                <w:right w:val="nil"/>
                <w:between w:val="nil"/>
                <w:bar w:val="nil"/>
              </w:pBdr>
              <w:tabs>
                <w:tab w:val="left" w:pos="709"/>
              </w:tabs>
              <w:spacing w:before="20" w:after="20" w:line="240" w:lineRule="auto"/>
              <w:ind w:left="323" w:hanging="323"/>
              <w:rPr>
                <w:rFonts w:eastAsia="Times New Roman" w:cs="Arial"/>
                <w:color w:val="000000"/>
                <w:sz w:val="16"/>
                <w:szCs w:val="16"/>
                <w:bdr w:val="nil"/>
                <w:lang w:val="en-AU"/>
              </w:rPr>
            </w:pPr>
            <w:r>
              <w:rPr>
                <w:rFonts w:ascii="Arial" w:eastAsia="Times New Roman" w:hAnsi="Arial" w:cs="Arial"/>
                <w:color w:val="000000"/>
                <w:sz w:val="16"/>
                <w:szCs w:val="16"/>
                <w:bdr w:val="nil"/>
              </w:rPr>
              <w:t>Evaluation results show improvements in social outcomes.</w:t>
            </w:r>
          </w:p>
        </w:tc>
      </w:tr>
      <w:tr w:rsidR="00010972" w:rsidTr="00DD145C">
        <w:tc>
          <w:tcPr>
            <w:tcW w:w="1814" w:type="dxa"/>
            <w:vMerge/>
            <w:tcBorders>
              <w:left w:val="single" w:sz="4" w:space="0" w:color="auto"/>
              <w:right w:val="single" w:sz="4" w:space="0" w:color="auto"/>
            </w:tcBorders>
            <w:vAlign w:val="center"/>
            <w:hideMark/>
          </w:tcPr>
          <w:p w:rsidR="006930C0" w:rsidRDefault="006930C0">
            <w:pPr>
              <w:spacing w:after="0"/>
              <w:rPr>
                <w:rFonts w:ascii="Arial" w:hAnsi="Arial" w:cs="Arial"/>
                <w:sz w:val="16"/>
                <w:szCs w:val="16"/>
                <w:bdr w:val="nil"/>
              </w:rPr>
            </w:pPr>
          </w:p>
        </w:tc>
        <w:tc>
          <w:tcPr>
            <w:tcW w:w="3261" w:type="dxa"/>
            <w:tcBorders>
              <w:top w:val="dotted" w:sz="4" w:space="0" w:color="auto"/>
              <w:left w:val="single" w:sz="4" w:space="0" w:color="auto"/>
              <w:bottom w:val="dotted" w:sz="4" w:space="0" w:color="auto"/>
              <w:right w:val="single" w:sz="4" w:space="0" w:color="auto"/>
            </w:tcBorders>
            <w:hideMark/>
          </w:tcPr>
          <w:p w:rsidR="006930C0"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 xml:space="preserve">Extent to which participants are using their Cashless Debit Card to direct income support payments to essential goods and services, including to support the wellbeing of the participant. </w:t>
            </w:r>
          </w:p>
        </w:tc>
        <w:tc>
          <w:tcPr>
            <w:tcW w:w="2693" w:type="dxa"/>
            <w:tcBorders>
              <w:top w:val="dotted" w:sz="4" w:space="0" w:color="auto"/>
              <w:left w:val="single" w:sz="4" w:space="0" w:color="auto"/>
              <w:bottom w:val="dotted" w:sz="4" w:space="0" w:color="auto"/>
              <w:right w:val="single" w:sz="4" w:space="0" w:color="auto"/>
            </w:tcBorders>
            <w:hideMark/>
          </w:tcPr>
          <w:p w:rsidR="006930C0"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95 per cent of Cashless Debit Card participants have activated their card and are using their card to purchase non-restricted items.</w:t>
            </w:r>
          </w:p>
        </w:tc>
      </w:tr>
      <w:tr w:rsidR="00010972" w:rsidTr="00DD145C">
        <w:tc>
          <w:tcPr>
            <w:tcW w:w="1814" w:type="dxa"/>
            <w:vMerge/>
            <w:tcBorders>
              <w:left w:val="single" w:sz="4" w:space="0" w:color="auto"/>
              <w:right w:val="single" w:sz="4" w:space="0" w:color="auto"/>
            </w:tcBorders>
            <w:vAlign w:val="center"/>
            <w:hideMark/>
          </w:tcPr>
          <w:p w:rsidR="006930C0" w:rsidRDefault="006930C0">
            <w:pPr>
              <w:spacing w:after="0"/>
              <w:rPr>
                <w:rFonts w:ascii="Arial" w:hAnsi="Arial" w:cs="Arial"/>
                <w:sz w:val="16"/>
                <w:szCs w:val="16"/>
                <w:bdr w:val="nil"/>
              </w:rPr>
            </w:pPr>
          </w:p>
        </w:tc>
        <w:tc>
          <w:tcPr>
            <w:tcW w:w="3261" w:type="dxa"/>
            <w:tcBorders>
              <w:top w:val="dotted" w:sz="4" w:space="0" w:color="auto"/>
              <w:left w:val="single" w:sz="4" w:space="0" w:color="auto"/>
              <w:bottom w:val="dotted" w:sz="4" w:space="0" w:color="auto"/>
              <w:right w:val="single" w:sz="4" w:space="0" w:color="auto"/>
            </w:tcBorders>
            <w:hideMark/>
          </w:tcPr>
          <w:p w:rsidR="006930C0"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Timely finalisation of the National Redress Scheme applications and offers made to survivors.</w:t>
            </w:r>
          </w:p>
        </w:tc>
        <w:tc>
          <w:tcPr>
            <w:tcW w:w="2693" w:type="dxa"/>
            <w:tcBorders>
              <w:top w:val="dotted" w:sz="4" w:space="0" w:color="auto"/>
              <w:left w:val="single" w:sz="4" w:space="0" w:color="auto"/>
              <w:bottom w:val="dotted" w:sz="4" w:space="0" w:color="auto"/>
              <w:right w:val="single" w:sz="4" w:space="0" w:color="auto"/>
            </w:tcBorders>
            <w:hideMark/>
          </w:tcPr>
          <w:p w:rsidR="006930C0" w:rsidRPr="006930C0" w:rsidRDefault="00D5482E" w:rsidP="006930C0">
            <w:pPr>
              <w:pStyle w:val="ListParagraph"/>
              <w:numPr>
                <w:ilvl w:val="0"/>
                <w:numId w:val="21"/>
              </w:numPr>
              <w:pBdr>
                <w:top w:val="nil"/>
                <w:left w:val="nil"/>
                <w:bottom w:val="nil"/>
                <w:right w:val="nil"/>
                <w:between w:val="nil"/>
                <w:bar w:val="nil"/>
              </w:pBdr>
              <w:tabs>
                <w:tab w:val="left" w:pos="709"/>
              </w:tabs>
              <w:spacing w:before="20" w:after="60" w:line="240" w:lineRule="auto"/>
              <w:ind w:left="323" w:hanging="323"/>
              <w:rPr>
                <w:rFonts w:eastAsia="Times New Roman" w:cs="Arial"/>
                <w:color w:val="000000"/>
                <w:sz w:val="16"/>
                <w:szCs w:val="16"/>
                <w:bdr w:val="nil"/>
                <w:lang w:val="en-AU"/>
              </w:rPr>
            </w:pPr>
            <w:r>
              <w:rPr>
                <w:rFonts w:ascii="Arial" w:eastAsia="Times New Roman" w:hAnsi="Arial" w:cs="Arial"/>
                <w:color w:val="000000"/>
                <w:sz w:val="16"/>
                <w:szCs w:val="16"/>
                <w:bdr w:val="nil"/>
                <w:lang w:val="en-AU"/>
              </w:rPr>
              <w:t>At least 80 per cent of applications that name institutions that participate in the National Redress Scheme have a decision communicated to the applicant within six months of being received by the National Redress Scheme.</w:t>
            </w:r>
          </w:p>
          <w:p w:rsidR="006930C0" w:rsidRPr="006930C0" w:rsidRDefault="00D5482E" w:rsidP="006930C0">
            <w:pPr>
              <w:pStyle w:val="ListParagraph"/>
              <w:numPr>
                <w:ilvl w:val="0"/>
                <w:numId w:val="21"/>
              </w:numPr>
              <w:pBdr>
                <w:top w:val="nil"/>
                <w:left w:val="nil"/>
                <w:bottom w:val="nil"/>
                <w:right w:val="nil"/>
                <w:between w:val="nil"/>
                <w:bar w:val="nil"/>
              </w:pBdr>
              <w:tabs>
                <w:tab w:val="left" w:pos="709"/>
              </w:tabs>
              <w:spacing w:before="20" w:after="20" w:line="240" w:lineRule="auto"/>
              <w:ind w:left="323" w:hanging="323"/>
              <w:rPr>
                <w:rFonts w:eastAsia="Times New Roman" w:cs="Arial"/>
                <w:color w:val="000000"/>
                <w:sz w:val="16"/>
                <w:szCs w:val="16"/>
                <w:bdr w:val="nil"/>
                <w:lang w:val="en-AU"/>
              </w:rPr>
            </w:pPr>
            <w:r w:rsidRPr="006930C0">
              <w:rPr>
                <w:rFonts w:ascii="Arial" w:eastAsia="Times New Roman" w:hAnsi="Arial" w:cs="Arial"/>
                <w:color w:val="000000"/>
                <w:sz w:val="16"/>
                <w:szCs w:val="16"/>
                <w:bdr w:val="nil"/>
                <w:lang w:val="en-AU"/>
              </w:rPr>
              <w:t>In the prior six month period at least 80 per cent of applications lodged in that period that name institutions that participate in the National Redress Scheme have a decision communicated to the applicant within six months of being received by the National Redress Scheme.</w:t>
            </w:r>
          </w:p>
        </w:tc>
      </w:tr>
      <w:tr w:rsidR="00010972" w:rsidTr="00DD145C">
        <w:tc>
          <w:tcPr>
            <w:tcW w:w="1814" w:type="dxa"/>
            <w:vMerge/>
            <w:tcBorders>
              <w:left w:val="single" w:sz="4" w:space="0" w:color="auto"/>
              <w:bottom w:val="single" w:sz="4" w:space="0" w:color="auto"/>
              <w:right w:val="single" w:sz="4" w:space="0" w:color="auto"/>
            </w:tcBorders>
            <w:vAlign w:val="center"/>
          </w:tcPr>
          <w:p w:rsidR="006930C0" w:rsidRDefault="006930C0" w:rsidP="006930C0">
            <w:pPr>
              <w:spacing w:after="0"/>
              <w:rPr>
                <w:rFonts w:ascii="Arial" w:hAnsi="Arial" w:cs="Arial"/>
                <w:sz w:val="16"/>
                <w:szCs w:val="16"/>
                <w:bdr w:val="nil"/>
              </w:rPr>
            </w:pPr>
          </w:p>
        </w:tc>
        <w:tc>
          <w:tcPr>
            <w:tcW w:w="3261" w:type="dxa"/>
            <w:tcBorders>
              <w:top w:val="dotted" w:sz="4" w:space="0" w:color="auto"/>
              <w:left w:val="single" w:sz="4" w:space="0" w:color="auto"/>
              <w:bottom w:val="single" w:sz="4" w:space="0" w:color="auto"/>
              <w:right w:val="single" w:sz="4" w:space="0" w:color="auto"/>
            </w:tcBorders>
          </w:tcPr>
          <w:p w:rsidR="006930C0" w:rsidRDefault="00D5482E" w:rsidP="006930C0">
            <w:pPr>
              <w:pStyle w:val="Normal0"/>
              <w:keepLines/>
              <w:pBdr>
                <w:top w:val="nil"/>
                <w:left w:val="nil"/>
                <w:bottom w:val="nil"/>
                <w:right w:val="nil"/>
                <w:between w:val="nil"/>
                <w:bar w:val="nil"/>
              </w:pBdr>
              <w:tabs>
                <w:tab w:val="left" w:pos="709"/>
              </w:tabs>
              <w:spacing w:before="20" w:after="48" w:line="240" w:lineRule="auto"/>
              <w:rPr>
                <w:rFonts w:cs="Arial"/>
                <w:color w:val="000000"/>
                <w:sz w:val="16"/>
                <w:szCs w:val="16"/>
                <w:bdr w:val="nil"/>
                <w:lang w:val="en-US"/>
              </w:rPr>
            </w:pPr>
            <w:r>
              <w:rPr>
                <w:rFonts w:ascii="Arial" w:eastAsia="Times New Roman" w:hAnsi="Arial" w:cs="Arial"/>
                <w:color w:val="000000"/>
                <w:sz w:val="16"/>
                <w:szCs w:val="16"/>
                <w:bdr w:val="nil"/>
                <w:lang w:val="en-US"/>
              </w:rPr>
              <w:t>Maximise engagement of institutions with the National Redress Scheme.</w:t>
            </w:r>
          </w:p>
        </w:tc>
        <w:tc>
          <w:tcPr>
            <w:tcW w:w="2693" w:type="dxa"/>
            <w:tcBorders>
              <w:top w:val="dotted" w:sz="4" w:space="0" w:color="auto"/>
              <w:left w:val="single" w:sz="4" w:space="0" w:color="auto"/>
              <w:bottom w:val="single" w:sz="4" w:space="0" w:color="auto"/>
              <w:right w:val="single" w:sz="4" w:space="0" w:color="auto"/>
            </w:tcBorders>
          </w:tcPr>
          <w:p w:rsidR="006930C0" w:rsidRDefault="00D5482E" w:rsidP="006930C0">
            <w:pPr>
              <w:pStyle w:val="Normal0"/>
              <w:keepLines/>
              <w:pBdr>
                <w:top w:val="nil"/>
                <w:left w:val="nil"/>
                <w:bottom w:val="nil"/>
                <w:right w:val="nil"/>
                <w:between w:val="nil"/>
                <w:bar w:val="nil"/>
              </w:pBdr>
              <w:tabs>
                <w:tab w:val="left" w:pos="709"/>
              </w:tabs>
              <w:spacing w:before="20" w:after="48" w:line="240" w:lineRule="auto"/>
              <w:rPr>
                <w:rFonts w:cs="Arial"/>
                <w:color w:val="000000"/>
                <w:sz w:val="16"/>
                <w:szCs w:val="16"/>
                <w:bdr w:val="nil"/>
                <w:lang w:val="en-US"/>
              </w:rPr>
            </w:pPr>
            <w:r>
              <w:rPr>
                <w:rFonts w:ascii="Arial" w:eastAsia="Times New Roman" w:hAnsi="Arial" w:cs="Arial"/>
                <w:color w:val="000000"/>
                <w:sz w:val="16"/>
                <w:szCs w:val="16"/>
                <w:bdr w:val="nil"/>
                <w:lang w:val="en-US"/>
              </w:rPr>
              <w:t>Engagement of newly named institutions continues, and current participation is maintained, with institutions on board to cover 90 per cent of applications received.</w:t>
            </w:r>
          </w:p>
        </w:tc>
      </w:tr>
    </w:tbl>
    <w:p w:rsidR="006930C0" w:rsidRDefault="006930C0" w:rsidP="00F745FD">
      <w:pPr>
        <w:pStyle w:val="TableHeading"/>
        <w:keepLines/>
        <w:pBdr>
          <w:top w:val="nil"/>
          <w:left w:val="nil"/>
          <w:bottom w:val="nil"/>
          <w:right w:val="nil"/>
          <w:between w:val="nil"/>
          <w:bar w:val="nil"/>
        </w:pBdr>
        <w:rPr>
          <w:bdr w:val="nil"/>
        </w:rPr>
      </w:pPr>
    </w:p>
    <w:p w:rsidR="006930C0" w:rsidRDefault="00D5482E">
      <w:pPr>
        <w:pBdr>
          <w:top w:val="nil"/>
          <w:left w:val="nil"/>
          <w:bottom w:val="nil"/>
          <w:right w:val="nil"/>
          <w:between w:val="nil"/>
          <w:bar w:val="nil"/>
        </w:pBdr>
        <w:rPr>
          <w:i/>
          <w:color w:val="FF0000"/>
          <w:bdr w:val="nil"/>
        </w:rPr>
      </w:pPr>
      <w:r>
        <w:rPr>
          <w:rFonts w:ascii="Book Antiqua" w:eastAsia="Times New Roman" w:hAnsi="Book Antiqua" w:cs="Times New Roman"/>
          <w:sz w:val="20"/>
          <w:szCs w:val="20"/>
          <w:bdr w:val="nil"/>
          <w:lang w:val="en-AU" w:eastAsia="en-AU"/>
        </w:rPr>
        <w:br w:type="page"/>
      </w:r>
    </w:p>
    <w:p w:rsidR="00F745FD" w:rsidRDefault="00D5482E" w:rsidP="00DE6FE8">
      <w:pPr>
        <w:pStyle w:val="TableHeading"/>
        <w:keepLines/>
        <w:pBdr>
          <w:top w:val="nil"/>
          <w:left w:val="nil"/>
          <w:bottom w:val="nil"/>
          <w:right w:val="nil"/>
          <w:between w:val="nil"/>
          <w:bar w:val="nil"/>
        </w:pBdr>
        <w:spacing w:before="0" w:after="0"/>
        <w:rPr>
          <w:bdr w:val="nil"/>
        </w:rPr>
      </w:pPr>
      <w:r>
        <w:rPr>
          <w:bdr w:val="nil"/>
        </w:rPr>
        <w:lastRenderedPageBreak/>
        <w:t>Table 2.2.3: Performance criteria for Outcome 2 (continued)</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14"/>
        <w:gridCol w:w="3261"/>
        <w:gridCol w:w="2693"/>
      </w:tblGrid>
      <w:tr w:rsidR="00010972" w:rsidTr="00DD145C">
        <w:tc>
          <w:tcPr>
            <w:tcW w:w="7768" w:type="dxa"/>
            <w:gridSpan w:val="3"/>
            <w:tcBorders>
              <w:top w:val="single" w:sz="4" w:space="0" w:color="auto"/>
              <w:left w:val="single" w:sz="4" w:space="0" w:color="auto"/>
              <w:bottom w:val="single" w:sz="4" w:space="0" w:color="auto"/>
              <w:right w:val="single" w:sz="4" w:space="0" w:color="auto"/>
            </w:tcBorders>
            <w:shd w:val="clear" w:color="auto" w:fill="E6E6E6"/>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2.1 –</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 xml:space="preserve">Families and Communities </w:t>
            </w:r>
            <w:r>
              <w:rPr>
                <w:rFonts w:ascii="Arial" w:eastAsia="Times New Roman" w:hAnsi="Arial" w:cs="Arial"/>
                <w:sz w:val="16"/>
                <w:szCs w:val="16"/>
                <w:bdr w:val="nil"/>
                <w:lang w:val="en-US"/>
              </w:rPr>
              <w:t>– To strengthen relationships, support families, improve wellbeing of children and young people, reduce the cost of family breakdown, strengthen family and community functioning.</w:t>
            </w:r>
          </w:p>
        </w:tc>
      </w:tr>
      <w:tr w:rsidR="00010972" w:rsidTr="00DD145C">
        <w:tc>
          <w:tcPr>
            <w:tcW w:w="1814" w:type="dxa"/>
            <w:tcBorders>
              <w:top w:val="double" w:sz="4" w:space="0" w:color="auto"/>
              <w:left w:val="single" w:sz="4" w:space="0" w:color="auto"/>
              <w:bottom w:val="single" w:sz="4" w:space="0" w:color="auto"/>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261" w:type="dxa"/>
            <w:tcBorders>
              <w:top w:val="double" w:sz="4" w:space="0" w:color="auto"/>
              <w:left w:val="single" w:sz="4" w:space="0" w:color="auto"/>
              <w:bottom w:val="single" w:sz="4" w:space="0" w:color="auto"/>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693" w:type="dxa"/>
            <w:tcBorders>
              <w:top w:val="double" w:sz="4" w:space="0" w:color="auto"/>
              <w:left w:val="single" w:sz="4" w:space="0" w:color="auto"/>
              <w:bottom w:val="single" w:sz="4" w:space="0" w:color="auto"/>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14" w:type="dxa"/>
            <w:tcBorders>
              <w:top w:val="single" w:sz="4" w:space="0" w:color="auto"/>
              <w:left w:val="single" w:sz="4" w:space="0" w:color="auto"/>
              <w:bottom w:val="dotted" w:sz="4" w:space="0" w:color="auto"/>
              <w:right w:val="single" w:sz="4" w:space="0" w:color="auto"/>
            </w:tcBorders>
            <w:hideMark/>
          </w:tcPr>
          <w:p w:rsidR="00F745FD" w:rsidRDefault="00D5482E" w:rsidP="008814DB">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sidRPr="008814DB">
              <w:rPr>
                <w:rFonts w:ascii="Arial" w:eastAsia="Times New Roman" w:hAnsi="Arial" w:cs="Arial"/>
                <w:sz w:val="16"/>
                <w:szCs w:val="16"/>
                <w:bdr w:val="nil"/>
                <w:lang w:val="en-US"/>
              </w:rPr>
              <w:t>2020-21</w:t>
            </w:r>
          </w:p>
        </w:tc>
        <w:tc>
          <w:tcPr>
            <w:tcW w:w="5954" w:type="dxa"/>
            <w:gridSpan w:val="2"/>
            <w:tcBorders>
              <w:top w:val="dotted" w:sz="4" w:space="0" w:color="auto"/>
              <w:left w:val="single" w:sz="4" w:space="0" w:color="auto"/>
              <w:bottom w:val="dotted" w:sz="4" w:space="0" w:color="auto"/>
              <w:right w:val="single" w:sz="4" w:space="0" w:color="auto"/>
            </w:tcBorders>
            <w:hideMark/>
          </w:tcPr>
          <w:p w:rsidR="00F745FD" w:rsidRDefault="00D5482E">
            <w:pPr>
              <w:keepLines/>
              <w:pBdr>
                <w:top w:val="nil"/>
                <w:left w:val="nil"/>
                <w:bottom w:val="nil"/>
                <w:right w:val="nil"/>
                <w:between w:val="nil"/>
                <w:bar w:val="nil"/>
              </w:pBdr>
              <w:spacing w:before="20" w:after="0" w:line="260" w:lineRule="exact"/>
              <w:jc w:val="both"/>
              <w:rPr>
                <w:rFonts w:ascii="Arial" w:hAnsi="Arial" w:cs="Arial"/>
                <w:color w:val="000000"/>
                <w:sz w:val="16"/>
                <w:szCs w:val="16"/>
                <w:bdr w:val="nil"/>
              </w:rPr>
            </w:pPr>
            <w:r>
              <w:rPr>
                <w:rFonts w:ascii="Arial" w:eastAsia="Times New Roman" w:hAnsi="Arial" w:cs="Arial"/>
                <w:color w:val="000000"/>
                <w:sz w:val="16"/>
                <w:szCs w:val="16"/>
                <w:bdr w:val="nil"/>
              </w:rPr>
              <w:t>Outputs:</w:t>
            </w:r>
          </w:p>
          <w:p w:rsidR="00F745FD" w:rsidRDefault="00D5482E" w:rsidP="00F745FD">
            <w:pPr>
              <w:pStyle w:val="ListParagraph"/>
              <w:numPr>
                <w:ilvl w:val="0"/>
                <w:numId w:val="22"/>
              </w:numPr>
              <w:pBdr>
                <w:top w:val="nil"/>
                <w:left w:val="nil"/>
                <w:bottom w:val="nil"/>
                <w:right w:val="nil"/>
                <w:between w:val="nil"/>
                <w:bar w:val="nil"/>
              </w:pBdr>
              <w:tabs>
                <w:tab w:val="left" w:pos="709"/>
              </w:tabs>
              <w:spacing w:after="60" w:line="240" w:lineRule="auto"/>
              <w:ind w:left="357" w:hanging="357"/>
              <w:jc w:val="both"/>
              <w:rPr>
                <w:rFonts w:eastAsia="Times New Roman" w:cs="Arial"/>
                <w:color w:val="000000"/>
                <w:sz w:val="16"/>
                <w:szCs w:val="16"/>
                <w:bdr w:val="nil"/>
                <w:lang w:val="en-AU"/>
              </w:rPr>
            </w:pPr>
            <w:r>
              <w:rPr>
                <w:rFonts w:ascii="Arial" w:eastAsia="Times New Roman" w:hAnsi="Arial" w:cs="Arial"/>
                <w:color w:val="000000"/>
                <w:sz w:val="16"/>
                <w:szCs w:val="16"/>
                <w:bdr w:val="nil"/>
                <w:lang w:val="en-AU"/>
              </w:rPr>
              <w:t>Administered outlays</w:t>
            </w:r>
          </w:p>
          <w:p w:rsidR="00F745FD" w:rsidRDefault="00D5482E" w:rsidP="00F745FD">
            <w:pPr>
              <w:pStyle w:val="ListParagraph"/>
              <w:numPr>
                <w:ilvl w:val="0"/>
                <w:numId w:val="22"/>
              </w:numPr>
              <w:pBdr>
                <w:top w:val="nil"/>
                <w:left w:val="nil"/>
                <w:bottom w:val="nil"/>
                <w:right w:val="nil"/>
                <w:between w:val="nil"/>
                <w:bar w:val="nil"/>
              </w:pBdr>
              <w:tabs>
                <w:tab w:val="left" w:pos="709"/>
              </w:tabs>
              <w:spacing w:before="60" w:after="60" w:line="240" w:lineRule="auto"/>
              <w:ind w:left="357" w:hanging="357"/>
              <w:jc w:val="both"/>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individuals assisted</w:t>
            </w:r>
          </w:p>
          <w:p w:rsidR="00F745FD" w:rsidRDefault="00D5482E" w:rsidP="00F745FD">
            <w:pPr>
              <w:pStyle w:val="ListParagraph"/>
              <w:numPr>
                <w:ilvl w:val="0"/>
                <w:numId w:val="22"/>
              </w:numPr>
              <w:pBdr>
                <w:top w:val="nil"/>
                <w:left w:val="nil"/>
                <w:bottom w:val="nil"/>
                <w:right w:val="nil"/>
                <w:between w:val="nil"/>
                <w:bar w:val="nil"/>
              </w:pBdr>
              <w:tabs>
                <w:tab w:val="left" w:pos="709"/>
              </w:tabs>
              <w:spacing w:before="60" w:after="60" w:line="240" w:lineRule="auto"/>
              <w:ind w:left="357" w:hanging="357"/>
              <w:jc w:val="both"/>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the National Redress Scheme recipients  </w:t>
            </w:r>
          </w:p>
          <w:p w:rsidR="00F745FD" w:rsidRDefault="00D5482E" w:rsidP="00F745FD">
            <w:pPr>
              <w:pStyle w:val="ListParagraph"/>
              <w:numPr>
                <w:ilvl w:val="0"/>
                <w:numId w:val="22"/>
              </w:numPr>
              <w:pBdr>
                <w:top w:val="nil"/>
                <w:left w:val="nil"/>
                <w:bottom w:val="nil"/>
                <w:right w:val="nil"/>
                <w:between w:val="nil"/>
                <w:bar w:val="nil"/>
              </w:pBdr>
              <w:tabs>
                <w:tab w:val="left" w:pos="709"/>
              </w:tabs>
              <w:spacing w:before="60" w:after="60" w:line="240" w:lineRule="auto"/>
              <w:ind w:left="357" w:hanging="357"/>
              <w:jc w:val="both"/>
              <w:rPr>
                <w:rFonts w:eastAsia="Times New Roman" w:cs="Arial"/>
                <w:color w:val="000000"/>
                <w:sz w:val="16"/>
                <w:szCs w:val="16"/>
                <w:bdr w:val="nil"/>
                <w:lang w:val="en-AU"/>
              </w:rPr>
            </w:pPr>
            <w:r>
              <w:rPr>
                <w:rFonts w:ascii="Arial" w:eastAsia="Times New Roman" w:hAnsi="Arial" w:cs="Arial"/>
                <w:color w:val="000000"/>
                <w:sz w:val="16"/>
                <w:szCs w:val="16"/>
                <w:bdr w:val="nil"/>
                <w:lang w:val="en-AU"/>
              </w:rPr>
              <w:t xml:space="preserve">Number of the National Redress Scheme applications received </w:t>
            </w:r>
          </w:p>
          <w:p w:rsidR="00F745FD" w:rsidRDefault="00D5482E" w:rsidP="00F745FD">
            <w:pPr>
              <w:pStyle w:val="ListParagraph"/>
              <w:numPr>
                <w:ilvl w:val="0"/>
                <w:numId w:val="22"/>
              </w:numPr>
              <w:pBdr>
                <w:top w:val="nil"/>
                <w:left w:val="nil"/>
                <w:bottom w:val="nil"/>
                <w:right w:val="nil"/>
                <w:between w:val="nil"/>
                <w:bar w:val="nil"/>
              </w:pBdr>
              <w:tabs>
                <w:tab w:val="left" w:pos="709"/>
              </w:tabs>
              <w:spacing w:before="60" w:after="60" w:line="240" w:lineRule="auto"/>
              <w:ind w:left="357" w:hanging="357"/>
              <w:jc w:val="both"/>
              <w:rPr>
                <w:rFonts w:eastAsia="Times New Roman" w:cs="Arial"/>
                <w:color w:val="000000"/>
                <w:sz w:val="16"/>
                <w:szCs w:val="16"/>
                <w:bdr w:val="nil"/>
                <w:lang w:val="en-AU"/>
              </w:rPr>
            </w:pPr>
            <w:r>
              <w:rPr>
                <w:rFonts w:ascii="Arial" w:eastAsia="Times New Roman" w:hAnsi="Arial" w:cs="Arial"/>
                <w:color w:val="000000"/>
                <w:sz w:val="16"/>
                <w:szCs w:val="16"/>
                <w:bdr w:val="nil"/>
                <w:lang w:val="en-AU"/>
              </w:rPr>
              <w:t xml:space="preserve">Number of institutions that have joined the National Redress Scheme </w:t>
            </w:r>
          </w:p>
          <w:p w:rsidR="00F745FD" w:rsidRDefault="00D5482E" w:rsidP="00F745FD">
            <w:pPr>
              <w:pStyle w:val="ListParagraph"/>
              <w:numPr>
                <w:ilvl w:val="0"/>
                <w:numId w:val="22"/>
              </w:numPr>
              <w:pBdr>
                <w:top w:val="nil"/>
                <w:left w:val="nil"/>
                <w:bottom w:val="nil"/>
                <w:right w:val="nil"/>
                <w:between w:val="nil"/>
                <w:bar w:val="nil"/>
              </w:pBdr>
              <w:tabs>
                <w:tab w:val="left" w:pos="709"/>
              </w:tabs>
              <w:spacing w:before="60" w:after="60" w:line="240" w:lineRule="auto"/>
              <w:ind w:left="357" w:hanging="357"/>
              <w:jc w:val="both"/>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individuals engaged with Income Management and Cashless Debit Card</w:t>
            </w:r>
          </w:p>
          <w:p w:rsidR="00F745FD" w:rsidRDefault="00D5482E" w:rsidP="00F745FD">
            <w:pPr>
              <w:pStyle w:val="ListParagraph"/>
              <w:numPr>
                <w:ilvl w:val="0"/>
                <w:numId w:val="22"/>
              </w:numPr>
              <w:pBdr>
                <w:top w:val="nil"/>
                <w:left w:val="nil"/>
                <w:bottom w:val="nil"/>
                <w:right w:val="nil"/>
                <w:between w:val="nil"/>
                <w:bar w:val="nil"/>
              </w:pBdr>
              <w:tabs>
                <w:tab w:val="left" w:pos="709"/>
              </w:tabs>
              <w:spacing w:before="60" w:after="60" w:line="240" w:lineRule="auto"/>
              <w:ind w:left="357" w:hanging="357"/>
              <w:jc w:val="both"/>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organisations contracted or receiving grant funding to deliver services</w:t>
            </w:r>
          </w:p>
          <w:p w:rsidR="00F745FD" w:rsidRDefault="00D5482E" w:rsidP="00F745FD">
            <w:pPr>
              <w:pStyle w:val="ListParagraph"/>
              <w:numPr>
                <w:ilvl w:val="0"/>
                <w:numId w:val="22"/>
              </w:numPr>
              <w:pBdr>
                <w:top w:val="nil"/>
                <w:left w:val="nil"/>
                <w:bottom w:val="nil"/>
                <w:right w:val="nil"/>
                <w:between w:val="nil"/>
                <w:bar w:val="nil"/>
              </w:pBdr>
              <w:tabs>
                <w:tab w:val="left" w:pos="709"/>
              </w:tabs>
              <w:spacing w:before="60" w:after="60"/>
              <w:ind w:left="357" w:hanging="357"/>
              <w:jc w:val="both"/>
              <w:rPr>
                <w:rFonts w:eastAsia="Times New Roman" w:cs="Arial"/>
                <w:b/>
                <w:sz w:val="16"/>
                <w:szCs w:val="16"/>
                <w:bdr w:val="nil"/>
              </w:rPr>
            </w:pPr>
            <w:r>
              <w:rPr>
                <w:rFonts w:ascii="Arial" w:eastAsia="Times New Roman" w:hAnsi="Arial" w:cs="Arial"/>
                <w:color w:val="000000"/>
                <w:sz w:val="16"/>
                <w:szCs w:val="16"/>
                <w:bdr w:val="nil"/>
                <w:lang w:val="en-AU"/>
              </w:rPr>
              <w:t>Percentage of assisted individuals from priority groups</w:t>
            </w:r>
          </w:p>
        </w:tc>
      </w:tr>
      <w:tr w:rsidR="00010972" w:rsidTr="00DD145C">
        <w:tc>
          <w:tcPr>
            <w:tcW w:w="1814" w:type="dxa"/>
            <w:tcBorders>
              <w:top w:val="dotted" w:sz="4" w:space="0" w:color="auto"/>
              <w:left w:val="single" w:sz="4" w:space="0" w:color="auto"/>
              <w:bottom w:val="sing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261" w:type="dxa"/>
            <w:tcBorders>
              <w:top w:val="dotted" w:sz="4" w:space="0" w:color="auto"/>
              <w:left w:val="single" w:sz="4" w:space="0" w:color="auto"/>
              <w:bottom w:val="single" w:sz="4" w:space="0" w:color="auto"/>
              <w:right w:val="single" w:sz="4" w:space="0" w:color="auto"/>
            </w:tcBorders>
            <w:hideMark/>
          </w:tcPr>
          <w:p w:rsidR="00F745FD" w:rsidRDefault="00D5482E">
            <w:pPr>
              <w:keepLines/>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rPr>
            </w:pPr>
            <w:r>
              <w:rPr>
                <w:rFonts w:ascii="Arial" w:eastAsia="Times New Roman" w:hAnsi="Arial" w:cs="Arial"/>
                <w:color w:val="000000"/>
                <w:sz w:val="16"/>
                <w:szCs w:val="16"/>
                <w:bdr w:val="nil"/>
              </w:rPr>
              <w:t xml:space="preserve">As per </w:t>
            </w:r>
            <w:r>
              <w:rPr>
                <w:rFonts w:ascii="Arial" w:eastAsia="Times New Roman" w:hAnsi="Arial" w:cs="Arial"/>
                <w:sz w:val="16"/>
                <w:szCs w:val="16"/>
                <w:bdr w:val="nil"/>
              </w:rPr>
              <w:t>2020-</w:t>
            </w:r>
            <w:r>
              <w:rPr>
                <w:rFonts w:ascii="Arial" w:eastAsia="Times New Roman" w:hAnsi="Arial" w:cs="Arial"/>
                <w:sz w:val="16"/>
                <w:szCs w:val="16"/>
                <w:bdr w:val="nil"/>
              </w:rPr>
              <w:softHyphen/>
              <w:t>21</w:t>
            </w:r>
          </w:p>
        </w:tc>
        <w:tc>
          <w:tcPr>
            <w:tcW w:w="2693" w:type="dxa"/>
            <w:tcBorders>
              <w:top w:val="dotted" w:sz="4" w:space="0" w:color="auto"/>
              <w:left w:val="single" w:sz="4" w:space="0" w:color="auto"/>
              <w:bottom w:val="single" w:sz="4" w:space="0" w:color="auto"/>
              <w:right w:val="single" w:sz="4" w:space="0" w:color="auto"/>
            </w:tcBorders>
            <w:hideMark/>
          </w:tcPr>
          <w:p w:rsidR="00F745FD" w:rsidRDefault="00D5482E">
            <w:pPr>
              <w:pBdr>
                <w:top w:val="nil"/>
                <w:left w:val="nil"/>
                <w:bottom w:val="nil"/>
                <w:right w:val="nil"/>
                <w:between w:val="nil"/>
                <w:bar w:val="nil"/>
              </w:pBdr>
              <w:tabs>
                <w:tab w:val="left" w:pos="709"/>
              </w:tabs>
              <w:spacing w:before="60" w:after="60" w:line="240" w:lineRule="auto"/>
              <w:jc w:val="both"/>
              <w:rPr>
                <w:rFonts w:cs="Arial"/>
                <w:b/>
                <w:sz w:val="16"/>
                <w:szCs w:val="16"/>
                <w:bdr w:val="nil"/>
              </w:rPr>
            </w:pPr>
            <w:r>
              <w:rPr>
                <w:rFonts w:ascii="Arial" w:eastAsia="Times New Roman" w:hAnsi="Arial" w:cs="Arial"/>
                <w:color w:val="000000"/>
                <w:sz w:val="16"/>
                <w:szCs w:val="16"/>
                <w:bdr w:val="nil"/>
              </w:rPr>
              <w:t xml:space="preserve">As per </w:t>
            </w:r>
            <w:r>
              <w:rPr>
                <w:rFonts w:ascii="Arial" w:eastAsia="Times New Roman" w:hAnsi="Arial" w:cs="Arial"/>
                <w:sz w:val="16"/>
                <w:szCs w:val="16"/>
                <w:bdr w:val="nil"/>
              </w:rPr>
              <w:t>2020-21</w:t>
            </w:r>
          </w:p>
        </w:tc>
      </w:tr>
      <w:tr w:rsidR="00010972" w:rsidTr="00DD145C">
        <w:tc>
          <w:tcPr>
            <w:tcW w:w="1814" w:type="dxa"/>
            <w:tcBorders>
              <w:top w:val="single" w:sz="4" w:space="0" w:color="auto"/>
              <w:left w:val="single" w:sz="4" w:space="0" w:color="auto"/>
              <w:bottom w:val="single" w:sz="4" w:space="0" w:color="auto"/>
              <w:right w:val="single" w:sz="4" w:space="0" w:color="auto"/>
            </w:tcBorders>
            <w:hideMark/>
          </w:tcPr>
          <w:p w:rsidR="00F745FD"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b/>
                <w:sz w:val="16"/>
                <w:szCs w:val="16"/>
                <w:bdr w:val="nil"/>
                <w:vertAlign w:val="superscript"/>
                <w:lang w:val="en-US" w:eastAsia="en-US"/>
              </w:rPr>
            </w:pPr>
            <w:r>
              <w:rPr>
                <w:rFonts w:ascii="Arial" w:hAnsi="Arial" w:cs="Arial"/>
                <w:b/>
                <w:sz w:val="16"/>
                <w:szCs w:val="16"/>
                <w:bdr w:val="nil"/>
                <w:lang w:val="en-US" w:eastAsia="en-US"/>
              </w:rPr>
              <w:t>Purpose</w:t>
            </w:r>
          </w:p>
        </w:tc>
        <w:tc>
          <w:tcPr>
            <w:tcW w:w="5954" w:type="dxa"/>
            <w:gridSpan w:val="2"/>
            <w:tcBorders>
              <w:top w:val="single" w:sz="4" w:space="0" w:color="auto"/>
              <w:left w:val="single" w:sz="4" w:space="0" w:color="auto"/>
              <w:bottom w:val="single" w:sz="4" w:space="0" w:color="auto"/>
              <w:right w:val="single" w:sz="4" w:space="0" w:color="auto"/>
            </w:tcBorders>
            <w:hideMark/>
          </w:tcPr>
          <w:p w:rsidR="00F745FD"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color w:val="000000"/>
                <w:sz w:val="16"/>
                <w:szCs w:val="16"/>
                <w:bdr w:val="nil"/>
                <w:lang w:val="en-US" w:eastAsia="en-US"/>
              </w:rPr>
              <w:t>Contribute to stronger and more resilient individuals, families and communities by providing targeted services and initiatives.</w:t>
            </w:r>
          </w:p>
        </w:tc>
      </w:tr>
      <w:tr w:rsidR="00010972" w:rsidTr="00DD145C">
        <w:tc>
          <w:tcPr>
            <w:tcW w:w="7768" w:type="dxa"/>
            <w:gridSpan w:val="3"/>
            <w:tcBorders>
              <w:top w:val="single" w:sz="4" w:space="0" w:color="auto"/>
              <w:left w:val="single" w:sz="4" w:space="0" w:color="auto"/>
              <w:bottom w:val="single" w:sz="4" w:space="0" w:color="000000"/>
              <w:right w:val="single" w:sz="4" w:space="0" w:color="auto"/>
            </w:tcBorders>
            <w:hideMark/>
          </w:tcPr>
          <w:p w:rsidR="00F745FD" w:rsidRDefault="00D5482E">
            <w:pPr>
              <w:pStyle w:val="Normal00"/>
              <w:pBdr>
                <w:top w:val="nil"/>
                <w:left w:val="nil"/>
                <w:bottom w:val="nil"/>
                <w:right w:val="nil"/>
                <w:between w:val="nil"/>
                <w:bar w:val="nil"/>
              </w:pBdr>
              <w:spacing w:after="120"/>
              <w:jc w:val="left"/>
              <w:rPr>
                <w:rFonts w:ascii="Arial" w:eastAsia="Cambria" w:hAnsi="Arial" w:cs="Arial"/>
                <w:b/>
                <w:bCs/>
                <w:iCs/>
                <w:spacing w:val="-6"/>
                <w:sz w:val="16"/>
                <w:szCs w:val="16"/>
                <w:bdr w:val="nil"/>
                <w:lang w:val="en-US" w:eastAsia="en-US"/>
              </w:rPr>
            </w:pPr>
            <w:r>
              <w:rPr>
                <w:rStyle w:val="BodyTextChar"/>
                <w:rFonts w:ascii="Arial" w:hAnsi="Arial" w:cs="Arial"/>
                <w:b/>
                <w:bCs/>
                <w:iCs/>
                <w:spacing w:val="-6"/>
                <w:sz w:val="16"/>
                <w:szCs w:val="16"/>
                <w:bdr w:val="nil"/>
                <w:lang w:eastAsia="en-US"/>
              </w:rPr>
              <w:t>Material changes to Program 2.1: Nil.</w:t>
            </w:r>
          </w:p>
        </w:tc>
      </w:tr>
    </w:tbl>
    <w:p w:rsidR="00F745FD" w:rsidRDefault="00D5482E" w:rsidP="00F745FD">
      <w:pPr>
        <w:pStyle w:val="TableGraphic"/>
        <w:keepLines/>
        <w:pBdr>
          <w:top w:val="nil"/>
          <w:left w:val="nil"/>
          <w:bottom w:val="nil"/>
          <w:right w:val="nil"/>
          <w:between w:val="nil"/>
          <w:bar w:val="nil"/>
        </w:pBdr>
        <w:spacing w:after="240"/>
        <w:rPr>
          <w:rFonts w:ascii="Arial" w:hAnsi="Arial"/>
          <w:bdr w:val="nil"/>
        </w:rPr>
      </w:pPr>
      <w:r>
        <w:rPr>
          <w:i w:val="0"/>
          <w:bdr w:val="nil"/>
        </w:rPr>
        <w:br w:type="page"/>
      </w:r>
    </w:p>
    <w:p w:rsidR="00F745FD" w:rsidRDefault="00D5482E" w:rsidP="00DE6FE8">
      <w:pPr>
        <w:pStyle w:val="TableHeading"/>
        <w:keepLines/>
        <w:pBdr>
          <w:top w:val="nil"/>
          <w:left w:val="nil"/>
          <w:bottom w:val="nil"/>
          <w:right w:val="nil"/>
          <w:between w:val="nil"/>
          <w:bar w:val="nil"/>
        </w:pBdr>
        <w:spacing w:before="0" w:after="0"/>
        <w:rPr>
          <w:bdr w:val="nil"/>
        </w:rPr>
      </w:pPr>
      <w:r>
        <w:rPr>
          <w:bdr w:val="nil"/>
        </w:rPr>
        <w:lastRenderedPageBreak/>
        <w:t>Table 2.2.3: Performance criteria for Outcome 2 (continued)</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14"/>
        <w:gridCol w:w="3402"/>
        <w:gridCol w:w="2552"/>
      </w:tblGrid>
      <w:tr w:rsidR="00010972" w:rsidTr="00DD145C">
        <w:trPr>
          <w:tblHeader/>
        </w:trPr>
        <w:tc>
          <w:tcPr>
            <w:tcW w:w="7768" w:type="dxa"/>
            <w:gridSpan w:val="3"/>
            <w:tcBorders>
              <w:top w:val="single" w:sz="4" w:space="0" w:color="auto"/>
              <w:left w:val="single" w:sz="4" w:space="0" w:color="auto"/>
              <w:bottom w:val="single" w:sz="4" w:space="0" w:color="auto"/>
              <w:right w:val="single" w:sz="4" w:space="0" w:color="auto"/>
            </w:tcBorders>
            <w:shd w:val="clear" w:color="auto" w:fill="E6E6E6"/>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color w:val="000000"/>
                <w:sz w:val="16"/>
                <w:szCs w:val="16"/>
                <w:bdr w:val="nil"/>
                <w:lang w:val="en-US"/>
              </w:rPr>
              <w:t>Program 2.2 –</w:t>
            </w:r>
            <w:r>
              <w:rPr>
                <w:rFonts w:ascii="Arial" w:eastAsia="Times New Roman" w:hAnsi="Arial" w:cs="Arial"/>
                <w:color w:val="000000"/>
                <w:sz w:val="16"/>
                <w:szCs w:val="16"/>
                <w:bdr w:val="nil"/>
                <w:lang w:val="en-US"/>
              </w:rPr>
              <w:t xml:space="preserve"> </w:t>
            </w:r>
            <w:r>
              <w:rPr>
                <w:rFonts w:ascii="Arial" w:eastAsia="Times New Roman" w:hAnsi="Arial" w:cs="Arial"/>
                <w:b/>
                <w:color w:val="000000"/>
                <w:sz w:val="16"/>
                <w:szCs w:val="16"/>
                <w:bdr w:val="nil"/>
                <w:lang w:val="en-US"/>
              </w:rPr>
              <w:t>Paid Parental Leave</w:t>
            </w:r>
            <w:r>
              <w:rPr>
                <w:rFonts w:ascii="Arial" w:eastAsia="Times New Roman" w:hAnsi="Arial" w:cs="Arial"/>
                <w:color w:val="000000"/>
                <w:sz w:val="16"/>
                <w:szCs w:val="16"/>
                <w:bdr w:val="nil"/>
                <w:lang w:val="en-US"/>
              </w:rPr>
              <w:t xml:space="preserve"> – To provide financial support to parents to help them take time off work following the birth or adoption of a child.</w:t>
            </w:r>
          </w:p>
        </w:tc>
      </w:tr>
      <w:tr w:rsidR="00010972" w:rsidTr="00DD145C">
        <w:tc>
          <w:tcPr>
            <w:tcW w:w="1814" w:type="dxa"/>
            <w:tcBorders>
              <w:top w:val="single" w:sz="4" w:space="0" w:color="auto"/>
              <w:left w:val="single" w:sz="4" w:space="0" w:color="auto"/>
              <w:bottom w:val="doub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54" w:type="dxa"/>
            <w:gridSpan w:val="2"/>
            <w:tcBorders>
              <w:top w:val="single" w:sz="4" w:space="0" w:color="auto"/>
              <w:left w:val="single" w:sz="4" w:space="0" w:color="auto"/>
              <w:bottom w:val="doub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DSS administers the program as part of the social security system.</w:t>
            </w:r>
          </w:p>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 xml:space="preserve">Dad and Partner Pay is paid by Services Australia directly to eligible fathers or partners in accordance with the </w:t>
            </w:r>
            <w:r>
              <w:rPr>
                <w:rFonts w:ascii="Arial" w:eastAsia="Times New Roman" w:hAnsi="Arial" w:cs="Arial"/>
                <w:i/>
                <w:sz w:val="16"/>
                <w:szCs w:val="16"/>
                <w:bdr w:val="nil"/>
                <w:lang w:val="en-US"/>
              </w:rPr>
              <w:t>Paid Parental Leave Act 2010.</w:t>
            </w:r>
          </w:p>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 xml:space="preserve">Services Australia either funds employers to provide Parental Leave Pay to eligible employees, or provides Parental Leave Pay directly to eligible parents and other persons, according to the provisions of the </w:t>
            </w:r>
            <w:r>
              <w:rPr>
                <w:rFonts w:ascii="Arial" w:eastAsia="Times New Roman" w:hAnsi="Arial" w:cs="Arial"/>
                <w:i/>
                <w:sz w:val="16"/>
                <w:szCs w:val="16"/>
                <w:bdr w:val="nil"/>
                <w:lang w:val="en-US"/>
              </w:rPr>
              <w:t>Paid Parental Leave Act 2010.</w:t>
            </w:r>
          </w:p>
        </w:tc>
      </w:tr>
      <w:tr w:rsidR="00010972" w:rsidTr="00DD145C">
        <w:tc>
          <w:tcPr>
            <w:tcW w:w="7768" w:type="dxa"/>
            <w:gridSpan w:val="3"/>
            <w:tcBorders>
              <w:top w:val="double" w:sz="4" w:space="0" w:color="auto"/>
              <w:left w:val="single" w:sz="4" w:space="0" w:color="auto"/>
              <w:bottom w:val="doub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14" w:type="dxa"/>
            <w:tcBorders>
              <w:top w:val="double" w:sz="4" w:space="0" w:color="auto"/>
              <w:left w:val="single" w:sz="4" w:space="0" w:color="auto"/>
              <w:bottom w:val="single" w:sz="4" w:space="0" w:color="auto"/>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402" w:type="dxa"/>
            <w:tcBorders>
              <w:top w:val="double" w:sz="4" w:space="0" w:color="auto"/>
              <w:left w:val="single" w:sz="4" w:space="0" w:color="auto"/>
              <w:bottom w:val="single" w:sz="4" w:space="0" w:color="auto"/>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52" w:type="dxa"/>
            <w:tcBorders>
              <w:top w:val="double" w:sz="4" w:space="0" w:color="auto"/>
              <w:left w:val="single" w:sz="4" w:space="0" w:color="auto"/>
              <w:bottom w:val="single" w:sz="4" w:space="0" w:color="auto"/>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14" w:type="dxa"/>
            <w:vMerge w:val="restart"/>
            <w:tcBorders>
              <w:top w:val="dotted" w:sz="4" w:space="0" w:color="auto"/>
              <w:left w:val="single" w:sz="4" w:space="0" w:color="auto"/>
              <w:bottom w:val="dotted"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w:t>
            </w:r>
            <w:r>
              <w:rPr>
                <w:rFonts w:ascii="Arial" w:eastAsia="Times New Roman" w:hAnsi="Arial" w:cs="Arial"/>
                <w:sz w:val="16"/>
                <w:szCs w:val="16"/>
                <w:bdr w:val="nil"/>
                <w:lang w:val="en-US"/>
              </w:rPr>
              <w:softHyphen/>
              <w:t>-21</w:t>
            </w:r>
          </w:p>
        </w:tc>
        <w:tc>
          <w:tcPr>
            <w:tcW w:w="3402" w:type="dxa"/>
            <w:tcBorders>
              <w:top w:val="dotted" w:sz="4" w:space="0" w:color="auto"/>
              <w:left w:val="single" w:sz="4" w:space="0" w:color="auto"/>
              <w:bottom w:val="dotted"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Extent to which parents take Parental Leave Pay.</w:t>
            </w:r>
          </w:p>
        </w:tc>
        <w:tc>
          <w:tcPr>
            <w:tcW w:w="2552" w:type="dxa"/>
            <w:tcBorders>
              <w:top w:val="dotted" w:sz="4" w:space="0" w:color="auto"/>
              <w:left w:val="single" w:sz="4" w:space="0" w:color="auto"/>
              <w:bottom w:val="dotted"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95 per cent of eligible Parental Leave Pay families access payment.</w:t>
            </w:r>
          </w:p>
        </w:tc>
      </w:tr>
      <w:tr w:rsidR="00010972" w:rsidTr="00DD145C">
        <w:tc>
          <w:tcPr>
            <w:tcW w:w="1814" w:type="dxa"/>
            <w:vMerge/>
            <w:tcBorders>
              <w:top w:val="dotted" w:sz="4" w:space="0" w:color="auto"/>
              <w:left w:val="single" w:sz="4" w:space="0" w:color="auto"/>
              <w:bottom w:val="dotted" w:sz="4" w:space="0" w:color="auto"/>
              <w:right w:val="single" w:sz="4" w:space="0" w:color="auto"/>
            </w:tcBorders>
            <w:vAlign w:val="center"/>
            <w:hideMark/>
          </w:tcPr>
          <w:p w:rsidR="00F745FD" w:rsidRDefault="00F745FD">
            <w:pPr>
              <w:spacing w:after="0"/>
              <w:rPr>
                <w:rFonts w:ascii="Arial" w:hAnsi="Arial" w:cs="Arial"/>
                <w:sz w:val="16"/>
                <w:szCs w:val="16"/>
                <w:bdr w:val="nil"/>
              </w:rPr>
            </w:pPr>
          </w:p>
        </w:tc>
        <w:tc>
          <w:tcPr>
            <w:tcW w:w="3402" w:type="dxa"/>
            <w:tcBorders>
              <w:top w:val="dotted" w:sz="4" w:space="0" w:color="auto"/>
              <w:left w:val="single" w:sz="4" w:space="0" w:color="auto"/>
              <w:bottom w:val="dotted"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Extent to which parents take Dad and Partner Pay.</w:t>
            </w:r>
          </w:p>
        </w:tc>
        <w:tc>
          <w:tcPr>
            <w:tcW w:w="2552" w:type="dxa"/>
            <w:tcBorders>
              <w:top w:val="dotted" w:sz="4" w:space="0" w:color="auto"/>
              <w:left w:val="single" w:sz="4" w:space="0" w:color="auto"/>
              <w:bottom w:val="dotted"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20" w:after="20"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95 per cent of eligible Dad and Partner Pay claimants access payment.</w:t>
            </w:r>
          </w:p>
        </w:tc>
      </w:tr>
      <w:tr w:rsidR="00010972" w:rsidTr="00DD145C">
        <w:tc>
          <w:tcPr>
            <w:tcW w:w="1814" w:type="dxa"/>
            <w:vMerge/>
            <w:tcBorders>
              <w:top w:val="dotted" w:sz="4" w:space="0" w:color="auto"/>
              <w:left w:val="single" w:sz="4" w:space="0" w:color="auto"/>
              <w:bottom w:val="dotted" w:sz="4" w:space="0" w:color="auto"/>
              <w:right w:val="single" w:sz="4" w:space="0" w:color="auto"/>
            </w:tcBorders>
            <w:vAlign w:val="center"/>
            <w:hideMark/>
          </w:tcPr>
          <w:p w:rsidR="00F745FD" w:rsidRDefault="00F745FD">
            <w:pPr>
              <w:spacing w:after="0"/>
              <w:rPr>
                <w:rFonts w:ascii="Arial" w:hAnsi="Arial" w:cs="Arial"/>
                <w:sz w:val="16"/>
                <w:szCs w:val="16"/>
                <w:bdr w:val="nil"/>
              </w:rPr>
            </w:pPr>
          </w:p>
        </w:tc>
        <w:tc>
          <w:tcPr>
            <w:tcW w:w="5954" w:type="dxa"/>
            <w:gridSpan w:val="2"/>
            <w:tcBorders>
              <w:top w:val="dotted" w:sz="4" w:space="0" w:color="auto"/>
              <w:left w:val="single" w:sz="4" w:space="0" w:color="auto"/>
              <w:bottom w:val="dotted" w:sz="4" w:space="0" w:color="auto"/>
              <w:right w:val="single" w:sz="4" w:space="0" w:color="auto"/>
            </w:tcBorders>
            <w:hideMark/>
          </w:tcPr>
          <w:p w:rsidR="00F745FD" w:rsidRDefault="00D5482E">
            <w:pPr>
              <w:keepLines/>
              <w:pBdr>
                <w:top w:val="nil"/>
                <w:left w:val="nil"/>
                <w:bottom w:val="nil"/>
                <w:right w:val="nil"/>
                <w:between w:val="nil"/>
                <w:bar w:val="nil"/>
              </w:pBdr>
              <w:tabs>
                <w:tab w:val="left" w:pos="709"/>
              </w:tabs>
              <w:spacing w:before="60" w:after="0" w:line="240" w:lineRule="auto"/>
              <w:rPr>
                <w:rFonts w:ascii="Arial" w:hAnsi="Arial" w:cs="Arial"/>
                <w:color w:val="000000"/>
                <w:sz w:val="16"/>
                <w:szCs w:val="16"/>
                <w:highlight w:val="yellow"/>
                <w:bdr w:val="nil"/>
              </w:rPr>
            </w:pPr>
            <w:r>
              <w:rPr>
                <w:rFonts w:ascii="Arial" w:eastAsia="Times New Roman" w:hAnsi="Arial" w:cs="Arial"/>
                <w:color w:val="000000"/>
                <w:sz w:val="16"/>
                <w:szCs w:val="16"/>
                <w:bdr w:val="nil"/>
              </w:rPr>
              <w:t>Outputs:</w:t>
            </w:r>
          </w:p>
          <w:p w:rsidR="00F745FD" w:rsidRDefault="00D5482E" w:rsidP="00F745FD">
            <w:pPr>
              <w:pStyle w:val="ListParagraph"/>
              <w:numPr>
                <w:ilvl w:val="0"/>
                <w:numId w:val="22"/>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Administered outlays</w:t>
            </w:r>
          </w:p>
          <w:p w:rsidR="00F745FD" w:rsidRDefault="00D5482E" w:rsidP="00F745FD">
            <w:pPr>
              <w:pStyle w:val="ListParagraph"/>
              <w:numPr>
                <w:ilvl w:val="0"/>
                <w:numId w:val="22"/>
              </w:numPr>
              <w:pBdr>
                <w:top w:val="nil"/>
                <w:left w:val="nil"/>
                <w:bottom w:val="nil"/>
                <w:right w:val="nil"/>
                <w:between w:val="nil"/>
                <w:bar w:val="nil"/>
              </w:pBdr>
              <w:tabs>
                <w:tab w:val="left" w:pos="709"/>
              </w:tabs>
              <w:spacing w:before="60"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individuals assisted</w:t>
            </w:r>
          </w:p>
        </w:tc>
      </w:tr>
      <w:tr w:rsidR="00010972" w:rsidTr="00DD145C">
        <w:tc>
          <w:tcPr>
            <w:tcW w:w="1814" w:type="dxa"/>
            <w:tcBorders>
              <w:top w:val="dotted" w:sz="4" w:space="0" w:color="auto"/>
              <w:left w:val="single" w:sz="4" w:space="0" w:color="auto"/>
              <w:bottom w:val="sing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402" w:type="dxa"/>
            <w:tcBorders>
              <w:top w:val="dotted" w:sz="4" w:space="0" w:color="auto"/>
              <w:left w:val="single" w:sz="4" w:space="0" w:color="auto"/>
              <w:bottom w:val="single" w:sz="4" w:space="0" w:color="auto"/>
              <w:right w:val="single" w:sz="4" w:space="0" w:color="auto"/>
            </w:tcBorders>
            <w:hideMark/>
          </w:tcPr>
          <w:p w:rsidR="00F745FD"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As per 2020-21</w:t>
            </w:r>
          </w:p>
        </w:tc>
        <w:tc>
          <w:tcPr>
            <w:tcW w:w="2552" w:type="dxa"/>
            <w:tcBorders>
              <w:top w:val="dotted" w:sz="4" w:space="0" w:color="auto"/>
              <w:left w:val="single" w:sz="4" w:space="0" w:color="auto"/>
              <w:bottom w:val="single" w:sz="4" w:space="0" w:color="auto"/>
              <w:right w:val="single" w:sz="4" w:space="0" w:color="auto"/>
            </w:tcBorders>
            <w:hideMark/>
          </w:tcPr>
          <w:p w:rsidR="00F745FD"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As per 2020-21</w:t>
            </w:r>
          </w:p>
        </w:tc>
      </w:tr>
      <w:tr w:rsidR="00010972" w:rsidTr="00DD145C">
        <w:tc>
          <w:tcPr>
            <w:tcW w:w="1814" w:type="dxa"/>
            <w:tcBorders>
              <w:top w:val="single" w:sz="4" w:space="0" w:color="auto"/>
              <w:left w:val="single" w:sz="4" w:space="0" w:color="auto"/>
              <w:bottom w:val="sing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54" w:type="dxa"/>
            <w:gridSpan w:val="2"/>
            <w:tcBorders>
              <w:top w:val="single" w:sz="4" w:space="0" w:color="auto"/>
              <w:left w:val="single" w:sz="4" w:space="0" w:color="auto"/>
              <w:bottom w:val="sing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Contribute to stronger and more resilient individuals, families and communities by providing targeted services and initiatives.</w:t>
            </w:r>
          </w:p>
        </w:tc>
      </w:tr>
      <w:tr w:rsidR="00010972" w:rsidTr="00DD145C">
        <w:tc>
          <w:tcPr>
            <w:tcW w:w="7768" w:type="dxa"/>
            <w:gridSpan w:val="3"/>
            <w:tcBorders>
              <w:top w:val="single" w:sz="4" w:space="0" w:color="auto"/>
              <w:left w:val="single" w:sz="4" w:space="0" w:color="auto"/>
              <w:bottom w:val="single" w:sz="4" w:space="0" w:color="auto"/>
              <w:right w:val="single" w:sz="4" w:space="0" w:color="auto"/>
            </w:tcBorders>
            <w:hideMark/>
          </w:tcPr>
          <w:p w:rsidR="00F745FD" w:rsidRDefault="00D5482E">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2.2: Nil.</w:t>
            </w:r>
          </w:p>
        </w:tc>
      </w:tr>
    </w:tbl>
    <w:p w:rsidR="00F745FD" w:rsidRDefault="00D5482E" w:rsidP="00F745FD">
      <w:pPr>
        <w:pBdr>
          <w:top w:val="nil"/>
          <w:left w:val="nil"/>
          <w:bottom w:val="nil"/>
          <w:right w:val="nil"/>
          <w:between w:val="nil"/>
          <w:bar w:val="nil"/>
        </w:pBdr>
        <w:rPr>
          <w:bdr w:val="nil"/>
        </w:rPr>
      </w:pPr>
      <w:r>
        <w:rPr>
          <w:rFonts w:ascii="Book Antiqua" w:eastAsia="Times New Roman" w:hAnsi="Book Antiqua" w:cs="Times New Roman"/>
          <w:sz w:val="20"/>
          <w:szCs w:val="20"/>
          <w:bdr w:val="nil"/>
          <w:lang w:val="en-AU" w:eastAsia="en-AU"/>
        </w:rPr>
        <w:br w:type="page"/>
      </w:r>
    </w:p>
    <w:p w:rsidR="00F745FD" w:rsidRDefault="00D5482E" w:rsidP="00DE6FE8">
      <w:pPr>
        <w:pStyle w:val="TableHeading"/>
        <w:keepLines/>
        <w:pBdr>
          <w:top w:val="nil"/>
          <w:left w:val="nil"/>
          <w:bottom w:val="nil"/>
          <w:right w:val="nil"/>
          <w:between w:val="nil"/>
          <w:bar w:val="nil"/>
        </w:pBdr>
        <w:spacing w:before="0" w:after="0"/>
        <w:rPr>
          <w:bdr w:val="nil"/>
        </w:rPr>
      </w:pPr>
      <w:r>
        <w:rPr>
          <w:bdr w:val="nil"/>
        </w:rPr>
        <w:lastRenderedPageBreak/>
        <w:t>Table 2.2.3: Performance criteria for Outcome 2 (continued)</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14"/>
        <w:gridCol w:w="3402"/>
        <w:gridCol w:w="2552"/>
      </w:tblGrid>
      <w:tr w:rsidR="00010972" w:rsidTr="00DD145C">
        <w:trPr>
          <w:tblHeader/>
        </w:trPr>
        <w:tc>
          <w:tcPr>
            <w:tcW w:w="7768" w:type="dxa"/>
            <w:gridSpan w:val="3"/>
            <w:tcBorders>
              <w:top w:val="single" w:sz="4" w:space="0" w:color="auto"/>
              <w:left w:val="single" w:sz="4" w:space="0" w:color="auto"/>
              <w:bottom w:val="single" w:sz="4" w:space="0" w:color="auto"/>
              <w:right w:val="single" w:sz="4" w:space="0" w:color="auto"/>
            </w:tcBorders>
            <w:shd w:val="clear" w:color="auto" w:fill="E6E6E6"/>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2.3 –</w:t>
            </w:r>
            <w:r>
              <w:rPr>
                <w:rFonts w:ascii="Arial" w:eastAsia="Times New Roman" w:hAnsi="Arial" w:cs="Arial"/>
                <w:sz w:val="16"/>
                <w:szCs w:val="16"/>
                <w:bdr w:val="nil"/>
                <w:lang w:val="en-US"/>
              </w:rPr>
              <w:t xml:space="preserve"> </w:t>
            </w:r>
            <w:r>
              <w:rPr>
                <w:rFonts w:ascii="Arial" w:eastAsia="Times New Roman" w:hAnsi="Arial" w:cs="Arial"/>
                <w:b/>
                <w:sz w:val="16"/>
                <w:szCs w:val="16"/>
                <w:bdr w:val="nil"/>
                <w:lang w:val="en-US"/>
              </w:rPr>
              <w:t>Social and Community Services</w:t>
            </w:r>
            <w:r>
              <w:rPr>
                <w:rFonts w:ascii="Arial" w:eastAsia="Times New Roman" w:hAnsi="Arial" w:cs="Arial"/>
                <w:sz w:val="16"/>
                <w:szCs w:val="16"/>
                <w:bdr w:val="nil"/>
                <w:lang w:val="en-US"/>
              </w:rPr>
              <w:t xml:space="preserve"> – To set aside funding for the implementation period of Fair Work Australia’s Social, Community and Disability Services Industry Equal Remuneration Order.</w:t>
            </w:r>
          </w:p>
        </w:tc>
      </w:tr>
      <w:tr w:rsidR="00010972" w:rsidTr="00DD145C">
        <w:tc>
          <w:tcPr>
            <w:tcW w:w="1814" w:type="dxa"/>
            <w:tcBorders>
              <w:top w:val="single" w:sz="4" w:space="0" w:color="auto"/>
              <w:left w:val="single" w:sz="4" w:space="0" w:color="auto"/>
              <w:bottom w:val="doub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54" w:type="dxa"/>
            <w:gridSpan w:val="2"/>
            <w:tcBorders>
              <w:top w:val="single" w:sz="4" w:space="0" w:color="auto"/>
              <w:left w:val="single" w:sz="4" w:space="0" w:color="auto"/>
              <w:bottom w:val="double" w:sz="4" w:space="0" w:color="auto"/>
              <w:right w:val="single" w:sz="4" w:space="0" w:color="auto"/>
            </w:tcBorders>
            <w:hideMark/>
          </w:tcPr>
          <w:p w:rsidR="00F745FD" w:rsidRDefault="00D5482E">
            <w:pPr>
              <w:pStyle w:val="Normal01"/>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Funds are issued to eligible service providers to meet the Australian Government’s share of the pay increases.</w:t>
            </w:r>
          </w:p>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Funds are issued to other government agencies to meet the Australian Government’s share of the pay increases for their eligible service providers.</w:t>
            </w:r>
          </w:p>
        </w:tc>
      </w:tr>
      <w:tr w:rsidR="00010972" w:rsidTr="00DD145C">
        <w:tc>
          <w:tcPr>
            <w:tcW w:w="7768" w:type="dxa"/>
            <w:gridSpan w:val="3"/>
            <w:tcBorders>
              <w:top w:val="double" w:sz="4" w:space="0" w:color="auto"/>
              <w:left w:val="single" w:sz="4" w:space="0" w:color="auto"/>
              <w:bottom w:val="doub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14" w:type="dxa"/>
            <w:tcBorders>
              <w:top w:val="double" w:sz="4" w:space="0" w:color="auto"/>
              <w:left w:val="single" w:sz="4" w:space="0" w:color="auto"/>
              <w:bottom w:val="single" w:sz="4" w:space="0" w:color="000000" w:themeColor="text1"/>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402" w:type="dxa"/>
            <w:tcBorders>
              <w:top w:val="double" w:sz="4" w:space="0" w:color="auto"/>
              <w:left w:val="single" w:sz="4" w:space="0" w:color="auto"/>
              <w:bottom w:val="single" w:sz="4" w:space="0" w:color="000000" w:themeColor="text1"/>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52" w:type="dxa"/>
            <w:tcBorders>
              <w:top w:val="double" w:sz="4" w:space="0" w:color="auto"/>
              <w:left w:val="single" w:sz="4" w:space="0" w:color="auto"/>
              <w:bottom w:val="single" w:sz="4" w:space="0" w:color="000000" w:themeColor="text1"/>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14" w:type="dxa"/>
            <w:vMerge w:val="restart"/>
            <w:tcBorders>
              <w:top w:val="dotted" w:sz="4" w:space="0" w:color="000000" w:themeColor="text1"/>
              <w:left w:val="single" w:sz="4" w:space="0" w:color="auto"/>
              <w:bottom w:val="dotted" w:sz="4" w:space="0" w:color="000000" w:themeColor="text1"/>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402" w:type="dxa"/>
            <w:tcBorders>
              <w:top w:val="dotted" w:sz="4" w:space="0" w:color="000000" w:themeColor="text1"/>
              <w:left w:val="single" w:sz="4" w:space="0" w:color="auto"/>
              <w:bottom w:val="dotted" w:sz="4" w:space="0" w:color="000000" w:themeColor="text1"/>
              <w:right w:val="single" w:sz="4" w:space="0" w:color="auto"/>
            </w:tcBorders>
            <w:hideMark/>
          </w:tcPr>
          <w:p w:rsidR="00F745FD" w:rsidRDefault="00D5482E" w:rsidP="00973B38">
            <w:pPr>
              <w:pStyle w:val="Normal0"/>
              <w:keepLines/>
              <w:pBdr>
                <w:top w:val="nil"/>
                <w:left w:val="nil"/>
                <w:bottom w:val="nil"/>
                <w:right w:val="nil"/>
                <w:between w:val="nil"/>
                <w:bar w:val="nil"/>
              </w:pBdr>
              <w:tabs>
                <w:tab w:val="left" w:pos="709"/>
              </w:tabs>
              <w:spacing w:before="20" w:after="48"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 xml:space="preserve">Funds appropriated to </w:t>
            </w:r>
            <w:r w:rsidR="00973B38">
              <w:rPr>
                <w:rFonts w:ascii="Arial" w:eastAsia="Times New Roman" w:hAnsi="Arial" w:cs="Arial"/>
                <w:color w:val="000000"/>
                <w:sz w:val="16"/>
                <w:szCs w:val="16"/>
                <w:bdr w:val="nil"/>
                <w:lang w:val="en-US"/>
              </w:rPr>
              <w:t>DSS</w:t>
            </w:r>
            <w:r>
              <w:rPr>
                <w:rFonts w:ascii="Arial" w:eastAsia="Times New Roman" w:hAnsi="Arial" w:cs="Arial"/>
                <w:color w:val="000000"/>
                <w:sz w:val="16"/>
                <w:szCs w:val="16"/>
                <w:bdr w:val="nil"/>
                <w:lang w:val="en-US"/>
              </w:rPr>
              <w:t xml:space="preserve"> for the Social and Community Services pay equity order are issued to meet the Australian Government’s share of the pay increases.</w:t>
            </w:r>
          </w:p>
        </w:tc>
        <w:tc>
          <w:tcPr>
            <w:tcW w:w="2552" w:type="dxa"/>
            <w:tcBorders>
              <w:top w:val="dotted" w:sz="4" w:space="0" w:color="000000" w:themeColor="text1"/>
              <w:left w:val="single" w:sz="4" w:space="0" w:color="auto"/>
              <w:bottom w:val="dotted" w:sz="4" w:space="0" w:color="000000" w:themeColor="text1"/>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20" w:after="48"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100 per cent of eligible grant recipients will receive the Social and Community Services Pay Equity Special Account payments as required by legislation by 30 June 2021.</w:t>
            </w:r>
          </w:p>
        </w:tc>
      </w:tr>
      <w:tr w:rsidR="00010972" w:rsidTr="00DD145C">
        <w:tc>
          <w:tcPr>
            <w:tcW w:w="1814" w:type="dxa"/>
            <w:vMerge/>
            <w:tcBorders>
              <w:top w:val="dotted" w:sz="4" w:space="0" w:color="000000" w:themeColor="text1"/>
              <w:left w:val="single" w:sz="4" w:space="0" w:color="auto"/>
              <w:bottom w:val="dotted" w:sz="4" w:space="0" w:color="000000" w:themeColor="text1"/>
              <w:right w:val="single" w:sz="4" w:space="0" w:color="auto"/>
            </w:tcBorders>
            <w:vAlign w:val="center"/>
            <w:hideMark/>
          </w:tcPr>
          <w:p w:rsidR="00F745FD" w:rsidRDefault="00F745FD">
            <w:pPr>
              <w:spacing w:after="0"/>
              <w:rPr>
                <w:rFonts w:ascii="Arial" w:hAnsi="Arial" w:cs="Arial"/>
                <w:sz w:val="16"/>
                <w:szCs w:val="16"/>
                <w:bdr w:val="nil"/>
              </w:rPr>
            </w:pPr>
          </w:p>
        </w:tc>
        <w:tc>
          <w:tcPr>
            <w:tcW w:w="5954" w:type="dxa"/>
            <w:gridSpan w:val="2"/>
            <w:tcBorders>
              <w:top w:val="dotted" w:sz="4" w:space="0" w:color="000000" w:themeColor="text1"/>
              <w:left w:val="single" w:sz="4" w:space="0" w:color="auto"/>
              <w:bottom w:val="dotted" w:sz="4" w:space="0" w:color="000000" w:themeColor="text1"/>
              <w:right w:val="single" w:sz="4" w:space="0" w:color="auto"/>
            </w:tcBorders>
            <w:hideMark/>
          </w:tcPr>
          <w:p w:rsidR="00F745FD" w:rsidRDefault="00D5482E">
            <w:pPr>
              <w:keepLines/>
              <w:pBdr>
                <w:top w:val="nil"/>
                <w:left w:val="nil"/>
                <w:bottom w:val="nil"/>
                <w:right w:val="nil"/>
                <w:between w:val="nil"/>
                <w:bar w:val="nil"/>
              </w:pBdr>
              <w:tabs>
                <w:tab w:val="left" w:pos="709"/>
              </w:tabs>
              <w:spacing w:before="60" w:after="0" w:line="240" w:lineRule="auto"/>
              <w:rPr>
                <w:rFonts w:ascii="Arial" w:hAnsi="Arial" w:cs="Arial"/>
                <w:color w:val="000000"/>
                <w:sz w:val="16"/>
                <w:szCs w:val="16"/>
                <w:bdr w:val="nil"/>
              </w:rPr>
            </w:pPr>
            <w:r>
              <w:rPr>
                <w:rFonts w:ascii="Arial" w:eastAsia="Times New Roman" w:hAnsi="Arial" w:cs="Arial"/>
                <w:color w:val="000000"/>
                <w:sz w:val="16"/>
                <w:szCs w:val="16"/>
                <w:bdr w:val="nil"/>
              </w:rPr>
              <w:t>Output:</w:t>
            </w:r>
          </w:p>
          <w:p w:rsidR="00F745FD" w:rsidRDefault="00D5482E" w:rsidP="00F745FD">
            <w:pPr>
              <w:pStyle w:val="Normal00"/>
              <w:numPr>
                <w:ilvl w:val="0"/>
                <w:numId w:val="23"/>
              </w:numPr>
              <w:pBdr>
                <w:top w:val="nil"/>
                <w:left w:val="nil"/>
                <w:bottom w:val="nil"/>
                <w:right w:val="nil"/>
                <w:between w:val="nil"/>
                <w:bar w:val="nil"/>
              </w:pBdr>
              <w:tabs>
                <w:tab w:val="left" w:pos="709"/>
              </w:tabs>
              <w:spacing w:after="60" w:line="240" w:lineRule="auto"/>
              <w:ind w:left="357" w:hanging="357"/>
              <w:jc w:val="left"/>
              <w:rPr>
                <w:rFonts w:ascii="Arial" w:hAnsi="Arial" w:cs="Arial"/>
                <w:sz w:val="16"/>
                <w:szCs w:val="16"/>
                <w:bdr w:val="nil"/>
                <w:lang w:val="en-US" w:eastAsia="en-US"/>
              </w:rPr>
            </w:pPr>
            <w:r>
              <w:rPr>
                <w:rFonts w:ascii="Arial" w:hAnsi="Arial" w:cs="Arial"/>
                <w:color w:val="000000"/>
                <w:sz w:val="16"/>
                <w:szCs w:val="16"/>
                <w:bdr w:val="nil"/>
                <w:lang w:val="en-US" w:eastAsia="en-US"/>
              </w:rPr>
              <w:t>Administered outlays</w:t>
            </w:r>
          </w:p>
        </w:tc>
      </w:tr>
      <w:tr w:rsidR="00010972" w:rsidTr="00DD145C">
        <w:tc>
          <w:tcPr>
            <w:tcW w:w="1814" w:type="dxa"/>
            <w:tcBorders>
              <w:top w:val="dotted" w:sz="4" w:space="0" w:color="000000" w:themeColor="text1"/>
              <w:left w:val="single" w:sz="4" w:space="0" w:color="auto"/>
              <w:bottom w:val="sing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 (a)</w:t>
            </w:r>
          </w:p>
        </w:tc>
        <w:tc>
          <w:tcPr>
            <w:tcW w:w="3402" w:type="dxa"/>
            <w:tcBorders>
              <w:top w:val="dotted" w:sz="4" w:space="0" w:color="000000" w:themeColor="text1"/>
              <w:left w:val="single" w:sz="4" w:space="0" w:color="auto"/>
              <w:bottom w:val="single" w:sz="4" w:space="0" w:color="auto"/>
              <w:right w:val="single" w:sz="4" w:space="0" w:color="auto"/>
            </w:tcBorders>
            <w:hideMark/>
          </w:tcPr>
          <w:p w:rsidR="00F745FD"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Not applicable.</w:t>
            </w:r>
          </w:p>
        </w:tc>
        <w:tc>
          <w:tcPr>
            <w:tcW w:w="2552" w:type="dxa"/>
            <w:tcBorders>
              <w:top w:val="dotted" w:sz="4" w:space="0" w:color="000000" w:themeColor="text1"/>
              <w:left w:val="single" w:sz="4" w:space="0" w:color="auto"/>
              <w:bottom w:val="single" w:sz="4" w:space="0" w:color="auto"/>
              <w:right w:val="single" w:sz="4" w:space="0" w:color="auto"/>
            </w:tcBorders>
            <w:hideMark/>
          </w:tcPr>
          <w:p w:rsidR="00F745FD"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Not applicable.</w:t>
            </w:r>
          </w:p>
        </w:tc>
      </w:tr>
      <w:tr w:rsidR="00010972" w:rsidTr="00DD145C">
        <w:tc>
          <w:tcPr>
            <w:tcW w:w="1814" w:type="dxa"/>
            <w:tcBorders>
              <w:top w:val="single" w:sz="4" w:space="0" w:color="auto"/>
              <w:left w:val="single" w:sz="4" w:space="0" w:color="auto"/>
              <w:bottom w:val="sing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color w:val="000000"/>
                <w:sz w:val="16"/>
                <w:szCs w:val="16"/>
                <w:bdr w:val="nil"/>
                <w:vertAlign w:val="superscript"/>
                <w:lang w:val="en-US"/>
              </w:rPr>
            </w:pPr>
            <w:r>
              <w:rPr>
                <w:rFonts w:ascii="Arial" w:eastAsia="Times New Roman" w:hAnsi="Arial" w:cs="Arial"/>
                <w:b/>
                <w:color w:val="000000"/>
                <w:sz w:val="16"/>
                <w:szCs w:val="16"/>
                <w:bdr w:val="nil"/>
                <w:lang w:val="en-US"/>
              </w:rPr>
              <w:t>Purpose</w:t>
            </w:r>
          </w:p>
        </w:tc>
        <w:tc>
          <w:tcPr>
            <w:tcW w:w="5954" w:type="dxa"/>
            <w:gridSpan w:val="2"/>
            <w:tcBorders>
              <w:top w:val="single" w:sz="4" w:space="0" w:color="auto"/>
              <w:left w:val="single" w:sz="4" w:space="0" w:color="auto"/>
              <w:bottom w:val="sing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lang w:val="en-US"/>
              </w:rPr>
            </w:pPr>
            <w:r>
              <w:rPr>
                <w:rFonts w:ascii="Arial" w:eastAsia="Times New Roman" w:hAnsi="Arial" w:cs="Arial"/>
                <w:sz w:val="16"/>
                <w:szCs w:val="16"/>
                <w:bdr w:val="nil"/>
                <w:lang w:val="en-US"/>
              </w:rPr>
              <w:t>Contribute to stronger and more resilient individuals, families and communities by providing targeted services and initiatives.</w:t>
            </w:r>
          </w:p>
        </w:tc>
      </w:tr>
      <w:tr w:rsidR="00010972" w:rsidTr="00DD145C">
        <w:tc>
          <w:tcPr>
            <w:tcW w:w="7768" w:type="dxa"/>
            <w:gridSpan w:val="3"/>
            <w:tcBorders>
              <w:top w:val="single" w:sz="4" w:space="0" w:color="auto"/>
              <w:left w:val="single" w:sz="4" w:space="0" w:color="auto"/>
              <w:bottom w:val="single" w:sz="4" w:space="0" w:color="auto"/>
              <w:right w:val="single" w:sz="4" w:space="0" w:color="auto"/>
            </w:tcBorders>
            <w:hideMark/>
          </w:tcPr>
          <w:p w:rsidR="00F745FD" w:rsidRDefault="00D5482E" w:rsidP="008B30AD">
            <w:pPr>
              <w:pStyle w:val="Normal0"/>
              <w:keepLines/>
              <w:pBdr>
                <w:top w:val="nil"/>
                <w:left w:val="nil"/>
                <w:bottom w:val="nil"/>
                <w:right w:val="nil"/>
                <w:between w:val="nil"/>
                <w:bar w:val="nil"/>
              </w:pBdr>
              <w:spacing w:after="0" w:line="260" w:lineRule="exact"/>
              <w:rPr>
                <w:i/>
                <w:bdr w:val="nil"/>
                <w:lang w:val="en-US"/>
              </w:rPr>
            </w:pPr>
            <w:r>
              <w:rPr>
                <w:rStyle w:val="BodyTextChar"/>
                <w:rFonts w:ascii="Arial" w:eastAsiaTheme="minorHAnsi" w:hAnsi="Arial" w:cs="Arial"/>
                <w:b/>
                <w:bCs/>
                <w:iCs/>
                <w:color w:val="000000"/>
                <w:spacing w:val="-6"/>
                <w:sz w:val="16"/>
                <w:szCs w:val="16"/>
                <w:bdr w:val="nil"/>
                <w:lang w:eastAsia="en-US"/>
              </w:rPr>
              <w:t>Material changes to Program 2.3: Nil.</w:t>
            </w:r>
          </w:p>
        </w:tc>
      </w:tr>
    </w:tbl>
    <w:p w:rsidR="00F745FD" w:rsidRPr="008814DB" w:rsidRDefault="00D5482E" w:rsidP="00163885">
      <w:pPr>
        <w:pStyle w:val="TableHeading"/>
        <w:keepLines/>
        <w:numPr>
          <w:ilvl w:val="0"/>
          <w:numId w:val="24"/>
        </w:numPr>
        <w:pBdr>
          <w:top w:val="nil"/>
          <w:left w:val="nil"/>
          <w:bottom w:val="nil"/>
          <w:right w:val="nil"/>
          <w:between w:val="nil"/>
          <w:bar w:val="nil"/>
        </w:pBdr>
        <w:spacing w:before="0"/>
        <w:ind w:left="426" w:hanging="284"/>
        <w:rPr>
          <w:rFonts w:cs="Arial"/>
          <w:b w:val="0"/>
          <w:bdr w:val="nil"/>
        </w:rPr>
      </w:pPr>
      <w:r w:rsidRPr="008814DB">
        <w:rPr>
          <w:rStyle w:val="BodyTextChar"/>
          <w:rFonts w:ascii="Arial" w:hAnsi="Arial" w:cs="Arial"/>
          <w:b w:val="0"/>
          <w:bCs/>
          <w:iCs/>
          <w:color w:val="000000"/>
          <w:spacing w:val="-6"/>
          <w:sz w:val="16"/>
          <w:szCs w:val="16"/>
          <w:bdr w:val="nil"/>
          <w:lang w:eastAsia="en-US"/>
        </w:rPr>
        <w:t>Program 2.3 – Social and Community Services ceases on 30 June 2021.</w:t>
      </w:r>
    </w:p>
    <w:p w:rsidR="00F745FD" w:rsidRDefault="00D5482E" w:rsidP="00F745FD">
      <w:pPr>
        <w:pBdr>
          <w:top w:val="nil"/>
          <w:left w:val="nil"/>
          <w:bottom w:val="nil"/>
          <w:right w:val="nil"/>
          <w:between w:val="nil"/>
          <w:bar w:val="nil"/>
        </w:pBdr>
        <w:rPr>
          <w:i/>
          <w:color w:val="FF0000"/>
          <w:bdr w:val="nil"/>
        </w:rPr>
      </w:pPr>
      <w:r>
        <w:rPr>
          <w:rFonts w:ascii="Book Antiqua" w:eastAsia="Times New Roman" w:hAnsi="Book Antiqua" w:cs="Times New Roman"/>
          <w:sz w:val="20"/>
          <w:szCs w:val="20"/>
          <w:bdr w:val="nil"/>
          <w:lang w:val="en-AU" w:eastAsia="en-AU"/>
        </w:rPr>
        <w:br w:type="page"/>
      </w:r>
    </w:p>
    <w:p w:rsidR="00F745FD" w:rsidRDefault="00D5482E" w:rsidP="00DE6FE8">
      <w:pPr>
        <w:pStyle w:val="TableHeading"/>
        <w:keepLines/>
        <w:pBdr>
          <w:top w:val="nil"/>
          <w:left w:val="nil"/>
          <w:bottom w:val="nil"/>
          <w:right w:val="nil"/>
          <w:between w:val="nil"/>
          <w:bar w:val="nil"/>
        </w:pBdr>
        <w:spacing w:before="0" w:after="0"/>
        <w:rPr>
          <w:bdr w:val="nil"/>
        </w:rPr>
      </w:pPr>
      <w:r>
        <w:rPr>
          <w:bdr w:val="nil"/>
        </w:rPr>
        <w:lastRenderedPageBreak/>
        <w:t>Table 2.2.3: Performance criteria for Outcome 2 (continued)</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14"/>
        <w:gridCol w:w="2977"/>
        <w:gridCol w:w="2977"/>
      </w:tblGrid>
      <w:tr w:rsidR="00010972" w:rsidTr="00DD145C">
        <w:trPr>
          <w:tblHeader/>
        </w:trPr>
        <w:tc>
          <w:tcPr>
            <w:tcW w:w="7768" w:type="dxa"/>
            <w:gridSpan w:val="3"/>
            <w:tcBorders>
              <w:top w:val="single" w:sz="4" w:space="0" w:color="auto"/>
              <w:left w:val="single" w:sz="4" w:space="0" w:color="auto"/>
              <w:bottom w:val="single" w:sz="4" w:space="0" w:color="auto"/>
              <w:right w:val="single" w:sz="4" w:space="0" w:color="auto"/>
            </w:tcBorders>
            <w:shd w:val="clear" w:color="auto" w:fill="E6E6E6"/>
            <w:hideMark/>
          </w:tcPr>
          <w:p w:rsidR="00F745FD" w:rsidRDefault="00D5482E" w:rsidP="00136D78">
            <w:pPr>
              <w:pStyle w:val="Normal0"/>
              <w:keepLines/>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lang w:val="en-US"/>
              </w:rPr>
            </w:pPr>
            <w:r>
              <w:rPr>
                <w:rFonts w:ascii="Arial" w:eastAsia="Times New Roman" w:hAnsi="Arial" w:cs="Arial"/>
                <w:b/>
                <w:color w:val="000000"/>
                <w:sz w:val="16"/>
                <w:szCs w:val="16"/>
                <w:bdr w:val="nil"/>
                <w:lang w:val="en-US"/>
              </w:rPr>
              <w:t>Program 2.4 –</w:t>
            </w:r>
            <w:r>
              <w:rPr>
                <w:rFonts w:ascii="Arial" w:eastAsia="Times New Roman" w:hAnsi="Arial" w:cs="Arial"/>
                <w:color w:val="000000"/>
                <w:sz w:val="16"/>
                <w:szCs w:val="16"/>
                <w:bdr w:val="nil"/>
                <w:lang w:val="en-US"/>
              </w:rPr>
              <w:t xml:space="preserve"> </w:t>
            </w:r>
            <w:r>
              <w:rPr>
                <w:rFonts w:ascii="Arial" w:eastAsia="Times New Roman" w:hAnsi="Arial" w:cs="Arial"/>
                <w:b/>
                <w:color w:val="000000"/>
                <w:sz w:val="16"/>
                <w:szCs w:val="16"/>
                <w:bdr w:val="nil"/>
                <w:lang w:val="en-US"/>
              </w:rPr>
              <w:t>Program Support for Outcome 2</w:t>
            </w:r>
            <w:r>
              <w:rPr>
                <w:rFonts w:ascii="Arial" w:eastAsia="Times New Roman" w:hAnsi="Arial" w:cs="Arial"/>
                <w:color w:val="000000"/>
                <w:sz w:val="16"/>
                <w:szCs w:val="16"/>
                <w:bdr w:val="nil"/>
                <w:lang w:val="en-US"/>
              </w:rPr>
              <w:t xml:space="preserve"> – To provide departmental funding for the annual operating costs of DSS to achieve agency objectives.</w:t>
            </w:r>
          </w:p>
        </w:tc>
      </w:tr>
      <w:tr w:rsidR="00010972" w:rsidTr="00DD145C">
        <w:tc>
          <w:tcPr>
            <w:tcW w:w="1814" w:type="dxa"/>
            <w:tcBorders>
              <w:top w:val="single" w:sz="4" w:space="0" w:color="auto"/>
              <w:left w:val="single" w:sz="4" w:space="0" w:color="auto"/>
              <w:bottom w:val="doub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54" w:type="dxa"/>
            <w:gridSpan w:val="2"/>
            <w:tcBorders>
              <w:top w:val="single" w:sz="4" w:space="0" w:color="auto"/>
              <w:left w:val="single" w:sz="4" w:space="0" w:color="auto"/>
              <w:bottom w:val="doub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Departmental funding.</w:t>
            </w:r>
          </w:p>
        </w:tc>
      </w:tr>
      <w:tr w:rsidR="00010972" w:rsidTr="00DD145C">
        <w:tc>
          <w:tcPr>
            <w:tcW w:w="7768" w:type="dxa"/>
            <w:gridSpan w:val="3"/>
            <w:tcBorders>
              <w:top w:val="double" w:sz="4" w:space="0" w:color="auto"/>
              <w:left w:val="single" w:sz="4" w:space="0" w:color="auto"/>
              <w:bottom w:val="doub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DD145C">
        <w:tc>
          <w:tcPr>
            <w:tcW w:w="1814" w:type="dxa"/>
            <w:tcBorders>
              <w:top w:val="double" w:sz="4" w:space="0" w:color="auto"/>
              <w:left w:val="single" w:sz="4" w:space="0" w:color="000000" w:themeColor="text1"/>
              <w:bottom w:val="single" w:sz="4" w:space="0" w:color="000000" w:themeColor="text1"/>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2977" w:type="dxa"/>
            <w:tcBorders>
              <w:top w:val="double" w:sz="4" w:space="0" w:color="auto"/>
              <w:left w:val="single" w:sz="4" w:space="0" w:color="auto"/>
              <w:bottom w:val="single" w:sz="4" w:space="0" w:color="000000" w:themeColor="text1"/>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977" w:type="dxa"/>
            <w:tcBorders>
              <w:top w:val="double" w:sz="4" w:space="0" w:color="auto"/>
              <w:left w:val="single" w:sz="4" w:space="0" w:color="auto"/>
              <w:bottom w:val="single" w:sz="4" w:space="0" w:color="000000" w:themeColor="text1"/>
              <w:right w:val="single" w:sz="4" w:space="0" w:color="auto"/>
            </w:tcBorders>
            <w:hideMark/>
          </w:tcPr>
          <w:p w:rsidR="003E54EC" w:rsidRDefault="00D5482E" w:rsidP="003E54EC">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DD145C">
        <w:tc>
          <w:tcPr>
            <w:tcW w:w="1814" w:type="dxa"/>
            <w:vMerge w:val="restart"/>
            <w:tcBorders>
              <w:top w:val="dotted" w:sz="4" w:space="0" w:color="000000" w:themeColor="text1"/>
              <w:left w:val="single" w:sz="4" w:space="0" w:color="auto"/>
              <w:bottom w:val="dotted" w:sz="4" w:space="0" w:color="000000" w:themeColor="text1"/>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2977" w:type="dxa"/>
            <w:tcBorders>
              <w:top w:val="dotted" w:sz="4" w:space="0" w:color="000000" w:themeColor="text1"/>
              <w:left w:val="single" w:sz="4" w:space="0" w:color="auto"/>
              <w:bottom w:val="dotted" w:sz="4" w:space="0" w:color="000000" w:themeColor="text1"/>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20" w:after="48"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Cross-Outcome departmental expenditure.</w:t>
            </w:r>
          </w:p>
        </w:tc>
        <w:tc>
          <w:tcPr>
            <w:tcW w:w="2977" w:type="dxa"/>
            <w:tcBorders>
              <w:top w:val="dotted" w:sz="4" w:space="0" w:color="000000" w:themeColor="text1"/>
              <w:left w:val="single" w:sz="4" w:space="0" w:color="auto"/>
              <w:bottom w:val="dotted" w:sz="4" w:space="0" w:color="000000" w:themeColor="text1"/>
              <w:right w:val="single" w:sz="4" w:space="0" w:color="auto"/>
            </w:tcBorders>
            <w:hideMark/>
          </w:tcPr>
          <w:p w:rsidR="00F745FD" w:rsidRDefault="00D5482E" w:rsidP="00973B38">
            <w:pPr>
              <w:pStyle w:val="Normal0"/>
              <w:keepLines/>
              <w:pBdr>
                <w:top w:val="nil"/>
                <w:left w:val="nil"/>
                <w:bottom w:val="nil"/>
                <w:right w:val="nil"/>
                <w:between w:val="nil"/>
                <w:bar w:val="nil"/>
              </w:pBdr>
              <w:tabs>
                <w:tab w:val="left" w:pos="709"/>
              </w:tabs>
              <w:spacing w:before="20" w:after="48"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Budget estimates are accurate (taking into account, to the extent possible, all government decisions and other circumstances that may have a material effect) and explanations are provided where variances are equivalent to or greater than two per cent between budgeted expenses and F</w:t>
            </w:r>
            <w:r w:rsidR="00973B38">
              <w:rPr>
                <w:rFonts w:ascii="Arial" w:eastAsia="Times New Roman" w:hAnsi="Arial" w:cs="Arial"/>
                <w:color w:val="000000"/>
                <w:sz w:val="16"/>
                <w:szCs w:val="16"/>
                <w:bdr w:val="nil"/>
                <w:lang w:val="en-US"/>
              </w:rPr>
              <w:t xml:space="preserve">inal Budget Outcome for all DSS’ </w:t>
            </w:r>
            <w:r>
              <w:rPr>
                <w:rFonts w:ascii="Arial" w:eastAsia="Times New Roman" w:hAnsi="Arial" w:cs="Arial"/>
                <w:color w:val="000000"/>
                <w:sz w:val="16"/>
                <w:szCs w:val="16"/>
                <w:bdr w:val="nil"/>
                <w:lang w:val="en-US"/>
              </w:rPr>
              <w:t>Outcomes.</w:t>
            </w:r>
          </w:p>
        </w:tc>
      </w:tr>
      <w:tr w:rsidR="00010972" w:rsidTr="00DD145C">
        <w:tc>
          <w:tcPr>
            <w:tcW w:w="1814" w:type="dxa"/>
            <w:vMerge/>
            <w:tcBorders>
              <w:top w:val="dotted" w:sz="4" w:space="0" w:color="000000" w:themeColor="text1"/>
              <w:left w:val="single" w:sz="4" w:space="0" w:color="auto"/>
              <w:bottom w:val="dotted" w:sz="4" w:space="0" w:color="000000" w:themeColor="text1"/>
              <w:right w:val="single" w:sz="4" w:space="0" w:color="auto"/>
            </w:tcBorders>
            <w:vAlign w:val="center"/>
            <w:hideMark/>
          </w:tcPr>
          <w:p w:rsidR="00F745FD" w:rsidRDefault="00F745FD">
            <w:pPr>
              <w:spacing w:after="0"/>
              <w:rPr>
                <w:rFonts w:ascii="Arial" w:hAnsi="Arial" w:cs="Arial"/>
                <w:sz w:val="16"/>
                <w:szCs w:val="16"/>
                <w:bdr w:val="nil"/>
              </w:rPr>
            </w:pPr>
          </w:p>
        </w:tc>
        <w:tc>
          <w:tcPr>
            <w:tcW w:w="2977" w:type="dxa"/>
            <w:tcBorders>
              <w:top w:val="dotted" w:sz="4" w:space="0" w:color="000000" w:themeColor="text1"/>
              <w:left w:val="single" w:sz="4" w:space="0" w:color="auto"/>
              <w:bottom w:val="dotted" w:sz="4" w:space="0" w:color="000000" w:themeColor="text1"/>
              <w:right w:val="single" w:sz="4" w:space="0" w:color="auto"/>
            </w:tcBorders>
            <w:hideMark/>
          </w:tcPr>
          <w:p w:rsidR="00F745FD" w:rsidRDefault="00D5482E" w:rsidP="00D81640">
            <w:pPr>
              <w:pStyle w:val="Normal0"/>
              <w:keepLines/>
              <w:pBdr>
                <w:top w:val="nil"/>
                <w:left w:val="nil"/>
                <w:bottom w:val="nil"/>
                <w:right w:val="nil"/>
                <w:between w:val="nil"/>
                <w:bar w:val="nil"/>
              </w:pBdr>
              <w:tabs>
                <w:tab w:val="left" w:pos="709"/>
              </w:tabs>
              <w:spacing w:before="20" w:after="48"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Timeliness of advice and support provided to Portfolio Ministe</w:t>
            </w:r>
            <w:r w:rsidR="00D81640">
              <w:rPr>
                <w:rFonts w:ascii="Arial" w:eastAsia="Times New Roman" w:hAnsi="Arial" w:cs="Arial"/>
                <w:color w:val="000000"/>
                <w:sz w:val="16"/>
                <w:szCs w:val="16"/>
                <w:bdr w:val="nil"/>
                <w:lang w:val="en-US"/>
              </w:rPr>
              <w:t>rs and Assistant Ministers by DSS</w:t>
            </w:r>
            <w:r>
              <w:rPr>
                <w:rFonts w:ascii="Arial" w:eastAsia="Times New Roman" w:hAnsi="Arial" w:cs="Arial"/>
                <w:color w:val="000000"/>
                <w:sz w:val="16"/>
                <w:szCs w:val="16"/>
                <w:bdr w:val="nil"/>
                <w:lang w:val="en-US"/>
              </w:rPr>
              <w:t xml:space="preserve"> across the four outcomes. </w:t>
            </w:r>
          </w:p>
        </w:tc>
        <w:tc>
          <w:tcPr>
            <w:tcW w:w="2977" w:type="dxa"/>
            <w:tcBorders>
              <w:top w:val="dotted" w:sz="4" w:space="0" w:color="000000" w:themeColor="text1"/>
              <w:left w:val="single" w:sz="4" w:space="0" w:color="auto"/>
              <w:bottom w:val="dotted" w:sz="4" w:space="0" w:color="000000" w:themeColor="text1"/>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20" w:after="48" w:line="240" w:lineRule="auto"/>
              <w:rPr>
                <w:rFonts w:ascii="Arial" w:hAnsi="Arial" w:cs="Arial"/>
                <w:color w:val="000000"/>
                <w:sz w:val="16"/>
                <w:szCs w:val="16"/>
                <w:bdr w:val="nil"/>
                <w:lang w:val="en-US"/>
              </w:rPr>
            </w:pPr>
            <w:r>
              <w:rPr>
                <w:rFonts w:ascii="Arial" w:eastAsia="Times New Roman" w:hAnsi="Arial" w:cs="Arial"/>
                <w:color w:val="000000"/>
                <w:sz w:val="16"/>
                <w:szCs w:val="16"/>
                <w:bdr w:val="nil"/>
                <w:lang w:val="en-US"/>
              </w:rPr>
              <w:t>At least 95 per cent of ministerial briefs and correspondence across the four outcomes are provided on time.</w:t>
            </w:r>
          </w:p>
        </w:tc>
      </w:tr>
      <w:tr w:rsidR="00010972" w:rsidTr="00DD145C">
        <w:tc>
          <w:tcPr>
            <w:tcW w:w="1814" w:type="dxa"/>
            <w:tcBorders>
              <w:top w:val="dotted" w:sz="4" w:space="0" w:color="000000" w:themeColor="text1"/>
              <w:left w:val="single" w:sz="4" w:space="0" w:color="auto"/>
              <w:bottom w:val="sing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2977" w:type="dxa"/>
            <w:tcBorders>
              <w:top w:val="dotted" w:sz="4" w:space="0" w:color="000000" w:themeColor="text1"/>
              <w:left w:val="single" w:sz="4" w:space="0" w:color="auto"/>
              <w:bottom w:val="single" w:sz="4" w:space="0" w:color="auto"/>
              <w:right w:val="single" w:sz="4" w:space="0" w:color="auto"/>
            </w:tcBorders>
            <w:hideMark/>
          </w:tcPr>
          <w:p w:rsidR="00F745FD"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As per 2020-21</w:t>
            </w:r>
          </w:p>
        </w:tc>
        <w:tc>
          <w:tcPr>
            <w:tcW w:w="2977" w:type="dxa"/>
            <w:tcBorders>
              <w:top w:val="dotted" w:sz="4" w:space="0" w:color="000000" w:themeColor="text1"/>
              <w:left w:val="single" w:sz="4" w:space="0" w:color="auto"/>
              <w:bottom w:val="single" w:sz="4" w:space="0" w:color="auto"/>
              <w:right w:val="single" w:sz="4" w:space="0" w:color="auto"/>
            </w:tcBorders>
            <w:hideMark/>
          </w:tcPr>
          <w:p w:rsidR="00F745FD"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As per 2020-21</w:t>
            </w:r>
          </w:p>
        </w:tc>
      </w:tr>
      <w:tr w:rsidR="00010972" w:rsidTr="00DD145C">
        <w:tc>
          <w:tcPr>
            <w:tcW w:w="1814" w:type="dxa"/>
            <w:tcBorders>
              <w:top w:val="single" w:sz="4" w:space="0" w:color="auto"/>
              <w:left w:val="single" w:sz="4" w:space="0" w:color="auto"/>
              <w:bottom w:val="sing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54" w:type="dxa"/>
            <w:gridSpan w:val="2"/>
            <w:tcBorders>
              <w:top w:val="single" w:sz="4" w:space="0" w:color="auto"/>
              <w:left w:val="single" w:sz="4" w:space="0" w:color="auto"/>
              <w:bottom w:val="single" w:sz="4" w:space="0" w:color="auto"/>
              <w:right w:val="single" w:sz="4" w:space="0" w:color="auto"/>
            </w:tcBorders>
            <w:hideMark/>
          </w:tcPr>
          <w:p w:rsidR="00F745FD"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Contribute to stronger and more resilient individuals, families and communities by providing targeted services and initiatives.</w:t>
            </w:r>
          </w:p>
        </w:tc>
      </w:tr>
      <w:tr w:rsidR="00010972" w:rsidTr="00DD145C">
        <w:tc>
          <w:tcPr>
            <w:tcW w:w="7768" w:type="dxa"/>
            <w:gridSpan w:val="3"/>
            <w:tcBorders>
              <w:top w:val="single" w:sz="4" w:space="0" w:color="auto"/>
              <w:left w:val="single" w:sz="4" w:space="0" w:color="auto"/>
              <w:bottom w:val="single" w:sz="4" w:space="0" w:color="auto"/>
              <w:right w:val="single" w:sz="4" w:space="0" w:color="auto"/>
            </w:tcBorders>
            <w:vAlign w:val="center"/>
            <w:hideMark/>
          </w:tcPr>
          <w:p w:rsidR="00F745FD" w:rsidRDefault="00D5482E">
            <w:pPr>
              <w:pStyle w:val="Normal0"/>
              <w:keepLines/>
              <w:pBdr>
                <w:top w:val="nil"/>
                <w:left w:val="nil"/>
                <w:bottom w:val="nil"/>
                <w:right w:val="nil"/>
                <w:between w:val="nil"/>
                <w:bar w:val="nil"/>
              </w:pBdr>
              <w:spacing w:after="12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2.4: Nil.</w:t>
            </w:r>
          </w:p>
        </w:tc>
      </w:tr>
    </w:tbl>
    <w:p w:rsidR="00F745FD" w:rsidRDefault="00F745FD" w:rsidP="00F745FD">
      <w:pPr>
        <w:pStyle w:val="Normal0"/>
        <w:keepLines/>
        <w:pBdr>
          <w:top w:val="nil"/>
          <w:left w:val="nil"/>
          <w:bottom w:val="nil"/>
          <w:right w:val="nil"/>
          <w:between w:val="nil"/>
          <w:bar w:val="nil"/>
        </w:pBdr>
        <w:spacing w:after="240" w:line="260" w:lineRule="exact"/>
        <w:jc w:val="both"/>
        <w:rPr>
          <w:vanish/>
          <w:bdr w:val="nil"/>
        </w:rPr>
      </w:pPr>
    </w:p>
    <w:p w:rsidR="00182A4D" w:rsidRPr="00F745FD" w:rsidRDefault="00182A4D" w:rsidP="00F745FD">
      <w:pPr>
        <w:keepLines/>
        <w:pBdr>
          <w:top w:val="nil"/>
          <w:left w:val="nil"/>
          <w:bottom w:val="nil"/>
          <w:right w:val="nil"/>
          <w:between w:val="nil"/>
          <w:bar w:val="nil"/>
        </w:pBdr>
        <w:spacing w:after="240" w:line="260" w:lineRule="exact"/>
        <w:jc w:val="both"/>
        <w:rPr>
          <w:vanish/>
          <w:bdr w:val="nil"/>
        </w:rPr>
      </w:pPr>
    </w:p>
    <w:p w:rsidR="00D86095" w:rsidRDefault="00D5482E" w:rsidP="006B0187">
      <w:pPr>
        <w:keepNext/>
        <w:keepLines/>
        <w:pageBreakBefore/>
        <w:pBdr>
          <w:top w:val="nil"/>
          <w:left w:val="nil"/>
          <w:bottom w:val="nil"/>
          <w:right w:val="nil"/>
          <w:between w:val="nil"/>
          <w:bar w:val="nil"/>
        </w:pBdr>
        <w:tabs>
          <w:tab w:val="left" w:pos="709"/>
        </w:tabs>
        <w:spacing w:after="240" w:line="240" w:lineRule="auto"/>
        <w:outlineLvl w:val="2"/>
        <w:rPr>
          <w:rFonts w:ascii="Arial" w:hAnsi="Arial"/>
          <w:b/>
          <w:smallCaps/>
          <w:sz w:val="26"/>
          <w:bdr w:val="nil"/>
        </w:rPr>
      </w:pPr>
      <w:r>
        <w:rPr>
          <w:rFonts w:ascii="Arial" w:eastAsia="Times New Roman" w:hAnsi="Arial" w:cs="Times New Roman"/>
          <w:b/>
          <w:smallCaps/>
          <w:sz w:val="26"/>
          <w:szCs w:val="20"/>
          <w:bdr w:val="nil"/>
          <w:lang w:val="en-AU" w:eastAsia="en-AU"/>
        </w:rPr>
        <w:lastRenderedPageBreak/>
        <w:t>2.3</w:t>
      </w:r>
      <w:r w:rsidRPr="00CA0CF0">
        <w:rPr>
          <w:rFonts w:ascii="Arial" w:eastAsia="Times New Roman" w:hAnsi="Arial" w:cs="Times New Roman"/>
          <w:b/>
          <w:smallCaps/>
          <w:sz w:val="26"/>
          <w:szCs w:val="20"/>
          <w:bdr w:val="nil"/>
          <w:lang w:val="en-AU" w:eastAsia="en-AU"/>
        </w:rPr>
        <w:tab/>
        <w:t>Budgeted expens</w:t>
      </w:r>
      <w:r>
        <w:rPr>
          <w:rFonts w:ascii="Arial" w:eastAsia="Times New Roman" w:hAnsi="Arial" w:cs="Times New Roman"/>
          <w:b/>
          <w:smallCaps/>
          <w:sz w:val="26"/>
          <w:szCs w:val="20"/>
          <w:bdr w:val="nil"/>
          <w:lang w:val="en-AU" w:eastAsia="en-AU"/>
        </w:rPr>
        <w:t>es and performance for Outcome 3</w:t>
      </w:r>
    </w:p>
    <w:tbl>
      <w:tblPr>
        <w:tblStyle w:val="TableGrid"/>
        <w:tblW w:w="5000" w:type="pct"/>
        <w:tblInd w:w="-5" w:type="dxa"/>
        <w:shd w:val="clear" w:color="auto" w:fill="D9D9D9" w:themeFill="background1" w:themeFillShade="D9"/>
        <w:tblCellMar>
          <w:top w:w="57" w:type="dxa"/>
          <w:bottom w:w="11" w:type="dxa"/>
        </w:tblCellMar>
        <w:tblLook w:val="04A0" w:firstRow="1" w:lastRow="0" w:firstColumn="1" w:lastColumn="0" w:noHBand="0" w:noVBand="1"/>
        <w:tblCaption w:val="Outcome 1: Social Security"/>
        <w:tblDescription w:val="Financial support for individuals and families who are unable to fully support themselves by providing a sustainable payments and concessions system."/>
      </w:tblPr>
      <w:tblGrid>
        <w:gridCol w:w="7705"/>
      </w:tblGrid>
      <w:tr w:rsidR="00010972" w:rsidTr="00241B17">
        <w:trPr>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7899" w:rsidRDefault="00D5482E" w:rsidP="00DD145C">
            <w:pPr>
              <w:pStyle w:val="Outcomeheading"/>
              <w:pBdr>
                <w:top w:val="nil"/>
                <w:left w:val="nil"/>
                <w:bottom w:val="nil"/>
                <w:right w:val="nil"/>
                <w:between w:val="nil"/>
                <w:bar w:val="nil"/>
              </w:pBdr>
              <w:tabs>
                <w:tab w:val="left" w:pos="0"/>
              </w:tabs>
              <w:outlineLvl w:val="2"/>
              <w:rPr>
                <w:rFonts w:cs="Arial"/>
                <w:bdr w:val="nil"/>
              </w:rPr>
            </w:pPr>
            <w:r>
              <w:rPr>
                <w:b w:val="0"/>
                <w:bdr w:val="nil"/>
              </w:rPr>
              <w:br w:type="page"/>
            </w:r>
            <w:r>
              <w:rPr>
                <w:bdr w:val="nil"/>
              </w:rPr>
              <w:br w:type="page"/>
            </w:r>
            <w:r>
              <w:rPr>
                <w:rFonts w:cs="Arial"/>
                <w:sz w:val="20"/>
                <w:bdr w:val="nil"/>
              </w:rPr>
              <w:t>Outcome 3: Disability and Carers</w:t>
            </w:r>
          </w:p>
          <w:p w:rsidR="00E87899" w:rsidRDefault="00D5482E" w:rsidP="00E87899">
            <w:pPr>
              <w:pStyle w:val="NormalOutcome"/>
              <w:pBdr>
                <w:top w:val="nil"/>
                <w:left w:val="nil"/>
                <w:bottom w:val="nil"/>
                <w:right w:val="nil"/>
                <w:between w:val="nil"/>
                <w:bar w:val="nil"/>
              </w:pBdr>
              <w:spacing w:line="240" w:lineRule="exact"/>
              <w:rPr>
                <w:bdr w:val="nil"/>
              </w:rPr>
            </w:pPr>
            <w:r>
              <w:rPr>
                <w:bdr w:val="nil"/>
              </w:rPr>
              <w:t>Improved independence of, and participation by, people with disability, including improved support for carers, by providing targeted support and services.</w:t>
            </w:r>
          </w:p>
        </w:tc>
      </w:tr>
    </w:tbl>
    <w:p w:rsidR="00A8389B" w:rsidRDefault="00D5482E" w:rsidP="006B0187">
      <w:pPr>
        <w:pStyle w:val="ProgramHeading1"/>
        <w:pBdr>
          <w:top w:val="nil"/>
          <w:left w:val="nil"/>
          <w:bottom w:val="nil"/>
          <w:right w:val="nil"/>
          <w:between w:val="nil"/>
          <w:bar w:val="nil"/>
        </w:pBdr>
        <w:spacing w:before="240" w:after="0"/>
        <w:rPr>
          <w:rFonts w:cs="Arial"/>
          <w:color w:val="000000"/>
          <w:sz w:val="22"/>
          <w:szCs w:val="22"/>
          <w:bdr w:val="nil"/>
        </w:rPr>
      </w:pPr>
      <w:r>
        <w:rPr>
          <w:rFonts w:cs="Arial"/>
          <w:sz w:val="22"/>
          <w:szCs w:val="22"/>
          <w:bdr w:val="nil"/>
        </w:rPr>
        <w:t>Linked p</w:t>
      </w:r>
      <w:r>
        <w:rPr>
          <w:rFonts w:cs="Arial"/>
          <w:color w:val="000000"/>
          <w:sz w:val="22"/>
          <w:szCs w:val="22"/>
          <w:bdr w:val="nil"/>
        </w:rPr>
        <w:t>rograms</w:t>
      </w: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797"/>
      </w:tblGrid>
      <w:tr w:rsidR="00010972" w:rsidTr="00DD145C">
        <w:tc>
          <w:tcPr>
            <w:tcW w:w="7797" w:type="dxa"/>
            <w:tcBorders>
              <w:top w:val="single" w:sz="4" w:space="0" w:color="auto"/>
              <w:left w:val="single" w:sz="4" w:space="0" w:color="auto"/>
              <w:bottom w:val="dotted" w:sz="4" w:space="0" w:color="auto"/>
              <w:right w:val="single" w:sz="4" w:space="0" w:color="auto"/>
            </w:tcBorders>
            <w:hideMark/>
          </w:tcPr>
          <w:p w:rsidR="00A8389B" w:rsidRDefault="00D5482E">
            <w:pPr>
              <w:pStyle w:val="ExampleText0"/>
              <w:pBdr>
                <w:top w:val="nil"/>
                <w:left w:val="nil"/>
                <w:bottom w:val="nil"/>
                <w:right w:val="nil"/>
                <w:between w:val="nil"/>
                <w:bar w:val="nil"/>
              </w:pBdr>
              <w:spacing w:before="60" w:after="60" w:line="240" w:lineRule="auto"/>
              <w:rPr>
                <w:color w:val="000000"/>
                <w:bdr w:val="nil"/>
                <w:lang w:val="en-US" w:eastAsia="en-US"/>
              </w:rPr>
            </w:pPr>
            <w:r>
              <w:rPr>
                <w:rStyle w:val="ExampletextCharChar"/>
                <w:b/>
                <w:color w:val="000000"/>
                <w:bdr w:val="nil"/>
              </w:rPr>
              <w:t>Department of Education, Skills and Employment</w:t>
            </w:r>
          </w:p>
        </w:tc>
      </w:tr>
      <w:tr w:rsidR="00010972" w:rsidTr="00DD145C">
        <w:tc>
          <w:tcPr>
            <w:tcW w:w="7797" w:type="dxa"/>
            <w:tcBorders>
              <w:top w:val="dotted" w:sz="4" w:space="0" w:color="auto"/>
              <w:left w:val="single" w:sz="4" w:space="0" w:color="auto"/>
              <w:bottom w:val="dotted" w:sz="4" w:space="0" w:color="000000" w:themeColor="text1"/>
              <w:right w:val="single" w:sz="4" w:space="0" w:color="auto"/>
            </w:tcBorders>
            <w:hideMark/>
          </w:tcPr>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Pr>
                <w:rStyle w:val="ExampletextCharChar"/>
                <w:rFonts w:eastAsiaTheme="minorHAnsi"/>
                <w:b/>
                <w:i w:val="0"/>
                <w:color w:val="000000"/>
                <w:bdr w:val="nil"/>
              </w:rPr>
              <w:t>Program</w:t>
            </w:r>
          </w:p>
          <w:p w:rsidR="00A8389B" w:rsidRPr="00A8389B" w:rsidRDefault="00D5482E" w:rsidP="00A8389B">
            <w:pPr>
              <w:numPr>
                <w:ilvl w:val="0"/>
                <w:numId w:val="25"/>
              </w:numPr>
              <w:pBdr>
                <w:top w:val="nil"/>
                <w:left w:val="nil"/>
                <w:bottom w:val="nil"/>
                <w:right w:val="nil"/>
                <w:between w:val="nil"/>
                <w:bar w:val="nil"/>
              </w:pBdr>
              <w:spacing w:before="60" w:after="60" w:line="240" w:lineRule="auto"/>
              <w:ind w:left="714" w:hanging="357"/>
              <w:jc w:val="both"/>
              <w:rPr>
                <w:rStyle w:val="ExampletextCharChar"/>
                <w:rFonts w:eastAsia="Calibri"/>
                <w:i w:val="0"/>
                <w:color w:val="000000"/>
                <w:bdr w:val="nil"/>
              </w:rPr>
            </w:pPr>
            <w:r w:rsidRPr="00A8389B">
              <w:rPr>
                <w:rStyle w:val="ExampletextCharChar"/>
                <w:rFonts w:eastAsiaTheme="minorHAnsi"/>
                <w:i w:val="0"/>
                <w:color w:val="000000"/>
                <w:bdr w:val="nil"/>
              </w:rPr>
              <w:t>Program 4.1 – Employment Services</w:t>
            </w:r>
          </w:p>
        </w:tc>
      </w:tr>
      <w:tr w:rsidR="00010972" w:rsidTr="00DD145C">
        <w:tc>
          <w:tcPr>
            <w:tcW w:w="7797" w:type="dxa"/>
            <w:tcBorders>
              <w:top w:val="dotted" w:sz="4" w:space="0" w:color="000000" w:themeColor="text1"/>
              <w:left w:val="single" w:sz="4" w:space="0" w:color="auto"/>
              <w:bottom w:val="single" w:sz="4" w:space="0" w:color="auto"/>
              <w:right w:val="single" w:sz="4" w:space="0" w:color="auto"/>
            </w:tcBorders>
            <w:hideMark/>
          </w:tcPr>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A8389B">
              <w:rPr>
                <w:rStyle w:val="ExampletextCharChar"/>
                <w:rFonts w:eastAsiaTheme="minorHAnsi"/>
                <w:b/>
                <w:i w:val="0"/>
                <w:color w:val="000000"/>
                <w:bdr w:val="nil"/>
              </w:rPr>
              <w:t xml:space="preserve">Contribution to Outcome 3 made by linked </w:t>
            </w:r>
            <w:r>
              <w:rPr>
                <w:rStyle w:val="ExampletextCharChar"/>
                <w:rFonts w:eastAsiaTheme="minorHAnsi"/>
                <w:b/>
                <w:i w:val="0"/>
                <w:color w:val="000000"/>
                <w:bdr w:val="nil"/>
              </w:rPr>
              <w:t>program</w:t>
            </w:r>
          </w:p>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A8389B">
              <w:rPr>
                <w:rStyle w:val="ExampletextCharChar"/>
                <w:rFonts w:eastAsiaTheme="minorHAnsi"/>
                <w:i w:val="0"/>
                <w:color w:val="000000"/>
                <w:bdr w:val="nil"/>
              </w:rPr>
              <w:t>The Department of Education, Skills and Employment is responsible for the provision of employment programs that assist job seekers into work. This Outcome benefits from this linked program as it encourages job seekers receiving working age payments support to meet their mutual obligation requirements and aligns program activities with broader economic participation policy and compliance frameworks.</w:t>
            </w:r>
          </w:p>
        </w:tc>
      </w:tr>
      <w:tr w:rsidR="00010972" w:rsidTr="00DD145C">
        <w:trPr>
          <w:tblHeader/>
        </w:trPr>
        <w:tc>
          <w:tcPr>
            <w:tcW w:w="7797" w:type="dxa"/>
            <w:tcBorders>
              <w:top w:val="single" w:sz="4" w:space="0" w:color="auto"/>
              <w:left w:val="single" w:sz="4" w:space="0" w:color="auto"/>
              <w:bottom w:val="dotted" w:sz="4" w:space="0" w:color="auto"/>
              <w:right w:val="single" w:sz="4" w:space="0" w:color="auto"/>
            </w:tcBorders>
            <w:hideMark/>
          </w:tcPr>
          <w:p w:rsidR="00A8389B" w:rsidRPr="00A8389B" w:rsidRDefault="00D5482E">
            <w:pPr>
              <w:pStyle w:val="ExampleText0"/>
              <w:pBdr>
                <w:top w:val="nil"/>
                <w:left w:val="nil"/>
                <w:bottom w:val="nil"/>
                <w:right w:val="nil"/>
                <w:between w:val="nil"/>
                <w:bar w:val="nil"/>
              </w:pBdr>
              <w:spacing w:before="60" w:after="60" w:line="240" w:lineRule="auto"/>
              <w:rPr>
                <w:color w:val="auto"/>
                <w:bdr w:val="nil"/>
                <w:lang w:val="en-US" w:eastAsia="en-US"/>
              </w:rPr>
            </w:pPr>
            <w:r w:rsidRPr="00A8389B">
              <w:rPr>
                <w:rStyle w:val="ExampletextCharChar"/>
                <w:b/>
                <w:color w:val="auto"/>
                <w:bdr w:val="nil"/>
              </w:rPr>
              <w:t>Department of Health</w:t>
            </w:r>
          </w:p>
        </w:tc>
      </w:tr>
      <w:tr w:rsidR="00010972" w:rsidTr="00DD145C">
        <w:tc>
          <w:tcPr>
            <w:tcW w:w="7797" w:type="dxa"/>
            <w:tcBorders>
              <w:top w:val="dotted" w:sz="4" w:space="0" w:color="auto"/>
              <w:left w:val="single" w:sz="4" w:space="0" w:color="auto"/>
              <w:bottom w:val="dotted" w:sz="4" w:space="0" w:color="000000" w:themeColor="text1"/>
              <w:right w:val="single" w:sz="4" w:space="0" w:color="auto"/>
            </w:tcBorders>
            <w:hideMark/>
          </w:tcPr>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A8389B">
              <w:rPr>
                <w:rStyle w:val="ExampletextCharChar"/>
                <w:rFonts w:eastAsiaTheme="minorHAnsi"/>
                <w:b/>
                <w:i w:val="0"/>
                <w:color w:val="000000"/>
                <w:bdr w:val="nil"/>
              </w:rPr>
              <w:t>Programs</w:t>
            </w:r>
          </w:p>
          <w:p w:rsidR="00A8389B" w:rsidRPr="00A8389B" w:rsidRDefault="00D5482E" w:rsidP="00A8389B">
            <w:pPr>
              <w:numPr>
                <w:ilvl w:val="0"/>
                <w:numId w:val="25"/>
              </w:numPr>
              <w:pBdr>
                <w:top w:val="nil"/>
                <w:left w:val="nil"/>
                <w:bottom w:val="nil"/>
                <w:right w:val="nil"/>
                <w:between w:val="nil"/>
                <w:bar w:val="nil"/>
              </w:pBdr>
              <w:spacing w:before="60" w:after="60" w:line="240" w:lineRule="auto"/>
              <w:ind w:left="714" w:hanging="357"/>
              <w:jc w:val="both"/>
              <w:rPr>
                <w:rStyle w:val="ExampletextCharChar"/>
                <w:rFonts w:eastAsiaTheme="minorHAnsi"/>
                <w:i w:val="0"/>
                <w:color w:val="000000"/>
                <w:bdr w:val="nil"/>
              </w:rPr>
            </w:pPr>
            <w:r w:rsidRPr="00A8389B">
              <w:rPr>
                <w:rStyle w:val="ExampletextCharChar"/>
                <w:rFonts w:eastAsiaTheme="minorHAnsi"/>
                <w:i w:val="0"/>
                <w:color w:val="000000"/>
                <w:bdr w:val="nil"/>
              </w:rPr>
              <w:t>Program 2.1 – Mental Health</w:t>
            </w:r>
          </w:p>
          <w:p w:rsidR="00A8389B" w:rsidRPr="00A8389B" w:rsidRDefault="00D5482E" w:rsidP="00A8389B">
            <w:pPr>
              <w:numPr>
                <w:ilvl w:val="0"/>
                <w:numId w:val="25"/>
              </w:numPr>
              <w:pBdr>
                <w:top w:val="nil"/>
                <w:left w:val="nil"/>
                <w:bottom w:val="nil"/>
                <w:right w:val="nil"/>
                <w:between w:val="nil"/>
                <w:bar w:val="nil"/>
              </w:pBdr>
              <w:spacing w:before="60" w:after="60" w:line="240" w:lineRule="auto"/>
              <w:ind w:left="714" w:hanging="357"/>
              <w:jc w:val="both"/>
              <w:rPr>
                <w:rStyle w:val="ExampletextCharChar"/>
                <w:rFonts w:eastAsiaTheme="minorHAnsi"/>
                <w:i w:val="0"/>
                <w:color w:val="000000"/>
                <w:bdr w:val="nil"/>
              </w:rPr>
            </w:pPr>
            <w:r w:rsidRPr="00A8389B">
              <w:rPr>
                <w:rStyle w:val="ExampletextCharChar"/>
                <w:rFonts w:eastAsiaTheme="minorHAnsi"/>
                <w:i w:val="0"/>
                <w:color w:val="000000"/>
                <w:bdr w:val="nil"/>
              </w:rPr>
              <w:t>Program 6.1 – Access and Information</w:t>
            </w:r>
          </w:p>
          <w:p w:rsidR="00A8389B" w:rsidRPr="00A8389B" w:rsidRDefault="00D5482E" w:rsidP="00A8389B">
            <w:pPr>
              <w:numPr>
                <w:ilvl w:val="0"/>
                <w:numId w:val="25"/>
              </w:numPr>
              <w:pBdr>
                <w:top w:val="nil"/>
                <w:left w:val="nil"/>
                <w:bottom w:val="nil"/>
                <w:right w:val="nil"/>
                <w:between w:val="nil"/>
                <w:bar w:val="nil"/>
              </w:pBdr>
              <w:spacing w:before="60" w:after="60" w:line="240" w:lineRule="auto"/>
              <w:ind w:left="714" w:hanging="357"/>
              <w:jc w:val="both"/>
              <w:rPr>
                <w:rStyle w:val="ExampletextCharChar"/>
                <w:rFonts w:eastAsiaTheme="minorHAnsi"/>
                <w:i w:val="0"/>
                <w:color w:val="000000"/>
                <w:bdr w:val="nil"/>
              </w:rPr>
            </w:pPr>
            <w:r w:rsidRPr="00A8389B">
              <w:rPr>
                <w:rStyle w:val="ExampletextCharChar"/>
                <w:rFonts w:eastAsiaTheme="minorHAnsi"/>
                <w:i w:val="0"/>
                <w:color w:val="000000"/>
                <w:bdr w:val="nil"/>
              </w:rPr>
              <w:t>Program 6.2 – Aged Care Services</w:t>
            </w:r>
          </w:p>
          <w:p w:rsidR="00A8389B" w:rsidRPr="00A8389B" w:rsidRDefault="00D5482E" w:rsidP="00A8389B">
            <w:pPr>
              <w:numPr>
                <w:ilvl w:val="0"/>
                <w:numId w:val="25"/>
              </w:numPr>
              <w:pBdr>
                <w:top w:val="nil"/>
                <w:left w:val="nil"/>
                <w:bottom w:val="nil"/>
                <w:right w:val="nil"/>
                <w:between w:val="nil"/>
                <w:bar w:val="nil"/>
              </w:pBdr>
              <w:spacing w:before="60" w:after="60" w:line="240" w:lineRule="auto"/>
              <w:ind w:left="714" w:hanging="357"/>
              <w:jc w:val="both"/>
              <w:rPr>
                <w:rStyle w:val="ExampletextCharChar"/>
                <w:rFonts w:eastAsia="Calibri"/>
                <w:i w:val="0"/>
                <w:color w:val="000000"/>
                <w:bdr w:val="nil"/>
              </w:rPr>
            </w:pPr>
            <w:r w:rsidRPr="00A8389B">
              <w:rPr>
                <w:rStyle w:val="ExampletextCharChar"/>
                <w:rFonts w:eastAsiaTheme="minorHAnsi"/>
                <w:i w:val="0"/>
                <w:color w:val="000000"/>
                <w:bdr w:val="nil"/>
              </w:rPr>
              <w:t>Program 6.3 – Aged Care Quality</w:t>
            </w:r>
          </w:p>
        </w:tc>
      </w:tr>
      <w:tr w:rsidR="00010972" w:rsidTr="00DD145C">
        <w:tc>
          <w:tcPr>
            <w:tcW w:w="7797" w:type="dxa"/>
            <w:tcBorders>
              <w:top w:val="dotted" w:sz="4" w:space="0" w:color="000000" w:themeColor="text1"/>
              <w:left w:val="single" w:sz="4" w:space="0" w:color="auto"/>
              <w:bottom w:val="single" w:sz="4" w:space="0" w:color="auto"/>
              <w:right w:val="single" w:sz="4" w:space="0" w:color="auto"/>
            </w:tcBorders>
            <w:hideMark/>
          </w:tcPr>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A8389B">
              <w:rPr>
                <w:rStyle w:val="ExampletextCharChar"/>
                <w:rFonts w:eastAsiaTheme="minorHAnsi"/>
                <w:b/>
                <w:i w:val="0"/>
                <w:color w:val="000000"/>
                <w:bdr w:val="nil"/>
              </w:rPr>
              <w:t>Contribution to Outcome 3 made by linked programs</w:t>
            </w:r>
          </w:p>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Calibri"/>
                <w:i w:val="0"/>
                <w:color w:val="000000"/>
                <w:bdr w:val="nil"/>
              </w:rPr>
            </w:pPr>
            <w:r w:rsidRPr="00A8389B">
              <w:rPr>
                <w:rStyle w:val="ExampletextCharChar"/>
                <w:rFonts w:eastAsiaTheme="minorHAnsi"/>
                <w:i w:val="0"/>
                <w:color w:val="000000"/>
                <w:bdr w:val="nil"/>
              </w:rPr>
              <w:t>This Outcome benefits from these linked programs as they also seek to improve the independence of, and participation by, people with disability and carers. In particular, the Department of Health manages programs that will have partial or full funding transition to the NDIS. The Department of Health also has policy responsibility for Medicare Benefits Schedule items in relation to disability and mental health.</w:t>
            </w:r>
          </w:p>
        </w:tc>
      </w:tr>
      <w:tr w:rsidR="00010972" w:rsidTr="00DD145C">
        <w:tc>
          <w:tcPr>
            <w:tcW w:w="7797" w:type="dxa"/>
            <w:tcBorders>
              <w:top w:val="single" w:sz="4" w:space="0" w:color="auto"/>
              <w:left w:val="single" w:sz="4" w:space="0" w:color="auto"/>
              <w:bottom w:val="dotted" w:sz="4" w:space="0" w:color="auto"/>
              <w:right w:val="single" w:sz="4" w:space="0" w:color="auto"/>
            </w:tcBorders>
            <w:hideMark/>
          </w:tcPr>
          <w:p w:rsidR="00A8389B" w:rsidRPr="00A8389B" w:rsidRDefault="00D5482E">
            <w:pPr>
              <w:pStyle w:val="ExampleText0"/>
              <w:pBdr>
                <w:top w:val="nil"/>
                <w:left w:val="nil"/>
                <w:bottom w:val="nil"/>
                <w:right w:val="nil"/>
                <w:between w:val="nil"/>
                <w:bar w:val="nil"/>
              </w:pBdr>
              <w:spacing w:before="60" w:after="60" w:line="240" w:lineRule="auto"/>
              <w:rPr>
                <w:bdr w:val="nil"/>
                <w:lang w:val="en-US" w:eastAsia="en-US"/>
              </w:rPr>
            </w:pPr>
            <w:r w:rsidRPr="00A8389B">
              <w:rPr>
                <w:rStyle w:val="ExampletextCharChar"/>
                <w:b/>
                <w:color w:val="000000"/>
                <w:bdr w:val="nil"/>
              </w:rPr>
              <w:t>Services Australia</w:t>
            </w:r>
          </w:p>
        </w:tc>
      </w:tr>
      <w:tr w:rsidR="00010972" w:rsidTr="00DD145C">
        <w:tc>
          <w:tcPr>
            <w:tcW w:w="7797" w:type="dxa"/>
            <w:tcBorders>
              <w:top w:val="dotted" w:sz="4" w:space="0" w:color="auto"/>
              <w:left w:val="single" w:sz="4" w:space="0" w:color="auto"/>
              <w:bottom w:val="dotted" w:sz="4" w:space="0" w:color="000000" w:themeColor="text1"/>
              <w:right w:val="single" w:sz="4" w:space="0" w:color="auto"/>
            </w:tcBorders>
            <w:hideMark/>
          </w:tcPr>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Pr>
                <w:rStyle w:val="ExampletextCharChar"/>
                <w:rFonts w:eastAsiaTheme="minorHAnsi"/>
                <w:b/>
                <w:i w:val="0"/>
                <w:color w:val="000000"/>
                <w:bdr w:val="nil"/>
              </w:rPr>
              <w:t>Program</w:t>
            </w:r>
          </w:p>
          <w:p w:rsidR="00A8389B" w:rsidRPr="00A8389B" w:rsidRDefault="00D5482E" w:rsidP="00A8389B">
            <w:pPr>
              <w:numPr>
                <w:ilvl w:val="0"/>
                <w:numId w:val="25"/>
              </w:numPr>
              <w:pBdr>
                <w:top w:val="nil"/>
                <w:left w:val="nil"/>
                <w:bottom w:val="nil"/>
                <w:right w:val="nil"/>
                <w:between w:val="nil"/>
                <w:bar w:val="nil"/>
              </w:pBdr>
              <w:spacing w:before="60" w:after="60" w:line="240" w:lineRule="auto"/>
              <w:ind w:left="714" w:hanging="357"/>
              <w:jc w:val="both"/>
              <w:rPr>
                <w:rStyle w:val="ExampletextCharChar"/>
                <w:rFonts w:eastAsia="Calibri"/>
                <w:i w:val="0"/>
                <w:color w:val="000000"/>
                <w:bdr w:val="nil"/>
              </w:rPr>
            </w:pPr>
            <w:r w:rsidRPr="00A8389B">
              <w:rPr>
                <w:rStyle w:val="ExampletextCharChar"/>
                <w:rFonts w:eastAsiaTheme="minorHAnsi"/>
                <w:i w:val="0"/>
                <w:color w:val="000000"/>
                <w:bdr w:val="nil"/>
              </w:rPr>
              <w:t>Program 1.1 – Services to the Community – Social Security and Welfare</w:t>
            </w:r>
          </w:p>
        </w:tc>
      </w:tr>
      <w:tr w:rsidR="00010972" w:rsidTr="00DD145C">
        <w:tc>
          <w:tcPr>
            <w:tcW w:w="7797" w:type="dxa"/>
            <w:tcBorders>
              <w:top w:val="dotted" w:sz="4" w:space="0" w:color="000000" w:themeColor="text1"/>
              <w:left w:val="single" w:sz="4" w:space="0" w:color="auto"/>
              <w:bottom w:val="single" w:sz="4" w:space="0" w:color="auto"/>
              <w:right w:val="single" w:sz="4" w:space="0" w:color="auto"/>
            </w:tcBorders>
            <w:hideMark/>
          </w:tcPr>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A8389B">
              <w:rPr>
                <w:rStyle w:val="ExampletextCharChar"/>
                <w:rFonts w:eastAsiaTheme="minorHAnsi"/>
                <w:b/>
                <w:i w:val="0"/>
                <w:color w:val="000000"/>
                <w:bdr w:val="nil"/>
              </w:rPr>
              <w:t>Contribution to O</w:t>
            </w:r>
            <w:r>
              <w:rPr>
                <w:rStyle w:val="ExampletextCharChar"/>
                <w:rFonts w:eastAsiaTheme="minorHAnsi"/>
                <w:b/>
                <w:i w:val="0"/>
                <w:color w:val="000000"/>
                <w:bdr w:val="nil"/>
              </w:rPr>
              <w:t>utcome 3 made by linked program</w:t>
            </w:r>
          </w:p>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A8389B">
              <w:rPr>
                <w:rStyle w:val="ExampletextCharChar"/>
                <w:rFonts w:eastAsiaTheme="minorHAnsi"/>
                <w:i w:val="0"/>
                <w:color w:val="000000"/>
                <w:bdr w:val="nil"/>
              </w:rPr>
              <w:t>Various payments and concessions under this Outcome are delivered through this linked program administered by Services Australia.</w:t>
            </w:r>
          </w:p>
        </w:tc>
      </w:tr>
    </w:tbl>
    <w:p w:rsidR="00A8389B" w:rsidRDefault="00D5482E" w:rsidP="00A8389B">
      <w:pPr>
        <w:pBdr>
          <w:top w:val="nil"/>
          <w:left w:val="nil"/>
          <w:bottom w:val="nil"/>
          <w:right w:val="nil"/>
          <w:between w:val="nil"/>
          <w:bar w:val="nil"/>
        </w:pBdr>
        <w:rPr>
          <w:rFonts w:ascii="Arial" w:hAnsi="Arial" w:cs="Arial"/>
          <w:b/>
          <w:bdr w:val="nil"/>
        </w:rPr>
      </w:pPr>
      <w:r>
        <w:rPr>
          <w:rFonts w:ascii="Book Antiqua" w:eastAsia="Times New Roman" w:hAnsi="Book Antiqua" w:cs="Arial"/>
          <w:bdr w:val="nil"/>
          <w:lang w:val="en-AU" w:eastAsia="en-AU"/>
        </w:rPr>
        <w:br w:type="page"/>
      </w:r>
    </w:p>
    <w:p w:rsidR="00A8389B" w:rsidRDefault="00D5482E" w:rsidP="006B0187">
      <w:pPr>
        <w:pStyle w:val="ProgramHeading1"/>
        <w:pBdr>
          <w:top w:val="nil"/>
          <w:left w:val="nil"/>
          <w:bottom w:val="nil"/>
          <w:right w:val="nil"/>
          <w:between w:val="nil"/>
          <w:bar w:val="nil"/>
        </w:pBdr>
        <w:spacing w:before="0" w:after="0"/>
        <w:rPr>
          <w:rFonts w:cs="Arial"/>
          <w:sz w:val="22"/>
          <w:szCs w:val="22"/>
          <w:bdr w:val="nil"/>
        </w:rPr>
      </w:pPr>
      <w:r>
        <w:rPr>
          <w:rFonts w:cs="Arial"/>
          <w:sz w:val="22"/>
          <w:szCs w:val="22"/>
          <w:bdr w:val="nil"/>
        </w:rPr>
        <w:lastRenderedPageBreak/>
        <w:t>Linked programs (continued)</w:t>
      </w:r>
    </w:p>
    <w:tbl>
      <w:tblPr>
        <w:tblW w:w="7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910"/>
      </w:tblGrid>
      <w:tr w:rsidR="00010972" w:rsidTr="00241B17">
        <w:tc>
          <w:tcPr>
            <w:tcW w:w="7910" w:type="dxa"/>
            <w:tcBorders>
              <w:top w:val="single" w:sz="4" w:space="0" w:color="auto"/>
              <w:left w:val="single" w:sz="4" w:space="0" w:color="auto"/>
              <w:bottom w:val="dotted" w:sz="4" w:space="0" w:color="auto"/>
              <w:right w:val="single" w:sz="4" w:space="0" w:color="auto"/>
            </w:tcBorders>
            <w:hideMark/>
          </w:tcPr>
          <w:p w:rsidR="00A8389B" w:rsidRDefault="00D5482E">
            <w:pPr>
              <w:pStyle w:val="ExampleText0"/>
              <w:pBdr>
                <w:top w:val="nil"/>
                <w:left w:val="nil"/>
                <w:bottom w:val="nil"/>
                <w:right w:val="nil"/>
                <w:between w:val="nil"/>
                <w:bar w:val="nil"/>
              </w:pBdr>
              <w:spacing w:before="60" w:after="60" w:line="240" w:lineRule="auto"/>
              <w:rPr>
                <w:color w:val="000000"/>
                <w:bdr w:val="nil"/>
                <w:lang w:val="en-US" w:eastAsia="en-US"/>
              </w:rPr>
            </w:pPr>
            <w:r>
              <w:rPr>
                <w:rStyle w:val="ExampletextCharChar"/>
                <w:b/>
                <w:color w:val="000000"/>
                <w:bdr w:val="nil"/>
              </w:rPr>
              <w:t>National Disability Insurance Agency</w:t>
            </w:r>
          </w:p>
        </w:tc>
      </w:tr>
      <w:tr w:rsidR="00010972" w:rsidTr="00241B17">
        <w:tc>
          <w:tcPr>
            <w:tcW w:w="7910" w:type="dxa"/>
            <w:tcBorders>
              <w:top w:val="dotted" w:sz="4" w:space="0" w:color="auto"/>
              <w:left w:val="single" w:sz="4" w:space="0" w:color="auto"/>
              <w:bottom w:val="dotted" w:sz="4" w:space="0" w:color="000000" w:themeColor="text1"/>
              <w:right w:val="single" w:sz="4" w:space="0" w:color="auto"/>
            </w:tcBorders>
            <w:hideMark/>
          </w:tcPr>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A8389B">
              <w:rPr>
                <w:rStyle w:val="ExampletextCharChar"/>
                <w:rFonts w:eastAsiaTheme="minorHAnsi"/>
                <w:b/>
                <w:i w:val="0"/>
                <w:color w:val="000000"/>
                <w:bdr w:val="nil"/>
              </w:rPr>
              <w:t>Programs</w:t>
            </w:r>
          </w:p>
          <w:p w:rsidR="00A8389B" w:rsidRPr="00A8389B" w:rsidRDefault="00D5482E" w:rsidP="00A8389B">
            <w:pPr>
              <w:numPr>
                <w:ilvl w:val="0"/>
                <w:numId w:val="25"/>
              </w:numPr>
              <w:pBdr>
                <w:top w:val="nil"/>
                <w:left w:val="nil"/>
                <w:bottom w:val="nil"/>
                <w:right w:val="nil"/>
                <w:between w:val="nil"/>
                <w:bar w:val="nil"/>
              </w:pBdr>
              <w:spacing w:before="60" w:after="60" w:line="240" w:lineRule="auto"/>
              <w:ind w:left="714" w:hanging="357"/>
              <w:jc w:val="both"/>
              <w:rPr>
                <w:rStyle w:val="ExampletextCharChar"/>
                <w:rFonts w:eastAsiaTheme="minorHAnsi"/>
                <w:i w:val="0"/>
                <w:color w:val="000000"/>
                <w:bdr w:val="nil"/>
              </w:rPr>
            </w:pPr>
            <w:r w:rsidRPr="00A8389B">
              <w:rPr>
                <w:rStyle w:val="ExampletextCharChar"/>
                <w:rFonts w:eastAsiaTheme="minorHAnsi"/>
                <w:i w:val="0"/>
                <w:color w:val="000000"/>
                <w:bdr w:val="nil"/>
              </w:rPr>
              <w:t>Program 1.1 – Reasonable and necessary support for participants</w:t>
            </w:r>
          </w:p>
          <w:p w:rsidR="00A8389B" w:rsidRPr="00A8389B" w:rsidRDefault="00D5482E" w:rsidP="00A8389B">
            <w:pPr>
              <w:numPr>
                <w:ilvl w:val="0"/>
                <w:numId w:val="25"/>
              </w:numPr>
              <w:pBdr>
                <w:top w:val="nil"/>
                <w:left w:val="nil"/>
                <w:bottom w:val="nil"/>
                <w:right w:val="nil"/>
                <w:between w:val="nil"/>
                <w:bar w:val="nil"/>
              </w:pBdr>
              <w:spacing w:before="60" w:after="60" w:line="240" w:lineRule="auto"/>
              <w:ind w:left="714" w:hanging="357"/>
              <w:jc w:val="both"/>
              <w:rPr>
                <w:rStyle w:val="ExampletextCharChar"/>
                <w:rFonts w:eastAsiaTheme="minorHAnsi"/>
                <w:i w:val="0"/>
                <w:color w:val="000000"/>
                <w:bdr w:val="nil"/>
              </w:rPr>
            </w:pPr>
            <w:r w:rsidRPr="00A8389B">
              <w:rPr>
                <w:rStyle w:val="ExampletextCharChar"/>
                <w:rFonts w:eastAsiaTheme="minorHAnsi"/>
                <w:i w:val="0"/>
                <w:color w:val="000000"/>
                <w:bdr w:val="nil"/>
              </w:rPr>
              <w:t>Program 1.2 – Community inclusion and capacity development grants</w:t>
            </w:r>
          </w:p>
          <w:p w:rsidR="00A8389B" w:rsidRPr="00A8389B" w:rsidRDefault="00D5482E" w:rsidP="00A8389B">
            <w:pPr>
              <w:numPr>
                <w:ilvl w:val="0"/>
                <w:numId w:val="25"/>
              </w:numPr>
              <w:pBdr>
                <w:top w:val="nil"/>
                <w:left w:val="nil"/>
                <w:bottom w:val="nil"/>
                <w:right w:val="nil"/>
                <w:between w:val="nil"/>
                <w:bar w:val="nil"/>
              </w:pBdr>
              <w:spacing w:before="60" w:after="60" w:line="240" w:lineRule="auto"/>
              <w:ind w:left="714" w:hanging="357"/>
              <w:jc w:val="both"/>
              <w:rPr>
                <w:rStyle w:val="ExampletextCharChar"/>
                <w:rFonts w:eastAsiaTheme="minorHAnsi"/>
                <w:i w:val="0"/>
                <w:color w:val="000000"/>
                <w:bdr w:val="nil"/>
              </w:rPr>
            </w:pPr>
            <w:r w:rsidRPr="00A8389B">
              <w:rPr>
                <w:rStyle w:val="ExampletextCharChar"/>
                <w:rFonts w:eastAsiaTheme="minorHAnsi"/>
                <w:i w:val="0"/>
                <w:color w:val="000000"/>
                <w:bdr w:val="nil"/>
              </w:rPr>
              <w:t>Program 1.3 – Agency Costs</w:t>
            </w:r>
          </w:p>
        </w:tc>
      </w:tr>
      <w:tr w:rsidR="00010972" w:rsidTr="00241B17">
        <w:tc>
          <w:tcPr>
            <w:tcW w:w="7910" w:type="dxa"/>
            <w:tcBorders>
              <w:top w:val="dotted" w:sz="4" w:space="0" w:color="000000" w:themeColor="text1"/>
              <w:left w:val="single" w:sz="4" w:space="0" w:color="auto"/>
              <w:bottom w:val="single" w:sz="4" w:space="0" w:color="auto"/>
              <w:right w:val="single" w:sz="4" w:space="0" w:color="auto"/>
            </w:tcBorders>
            <w:hideMark/>
          </w:tcPr>
          <w:p w:rsidR="00A8389B" w:rsidRPr="00A8389B" w:rsidRDefault="00D5482E">
            <w:pPr>
              <w:pStyle w:val="ProgramHeading1"/>
              <w:pBdr>
                <w:top w:val="nil"/>
                <w:left w:val="nil"/>
                <w:bottom w:val="nil"/>
                <w:right w:val="nil"/>
                <w:between w:val="nil"/>
                <w:bar w:val="nil"/>
              </w:pBdr>
              <w:spacing w:before="60" w:after="60" w:line="276" w:lineRule="auto"/>
              <w:rPr>
                <w:rStyle w:val="ExampletextCharChar"/>
                <w:rFonts w:eastAsia="Calibri"/>
                <w:b w:val="0"/>
                <w:i w:val="0"/>
                <w:color w:val="000000"/>
                <w:bdr w:val="nil"/>
              </w:rPr>
            </w:pPr>
            <w:r w:rsidRPr="00A8389B">
              <w:rPr>
                <w:rStyle w:val="ExampletextCharChar"/>
                <w:i w:val="0"/>
                <w:color w:val="000000"/>
                <w:bdr w:val="nil"/>
              </w:rPr>
              <w:t>Contribution to Outcome 3 made by linked programs</w:t>
            </w:r>
          </w:p>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Calibri"/>
                <w:i w:val="0"/>
                <w:color w:val="000000"/>
                <w:bdr w:val="nil"/>
              </w:rPr>
            </w:pPr>
            <w:r w:rsidRPr="00A8389B">
              <w:rPr>
                <w:rStyle w:val="ExampletextCharChar"/>
                <w:rFonts w:eastAsiaTheme="minorHAnsi"/>
                <w:i w:val="0"/>
                <w:color w:val="000000"/>
                <w:bdr w:val="nil"/>
              </w:rPr>
              <w:t>These linked programs provide for the delivery of the NDIS.</w:t>
            </w:r>
          </w:p>
        </w:tc>
      </w:tr>
      <w:tr w:rsidR="00010972" w:rsidTr="00241B17">
        <w:tc>
          <w:tcPr>
            <w:tcW w:w="7910" w:type="dxa"/>
            <w:tcBorders>
              <w:top w:val="single" w:sz="4" w:space="0" w:color="auto"/>
              <w:left w:val="single" w:sz="4" w:space="0" w:color="auto"/>
              <w:bottom w:val="dotted" w:sz="4" w:space="0" w:color="auto"/>
              <w:right w:val="single" w:sz="4" w:space="0" w:color="auto"/>
            </w:tcBorders>
            <w:hideMark/>
          </w:tcPr>
          <w:p w:rsidR="00A8389B" w:rsidRPr="00A8389B" w:rsidRDefault="00D5482E">
            <w:pPr>
              <w:pStyle w:val="ExampleText0"/>
              <w:pBdr>
                <w:top w:val="nil"/>
                <w:left w:val="nil"/>
                <w:bottom w:val="nil"/>
                <w:right w:val="nil"/>
                <w:between w:val="nil"/>
                <w:bar w:val="nil"/>
              </w:pBdr>
              <w:spacing w:before="60" w:after="60" w:line="240" w:lineRule="auto"/>
              <w:rPr>
                <w:rStyle w:val="ExampletextCharChar"/>
                <w:b/>
                <w:color w:val="000000"/>
                <w:bdr w:val="nil"/>
              </w:rPr>
            </w:pPr>
            <w:r w:rsidRPr="00A8389B">
              <w:rPr>
                <w:rStyle w:val="ExampletextCharChar"/>
                <w:b/>
                <w:color w:val="000000"/>
                <w:bdr w:val="nil"/>
              </w:rPr>
              <w:t>NDIS Quality and Safeguards Commission</w:t>
            </w:r>
          </w:p>
        </w:tc>
      </w:tr>
      <w:tr w:rsidR="00010972" w:rsidTr="00241B17">
        <w:tc>
          <w:tcPr>
            <w:tcW w:w="7910" w:type="dxa"/>
            <w:tcBorders>
              <w:top w:val="dotted" w:sz="4" w:space="0" w:color="auto"/>
              <w:left w:val="single" w:sz="4" w:space="0" w:color="auto"/>
              <w:bottom w:val="dotted" w:sz="4" w:space="0" w:color="auto"/>
              <w:right w:val="single" w:sz="4" w:space="0" w:color="auto"/>
            </w:tcBorders>
            <w:hideMark/>
          </w:tcPr>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Pr>
                <w:rStyle w:val="ExampletextCharChar"/>
                <w:rFonts w:eastAsiaTheme="minorHAnsi"/>
                <w:b/>
                <w:i w:val="0"/>
                <w:color w:val="000000"/>
                <w:bdr w:val="nil"/>
              </w:rPr>
              <w:t>Program</w:t>
            </w:r>
          </w:p>
          <w:p w:rsidR="00A8389B" w:rsidRPr="00A8389B" w:rsidRDefault="00D5482E" w:rsidP="00A8389B">
            <w:pPr>
              <w:numPr>
                <w:ilvl w:val="0"/>
                <w:numId w:val="25"/>
              </w:numPr>
              <w:pBdr>
                <w:top w:val="nil"/>
                <w:left w:val="nil"/>
                <w:bottom w:val="nil"/>
                <w:right w:val="nil"/>
                <w:between w:val="nil"/>
                <w:bar w:val="nil"/>
              </w:pBdr>
              <w:spacing w:before="60" w:after="60" w:line="240" w:lineRule="auto"/>
              <w:ind w:left="714" w:hanging="357"/>
              <w:jc w:val="both"/>
              <w:rPr>
                <w:rStyle w:val="ExampletextCharChar"/>
                <w:rFonts w:eastAsiaTheme="minorHAnsi"/>
                <w:b/>
                <w:i w:val="0"/>
                <w:color w:val="000000"/>
                <w:bdr w:val="nil"/>
              </w:rPr>
            </w:pPr>
            <w:r w:rsidRPr="00A8389B">
              <w:rPr>
                <w:rStyle w:val="ExampletextCharChar"/>
                <w:rFonts w:eastAsiaTheme="minorHAnsi"/>
                <w:i w:val="0"/>
                <w:color w:val="000000"/>
                <w:bdr w:val="nil"/>
              </w:rPr>
              <w:t>Program 1.1 – Support for National Disability Insurance Scheme providers in relation to registration</w:t>
            </w:r>
          </w:p>
        </w:tc>
      </w:tr>
      <w:tr w:rsidR="00010972" w:rsidTr="00241B17">
        <w:tc>
          <w:tcPr>
            <w:tcW w:w="7910" w:type="dxa"/>
            <w:tcBorders>
              <w:top w:val="dotted" w:sz="4" w:space="0" w:color="auto"/>
              <w:left w:val="single" w:sz="4" w:space="0" w:color="auto"/>
              <w:bottom w:val="single" w:sz="4" w:space="0" w:color="auto"/>
              <w:right w:val="single" w:sz="4" w:space="0" w:color="auto"/>
            </w:tcBorders>
            <w:hideMark/>
          </w:tcPr>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Theme="minorHAnsi"/>
                <w:b/>
                <w:i w:val="0"/>
                <w:color w:val="000000"/>
                <w:bdr w:val="nil"/>
              </w:rPr>
            </w:pPr>
            <w:r w:rsidRPr="00A8389B">
              <w:rPr>
                <w:rStyle w:val="ExampletextCharChar"/>
                <w:rFonts w:eastAsiaTheme="minorHAnsi"/>
                <w:b/>
                <w:i w:val="0"/>
                <w:color w:val="000000"/>
                <w:bdr w:val="nil"/>
              </w:rPr>
              <w:t>Contribution to O</w:t>
            </w:r>
            <w:r>
              <w:rPr>
                <w:rStyle w:val="ExampletextCharChar"/>
                <w:rFonts w:eastAsiaTheme="minorHAnsi"/>
                <w:b/>
                <w:i w:val="0"/>
                <w:color w:val="000000"/>
                <w:bdr w:val="nil"/>
              </w:rPr>
              <w:t>utcome 3 made by linked program</w:t>
            </w:r>
          </w:p>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Theme="minorHAnsi"/>
                <w:i w:val="0"/>
                <w:color w:val="000000"/>
                <w:bdr w:val="nil"/>
              </w:rPr>
            </w:pPr>
            <w:r w:rsidRPr="00A8389B">
              <w:rPr>
                <w:rStyle w:val="ExampletextCharChar"/>
                <w:rFonts w:eastAsiaTheme="minorHAnsi"/>
                <w:i w:val="0"/>
                <w:color w:val="000000"/>
                <w:bdr w:val="nil"/>
              </w:rPr>
              <w:t>The NDIS Quality and Safeguards Commission supports NDIS participants to exercise choice and control, ensure appropriate safeguards are in place for NDIS supports, and establish expectations for providers and their staff to deliver quality support.</w:t>
            </w:r>
          </w:p>
        </w:tc>
      </w:tr>
      <w:tr w:rsidR="00010972" w:rsidTr="00241B17">
        <w:tc>
          <w:tcPr>
            <w:tcW w:w="7910" w:type="dxa"/>
            <w:tcBorders>
              <w:top w:val="single" w:sz="4" w:space="0" w:color="auto"/>
              <w:left w:val="single" w:sz="4" w:space="0" w:color="auto"/>
              <w:bottom w:val="dotted" w:sz="4" w:space="0" w:color="auto"/>
              <w:right w:val="single" w:sz="4" w:space="0" w:color="auto"/>
            </w:tcBorders>
            <w:hideMark/>
          </w:tcPr>
          <w:p w:rsidR="00A8389B" w:rsidRPr="00A8389B" w:rsidRDefault="00D5482E">
            <w:pPr>
              <w:pStyle w:val="ExampleText0"/>
              <w:pBdr>
                <w:top w:val="nil"/>
                <w:left w:val="nil"/>
                <w:bottom w:val="nil"/>
                <w:right w:val="nil"/>
                <w:between w:val="nil"/>
                <w:bar w:val="nil"/>
              </w:pBdr>
              <w:spacing w:before="60" w:after="60" w:line="240" w:lineRule="auto"/>
              <w:rPr>
                <w:rStyle w:val="ExampletextCharChar"/>
                <w:b/>
                <w:color w:val="000000"/>
                <w:bdr w:val="nil"/>
              </w:rPr>
            </w:pPr>
            <w:r w:rsidRPr="00A8389B">
              <w:rPr>
                <w:rStyle w:val="ExampletextCharChar"/>
                <w:b/>
                <w:color w:val="000000"/>
                <w:bdr w:val="nil"/>
              </w:rPr>
              <w:t>The Treasury</w:t>
            </w:r>
          </w:p>
        </w:tc>
      </w:tr>
      <w:tr w:rsidR="00010972" w:rsidTr="00241B17">
        <w:tc>
          <w:tcPr>
            <w:tcW w:w="7910" w:type="dxa"/>
            <w:tcBorders>
              <w:top w:val="dotted" w:sz="4" w:space="0" w:color="auto"/>
              <w:left w:val="single" w:sz="4" w:space="0" w:color="auto"/>
              <w:bottom w:val="dotted" w:sz="4" w:space="0" w:color="auto"/>
              <w:right w:val="single" w:sz="4" w:space="0" w:color="auto"/>
            </w:tcBorders>
            <w:hideMark/>
          </w:tcPr>
          <w:p w:rsidR="00A8389B" w:rsidRPr="00A8389B" w:rsidRDefault="00D5482E">
            <w:pPr>
              <w:keepLines/>
              <w:pBdr>
                <w:top w:val="nil"/>
                <w:left w:val="nil"/>
                <w:bottom w:val="nil"/>
                <w:right w:val="nil"/>
                <w:between w:val="nil"/>
                <w:bar w:val="nil"/>
              </w:pBdr>
              <w:spacing w:before="60" w:after="60" w:line="240" w:lineRule="auto"/>
              <w:jc w:val="both"/>
              <w:rPr>
                <w:rStyle w:val="ExampletextCharChar"/>
                <w:rFonts w:eastAsiaTheme="minorHAnsi"/>
                <w:b/>
                <w:i w:val="0"/>
                <w:color w:val="000000"/>
                <w:bdr w:val="nil"/>
              </w:rPr>
            </w:pPr>
            <w:r w:rsidRPr="00A8389B">
              <w:rPr>
                <w:rStyle w:val="ExampletextCharChar"/>
                <w:rFonts w:eastAsiaTheme="minorHAnsi"/>
                <w:b/>
                <w:i w:val="0"/>
                <w:color w:val="000000"/>
                <w:bdr w:val="nil"/>
              </w:rPr>
              <w:t>Programs</w:t>
            </w:r>
          </w:p>
          <w:p w:rsidR="00A8389B" w:rsidRPr="00A8389B" w:rsidRDefault="00D5482E" w:rsidP="00A8389B">
            <w:pPr>
              <w:numPr>
                <w:ilvl w:val="0"/>
                <w:numId w:val="25"/>
              </w:numPr>
              <w:pBdr>
                <w:top w:val="nil"/>
                <w:left w:val="nil"/>
                <w:bottom w:val="nil"/>
                <w:right w:val="nil"/>
                <w:between w:val="nil"/>
                <w:bar w:val="nil"/>
              </w:pBdr>
              <w:spacing w:before="60" w:after="60" w:line="240" w:lineRule="auto"/>
              <w:ind w:left="714" w:hanging="357"/>
              <w:jc w:val="both"/>
              <w:rPr>
                <w:rStyle w:val="ExampletextCharChar"/>
                <w:rFonts w:eastAsiaTheme="minorHAnsi"/>
                <w:i w:val="0"/>
                <w:color w:val="000000"/>
                <w:bdr w:val="nil"/>
              </w:rPr>
            </w:pPr>
            <w:r w:rsidRPr="00A8389B">
              <w:rPr>
                <w:rStyle w:val="ExampletextCharChar"/>
                <w:rFonts w:eastAsiaTheme="minorHAnsi"/>
                <w:i w:val="0"/>
                <w:color w:val="000000"/>
                <w:bdr w:val="nil"/>
              </w:rPr>
              <w:t>Program 1.7 – Assistance to the State for Disability Services</w:t>
            </w:r>
          </w:p>
          <w:p w:rsidR="00A8389B" w:rsidRPr="00A8389B" w:rsidRDefault="00D5482E" w:rsidP="00A8389B">
            <w:pPr>
              <w:numPr>
                <w:ilvl w:val="0"/>
                <w:numId w:val="25"/>
              </w:numPr>
              <w:pBdr>
                <w:top w:val="nil"/>
                <w:left w:val="nil"/>
                <w:bottom w:val="nil"/>
                <w:right w:val="nil"/>
                <w:between w:val="nil"/>
                <w:bar w:val="nil"/>
              </w:pBdr>
              <w:spacing w:before="60" w:after="60" w:line="240" w:lineRule="auto"/>
              <w:ind w:left="714" w:hanging="357"/>
              <w:jc w:val="both"/>
              <w:rPr>
                <w:rStyle w:val="ExampletextCharChar"/>
                <w:rFonts w:eastAsiaTheme="minorHAnsi"/>
                <w:i w:val="0"/>
                <w:color w:val="000000"/>
                <w:bdr w:val="nil"/>
              </w:rPr>
            </w:pPr>
            <w:r w:rsidRPr="00A8389B">
              <w:rPr>
                <w:rStyle w:val="ExampletextCharChar"/>
                <w:rFonts w:eastAsiaTheme="minorHAnsi"/>
                <w:i w:val="0"/>
                <w:color w:val="000000"/>
                <w:bdr w:val="nil"/>
              </w:rPr>
              <w:t>Program 1.9 – National Partnership Payments to the States</w:t>
            </w:r>
          </w:p>
        </w:tc>
      </w:tr>
      <w:tr w:rsidR="00010972" w:rsidTr="00241B17">
        <w:tc>
          <w:tcPr>
            <w:tcW w:w="7910" w:type="dxa"/>
            <w:tcBorders>
              <w:top w:val="dotted" w:sz="4" w:space="0" w:color="auto"/>
              <w:left w:val="single" w:sz="4" w:space="0" w:color="auto"/>
              <w:bottom w:val="single" w:sz="4" w:space="0" w:color="auto"/>
              <w:right w:val="single" w:sz="4" w:space="0" w:color="auto"/>
            </w:tcBorders>
            <w:hideMark/>
          </w:tcPr>
          <w:p w:rsidR="00A8389B" w:rsidRPr="00A8389B" w:rsidRDefault="00D5482E">
            <w:pPr>
              <w:pStyle w:val="ProgramHeading1"/>
              <w:pBdr>
                <w:top w:val="nil"/>
                <w:left w:val="nil"/>
                <w:bottom w:val="nil"/>
                <w:right w:val="nil"/>
                <w:between w:val="nil"/>
                <w:bar w:val="nil"/>
              </w:pBdr>
              <w:spacing w:before="60" w:after="60" w:line="276" w:lineRule="auto"/>
              <w:rPr>
                <w:rStyle w:val="ExampletextCharChar"/>
                <w:i w:val="0"/>
                <w:color w:val="000000"/>
                <w:bdr w:val="nil"/>
              </w:rPr>
            </w:pPr>
            <w:r w:rsidRPr="00A8389B">
              <w:rPr>
                <w:rStyle w:val="ExampletextCharChar"/>
                <w:i w:val="0"/>
                <w:color w:val="000000"/>
                <w:bdr w:val="nil"/>
              </w:rPr>
              <w:t>Contribution to Outcome 3 made by linked programs</w:t>
            </w:r>
          </w:p>
          <w:p w:rsidR="00A8389B" w:rsidRPr="00A8389B" w:rsidRDefault="00D5482E" w:rsidP="0039617E">
            <w:pPr>
              <w:pStyle w:val="ProgramHeading1"/>
              <w:pBdr>
                <w:top w:val="nil"/>
                <w:left w:val="nil"/>
                <w:bottom w:val="nil"/>
                <w:right w:val="nil"/>
                <w:between w:val="nil"/>
                <w:bar w:val="nil"/>
              </w:pBdr>
              <w:spacing w:before="60" w:after="60" w:line="276" w:lineRule="auto"/>
              <w:rPr>
                <w:rStyle w:val="ExampletextCharChar"/>
                <w:b w:val="0"/>
                <w:i w:val="0"/>
                <w:color w:val="000000"/>
                <w:bdr w:val="nil"/>
              </w:rPr>
            </w:pPr>
            <w:r w:rsidRPr="00A8389B">
              <w:rPr>
                <w:rStyle w:val="ExampletextCharChar2"/>
                <w:b w:val="0"/>
                <w:i w:val="0"/>
                <w:color w:val="000000"/>
                <w:bdr w:val="nil"/>
                <w:lang w:val="en-US" w:eastAsia="en-US"/>
              </w:rPr>
              <w:t xml:space="preserve">The Treasury makes National Specific Purpose Payments to the states for disability services. It also makes National Partnership payments on behalf of </w:t>
            </w:r>
            <w:r>
              <w:rPr>
                <w:rStyle w:val="ExampletextCharChar2"/>
                <w:b w:val="0"/>
                <w:i w:val="0"/>
                <w:color w:val="000000"/>
                <w:bdr w:val="nil"/>
                <w:lang w:val="en-US" w:eastAsia="en-US"/>
              </w:rPr>
              <w:t>DSS</w:t>
            </w:r>
            <w:r w:rsidRPr="00A8389B">
              <w:rPr>
                <w:rStyle w:val="ExampletextCharChar2"/>
                <w:b w:val="0"/>
                <w:i w:val="0"/>
                <w:color w:val="000000"/>
                <w:bdr w:val="nil"/>
                <w:lang w:val="en-US" w:eastAsia="en-US"/>
              </w:rPr>
              <w:t xml:space="preserve"> to the states on transition to the NDIS and other agreements.  </w:t>
            </w:r>
          </w:p>
        </w:tc>
      </w:tr>
    </w:tbl>
    <w:p w:rsidR="00FB7F4B" w:rsidRDefault="00D5482E" w:rsidP="00832AC5">
      <w:pPr>
        <w:pBdr>
          <w:top w:val="nil"/>
          <w:left w:val="nil"/>
          <w:bottom w:val="nil"/>
          <w:right w:val="nil"/>
          <w:between w:val="nil"/>
          <w:bar w:val="nil"/>
        </w:pBdr>
        <w:rPr>
          <w:rFonts w:ascii="Arial" w:hAnsi="Arial" w:cs="Arial"/>
          <w:b/>
          <w:bdr w:val="nil"/>
        </w:rPr>
      </w:pPr>
      <w:r>
        <w:rPr>
          <w:rFonts w:ascii="Book Antiqua" w:eastAsia="Times New Roman" w:hAnsi="Book Antiqua" w:cs="Arial"/>
          <w:bdr w:val="nil"/>
          <w:lang w:val="en-AU" w:eastAsia="en-AU"/>
        </w:rPr>
        <w:br w:type="page"/>
      </w:r>
    </w:p>
    <w:p w:rsidR="009340CE" w:rsidRDefault="00D5482E" w:rsidP="007E1878">
      <w:pPr>
        <w:pStyle w:val="TableHeading"/>
        <w:keepLines/>
        <w:pBdr>
          <w:top w:val="nil"/>
          <w:left w:val="nil"/>
          <w:bottom w:val="nil"/>
          <w:right w:val="nil"/>
          <w:between w:val="nil"/>
          <w:bar w:val="nil"/>
        </w:pBdr>
        <w:spacing w:before="0" w:after="240"/>
        <w:rPr>
          <w:bdr w:val="nil"/>
        </w:rPr>
      </w:pPr>
      <w:r>
        <w:rPr>
          <w:bdr w:val="nil"/>
        </w:rPr>
        <w:lastRenderedPageBreak/>
        <w:t>Budgeted expenses for Outcome 3</w:t>
      </w:r>
    </w:p>
    <w:p w:rsidR="009340CE" w:rsidRDefault="00D5482E" w:rsidP="006B0187">
      <w:pPr>
        <w:keepLines/>
        <w:pBdr>
          <w:top w:val="nil"/>
          <w:left w:val="nil"/>
          <w:bottom w:val="nil"/>
          <w:right w:val="nil"/>
          <w:between w:val="nil"/>
          <w:bar w:val="nil"/>
        </w:pBdr>
        <w:spacing w:after="240" w:line="260" w:lineRule="exact"/>
        <w:jc w:val="both"/>
        <w:rPr>
          <w:bdr w:val="nil"/>
        </w:rPr>
      </w:pPr>
      <w:r>
        <w:rPr>
          <w:rFonts w:ascii="Book Antiqua" w:eastAsia="Times New Roman" w:hAnsi="Book Antiqua" w:cs="Times New Roman"/>
          <w:sz w:val="20"/>
          <w:szCs w:val="20"/>
          <w:bdr w:val="nil"/>
          <w:lang w:val="en-AU" w:eastAsia="en-AU"/>
        </w:rPr>
        <w:t>This table shows how much the entity intends to spend (on an accrual basis) on achieving the outcome, broken down by program, as well as by Administered and Departmental funding sources.</w:t>
      </w:r>
    </w:p>
    <w:p w:rsidR="009340CE" w:rsidRDefault="00D5482E" w:rsidP="009340CE">
      <w:pPr>
        <w:keepLines/>
        <w:pBdr>
          <w:top w:val="nil"/>
          <w:left w:val="nil"/>
          <w:bottom w:val="nil"/>
          <w:right w:val="nil"/>
          <w:between w:val="nil"/>
          <w:bar w:val="nil"/>
        </w:pBdr>
        <w:spacing w:after="0" w:line="260" w:lineRule="exact"/>
        <w:jc w:val="both"/>
        <w:rPr>
          <w:rFonts w:ascii="Arial" w:hAnsi="Arial" w:cs="Arial"/>
          <w:b/>
          <w:bdr w:val="nil"/>
        </w:rPr>
      </w:pPr>
      <w:r>
        <w:rPr>
          <w:rFonts w:ascii="Arial" w:eastAsia="Times New Roman" w:hAnsi="Arial" w:cs="Arial"/>
          <w:b/>
          <w:sz w:val="20"/>
          <w:szCs w:val="20"/>
          <w:bdr w:val="nil"/>
          <w:lang w:val="en-AU" w:eastAsia="en-AU"/>
        </w:rPr>
        <w:t>Table 2.3.1: Budgeted expenses for Outcome 3</w:t>
      </w:r>
    </w:p>
    <w:tbl>
      <w:tblPr>
        <w:tblStyle w:val="CDMRange1"/>
        <w:tblW w:w="7695" w:type="dxa"/>
        <w:tblLayout w:type="fixed"/>
        <w:tblCellMar>
          <w:top w:w="11" w:type="dxa"/>
          <w:bottom w:w="11" w:type="dxa"/>
        </w:tblCellMar>
        <w:tblLook w:val="0600" w:firstRow="0" w:lastRow="0" w:firstColumn="0" w:lastColumn="0" w:noHBand="1" w:noVBand="1"/>
        <w:tblCaption w:val="Table 2.3.1: Budgeted expenses for Outcome 3"/>
      </w:tblPr>
      <w:tblGrid>
        <w:gridCol w:w="2820"/>
        <w:gridCol w:w="975"/>
        <w:gridCol w:w="975"/>
        <w:gridCol w:w="975"/>
        <w:gridCol w:w="975"/>
        <w:gridCol w:w="975"/>
      </w:tblGrid>
      <w:tr w:rsidR="00010972" w:rsidTr="00E42292">
        <w:trPr>
          <w:tblHeader/>
        </w:trPr>
        <w:tc>
          <w:tcPr>
            <w:tcW w:w="2820" w:type="dxa"/>
            <w:vMerge w:val="restart"/>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Outcome 3: Disability and Carers</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3.1 - Disability Mental Health and Carers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1,501,020</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1,829,592</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1,884,343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1,868,204</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1,869,230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Accounts</w:t>
            </w:r>
          </w:p>
        </w:tc>
        <w:tc>
          <w:tcPr>
            <w:tcW w:w="97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National Disability Research</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Special Account 2016</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713</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National Disability Research</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Special Account 2020</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781</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1,501,733</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1,830,575</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1,884,343</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1,868,204</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1,869,230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3.1</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1,501,733</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1,830,575</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1,884,343</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1,868,204</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1,869,230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3.2 - National Disability Insurance Scheme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7,100,732</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11,120,406</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12,962,531</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12,658,283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12,373,899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Payments to corporate entities</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1,413,257</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1,208,878</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1,232,613</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1,366,504</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1,251,220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8,513,989</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12,329,284</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14,195,144</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14,024,787</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13,625,119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3.2</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8,513,989</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12,329,284</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14,195,144</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14,024,787</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13,625,119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3.3 - Program Support for Outcome 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expenses</w:t>
            </w:r>
          </w:p>
        </w:tc>
        <w:tc>
          <w:tcPr>
            <w:tcW w:w="97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appropriation</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121,780</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102,703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101,235</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96,046</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94,072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s74 External Revenue (a)</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3,625</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6,867</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6,033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6,033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6,033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Expenses not requiring</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in the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Budget year (b)</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10,541</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2,261</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2,052</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1,789</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1,749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Departmental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135,946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111,831</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109,320</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103,868</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101,854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3.3</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135,946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111,831</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109,320</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103,868</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101,854</w:t>
            </w:r>
          </w:p>
        </w:tc>
      </w:tr>
    </w:tbl>
    <w:p w:rsidR="009340CE" w:rsidRDefault="00D5482E" w:rsidP="009340CE">
      <w:pPr>
        <w:pBdr>
          <w:top w:val="nil"/>
          <w:left w:val="nil"/>
          <w:bottom w:val="nil"/>
          <w:right w:val="nil"/>
          <w:between w:val="nil"/>
          <w:bar w:val="nil"/>
        </w:pBdr>
        <w:rPr>
          <w:rFonts w:ascii="Arial" w:hAnsi="Arial"/>
          <w:b/>
          <w:smallCaps/>
          <w:sz w:val="26"/>
          <w:bdr w:val="nil"/>
        </w:rPr>
      </w:pPr>
      <w:r>
        <w:rPr>
          <w:rFonts w:ascii="Arial" w:eastAsia="Times New Roman" w:hAnsi="Arial" w:cs="Times New Roman"/>
          <w:b/>
          <w:smallCaps/>
          <w:sz w:val="26"/>
          <w:szCs w:val="20"/>
          <w:bdr w:val="nil"/>
          <w:lang w:val="en-AU" w:eastAsia="en-AU"/>
        </w:rPr>
        <w:br w:type="page"/>
      </w:r>
    </w:p>
    <w:p w:rsidR="009340CE" w:rsidRDefault="00D5482E" w:rsidP="00BB7814">
      <w:pPr>
        <w:pStyle w:val="TableHeading"/>
        <w:keepLines/>
        <w:pBdr>
          <w:top w:val="nil"/>
          <w:left w:val="nil"/>
          <w:bottom w:val="nil"/>
          <w:right w:val="nil"/>
          <w:between w:val="nil"/>
          <w:bar w:val="nil"/>
        </w:pBdr>
        <w:spacing w:before="0" w:after="0"/>
        <w:rPr>
          <w:bdr w:val="nil"/>
        </w:rPr>
      </w:pPr>
      <w:r>
        <w:rPr>
          <w:bdr w:val="nil"/>
        </w:rPr>
        <w:lastRenderedPageBreak/>
        <w:t>Table 2.3.1: Budgeted expenses for Outcome 3 (continued)</w:t>
      </w:r>
    </w:p>
    <w:tbl>
      <w:tblPr>
        <w:tblStyle w:val="CDMRange2"/>
        <w:tblW w:w="7695" w:type="dxa"/>
        <w:tblLayout w:type="fixed"/>
        <w:tblCellMar>
          <w:top w:w="11" w:type="dxa"/>
          <w:bottom w:w="11" w:type="dxa"/>
        </w:tblCellMar>
        <w:tblLook w:val="0600" w:firstRow="0" w:lastRow="0" w:firstColumn="0" w:lastColumn="0" w:noHBand="1" w:noVBand="1"/>
        <w:tblCaption w:val="Table 2.3.1: Budgeted expenses for Outcome 3 (continued)"/>
      </w:tblPr>
      <w:tblGrid>
        <w:gridCol w:w="2820"/>
        <w:gridCol w:w="975"/>
        <w:gridCol w:w="975"/>
        <w:gridCol w:w="975"/>
        <w:gridCol w:w="975"/>
        <w:gridCol w:w="975"/>
      </w:tblGrid>
      <w:tr w:rsidR="00010972" w:rsidTr="00E42292">
        <w:trPr>
          <w:tblHeader/>
        </w:trPr>
        <w:tc>
          <w:tcPr>
            <w:tcW w:w="2820" w:type="dxa"/>
            <w:vMerge w:val="restart"/>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Outcome 3: Disability and Carers</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Outcome 3 Totals by appropriation type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8,601,752</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12,949,998</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14,846,874</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14,526,487</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14,243,129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Payments to corporate entities</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1,413,257</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1,208,878</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1,232,613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1,366,504</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1,251,220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Accounts</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713</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983</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10,015,722</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14,159,859</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16,079,487</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15,892,991</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15,494,349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appropriation</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121,780</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102,703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101,235</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96,046</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94,072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s74 External Revenue (a)</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3,625</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6,867</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6,033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6,033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6,033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Expenses not requiring</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in the</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Budget year (b)</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10,541</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2,261</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2,052</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1,789</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1,749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Departmental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135,946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111,831</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109,320</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103,868</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101,854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Outcome 3</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10,151,668</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14,271,690</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16,188,807</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15,996,859</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15,596,203</w:t>
            </w:r>
          </w:p>
        </w:tc>
      </w:tr>
    </w:tbl>
    <w:p w:rsidR="00551AF7" w:rsidRPr="00551AF7" w:rsidRDefault="00D5482E" w:rsidP="00551AF7">
      <w:pPr>
        <w:keepLines/>
        <w:pBdr>
          <w:top w:val="nil"/>
          <w:left w:val="nil"/>
          <w:bottom w:val="nil"/>
          <w:right w:val="nil"/>
          <w:between w:val="nil"/>
          <w:bar w:val="nil"/>
        </w:pBdr>
        <w:spacing w:after="0" w:line="240" w:lineRule="auto"/>
        <w:jc w:val="both"/>
        <w:rPr>
          <w:rFonts w:ascii="Arial" w:hAnsi="Arial" w:cs="Arial"/>
          <w:sz w:val="16"/>
          <w:szCs w:val="16"/>
          <w:bdr w:val="nil"/>
        </w:rPr>
      </w:pPr>
      <w:r w:rsidRPr="00551AF7">
        <w:rPr>
          <w:rFonts w:ascii="Arial" w:eastAsia="Times New Roman" w:hAnsi="Arial" w:cs="Arial"/>
          <w:sz w:val="16"/>
          <w:szCs w:val="16"/>
          <w:bdr w:val="nil"/>
          <w:lang w:val="en-AU" w:eastAsia="en-AU"/>
        </w:rPr>
        <w:t>Note: Departmental appropriation splits and totals are indicative estimates and may change in the course of the Budget year as Government priorities change.</w:t>
      </w:r>
    </w:p>
    <w:p w:rsidR="00F2198F" w:rsidRPr="00551AF7" w:rsidRDefault="00D5482E" w:rsidP="00F2198F">
      <w:pPr>
        <w:pStyle w:val="ListParagraph"/>
        <w:keepLines/>
        <w:numPr>
          <w:ilvl w:val="0"/>
          <w:numId w:val="26"/>
        </w:numPr>
        <w:pBdr>
          <w:top w:val="nil"/>
          <w:left w:val="nil"/>
          <w:bottom w:val="nil"/>
          <w:right w:val="nil"/>
          <w:between w:val="nil"/>
          <w:bar w:val="nil"/>
        </w:pBdr>
        <w:spacing w:after="0" w:line="240" w:lineRule="auto"/>
        <w:ind w:left="284" w:hanging="284"/>
        <w:jc w:val="both"/>
        <w:rPr>
          <w:rFonts w:eastAsia="Times New Roman" w:cs="Arial"/>
          <w:sz w:val="16"/>
          <w:szCs w:val="16"/>
          <w:bdr w:val="nil"/>
          <w:lang w:val="en-AU"/>
        </w:rPr>
      </w:pPr>
      <w:r w:rsidRPr="00551AF7">
        <w:rPr>
          <w:rFonts w:ascii="Arial" w:eastAsia="Times New Roman" w:hAnsi="Arial" w:cs="Arial"/>
          <w:sz w:val="16"/>
          <w:szCs w:val="16"/>
          <w:bdr w:val="nil"/>
          <w:lang w:val="en-AU"/>
        </w:rPr>
        <w:t>Estimated expenses incurred in relation to receipts retained under section 74 of the PGPA Act.</w:t>
      </w:r>
    </w:p>
    <w:p w:rsidR="00F2198F" w:rsidRPr="00551AF7" w:rsidRDefault="00D5482E" w:rsidP="00F2198F">
      <w:pPr>
        <w:pStyle w:val="ListParagraph"/>
        <w:keepLines/>
        <w:numPr>
          <w:ilvl w:val="0"/>
          <w:numId w:val="26"/>
        </w:numPr>
        <w:pBdr>
          <w:top w:val="nil"/>
          <w:left w:val="nil"/>
          <w:bottom w:val="nil"/>
          <w:right w:val="nil"/>
          <w:between w:val="nil"/>
          <w:bar w:val="nil"/>
        </w:pBdr>
        <w:spacing w:before="40" w:after="40" w:line="240" w:lineRule="auto"/>
        <w:ind w:left="284" w:hanging="284"/>
        <w:jc w:val="both"/>
        <w:rPr>
          <w:rFonts w:eastAsia="Times New Roman" w:cs="Arial"/>
          <w:sz w:val="16"/>
          <w:szCs w:val="16"/>
          <w:bdr w:val="nil"/>
          <w:lang w:val="en-AU"/>
        </w:rPr>
      </w:pPr>
      <w:r>
        <w:rPr>
          <w:rFonts w:ascii="Arial" w:eastAsia="Times New Roman" w:hAnsi="Arial" w:cs="Arial"/>
          <w:sz w:val="16"/>
          <w:szCs w:val="16"/>
          <w:bdr w:val="nil"/>
          <w:lang w:val="en-AU"/>
        </w:rPr>
        <w:t>‘</w:t>
      </w:r>
      <w:r w:rsidRPr="00551AF7">
        <w:rPr>
          <w:rFonts w:ascii="Arial" w:eastAsia="Times New Roman" w:hAnsi="Arial" w:cs="Arial"/>
          <w:sz w:val="16"/>
          <w:szCs w:val="16"/>
          <w:bdr w:val="nil"/>
          <w:lang w:val="en-AU"/>
        </w:rPr>
        <w:t>Expenses not requiring appropriation in the Budget year</w:t>
      </w:r>
      <w:r>
        <w:rPr>
          <w:rFonts w:ascii="Arial" w:eastAsia="Times New Roman" w:hAnsi="Arial" w:cs="Arial"/>
          <w:sz w:val="16"/>
          <w:szCs w:val="16"/>
          <w:bdr w:val="nil"/>
          <w:lang w:val="en-AU"/>
        </w:rPr>
        <w:t>’</w:t>
      </w:r>
      <w:r w:rsidRPr="00551AF7">
        <w:rPr>
          <w:rFonts w:ascii="Arial" w:eastAsia="Times New Roman" w:hAnsi="Arial" w:cs="Arial"/>
          <w:sz w:val="16"/>
          <w:szCs w:val="16"/>
          <w:bdr w:val="nil"/>
          <w:lang w:val="en-AU"/>
        </w:rPr>
        <w:t xml:space="preserve"> </w:t>
      </w:r>
      <w:r>
        <w:rPr>
          <w:rFonts w:ascii="Arial" w:eastAsia="Times New Roman" w:hAnsi="Arial" w:cs="Arial"/>
          <w:sz w:val="16"/>
          <w:szCs w:val="16"/>
          <w:bdr w:val="nil"/>
          <w:lang w:val="en-AU"/>
        </w:rPr>
        <w:t>is</w:t>
      </w:r>
      <w:r w:rsidRPr="00551AF7">
        <w:rPr>
          <w:rFonts w:ascii="Arial" w:eastAsia="Times New Roman" w:hAnsi="Arial" w:cs="Arial"/>
          <w:sz w:val="16"/>
          <w:szCs w:val="16"/>
          <w:bdr w:val="nil"/>
          <w:lang w:val="en-AU"/>
        </w:rPr>
        <w:t xml:space="preserve"> made up of depreciation, amortisation expenses and audit fees.</w:t>
      </w:r>
    </w:p>
    <w:p w:rsidR="00327F45" w:rsidRDefault="00327F45">
      <w:pPr>
        <w:pBdr>
          <w:top w:val="nil"/>
          <w:left w:val="nil"/>
          <w:bottom w:val="nil"/>
          <w:right w:val="nil"/>
          <w:between w:val="nil"/>
          <w:bar w:val="nil"/>
        </w:pBdr>
        <w:rPr>
          <w:rFonts w:ascii="Arial" w:hAnsi="Arial"/>
          <w:b/>
          <w:vanish/>
          <w:bdr w:val="nil"/>
        </w:rPr>
      </w:pPr>
    </w:p>
    <w:p w:rsidR="00D86095" w:rsidRDefault="00D5482E" w:rsidP="00A65F67">
      <w:pPr>
        <w:pStyle w:val="TableHeading"/>
        <w:keepLines/>
        <w:pageBreakBefore/>
        <w:pBdr>
          <w:top w:val="nil"/>
          <w:left w:val="nil"/>
          <w:bottom w:val="nil"/>
          <w:right w:val="nil"/>
          <w:between w:val="nil"/>
          <w:bar w:val="nil"/>
        </w:pBdr>
        <w:spacing w:before="0" w:after="0"/>
        <w:rPr>
          <w:bdr w:val="nil"/>
        </w:rPr>
      </w:pPr>
      <w:r w:rsidRPr="002E3447">
        <w:rPr>
          <w:bdr w:val="nil"/>
        </w:rPr>
        <w:lastRenderedPageBreak/>
        <w:t>Table 2</w:t>
      </w:r>
      <w:r>
        <w:rPr>
          <w:bdr w:val="nil"/>
        </w:rPr>
        <w:t>.3</w:t>
      </w:r>
      <w:r w:rsidRPr="002E3447">
        <w:rPr>
          <w:bdr w:val="nil"/>
        </w:rPr>
        <w:t>.</w:t>
      </w:r>
      <w:r>
        <w:rPr>
          <w:bdr w:val="nil"/>
        </w:rPr>
        <w:t>2</w:t>
      </w:r>
      <w:r w:rsidRPr="002E3447">
        <w:rPr>
          <w:bdr w:val="nil"/>
        </w:rPr>
        <w:t xml:space="preserve">: </w:t>
      </w:r>
      <w:r>
        <w:rPr>
          <w:bdr w:val="nil"/>
        </w:rPr>
        <w:t>Program</w:t>
      </w:r>
      <w:r w:rsidRPr="002E3447">
        <w:rPr>
          <w:bdr w:val="nil"/>
        </w:rPr>
        <w:t xml:space="preserve"> </w:t>
      </w:r>
      <w:r>
        <w:rPr>
          <w:bdr w:val="nil"/>
        </w:rPr>
        <w:t>component expenses for Outcome 3</w:t>
      </w:r>
    </w:p>
    <w:tbl>
      <w:tblPr>
        <w:tblStyle w:val="CDMRange1"/>
        <w:tblW w:w="7695" w:type="dxa"/>
        <w:tblLayout w:type="fixed"/>
        <w:tblCellMar>
          <w:top w:w="11" w:type="dxa"/>
          <w:bottom w:w="11" w:type="dxa"/>
        </w:tblCellMar>
        <w:tblLook w:val="0600" w:firstRow="0" w:lastRow="0" w:firstColumn="0" w:lastColumn="0" w:noHBand="1" w:noVBand="1"/>
        <w:tblCaption w:val="Table 2.3.1: Budgeted expenses for Outcome 3 (continued)"/>
      </w:tblPr>
      <w:tblGrid>
        <w:gridCol w:w="2820"/>
        <w:gridCol w:w="975"/>
        <w:gridCol w:w="975"/>
        <w:gridCol w:w="975"/>
        <w:gridCol w:w="975"/>
        <w:gridCol w:w="975"/>
      </w:tblGrid>
      <w:tr w:rsidR="00010972" w:rsidTr="00E42292">
        <w:trPr>
          <w:tblHeader/>
        </w:trPr>
        <w:tc>
          <w:tcPr>
            <w:tcW w:w="7695" w:type="dxa"/>
            <w:gridSpan w:val="6"/>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3.1: Disability Mental Health and Carers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3.1.1 - Component 1 (Community Mental Health)</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52,571</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60,013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74,768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75,642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76,701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52,571</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60,013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74,768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75,642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76,701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3.1.2 - Component 2 (Disability and Carer Support)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181,647</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232,663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237,009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208,451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233,131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2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181,647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232,663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237,009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208,451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233,131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3.1.3 - Component 3 (Disability Employment)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1,231,407</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1,417,532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1,513,297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1,526,922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1,511,004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3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1,231,407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1,417,532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1,513,297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1,526,922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1,511,004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3.1.4 - Component 4 (Disability and Carer Service Improvement and Sector Support)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35,395</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119,384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59,269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57,189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48,394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4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35,395</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119,384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59,269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57,189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48,394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3.1.5 - Component 5 (National Disability Research Special Account 2016)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Account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National Disability Research</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Special Account 2016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713</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5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713</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3.1.6 - Component 6 (National Disability Research Special Account 2020)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Account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National Disability Research</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Special Account 2020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781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6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781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1,501,733</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1,830,575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1,884,343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1,868,204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1,869,230</w:t>
            </w:r>
          </w:p>
        </w:tc>
      </w:tr>
    </w:tbl>
    <w:p w:rsidR="00084361" w:rsidRDefault="00D5482E" w:rsidP="00C66C7D">
      <w:pPr>
        <w:pStyle w:val="TableGraphic"/>
        <w:keepLines/>
        <w:pBdr>
          <w:top w:val="nil"/>
          <w:left w:val="nil"/>
          <w:bottom w:val="nil"/>
          <w:right w:val="nil"/>
          <w:between w:val="nil"/>
          <w:bar w:val="nil"/>
        </w:pBdr>
        <w:spacing w:after="240"/>
        <w:rPr>
          <w:bdr w:val="nil"/>
        </w:rPr>
      </w:pPr>
      <w:r>
        <w:rPr>
          <w:bdr w:val="nil"/>
        </w:rPr>
        <w:br w:type="page"/>
      </w:r>
    </w:p>
    <w:p w:rsidR="00084361" w:rsidRDefault="00D5482E" w:rsidP="00A65F67">
      <w:pPr>
        <w:pStyle w:val="TableHeading"/>
        <w:keepLines/>
        <w:pBdr>
          <w:top w:val="nil"/>
          <w:left w:val="nil"/>
          <w:bottom w:val="nil"/>
          <w:right w:val="nil"/>
          <w:between w:val="nil"/>
          <w:bar w:val="nil"/>
        </w:pBdr>
        <w:spacing w:before="0" w:after="0"/>
        <w:rPr>
          <w:bdr w:val="nil"/>
        </w:rPr>
      </w:pPr>
      <w:r w:rsidRPr="002E3447">
        <w:rPr>
          <w:bdr w:val="nil"/>
        </w:rPr>
        <w:lastRenderedPageBreak/>
        <w:t>Table 2</w:t>
      </w:r>
      <w:r>
        <w:rPr>
          <w:bdr w:val="nil"/>
        </w:rPr>
        <w:t>.3</w:t>
      </w:r>
      <w:r w:rsidRPr="002E3447">
        <w:rPr>
          <w:bdr w:val="nil"/>
        </w:rPr>
        <w:t>.</w:t>
      </w:r>
      <w:r>
        <w:rPr>
          <w:bdr w:val="nil"/>
        </w:rPr>
        <w:t>2</w:t>
      </w:r>
      <w:r w:rsidRPr="002E3447">
        <w:rPr>
          <w:bdr w:val="nil"/>
        </w:rPr>
        <w:t xml:space="preserve">: </w:t>
      </w:r>
      <w:r>
        <w:rPr>
          <w:bdr w:val="nil"/>
        </w:rPr>
        <w:t>Program</w:t>
      </w:r>
      <w:r w:rsidRPr="002E3447">
        <w:rPr>
          <w:bdr w:val="nil"/>
        </w:rPr>
        <w:t xml:space="preserve"> </w:t>
      </w:r>
      <w:r>
        <w:rPr>
          <w:bdr w:val="nil"/>
        </w:rPr>
        <w:t>component expenses for Outcome 3 (continued)</w:t>
      </w:r>
    </w:p>
    <w:tbl>
      <w:tblPr>
        <w:tblStyle w:val="CDMRange2"/>
        <w:tblW w:w="7695" w:type="dxa"/>
        <w:tblLayout w:type="fixed"/>
        <w:tblCellMar>
          <w:top w:w="11" w:type="dxa"/>
          <w:bottom w:w="11" w:type="dxa"/>
        </w:tblCellMar>
        <w:tblLook w:val="0600" w:firstRow="0" w:lastRow="0" w:firstColumn="0" w:lastColumn="0" w:noHBand="1" w:noVBand="1"/>
        <w:tblCaption w:val="Table 2.3.2: Program component expenses for Outcome 3 (continued)"/>
      </w:tblPr>
      <w:tblGrid>
        <w:gridCol w:w="2820"/>
        <w:gridCol w:w="975"/>
        <w:gridCol w:w="975"/>
        <w:gridCol w:w="975"/>
        <w:gridCol w:w="975"/>
        <w:gridCol w:w="975"/>
      </w:tblGrid>
      <w:tr w:rsidR="00010972" w:rsidTr="00E42292">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3.2: National Disability Insurance Scheme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3.2.1 - Component 1 (NDIS Transitioning Commonwealth Programs and Continuity of Support)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and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190,147</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56,737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43,238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45,810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23,124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190,147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56,737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43,238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45,810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23,124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3.2.2 - Component 2 (Sector Development Fund and Jobs and Market Fund)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and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Bill No. 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21,314</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42,963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28,863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2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21,314</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42,963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28,863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3.2.3 - Component 3 (National Disability Insurance Scheme Participant Plans)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and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6,754,758</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10,887,871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12,756,119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12,476,526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12,212,778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3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6,754,758</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10,887,871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12,756,119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12,476,526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12,212,778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3.2.4 - Component 4 (National Disability Insurance Scheme Information Linkages and Capacity Building)</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and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134,513</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132,835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134,311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135,947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137,997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4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134,513</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132,835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134,311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135,947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137,997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3.2.5 - Component 5 (Payments to Corporate Entity - NDIA agency costs)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Payments to corporate entities</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1,413,257</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1,208,878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1,232,613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1,366,504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1,251,220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5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1,413,257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1,208,878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1,232,613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1,366,504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1,251,220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8,513,989</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12,329,284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14,195,144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14,024,787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13,625,119</w:t>
            </w:r>
          </w:p>
        </w:tc>
      </w:tr>
    </w:tbl>
    <w:p w:rsidR="00084361" w:rsidRDefault="00D5482E">
      <w:pPr>
        <w:pBdr>
          <w:top w:val="nil"/>
          <w:left w:val="nil"/>
          <w:bottom w:val="nil"/>
          <w:right w:val="nil"/>
          <w:between w:val="nil"/>
          <w:bar w:val="nil"/>
        </w:pBdr>
        <w:rPr>
          <w:bdr w:val="nil"/>
        </w:rPr>
      </w:pPr>
      <w:r>
        <w:rPr>
          <w:rFonts w:ascii="Book Antiqua" w:eastAsia="Times New Roman" w:hAnsi="Book Antiqua" w:cs="Times New Roman"/>
          <w:sz w:val="20"/>
          <w:szCs w:val="20"/>
          <w:bdr w:val="nil"/>
          <w:lang w:val="en-AU" w:eastAsia="en-AU"/>
        </w:rPr>
        <w:br w:type="page"/>
      </w:r>
    </w:p>
    <w:p w:rsidR="00084361" w:rsidRDefault="00D5482E" w:rsidP="00A65F67">
      <w:pPr>
        <w:pStyle w:val="TableHeading"/>
        <w:keepLines/>
        <w:pBdr>
          <w:top w:val="nil"/>
          <w:left w:val="nil"/>
          <w:bottom w:val="nil"/>
          <w:right w:val="nil"/>
          <w:between w:val="nil"/>
          <w:bar w:val="nil"/>
        </w:pBdr>
        <w:spacing w:before="0" w:after="0"/>
        <w:rPr>
          <w:bdr w:val="nil"/>
        </w:rPr>
      </w:pPr>
      <w:r w:rsidRPr="002E3447">
        <w:rPr>
          <w:bdr w:val="nil"/>
        </w:rPr>
        <w:lastRenderedPageBreak/>
        <w:t>Table 2</w:t>
      </w:r>
      <w:r>
        <w:rPr>
          <w:bdr w:val="nil"/>
        </w:rPr>
        <w:t>.3</w:t>
      </w:r>
      <w:r w:rsidRPr="002E3447">
        <w:rPr>
          <w:bdr w:val="nil"/>
        </w:rPr>
        <w:t>.</w:t>
      </w:r>
      <w:r>
        <w:rPr>
          <w:bdr w:val="nil"/>
        </w:rPr>
        <w:t>2</w:t>
      </w:r>
      <w:r w:rsidRPr="002E3447">
        <w:rPr>
          <w:bdr w:val="nil"/>
        </w:rPr>
        <w:t xml:space="preserve">: </w:t>
      </w:r>
      <w:r>
        <w:rPr>
          <w:bdr w:val="nil"/>
        </w:rPr>
        <w:t>Program</w:t>
      </w:r>
      <w:r w:rsidRPr="002E3447">
        <w:rPr>
          <w:bdr w:val="nil"/>
        </w:rPr>
        <w:t xml:space="preserve"> </w:t>
      </w:r>
      <w:r>
        <w:rPr>
          <w:bdr w:val="nil"/>
        </w:rPr>
        <w:t>component expenses for Outcome 3 (continued)</w:t>
      </w:r>
    </w:p>
    <w:tbl>
      <w:tblPr>
        <w:tblStyle w:val="CDMRange1"/>
        <w:tblW w:w="7695" w:type="dxa"/>
        <w:tblLayout w:type="fixed"/>
        <w:tblCellMar>
          <w:top w:w="11" w:type="dxa"/>
          <w:bottom w:w="11" w:type="dxa"/>
        </w:tblCellMar>
        <w:tblLook w:val="0600" w:firstRow="0" w:lastRow="0" w:firstColumn="0" w:lastColumn="0" w:noHBand="1" w:noVBand="1"/>
        <w:tblCaption w:val="Table 2.3.2: Program component expenses for Outcome 3 (continued)"/>
      </w:tblPr>
      <w:tblGrid>
        <w:gridCol w:w="2820"/>
        <w:gridCol w:w="975"/>
        <w:gridCol w:w="975"/>
        <w:gridCol w:w="975"/>
        <w:gridCol w:w="975"/>
        <w:gridCol w:w="975"/>
      </w:tblGrid>
      <w:tr w:rsidR="00010972" w:rsidTr="00E42292">
        <w:trPr>
          <w:tblHeader/>
        </w:trPr>
        <w:tc>
          <w:tcPr>
            <w:tcW w:w="7695" w:type="dxa"/>
            <w:gridSpan w:val="6"/>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3.3 - Program Support for Outcome 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bottom"/>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3.3.1 - Component 1 (Departmental DSS - Outcome 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Calibri" w:eastAsia="Calibri" w:hAnsi="Calibri" w:cs="Calibri"/>
                <w:color w:val="000000"/>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departmental expenses</w:t>
            </w: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appropriation</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121,780</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102,703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101,235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96,046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94,072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s74 External Revenue (a)</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3,625</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6,867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6,033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6,033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6,033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Expenses not requiring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in the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Budget year (b)</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10,541</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2,261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2,052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1,749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135,946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111,831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109,320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103,868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101,854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135,946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111,831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109,320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103,868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101,854</w:t>
            </w:r>
          </w:p>
        </w:tc>
      </w:tr>
    </w:tbl>
    <w:p w:rsidR="002A6CCD" w:rsidRDefault="00D5482E" w:rsidP="002A6CCD">
      <w:pPr>
        <w:pStyle w:val="ChartandTableFootnote"/>
        <w:pBdr>
          <w:top w:val="nil"/>
          <w:left w:val="nil"/>
          <w:bottom w:val="nil"/>
          <w:right w:val="nil"/>
          <w:between w:val="nil"/>
          <w:bar w:val="nil"/>
        </w:pBdr>
        <w:tabs>
          <w:tab w:val="left" w:pos="0"/>
        </w:tabs>
        <w:ind w:left="0" w:firstLine="0"/>
        <w:rPr>
          <w:bdr w:val="nil"/>
        </w:rPr>
      </w:pPr>
      <w:r>
        <w:rPr>
          <w:bdr w:val="nil"/>
        </w:rPr>
        <w:t>Note: Departmental appropriation splits and totals are indicative estimates and may change in the course of the Budget year as government priorities change.</w:t>
      </w:r>
    </w:p>
    <w:p w:rsidR="000126B6" w:rsidRDefault="00D5482E" w:rsidP="00C50AB5">
      <w:pPr>
        <w:pStyle w:val="FootnoteText"/>
        <w:numPr>
          <w:ilvl w:val="0"/>
          <w:numId w:val="27"/>
        </w:numPr>
        <w:pBdr>
          <w:top w:val="nil"/>
          <w:left w:val="nil"/>
          <w:bottom w:val="nil"/>
          <w:right w:val="nil"/>
          <w:between w:val="nil"/>
          <w:bar w:val="nil"/>
        </w:pBdr>
        <w:spacing w:after="0"/>
        <w:ind w:left="284" w:hanging="284"/>
        <w:jc w:val="both"/>
        <w:rPr>
          <w:rFonts w:ascii="Arial" w:hAnsi="Arial" w:cs="Arial"/>
          <w:bdr w:val="nil"/>
        </w:rPr>
      </w:pPr>
      <w:r>
        <w:rPr>
          <w:rFonts w:ascii="Arial" w:hAnsi="Arial" w:cs="Arial"/>
          <w:bdr w:val="nil"/>
        </w:rPr>
        <w:t>Estimated expenses incurred in relation to receipts retained under section 74 of the PGPA Act.</w:t>
      </w:r>
    </w:p>
    <w:p w:rsidR="000126B6" w:rsidRDefault="00D5482E" w:rsidP="00C50AB5">
      <w:pPr>
        <w:pStyle w:val="FootnoteText"/>
        <w:numPr>
          <w:ilvl w:val="0"/>
          <w:numId w:val="27"/>
        </w:numPr>
        <w:pBdr>
          <w:top w:val="nil"/>
          <w:left w:val="nil"/>
          <w:bottom w:val="nil"/>
          <w:right w:val="nil"/>
          <w:between w:val="nil"/>
          <w:bar w:val="nil"/>
        </w:pBdr>
        <w:spacing w:after="0"/>
        <w:ind w:left="284" w:hanging="284"/>
        <w:jc w:val="both"/>
        <w:rPr>
          <w:rFonts w:ascii="Arial" w:hAnsi="Arial" w:cs="Arial"/>
          <w:bdr w:val="nil"/>
        </w:rPr>
      </w:pPr>
      <w:r>
        <w:rPr>
          <w:rFonts w:ascii="Arial" w:hAnsi="Arial" w:cs="Arial"/>
          <w:bdr w:val="nil"/>
        </w:rPr>
        <w:t>‘Expenses not requiring appropriation in the Budget year’ is made up of depreciation, amortisation expenses and audit fees.</w:t>
      </w:r>
    </w:p>
    <w:p w:rsidR="000126B6" w:rsidRPr="00084361" w:rsidRDefault="000126B6" w:rsidP="00084361">
      <w:pPr>
        <w:keepLines/>
        <w:pBdr>
          <w:top w:val="nil"/>
          <w:left w:val="nil"/>
          <w:bottom w:val="nil"/>
          <w:right w:val="nil"/>
          <w:between w:val="nil"/>
          <w:bar w:val="nil"/>
        </w:pBdr>
        <w:spacing w:after="240" w:line="260" w:lineRule="exact"/>
        <w:jc w:val="both"/>
        <w:rPr>
          <w:vanish/>
          <w:bdr w:val="nil"/>
        </w:rPr>
      </w:pPr>
    </w:p>
    <w:p w:rsidR="00950457" w:rsidRDefault="00D5482E" w:rsidP="009B7C27">
      <w:pPr>
        <w:pStyle w:val="TableHeading"/>
        <w:keepLines/>
        <w:pageBreakBefore/>
        <w:pBdr>
          <w:top w:val="nil"/>
          <w:left w:val="nil"/>
          <w:bottom w:val="nil"/>
          <w:right w:val="nil"/>
          <w:between w:val="nil"/>
          <w:bar w:val="nil"/>
        </w:pBdr>
        <w:spacing w:before="0" w:after="240"/>
        <w:rPr>
          <w:bdr w:val="nil"/>
        </w:rPr>
      </w:pPr>
      <w:r>
        <w:rPr>
          <w:bdr w:val="nil"/>
        </w:rPr>
        <w:lastRenderedPageBreak/>
        <w:t>Table 2.3.3: Performance criteria for Outcome 3</w:t>
      </w:r>
    </w:p>
    <w:p w:rsidR="00950457" w:rsidRDefault="00D5482E" w:rsidP="009B7C27">
      <w:pPr>
        <w:pStyle w:val="Normal0"/>
        <w:keepLines/>
        <w:pBdr>
          <w:top w:val="nil"/>
          <w:left w:val="nil"/>
          <w:bottom w:val="nil"/>
          <w:right w:val="nil"/>
          <w:between w:val="nil"/>
          <w:bar w:val="nil"/>
        </w:pBdr>
        <w:tabs>
          <w:tab w:val="left" w:pos="709"/>
        </w:tabs>
        <w:spacing w:after="240" w:line="240" w:lineRule="auto"/>
        <w:jc w:val="both"/>
        <w:rPr>
          <w:bdr w:val="nil"/>
        </w:rPr>
      </w:pPr>
      <w:r>
        <w:rPr>
          <w:rFonts w:eastAsia="Times New Roman"/>
          <w:sz w:val="20"/>
          <w:szCs w:val="20"/>
          <w:bdr w:val="nil"/>
          <w:lang w:eastAsia="en-AU"/>
        </w:rPr>
        <w:t>Table 2.3.3 below details the performance criteria for each program associated with Outcome 3. It is to be used by entities to describe the results they plan to achieve with the resources provided for new programs, or materially changed existing programs resulting from decisions made since the 2020-21 Budget.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1"/>
        <w:gridCol w:w="3369"/>
        <w:gridCol w:w="2535"/>
      </w:tblGrid>
      <w:tr w:rsidR="00010972" w:rsidTr="00241B17">
        <w:tc>
          <w:tcPr>
            <w:tcW w:w="7705" w:type="dxa"/>
            <w:gridSpan w:val="3"/>
            <w:tcBorders>
              <w:top w:val="single" w:sz="4" w:space="0" w:color="auto"/>
              <w:left w:val="single" w:sz="4" w:space="0" w:color="auto"/>
              <w:bottom w:val="single" w:sz="4" w:space="0" w:color="auto"/>
              <w:right w:val="single" w:sz="4" w:space="0" w:color="auto"/>
            </w:tcBorders>
            <w:shd w:val="clear" w:color="auto" w:fill="E6E6E6"/>
            <w:hideMark/>
          </w:tcPr>
          <w:p w:rsidR="00950457" w:rsidRPr="008F0FF3" w:rsidRDefault="00D5482E" w:rsidP="008F0FF3">
            <w:pPr>
              <w:pStyle w:val="TableColumnHeadingLeft"/>
              <w:pBdr>
                <w:top w:val="nil"/>
                <w:left w:val="nil"/>
                <w:bottom w:val="nil"/>
                <w:right w:val="nil"/>
                <w:between w:val="nil"/>
                <w:bar w:val="nil"/>
              </w:pBdr>
              <w:spacing w:line="240" w:lineRule="auto"/>
              <w:rPr>
                <w:b w:val="0"/>
                <w:bdr w:val="nil"/>
              </w:rPr>
            </w:pPr>
            <w:r w:rsidRPr="008F0FF3">
              <w:rPr>
                <w:bdr w:val="nil"/>
                <w:lang w:val="en-US" w:eastAsia="en-US"/>
              </w:rPr>
              <w:t>Outcome 3</w:t>
            </w:r>
            <w:r w:rsidRPr="008F0FF3">
              <w:rPr>
                <w:b w:val="0"/>
                <w:bdr w:val="nil"/>
                <w:lang w:val="en-US" w:eastAsia="en-US"/>
              </w:rPr>
              <w:t xml:space="preserve"> – Improved independence of, and participation by, people with disability, including improved support for carers, by providing targeted support and services.</w:t>
            </w:r>
          </w:p>
        </w:tc>
      </w:tr>
      <w:tr w:rsidR="00010972" w:rsidTr="00241B17">
        <w:tc>
          <w:tcPr>
            <w:tcW w:w="7705" w:type="dxa"/>
            <w:gridSpan w:val="3"/>
            <w:tcBorders>
              <w:top w:val="single" w:sz="4" w:space="0" w:color="auto"/>
              <w:left w:val="single" w:sz="4" w:space="0" w:color="auto"/>
              <w:bottom w:val="single" w:sz="4" w:space="0" w:color="auto"/>
              <w:right w:val="single" w:sz="4" w:space="0" w:color="auto"/>
            </w:tcBorders>
            <w:shd w:val="clear" w:color="auto" w:fill="E6E6E6"/>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3.1</w:t>
            </w:r>
            <w:r>
              <w:rPr>
                <w:rFonts w:ascii="Arial" w:eastAsia="Times New Roman" w:hAnsi="Arial" w:cs="Arial"/>
                <w:sz w:val="16"/>
                <w:szCs w:val="16"/>
                <w:bdr w:val="nil"/>
                <w:lang w:val="en-US"/>
              </w:rPr>
              <w:t xml:space="preserve"> – </w:t>
            </w:r>
            <w:r>
              <w:rPr>
                <w:rFonts w:ascii="Arial" w:eastAsia="Times New Roman" w:hAnsi="Arial" w:cs="Arial"/>
                <w:b/>
                <w:sz w:val="16"/>
                <w:szCs w:val="16"/>
                <w:bdr w:val="nil"/>
                <w:lang w:val="en-US"/>
              </w:rPr>
              <w:t>Disability Mental Health and Carers</w:t>
            </w:r>
            <w:r>
              <w:rPr>
                <w:rFonts w:ascii="Arial" w:eastAsia="Times New Roman" w:hAnsi="Arial" w:cs="Arial"/>
                <w:sz w:val="16"/>
                <w:szCs w:val="16"/>
                <w:bdr w:val="nil"/>
                <w:lang w:val="en-US"/>
              </w:rPr>
              <w:t xml:space="preserve"> – To provide support and community-based initiatives for people with disability, mental illness and carers, so they can develop their capabilities and actively participate in community and economic life.</w:t>
            </w:r>
          </w:p>
        </w:tc>
      </w:tr>
      <w:tr w:rsidR="00010972" w:rsidTr="00241B17">
        <w:tc>
          <w:tcPr>
            <w:tcW w:w="1801" w:type="dxa"/>
            <w:tcBorders>
              <w:top w:val="single" w:sz="4" w:space="0" w:color="auto"/>
              <w:left w:val="single" w:sz="4" w:space="0" w:color="auto"/>
              <w:bottom w:val="doub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4" w:type="dxa"/>
            <w:gridSpan w:val="2"/>
            <w:tcBorders>
              <w:top w:val="single" w:sz="4" w:space="0" w:color="auto"/>
              <w:left w:val="single" w:sz="4" w:space="0" w:color="auto"/>
              <w:bottom w:val="doub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Assist organisations through a program of grants, procurements and subsidies targeting support to people with disability, carers and people with, or at risk of, mental illness.</w:t>
            </w:r>
          </w:p>
        </w:tc>
      </w:tr>
      <w:tr w:rsidR="00010972" w:rsidTr="00241B17">
        <w:tc>
          <w:tcPr>
            <w:tcW w:w="7705" w:type="dxa"/>
            <w:gridSpan w:val="3"/>
            <w:tcBorders>
              <w:top w:val="single" w:sz="4" w:space="0" w:color="auto"/>
              <w:left w:val="single" w:sz="4" w:space="0" w:color="auto"/>
              <w:bottom w:val="sing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241B17">
        <w:tc>
          <w:tcPr>
            <w:tcW w:w="1801" w:type="dxa"/>
            <w:tcBorders>
              <w:top w:val="double" w:sz="4" w:space="0" w:color="auto"/>
              <w:left w:val="single" w:sz="4" w:space="0" w:color="auto"/>
              <w:bottom w:val="single" w:sz="4" w:space="0" w:color="auto"/>
              <w:right w:val="single" w:sz="4" w:space="0" w:color="auto"/>
            </w:tcBorders>
            <w:hideMark/>
          </w:tcPr>
          <w:p w:rsidR="00744E71" w:rsidRDefault="00D5482E" w:rsidP="00744E71">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69" w:type="dxa"/>
            <w:tcBorders>
              <w:top w:val="double" w:sz="4" w:space="0" w:color="auto"/>
              <w:left w:val="single" w:sz="4" w:space="0" w:color="auto"/>
              <w:bottom w:val="single" w:sz="4" w:space="0" w:color="auto"/>
              <w:right w:val="single" w:sz="4" w:space="0" w:color="auto"/>
            </w:tcBorders>
            <w:hideMark/>
          </w:tcPr>
          <w:p w:rsidR="00744E71" w:rsidRDefault="00D5482E" w:rsidP="00744E71">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5" w:type="dxa"/>
            <w:tcBorders>
              <w:top w:val="double" w:sz="4" w:space="0" w:color="auto"/>
              <w:left w:val="single" w:sz="4" w:space="0" w:color="auto"/>
              <w:bottom w:val="single" w:sz="4" w:space="0" w:color="auto"/>
              <w:right w:val="single" w:sz="4" w:space="0" w:color="auto"/>
            </w:tcBorders>
            <w:hideMark/>
          </w:tcPr>
          <w:p w:rsidR="00744E71" w:rsidRDefault="00D5482E" w:rsidP="00744E71">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241B17">
        <w:tc>
          <w:tcPr>
            <w:tcW w:w="1801" w:type="dxa"/>
            <w:vMerge w:val="restart"/>
            <w:tcBorders>
              <w:top w:val="single" w:sz="4" w:space="0" w:color="auto"/>
              <w:left w:val="single" w:sz="4" w:space="0" w:color="auto"/>
              <w:bottom w:val="single" w:sz="4" w:space="0" w:color="auto"/>
              <w:right w:val="single" w:sz="4" w:space="0" w:color="auto"/>
            </w:tcBorders>
            <w:hideMark/>
          </w:tcPr>
          <w:p w:rsidR="00744E71" w:rsidRDefault="00D5482E" w:rsidP="00D472BF">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69" w:type="dxa"/>
            <w:tcBorders>
              <w:top w:val="single" w:sz="4" w:space="0" w:color="auto"/>
              <w:left w:val="single" w:sz="4" w:space="0" w:color="auto"/>
              <w:bottom w:val="dotted" w:sz="4" w:space="0" w:color="auto"/>
              <w:right w:val="single" w:sz="4" w:space="0" w:color="auto"/>
            </w:tcBorders>
            <w:hideMark/>
          </w:tcPr>
          <w:p w:rsidR="00744E71" w:rsidRDefault="00D5482E" w:rsidP="00744E71">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Extent to which people with a disability are supported to find and maintain employment through Disability Employment Services.</w:t>
            </w:r>
          </w:p>
        </w:tc>
        <w:tc>
          <w:tcPr>
            <w:tcW w:w="2535" w:type="dxa"/>
            <w:tcBorders>
              <w:top w:val="single" w:sz="4" w:space="0" w:color="auto"/>
              <w:left w:val="single" w:sz="4" w:space="0" w:color="auto"/>
              <w:bottom w:val="dotted" w:sz="4" w:space="0" w:color="auto"/>
              <w:right w:val="single" w:sz="4" w:space="0" w:color="auto"/>
            </w:tcBorders>
            <w:hideMark/>
          </w:tcPr>
          <w:p w:rsidR="00744E71" w:rsidRDefault="00D5482E" w:rsidP="00744E71">
            <w:pPr>
              <w:pStyle w:val="Normal2"/>
              <w:numPr>
                <w:ilvl w:val="0"/>
                <w:numId w:val="28"/>
              </w:numPr>
              <w:pBdr>
                <w:top w:val="nil"/>
                <w:left w:val="nil"/>
                <w:bottom w:val="nil"/>
                <w:right w:val="nil"/>
                <w:between w:val="nil"/>
                <w:bar w:val="nil"/>
              </w:pBdr>
              <w:tabs>
                <w:tab w:val="left" w:pos="709"/>
              </w:tabs>
              <w:spacing w:before="20" w:after="20" w:line="240" w:lineRule="auto"/>
              <w:ind w:left="323" w:hanging="323"/>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At least 40 per cent of job placements sustained to 13 weeks.</w:t>
            </w:r>
          </w:p>
          <w:p w:rsidR="00744E71" w:rsidRDefault="00D5482E" w:rsidP="00744E71">
            <w:pPr>
              <w:pStyle w:val="Normal2"/>
              <w:numPr>
                <w:ilvl w:val="0"/>
                <w:numId w:val="28"/>
              </w:numPr>
              <w:pBdr>
                <w:top w:val="nil"/>
                <w:left w:val="nil"/>
                <w:bottom w:val="nil"/>
                <w:right w:val="nil"/>
                <w:between w:val="nil"/>
                <w:bar w:val="nil"/>
              </w:pBdr>
              <w:tabs>
                <w:tab w:val="left" w:pos="709"/>
              </w:tabs>
              <w:spacing w:before="20" w:after="20" w:line="240" w:lineRule="auto"/>
              <w:ind w:left="323" w:hanging="323"/>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At least 30 per cent of job placements sustained to 26 weeks.</w:t>
            </w:r>
          </w:p>
          <w:p w:rsidR="00744E71" w:rsidRDefault="00D5482E" w:rsidP="00744E71">
            <w:pPr>
              <w:pStyle w:val="Normal2"/>
              <w:numPr>
                <w:ilvl w:val="0"/>
                <w:numId w:val="28"/>
              </w:numPr>
              <w:pBdr>
                <w:top w:val="nil"/>
                <w:left w:val="nil"/>
                <w:bottom w:val="nil"/>
                <w:right w:val="nil"/>
                <w:between w:val="nil"/>
                <w:bar w:val="nil"/>
              </w:pBdr>
              <w:tabs>
                <w:tab w:val="left" w:pos="709"/>
              </w:tabs>
              <w:spacing w:before="20" w:after="20" w:line="240" w:lineRule="auto"/>
              <w:ind w:left="323" w:hanging="323"/>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At least 20 per cent of job placements sustained to 52 weeks.</w:t>
            </w:r>
          </w:p>
        </w:tc>
      </w:tr>
      <w:tr w:rsidR="00010972" w:rsidTr="00241B17">
        <w:tc>
          <w:tcPr>
            <w:tcW w:w="1801" w:type="dxa"/>
            <w:vMerge/>
            <w:tcBorders>
              <w:top w:val="single" w:sz="4" w:space="0" w:color="auto"/>
              <w:left w:val="single" w:sz="4" w:space="0" w:color="auto"/>
              <w:bottom w:val="single" w:sz="4" w:space="0" w:color="auto"/>
              <w:right w:val="single" w:sz="4" w:space="0" w:color="auto"/>
            </w:tcBorders>
          </w:tcPr>
          <w:p w:rsidR="00744E71" w:rsidRDefault="00744E71" w:rsidP="00744E71">
            <w:pPr>
              <w:pStyle w:val="Normal0"/>
              <w:tabs>
                <w:tab w:val="left" w:pos="709"/>
              </w:tabs>
              <w:spacing w:before="60" w:after="60" w:line="240" w:lineRule="auto"/>
              <w:rPr>
                <w:rFonts w:ascii="Arial" w:hAnsi="Arial" w:cs="Arial"/>
                <w:sz w:val="16"/>
                <w:szCs w:val="16"/>
                <w:bdr w:val="nil"/>
                <w:lang w:val="en-US"/>
              </w:rPr>
            </w:pPr>
          </w:p>
        </w:tc>
        <w:tc>
          <w:tcPr>
            <w:tcW w:w="3369" w:type="dxa"/>
            <w:tcBorders>
              <w:top w:val="dotted" w:sz="4" w:space="0" w:color="auto"/>
              <w:left w:val="single" w:sz="4" w:space="0" w:color="auto"/>
              <w:bottom w:val="dotted" w:sz="4" w:space="0" w:color="auto"/>
              <w:right w:val="single" w:sz="4" w:space="0" w:color="auto"/>
            </w:tcBorders>
          </w:tcPr>
          <w:p w:rsidR="00744E71" w:rsidRDefault="00D5482E" w:rsidP="00744E71">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Delivery by Disability Employment Services providers is in accordance with the specified requirements, including service level standards of the contracts and agreements between organisations and DSS.</w:t>
            </w:r>
          </w:p>
        </w:tc>
        <w:tc>
          <w:tcPr>
            <w:tcW w:w="2535" w:type="dxa"/>
            <w:tcBorders>
              <w:top w:val="dotted" w:sz="4" w:space="0" w:color="auto"/>
              <w:left w:val="single" w:sz="4" w:space="0" w:color="auto"/>
              <w:bottom w:val="dotted" w:sz="4" w:space="0" w:color="auto"/>
              <w:right w:val="single" w:sz="4" w:space="0" w:color="auto"/>
            </w:tcBorders>
          </w:tcPr>
          <w:p w:rsidR="00744E71" w:rsidRDefault="00D5482E" w:rsidP="00744E71">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At least 90 per cent of Disability Employment Services providers met service level standards of the contracts and agreements between organisations and DSS.</w:t>
            </w:r>
          </w:p>
        </w:tc>
      </w:tr>
      <w:tr w:rsidR="00010972" w:rsidTr="00241B17">
        <w:tc>
          <w:tcPr>
            <w:tcW w:w="1801" w:type="dxa"/>
            <w:vMerge/>
            <w:tcBorders>
              <w:top w:val="single" w:sz="4" w:space="0" w:color="auto"/>
              <w:left w:val="single" w:sz="4" w:space="0" w:color="auto"/>
              <w:bottom w:val="single" w:sz="4" w:space="0" w:color="auto"/>
              <w:right w:val="single" w:sz="4" w:space="0" w:color="auto"/>
            </w:tcBorders>
          </w:tcPr>
          <w:p w:rsidR="00744E71" w:rsidRDefault="00744E71" w:rsidP="00744E71">
            <w:pPr>
              <w:pStyle w:val="Normal0"/>
              <w:tabs>
                <w:tab w:val="left" w:pos="709"/>
              </w:tabs>
              <w:spacing w:before="60" w:after="60" w:line="240" w:lineRule="auto"/>
              <w:rPr>
                <w:rFonts w:ascii="Arial" w:hAnsi="Arial" w:cs="Arial"/>
                <w:sz w:val="16"/>
                <w:szCs w:val="16"/>
                <w:bdr w:val="nil"/>
                <w:lang w:val="en-US"/>
              </w:rPr>
            </w:pPr>
          </w:p>
        </w:tc>
        <w:tc>
          <w:tcPr>
            <w:tcW w:w="3369" w:type="dxa"/>
            <w:tcBorders>
              <w:top w:val="dotted" w:sz="4" w:space="0" w:color="auto"/>
              <w:left w:val="single" w:sz="4" w:space="0" w:color="auto"/>
              <w:bottom w:val="dotted" w:sz="4" w:space="0" w:color="auto"/>
              <w:right w:val="single" w:sz="4" w:space="0" w:color="auto"/>
            </w:tcBorders>
          </w:tcPr>
          <w:p w:rsidR="00744E71" w:rsidRDefault="00D5482E" w:rsidP="00744E71">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Extent to which carers access information, supports and services.</w:t>
            </w:r>
          </w:p>
        </w:tc>
        <w:tc>
          <w:tcPr>
            <w:tcW w:w="2535" w:type="dxa"/>
            <w:tcBorders>
              <w:top w:val="dotted" w:sz="4" w:space="0" w:color="auto"/>
              <w:left w:val="single" w:sz="4" w:space="0" w:color="auto"/>
              <w:bottom w:val="dotted" w:sz="4" w:space="0" w:color="auto"/>
              <w:right w:val="single" w:sz="4" w:space="0" w:color="auto"/>
            </w:tcBorders>
          </w:tcPr>
          <w:p w:rsidR="00744E71" w:rsidRDefault="00D5482E" w:rsidP="00744E71">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At least 10 per cent annual increase in people accessing Carer Gateway (website and 1800 number).</w:t>
            </w:r>
          </w:p>
        </w:tc>
      </w:tr>
      <w:tr w:rsidR="00010972" w:rsidTr="00241B17">
        <w:tc>
          <w:tcPr>
            <w:tcW w:w="1801" w:type="dxa"/>
            <w:vMerge/>
            <w:tcBorders>
              <w:top w:val="single" w:sz="4" w:space="0" w:color="auto"/>
              <w:left w:val="single" w:sz="4" w:space="0" w:color="auto"/>
              <w:bottom w:val="single" w:sz="4" w:space="0" w:color="auto"/>
              <w:right w:val="single" w:sz="4" w:space="0" w:color="auto"/>
            </w:tcBorders>
          </w:tcPr>
          <w:p w:rsidR="00744E71" w:rsidRDefault="00744E71" w:rsidP="00744E71">
            <w:pPr>
              <w:pStyle w:val="Normal0"/>
              <w:tabs>
                <w:tab w:val="left" w:pos="709"/>
              </w:tabs>
              <w:spacing w:before="60" w:after="60" w:line="240" w:lineRule="auto"/>
              <w:rPr>
                <w:rFonts w:ascii="Arial" w:hAnsi="Arial" w:cs="Arial"/>
                <w:sz w:val="16"/>
                <w:szCs w:val="16"/>
                <w:bdr w:val="nil"/>
                <w:lang w:val="en-US"/>
              </w:rPr>
            </w:pPr>
          </w:p>
        </w:tc>
        <w:tc>
          <w:tcPr>
            <w:tcW w:w="3369" w:type="dxa"/>
            <w:tcBorders>
              <w:top w:val="dotted" w:sz="4" w:space="0" w:color="auto"/>
              <w:left w:val="single" w:sz="4" w:space="0" w:color="auto"/>
              <w:bottom w:val="dotted" w:sz="4" w:space="0" w:color="auto"/>
              <w:right w:val="single" w:sz="4" w:space="0" w:color="auto"/>
            </w:tcBorders>
          </w:tcPr>
          <w:p w:rsidR="00744E71" w:rsidRDefault="00D5482E" w:rsidP="00744E71">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Number of people with disability provided with direct advocacy support through the National Disability Advocacy Program.</w:t>
            </w:r>
          </w:p>
        </w:tc>
        <w:tc>
          <w:tcPr>
            <w:tcW w:w="2535" w:type="dxa"/>
            <w:tcBorders>
              <w:top w:val="dotted" w:sz="4" w:space="0" w:color="auto"/>
              <w:left w:val="single" w:sz="4" w:space="0" w:color="auto"/>
              <w:bottom w:val="dotted" w:sz="4" w:space="0" w:color="auto"/>
              <w:right w:val="single" w:sz="4" w:space="0" w:color="auto"/>
            </w:tcBorders>
          </w:tcPr>
          <w:p w:rsidR="00744E71" w:rsidRDefault="00D5482E" w:rsidP="00744E71">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At least 75 per cent of people who accessed National Disability Advocacy Program reported improved choice and control to make their own decisions.</w:t>
            </w:r>
          </w:p>
        </w:tc>
      </w:tr>
      <w:tr w:rsidR="00010972" w:rsidTr="00241B17">
        <w:tc>
          <w:tcPr>
            <w:tcW w:w="1801" w:type="dxa"/>
            <w:vMerge/>
            <w:tcBorders>
              <w:top w:val="single" w:sz="4" w:space="0" w:color="auto"/>
              <w:left w:val="single" w:sz="4" w:space="0" w:color="auto"/>
              <w:bottom w:val="single" w:sz="4" w:space="0" w:color="auto"/>
              <w:right w:val="single" w:sz="4" w:space="0" w:color="auto"/>
            </w:tcBorders>
          </w:tcPr>
          <w:p w:rsidR="00744E71" w:rsidRDefault="00744E71" w:rsidP="00744E71">
            <w:pPr>
              <w:pStyle w:val="Normal0"/>
              <w:tabs>
                <w:tab w:val="left" w:pos="709"/>
              </w:tabs>
              <w:spacing w:before="60" w:after="60" w:line="240" w:lineRule="auto"/>
              <w:rPr>
                <w:rFonts w:ascii="Arial" w:hAnsi="Arial" w:cs="Arial"/>
                <w:sz w:val="16"/>
                <w:szCs w:val="16"/>
                <w:bdr w:val="nil"/>
                <w:lang w:val="en-US"/>
              </w:rPr>
            </w:pPr>
          </w:p>
        </w:tc>
        <w:tc>
          <w:tcPr>
            <w:tcW w:w="3369" w:type="dxa"/>
            <w:tcBorders>
              <w:top w:val="dotted" w:sz="4" w:space="0" w:color="auto"/>
              <w:left w:val="single" w:sz="4" w:space="0" w:color="auto"/>
              <w:bottom w:val="dotted" w:sz="4" w:space="0" w:color="auto"/>
              <w:right w:val="single" w:sz="4" w:space="0" w:color="auto"/>
            </w:tcBorders>
          </w:tcPr>
          <w:p w:rsidR="00744E71" w:rsidRDefault="00D5482E" w:rsidP="00744E71">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Number of people with disability provided with direct advocacy support through the NDIS Appeals program.</w:t>
            </w:r>
          </w:p>
        </w:tc>
        <w:tc>
          <w:tcPr>
            <w:tcW w:w="2535" w:type="dxa"/>
            <w:tcBorders>
              <w:top w:val="dotted" w:sz="4" w:space="0" w:color="auto"/>
              <w:left w:val="single" w:sz="4" w:space="0" w:color="auto"/>
              <w:bottom w:val="dotted" w:sz="4" w:space="0" w:color="auto"/>
              <w:right w:val="single" w:sz="4" w:space="0" w:color="auto"/>
            </w:tcBorders>
          </w:tcPr>
          <w:p w:rsidR="00744E71" w:rsidRDefault="00D5482E" w:rsidP="00744E71">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Number of individual NDIS Appeals clients is less than one per cent of active NDIS participants.</w:t>
            </w:r>
          </w:p>
        </w:tc>
      </w:tr>
      <w:tr w:rsidR="00010972" w:rsidTr="00241B17">
        <w:tc>
          <w:tcPr>
            <w:tcW w:w="1801" w:type="dxa"/>
            <w:vMerge/>
            <w:tcBorders>
              <w:top w:val="single" w:sz="4" w:space="0" w:color="auto"/>
              <w:left w:val="single" w:sz="4" w:space="0" w:color="auto"/>
              <w:bottom w:val="single" w:sz="4" w:space="0" w:color="auto"/>
              <w:right w:val="single" w:sz="4" w:space="0" w:color="auto"/>
            </w:tcBorders>
          </w:tcPr>
          <w:p w:rsidR="00744E71" w:rsidRDefault="00744E71" w:rsidP="00744E71">
            <w:pPr>
              <w:pStyle w:val="Normal0"/>
              <w:tabs>
                <w:tab w:val="left" w:pos="709"/>
              </w:tabs>
              <w:spacing w:before="60" w:after="60" w:line="240" w:lineRule="auto"/>
              <w:rPr>
                <w:rFonts w:ascii="Arial" w:hAnsi="Arial" w:cs="Arial"/>
                <w:sz w:val="16"/>
                <w:szCs w:val="16"/>
                <w:bdr w:val="nil"/>
                <w:lang w:val="en-US"/>
              </w:rPr>
            </w:pPr>
          </w:p>
        </w:tc>
        <w:tc>
          <w:tcPr>
            <w:tcW w:w="3369" w:type="dxa"/>
            <w:tcBorders>
              <w:top w:val="dotted" w:sz="4" w:space="0" w:color="auto"/>
              <w:left w:val="single" w:sz="4" w:space="0" w:color="auto"/>
              <w:bottom w:val="single" w:sz="4" w:space="0" w:color="auto"/>
              <w:right w:val="single" w:sz="4" w:space="0" w:color="auto"/>
            </w:tcBorders>
          </w:tcPr>
          <w:p w:rsidR="00744E71" w:rsidRDefault="00D5482E" w:rsidP="00744E71">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Extent of contribution to creating and implementing national disability policy and reform initiatives (Disability Strategy is a cross program activity, covering programs 3.1 and 3.2).</w:t>
            </w:r>
          </w:p>
        </w:tc>
        <w:tc>
          <w:tcPr>
            <w:tcW w:w="2535" w:type="dxa"/>
            <w:tcBorders>
              <w:top w:val="dotted" w:sz="4" w:space="0" w:color="auto"/>
              <w:left w:val="single" w:sz="4" w:space="0" w:color="auto"/>
              <w:bottom w:val="single" w:sz="4" w:space="0" w:color="auto"/>
              <w:right w:val="single" w:sz="4" w:space="0" w:color="auto"/>
            </w:tcBorders>
          </w:tcPr>
          <w:p w:rsidR="00744E71" w:rsidRDefault="00D5482E" w:rsidP="00744E71">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 new National Disability Strategy is finalised by the Commonwealth, State and Territory First Ministers by the end of 2021.</w:t>
            </w:r>
          </w:p>
        </w:tc>
      </w:tr>
    </w:tbl>
    <w:p w:rsidR="00950457" w:rsidRDefault="00D5482E" w:rsidP="00A6798F">
      <w:pPr>
        <w:pStyle w:val="TableHeading"/>
        <w:keepLines/>
        <w:pageBreakBefore/>
        <w:pBdr>
          <w:top w:val="nil"/>
          <w:left w:val="nil"/>
          <w:bottom w:val="nil"/>
          <w:right w:val="nil"/>
          <w:between w:val="nil"/>
          <w:bar w:val="nil"/>
        </w:pBdr>
        <w:spacing w:before="0" w:after="0"/>
        <w:rPr>
          <w:bdr w:val="nil"/>
        </w:rPr>
      </w:pPr>
      <w:r>
        <w:rPr>
          <w:bdr w:val="nil"/>
        </w:rPr>
        <w:lastRenderedPageBreak/>
        <w:t>Table 2.3.3: Performance criteria for Outcome 3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690"/>
        <w:gridCol w:w="3373"/>
        <w:gridCol w:w="2529"/>
      </w:tblGrid>
      <w:tr w:rsidR="00010972" w:rsidTr="006E3253">
        <w:trPr>
          <w:cantSplit/>
        </w:trPr>
        <w:tc>
          <w:tcPr>
            <w:tcW w:w="7655" w:type="dxa"/>
            <w:gridSpan w:val="3"/>
            <w:tcBorders>
              <w:top w:val="single" w:sz="4" w:space="0" w:color="auto"/>
              <w:left w:val="single" w:sz="4" w:space="0" w:color="auto"/>
              <w:bottom w:val="single" w:sz="4" w:space="0" w:color="auto"/>
              <w:right w:val="single" w:sz="4" w:space="0" w:color="auto"/>
            </w:tcBorders>
            <w:shd w:val="clear" w:color="auto" w:fill="E6E6E6"/>
            <w:hideMark/>
          </w:tcPr>
          <w:p w:rsidR="00950457" w:rsidRDefault="00D5482E">
            <w:pPr>
              <w:pStyle w:val="Normal2"/>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b/>
                <w:sz w:val="16"/>
                <w:szCs w:val="16"/>
                <w:bdr w:val="nil"/>
                <w:lang w:val="en-US" w:eastAsia="en-US"/>
              </w:rPr>
              <w:t>Program 3.1</w:t>
            </w:r>
            <w:r>
              <w:rPr>
                <w:rFonts w:ascii="Arial" w:hAnsi="Arial" w:cs="Arial"/>
                <w:sz w:val="16"/>
                <w:szCs w:val="16"/>
                <w:bdr w:val="nil"/>
                <w:lang w:val="en-US" w:eastAsia="en-US"/>
              </w:rPr>
              <w:t xml:space="preserve"> – </w:t>
            </w:r>
            <w:r>
              <w:rPr>
                <w:rFonts w:ascii="Arial" w:hAnsi="Arial" w:cs="Arial"/>
                <w:b/>
                <w:sz w:val="16"/>
                <w:szCs w:val="16"/>
                <w:bdr w:val="nil"/>
                <w:lang w:val="en-US" w:eastAsia="en-US"/>
              </w:rPr>
              <w:t>Disability Mental Health and Carers</w:t>
            </w:r>
            <w:r>
              <w:rPr>
                <w:rFonts w:ascii="Arial" w:hAnsi="Arial" w:cs="Arial"/>
                <w:sz w:val="16"/>
                <w:szCs w:val="16"/>
                <w:bdr w:val="nil"/>
                <w:lang w:val="en-US" w:eastAsia="en-US"/>
              </w:rPr>
              <w:t xml:space="preserve"> – To provide support and community-based initiatives for people with disability, mental illness and carers, so they can develop their capabilities and actively participate in community and economic life.</w:t>
            </w:r>
          </w:p>
        </w:tc>
      </w:tr>
      <w:tr w:rsidR="00010972" w:rsidTr="006E3253">
        <w:tc>
          <w:tcPr>
            <w:tcW w:w="1701" w:type="dxa"/>
            <w:tcBorders>
              <w:top w:val="double" w:sz="4" w:space="0" w:color="auto"/>
              <w:left w:val="single" w:sz="4" w:space="0" w:color="auto"/>
              <w:bottom w:val="single" w:sz="4" w:space="0" w:color="auto"/>
              <w:right w:val="single" w:sz="4" w:space="0" w:color="auto"/>
            </w:tcBorders>
            <w:hideMark/>
          </w:tcPr>
          <w:p w:rsidR="001314FA" w:rsidRDefault="00D5482E" w:rsidP="001314FA">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402" w:type="dxa"/>
            <w:tcBorders>
              <w:top w:val="double" w:sz="4" w:space="0" w:color="auto"/>
              <w:left w:val="single" w:sz="4" w:space="0" w:color="auto"/>
              <w:bottom w:val="single" w:sz="4" w:space="0" w:color="auto"/>
              <w:right w:val="single" w:sz="4" w:space="0" w:color="auto"/>
            </w:tcBorders>
            <w:hideMark/>
          </w:tcPr>
          <w:p w:rsidR="001314FA" w:rsidRDefault="00D5482E" w:rsidP="001314FA">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52" w:type="dxa"/>
            <w:tcBorders>
              <w:top w:val="double" w:sz="4" w:space="0" w:color="auto"/>
              <w:left w:val="single" w:sz="4" w:space="0" w:color="auto"/>
              <w:bottom w:val="single" w:sz="4" w:space="0" w:color="auto"/>
              <w:right w:val="single" w:sz="4" w:space="0" w:color="auto"/>
            </w:tcBorders>
            <w:hideMark/>
          </w:tcPr>
          <w:p w:rsidR="001314FA" w:rsidRDefault="00D5482E" w:rsidP="001314FA">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6E3253">
        <w:tc>
          <w:tcPr>
            <w:tcW w:w="1701" w:type="dxa"/>
            <w:tcBorders>
              <w:top w:val="dotted" w:sz="4" w:space="0" w:color="auto"/>
              <w:left w:val="single" w:sz="4" w:space="0" w:color="auto"/>
              <w:right w:val="single" w:sz="4" w:space="0" w:color="auto"/>
            </w:tcBorders>
            <w:hideMark/>
          </w:tcPr>
          <w:p w:rsidR="00744E71"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p w:rsidR="00744E71" w:rsidRDefault="00744E71" w:rsidP="00FB0B0A">
            <w:pPr>
              <w:pStyle w:val="Normal0"/>
              <w:tabs>
                <w:tab w:val="left" w:pos="709"/>
              </w:tabs>
              <w:spacing w:before="60" w:after="60" w:line="240" w:lineRule="auto"/>
              <w:rPr>
                <w:rFonts w:ascii="Arial" w:hAnsi="Arial" w:cs="Arial"/>
                <w:sz w:val="16"/>
                <w:szCs w:val="16"/>
                <w:bdr w:val="nil"/>
                <w:lang w:val="en-US"/>
              </w:rPr>
            </w:pPr>
          </w:p>
        </w:tc>
        <w:tc>
          <w:tcPr>
            <w:tcW w:w="5954" w:type="dxa"/>
            <w:gridSpan w:val="2"/>
            <w:tcBorders>
              <w:top w:val="single" w:sz="4" w:space="0" w:color="auto"/>
              <w:left w:val="single" w:sz="4" w:space="0" w:color="auto"/>
              <w:right w:val="single" w:sz="4" w:space="0" w:color="auto"/>
            </w:tcBorders>
          </w:tcPr>
          <w:p w:rsidR="00744E71" w:rsidRDefault="00D5482E" w:rsidP="001314FA">
            <w:pPr>
              <w:keepLines/>
              <w:pBdr>
                <w:top w:val="nil"/>
                <w:left w:val="nil"/>
                <w:bottom w:val="nil"/>
                <w:right w:val="nil"/>
                <w:between w:val="nil"/>
                <w:bar w:val="nil"/>
              </w:pBdr>
              <w:spacing w:after="0" w:line="260" w:lineRule="exact"/>
              <w:rPr>
                <w:rFonts w:ascii="Arial" w:hAnsi="Arial" w:cs="Arial"/>
                <w:color w:val="000000"/>
                <w:sz w:val="16"/>
                <w:szCs w:val="16"/>
                <w:bdr w:val="nil"/>
              </w:rPr>
            </w:pPr>
            <w:r>
              <w:rPr>
                <w:rFonts w:ascii="Arial" w:eastAsia="Times New Roman" w:hAnsi="Arial" w:cs="Arial"/>
                <w:color w:val="000000"/>
                <w:sz w:val="16"/>
                <w:szCs w:val="16"/>
                <w:bdr w:val="nil"/>
              </w:rPr>
              <w:t>Outputs:</w:t>
            </w:r>
          </w:p>
          <w:p w:rsidR="00744E71" w:rsidRDefault="00D5482E" w:rsidP="00950457">
            <w:pPr>
              <w:pStyle w:val="ListParagraph"/>
              <w:numPr>
                <w:ilvl w:val="0"/>
                <w:numId w:val="29"/>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Administered outlays</w:t>
            </w:r>
          </w:p>
          <w:p w:rsidR="00744E71" w:rsidRDefault="00D5482E" w:rsidP="00950457">
            <w:pPr>
              <w:pStyle w:val="ListParagraph"/>
              <w:numPr>
                <w:ilvl w:val="0"/>
                <w:numId w:val="29"/>
              </w:numPr>
              <w:pBdr>
                <w:top w:val="nil"/>
                <w:left w:val="nil"/>
                <w:bottom w:val="nil"/>
                <w:right w:val="nil"/>
                <w:between w:val="nil"/>
                <w:bar w:val="nil"/>
              </w:pBdr>
              <w:tabs>
                <w:tab w:val="left" w:pos="709"/>
              </w:tabs>
              <w:spacing w:before="60"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carers assisted</w:t>
            </w:r>
          </w:p>
          <w:p w:rsidR="00744E71" w:rsidRDefault="00D5482E" w:rsidP="00950457">
            <w:pPr>
              <w:pStyle w:val="ListParagraph"/>
              <w:numPr>
                <w:ilvl w:val="0"/>
                <w:numId w:val="29"/>
              </w:numPr>
              <w:pBdr>
                <w:top w:val="nil"/>
                <w:left w:val="nil"/>
                <w:bottom w:val="nil"/>
                <w:right w:val="nil"/>
                <w:between w:val="nil"/>
                <w:bar w:val="nil"/>
              </w:pBdr>
              <w:tabs>
                <w:tab w:val="left" w:pos="709"/>
              </w:tabs>
              <w:spacing w:before="60"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Disability Employment Services participants</w:t>
            </w:r>
          </w:p>
          <w:p w:rsidR="00744E71" w:rsidRDefault="00D5482E" w:rsidP="00950457">
            <w:pPr>
              <w:pStyle w:val="ListParagraph"/>
              <w:numPr>
                <w:ilvl w:val="0"/>
                <w:numId w:val="29"/>
              </w:numPr>
              <w:pBdr>
                <w:top w:val="nil"/>
                <w:left w:val="nil"/>
                <w:bottom w:val="nil"/>
                <w:right w:val="nil"/>
                <w:between w:val="nil"/>
                <w:bar w:val="nil"/>
              </w:pBdr>
              <w:tabs>
                <w:tab w:val="left" w:pos="709"/>
              </w:tabs>
              <w:spacing w:before="60"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Number of Disability Employment Services providers</w:t>
            </w:r>
          </w:p>
          <w:p w:rsidR="00744E71" w:rsidRDefault="00D5482E" w:rsidP="00950457">
            <w:pPr>
              <w:pStyle w:val="ListParagraph"/>
              <w:keepLines/>
              <w:numPr>
                <w:ilvl w:val="0"/>
                <w:numId w:val="29"/>
              </w:numPr>
              <w:pBdr>
                <w:top w:val="nil"/>
                <w:left w:val="nil"/>
                <w:bottom w:val="nil"/>
                <w:right w:val="nil"/>
                <w:between w:val="nil"/>
                <w:bar w:val="nil"/>
              </w:pBdr>
              <w:tabs>
                <w:tab w:val="left" w:pos="709"/>
              </w:tabs>
              <w:spacing w:before="60" w:after="60" w:line="240" w:lineRule="auto"/>
              <w:ind w:left="357" w:hanging="357"/>
              <w:rPr>
                <w:rFonts w:eastAsia="Times New Roman" w:cs="Arial"/>
                <w:color w:val="000000"/>
                <w:sz w:val="16"/>
                <w:szCs w:val="16"/>
                <w:bdr w:val="nil"/>
              </w:rPr>
            </w:pPr>
            <w:r>
              <w:rPr>
                <w:rFonts w:ascii="Arial" w:eastAsia="Times New Roman" w:hAnsi="Arial" w:cs="Arial"/>
                <w:color w:val="000000"/>
                <w:sz w:val="16"/>
                <w:szCs w:val="16"/>
                <w:bdr w:val="nil"/>
                <w:lang w:val="en-AU"/>
              </w:rPr>
              <w:t>Number of people with disability provided with direct advocacy support</w:t>
            </w:r>
          </w:p>
        </w:tc>
      </w:tr>
      <w:tr w:rsidR="00010972" w:rsidTr="006E3253">
        <w:tc>
          <w:tcPr>
            <w:tcW w:w="1701" w:type="dxa"/>
            <w:tcBorders>
              <w:top w:val="dotted" w:sz="4" w:space="0" w:color="auto"/>
              <w:left w:val="single" w:sz="4" w:space="0" w:color="auto"/>
              <w:bottom w:val="sing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402" w:type="dxa"/>
            <w:tcBorders>
              <w:top w:val="dotted" w:sz="4" w:space="0" w:color="auto"/>
              <w:left w:val="single" w:sz="4" w:space="0" w:color="auto"/>
              <w:bottom w:val="single" w:sz="4" w:space="0" w:color="auto"/>
              <w:right w:val="single" w:sz="4" w:space="0" w:color="auto"/>
            </w:tcBorders>
            <w:hideMark/>
          </w:tcPr>
          <w:p w:rsidR="00950457"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As per 2020-21</w:t>
            </w:r>
          </w:p>
        </w:tc>
        <w:tc>
          <w:tcPr>
            <w:tcW w:w="2552" w:type="dxa"/>
            <w:tcBorders>
              <w:top w:val="dotted" w:sz="4" w:space="0" w:color="auto"/>
              <w:left w:val="single" w:sz="4" w:space="0" w:color="auto"/>
              <w:bottom w:val="single" w:sz="4" w:space="0" w:color="auto"/>
              <w:right w:val="single" w:sz="4" w:space="0" w:color="auto"/>
            </w:tcBorders>
            <w:hideMark/>
          </w:tcPr>
          <w:p w:rsidR="00950457" w:rsidRDefault="00D5482E">
            <w:pPr>
              <w:pStyle w:val="Normal00"/>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eastAsia="en-US"/>
              </w:rPr>
            </w:pPr>
            <w:r>
              <w:rPr>
                <w:rFonts w:ascii="Arial" w:hAnsi="Arial" w:cs="Arial"/>
                <w:sz w:val="16"/>
                <w:szCs w:val="16"/>
                <w:bdr w:val="nil"/>
                <w:lang w:val="en-US" w:eastAsia="en-US"/>
              </w:rPr>
              <w:t>As per 2020-21</w:t>
            </w:r>
          </w:p>
        </w:tc>
      </w:tr>
      <w:tr w:rsidR="00010972" w:rsidTr="006E3253">
        <w:tc>
          <w:tcPr>
            <w:tcW w:w="1701" w:type="dxa"/>
            <w:tcBorders>
              <w:top w:val="single" w:sz="4" w:space="0" w:color="auto"/>
              <w:left w:val="single" w:sz="4" w:space="0" w:color="auto"/>
              <w:bottom w:val="sing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Purpose</w:t>
            </w:r>
          </w:p>
        </w:tc>
        <w:tc>
          <w:tcPr>
            <w:tcW w:w="5954" w:type="dxa"/>
            <w:gridSpan w:val="2"/>
            <w:tcBorders>
              <w:top w:val="single" w:sz="4" w:space="0" w:color="auto"/>
              <w:left w:val="single" w:sz="4" w:space="0" w:color="auto"/>
              <w:bottom w:val="sing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Improved independence of, and participation by, people with disability, including improved support for carers, by providing targeted support and services.</w:t>
            </w:r>
          </w:p>
        </w:tc>
      </w:tr>
      <w:tr w:rsidR="00010972" w:rsidTr="006E3253">
        <w:tc>
          <w:tcPr>
            <w:tcW w:w="7655" w:type="dxa"/>
            <w:gridSpan w:val="3"/>
            <w:tcBorders>
              <w:top w:val="single" w:sz="4" w:space="0" w:color="auto"/>
              <w:left w:val="single" w:sz="4" w:space="0" w:color="auto"/>
              <w:bottom w:val="single" w:sz="4" w:space="0" w:color="auto"/>
              <w:right w:val="single" w:sz="4" w:space="0" w:color="auto"/>
            </w:tcBorders>
            <w:hideMark/>
          </w:tcPr>
          <w:p w:rsidR="00950457" w:rsidRDefault="00D5482E">
            <w:pPr>
              <w:pStyle w:val="Normal0"/>
              <w:keepLines/>
              <w:pBdr>
                <w:top w:val="nil"/>
                <w:left w:val="nil"/>
                <w:bottom w:val="nil"/>
                <w:right w:val="nil"/>
                <w:between w:val="nil"/>
                <w:bar w:val="nil"/>
              </w:pBdr>
              <w:spacing w:after="6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3.1: Nil.</w:t>
            </w:r>
          </w:p>
        </w:tc>
      </w:tr>
    </w:tbl>
    <w:p w:rsidR="00950457" w:rsidRDefault="00950457" w:rsidP="006F5F97">
      <w:pPr>
        <w:pStyle w:val="Normal00"/>
        <w:pBdr>
          <w:top w:val="nil"/>
          <w:left w:val="nil"/>
          <w:bottom w:val="nil"/>
          <w:right w:val="nil"/>
          <w:between w:val="nil"/>
          <w:bar w:val="nil"/>
        </w:pBdr>
        <w:tabs>
          <w:tab w:val="left" w:pos="284"/>
        </w:tabs>
        <w:spacing w:before="20" w:after="0" w:line="240" w:lineRule="auto"/>
        <w:ind w:left="284"/>
        <w:rPr>
          <w:rFonts w:ascii="Arial" w:hAnsi="Arial" w:cs="Arial"/>
          <w:sz w:val="16"/>
          <w:szCs w:val="16"/>
          <w:bdr w:val="nil"/>
          <w:lang w:eastAsia="en-US"/>
        </w:rPr>
      </w:pPr>
    </w:p>
    <w:p w:rsidR="00950457" w:rsidRDefault="00D5482E" w:rsidP="00A6798F">
      <w:pPr>
        <w:pStyle w:val="TableHeading"/>
        <w:keepLines/>
        <w:pageBreakBefore/>
        <w:pBdr>
          <w:top w:val="nil"/>
          <w:left w:val="nil"/>
          <w:bottom w:val="nil"/>
          <w:right w:val="nil"/>
          <w:between w:val="nil"/>
          <w:bar w:val="nil"/>
        </w:pBdr>
        <w:spacing w:before="0" w:after="0"/>
        <w:rPr>
          <w:bdr w:val="nil"/>
        </w:rPr>
      </w:pPr>
      <w:r>
        <w:rPr>
          <w:bdr w:val="nil"/>
        </w:rPr>
        <w:lastRenderedPageBreak/>
        <w:t>Table 2.3.3: Performance criteria for Outcome 3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0"/>
        <w:gridCol w:w="3367"/>
        <w:gridCol w:w="2538"/>
      </w:tblGrid>
      <w:tr w:rsidR="00010972" w:rsidTr="00241B17">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6E6E6"/>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3.2</w:t>
            </w:r>
            <w:r>
              <w:rPr>
                <w:rFonts w:ascii="Arial" w:eastAsia="Times New Roman" w:hAnsi="Arial" w:cs="Arial"/>
                <w:sz w:val="16"/>
                <w:szCs w:val="16"/>
                <w:bdr w:val="nil"/>
                <w:lang w:val="en-US"/>
              </w:rPr>
              <w:t xml:space="preserve"> – </w:t>
            </w:r>
            <w:r>
              <w:rPr>
                <w:rFonts w:ascii="Arial" w:eastAsia="Times New Roman" w:hAnsi="Arial" w:cs="Arial"/>
                <w:b/>
                <w:sz w:val="16"/>
                <w:szCs w:val="16"/>
                <w:bdr w:val="nil"/>
                <w:lang w:val="en-US"/>
              </w:rPr>
              <w:t>National Disability Insurance Scheme (NDIS)</w:t>
            </w:r>
            <w:r>
              <w:rPr>
                <w:rFonts w:ascii="Arial" w:eastAsia="Times New Roman" w:hAnsi="Arial" w:cs="Arial"/>
                <w:sz w:val="16"/>
                <w:szCs w:val="16"/>
                <w:bdr w:val="nil"/>
                <w:lang w:val="en-US"/>
              </w:rPr>
              <w:t xml:space="preserve"> – To improve the wellbeing and social and economic participation of people with disability, and their families and carers, by building a NDIS that delivers individualised support through an insurance approach. This program also includes funding from existing Commonwealth programs that are transitioning into the NDIS in a phased approach and the Jobs and Market Fund.</w:t>
            </w:r>
          </w:p>
        </w:tc>
      </w:tr>
      <w:tr w:rsidR="00010972" w:rsidTr="00241B17">
        <w:tc>
          <w:tcPr>
            <w:tcW w:w="1800" w:type="dxa"/>
            <w:tcBorders>
              <w:top w:val="single" w:sz="4" w:space="0" w:color="auto"/>
              <w:left w:val="single" w:sz="4" w:space="0" w:color="auto"/>
              <w:bottom w:val="doub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5" w:type="dxa"/>
            <w:gridSpan w:val="2"/>
            <w:tcBorders>
              <w:top w:val="single" w:sz="4" w:space="0" w:color="auto"/>
              <w:left w:val="single" w:sz="4" w:space="0" w:color="auto"/>
              <w:bottom w:val="double" w:sz="4" w:space="0" w:color="auto"/>
              <w:right w:val="single" w:sz="4" w:space="0" w:color="auto"/>
            </w:tcBorders>
            <w:hideMark/>
          </w:tcPr>
          <w:p w:rsidR="00950457" w:rsidRDefault="00D5482E">
            <w:pPr>
              <w:pStyle w:val="Normal2"/>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Negotiate NDIS agreements, policy settings and financial arrangements with states and territories for the transition to full scheme.</w:t>
            </w:r>
          </w:p>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Through a program of grants for disability sector improvement, assist people with disability, people with severe mental illness, carers and service providers, to transition to the NDIS.</w:t>
            </w:r>
          </w:p>
        </w:tc>
      </w:tr>
      <w:tr w:rsidR="00010972" w:rsidTr="00241B17">
        <w:tc>
          <w:tcPr>
            <w:tcW w:w="7705" w:type="dxa"/>
            <w:gridSpan w:val="3"/>
            <w:tcBorders>
              <w:top w:val="double" w:sz="4" w:space="0" w:color="auto"/>
              <w:left w:val="single" w:sz="4" w:space="0" w:color="auto"/>
              <w:bottom w:val="doub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241B17">
        <w:tc>
          <w:tcPr>
            <w:tcW w:w="1800" w:type="dxa"/>
            <w:tcBorders>
              <w:top w:val="double" w:sz="4" w:space="0" w:color="auto"/>
              <w:left w:val="single" w:sz="4" w:space="0" w:color="auto"/>
              <w:bottom w:val="single" w:sz="4" w:space="0" w:color="auto"/>
              <w:right w:val="single" w:sz="4" w:space="0" w:color="auto"/>
            </w:tcBorders>
            <w:hideMark/>
          </w:tcPr>
          <w:p w:rsidR="001314FA" w:rsidRDefault="00D5482E" w:rsidP="001314FA">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67" w:type="dxa"/>
            <w:tcBorders>
              <w:top w:val="double" w:sz="4" w:space="0" w:color="auto"/>
              <w:left w:val="single" w:sz="4" w:space="0" w:color="auto"/>
              <w:bottom w:val="single" w:sz="4" w:space="0" w:color="auto"/>
              <w:right w:val="single" w:sz="4" w:space="0" w:color="auto"/>
            </w:tcBorders>
            <w:hideMark/>
          </w:tcPr>
          <w:p w:rsidR="001314FA" w:rsidRDefault="00D5482E" w:rsidP="001314FA">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8" w:type="dxa"/>
            <w:tcBorders>
              <w:top w:val="double" w:sz="4" w:space="0" w:color="auto"/>
              <w:left w:val="single" w:sz="4" w:space="0" w:color="auto"/>
              <w:bottom w:val="single" w:sz="4" w:space="0" w:color="auto"/>
              <w:right w:val="single" w:sz="4" w:space="0" w:color="auto"/>
            </w:tcBorders>
            <w:hideMark/>
          </w:tcPr>
          <w:p w:rsidR="001314FA" w:rsidRDefault="00D5482E" w:rsidP="001314FA">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241B17">
        <w:tc>
          <w:tcPr>
            <w:tcW w:w="1800" w:type="dxa"/>
            <w:vMerge w:val="restart"/>
            <w:tcBorders>
              <w:top w:val="dotted" w:sz="4" w:space="0" w:color="auto"/>
              <w:left w:val="single" w:sz="4" w:space="0" w:color="auto"/>
              <w:right w:val="single" w:sz="4" w:space="0" w:color="auto"/>
            </w:tcBorders>
            <w:hideMark/>
          </w:tcPr>
          <w:p w:rsidR="001314FA"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67" w:type="dxa"/>
            <w:tcBorders>
              <w:top w:val="dotted" w:sz="4" w:space="0" w:color="auto"/>
              <w:left w:val="single" w:sz="4" w:space="0" w:color="auto"/>
              <w:bottom w:val="dotted" w:sz="4" w:space="0" w:color="auto"/>
              <w:right w:val="single" w:sz="4" w:space="0" w:color="auto"/>
            </w:tcBorders>
            <w:hideMark/>
          </w:tcPr>
          <w:p w:rsidR="001314FA" w:rsidRDefault="00D5482E">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Number of people supported through the NDIS.</w:t>
            </w:r>
          </w:p>
        </w:tc>
        <w:tc>
          <w:tcPr>
            <w:tcW w:w="2538" w:type="dxa"/>
            <w:tcBorders>
              <w:top w:val="dotted" w:sz="4" w:space="0" w:color="auto"/>
              <w:left w:val="single" w:sz="4" w:space="0" w:color="auto"/>
              <w:bottom w:val="dotted" w:sz="4" w:space="0" w:color="auto"/>
              <w:right w:val="single" w:sz="4" w:space="0" w:color="auto"/>
            </w:tcBorders>
            <w:hideMark/>
          </w:tcPr>
          <w:p w:rsidR="001314FA" w:rsidRDefault="00D5482E" w:rsidP="00950457">
            <w:pPr>
              <w:pStyle w:val="Normal2"/>
              <w:numPr>
                <w:ilvl w:val="0"/>
                <w:numId w:val="28"/>
              </w:numPr>
              <w:pBdr>
                <w:top w:val="nil"/>
                <w:left w:val="nil"/>
                <w:bottom w:val="nil"/>
                <w:right w:val="nil"/>
                <w:between w:val="nil"/>
                <w:bar w:val="nil"/>
              </w:pBdr>
              <w:tabs>
                <w:tab w:val="left" w:pos="709"/>
              </w:tabs>
              <w:spacing w:before="60" w:after="60" w:line="240" w:lineRule="auto"/>
              <w:ind w:left="323" w:hanging="323"/>
              <w:contextualSpacing/>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500,000 NDIS participants by 30 June 2023.</w:t>
            </w:r>
          </w:p>
          <w:p w:rsidR="001314FA" w:rsidRDefault="00D5482E" w:rsidP="00950457">
            <w:pPr>
              <w:pStyle w:val="Normal2"/>
              <w:numPr>
                <w:ilvl w:val="0"/>
                <w:numId w:val="28"/>
              </w:numPr>
              <w:pBdr>
                <w:top w:val="nil"/>
                <w:left w:val="nil"/>
                <w:bottom w:val="nil"/>
                <w:right w:val="nil"/>
                <w:between w:val="nil"/>
                <w:bar w:val="nil"/>
              </w:pBdr>
              <w:tabs>
                <w:tab w:val="left" w:pos="709"/>
              </w:tabs>
              <w:spacing w:before="60" w:after="60" w:line="240" w:lineRule="auto"/>
              <w:ind w:left="323" w:hanging="323"/>
              <w:contextualSpacing/>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Complete the transition of DSS Commonwealth program clients to the NDIS by 31 December 2020.</w:t>
            </w:r>
          </w:p>
        </w:tc>
      </w:tr>
      <w:tr w:rsidR="00010972" w:rsidTr="00241B17">
        <w:tc>
          <w:tcPr>
            <w:tcW w:w="1800" w:type="dxa"/>
            <w:vMerge/>
            <w:tcBorders>
              <w:left w:val="single" w:sz="4" w:space="0" w:color="auto"/>
              <w:right w:val="single" w:sz="4" w:space="0" w:color="auto"/>
            </w:tcBorders>
            <w:vAlign w:val="center"/>
            <w:hideMark/>
          </w:tcPr>
          <w:p w:rsidR="001314FA" w:rsidRDefault="001314FA">
            <w:pPr>
              <w:spacing w:after="0"/>
              <w:rPr>
                <w:rFonts w:ascii="Arial" w:hAnsi="Arial" w:cs="Arial"/>
                <w:sz w:val="16"/>
                <w:szCs w:val="16"/>
                <w:bdr w:val="nil"/>
              </w:rPr>
            </w:pPr>
          </w:p>
        </w:tc>
        <w:tc>
          <w:tcPr>
            <w:tcW w:w="3367" w:type="dxa"/>
            <w:tcBorders>
              <w:top w:val="dotted" w:sz="4" w:space="0" w:color="auto"/>
              <w:left w:val="single" w:sz="4" w:space="0" w:color="auto"/>
              <w:bottom w:val="dotted" w:sz="4" w:space="0" w:color="auto"/>
              <w:right w:val="single" w:sz="4" w:space="0" w:color="auto"/>
            </w:tcBorders>
          </w:tcPr>
          <w:p w:rsidR="001314FA" w:rsidRDefault="00D5482E">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Market indicators signal that participants have improved opportunity to access services in the market.</w:t>
            </w:r>
          </w:p>
          <w:p w:rsidR="001314FA" w:rsidRDefault="001314FA">
            <w:pPr>
              <w:pStyle w:val="Normal2"/>
              <w:tabs>
                <w:tab w:val="left" w:pos="709"/>
              </w:tabs>
              <w:spacing w:before="60" w:after="60" w:line="240" w:lineRule="auto"/>
              <w:jc w:val="left"/>
              <w:rPr>
                <w:rFonts w:ascii="Arial" w:hAnsi="Arial" w:cs="Arial"/>
                <w:color w:val="000000"/>
                <w:sz w:val="16"/>
                <w:szCs w:val="16"/>
                <w:bdr w:val="nil"/>
                <w:lang w:val="en-US" w:eastAsia="en-US"/>
              </w:rPr>
            </w:pPr>
          </w:p>
        </w:tc>
        <w:tc>
          <w:tcPr>
            <w:tcW w:w="2538" w:type="dxa"/>
            <w:tcBorders>
              <w:top w:val="dotted" w:sz="4" w:space="0" w:color="auto"/>
              <w:left w:val="single" w:sz="4" w:space="0" w:color="auto"/>
              <w:bottom w:val="dotted" w:sz="4" w:space="0" w:color="auto"/>
              <w:right w:val="single" w:sz="4" w:space="0" w:color="auto"/>
            </w:tcBorders>
            <w:hideMark/>
          </w:tcPr>
          <w:p w:rsidR="001314FA" w:rsidRDefault="00D5482E" w:rsidP="00950457">
            <w:pPr>
              <w:pStyle w:val="Normal2"/>
              <w:numPr>
                <w:ilvl w:val="0"/>
                <w:numId w:val="28"/>
              </w:numPr>
              <w:pBdr>
                <w:top w:val="nil"/>
                <w:left w:val="nil"/>
                <w:bottom w:val="nil"/>
                <w:right w:val="nil"/>
                <w:between w:val="nil"/>
                <w:bar w:val="nil"/>
              </w:pBdr>
              <w:tabs>
                <w:tab w:val="left" w:pos="709"/>
              </w:tabs>
              <w:spacing w:before="60" w:after="60" w:line="240" w:lineRule="auto"/>
              <w:ind w:left="323" w:hanging="323"/>
              <w:contextualSpacing/>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At least 75 per cent market utilisation rates by 30 June 2021.</w:t>
            </w:r>
          </w:p>
          <w:p w:rsidR="001314FA" w:rsidRDefault="00D5482E" w:rsidP="00950457">
            <w:pPr>
              <w:pStyle w:val="Normal2"/>
              <w:numPr>
                <w:ilvl w:val="0"/>
                <w:numId w:val="28"/>
              </w:numPr>
              <w:pBdr>
                <w:top w:val="nil"/>
                <w:left w:val="nil"/>
                <w:bottom w:val="nil"/>
                <w:right w:val="nil"/>
                <w:between w:val="nil"/>
                <w:bar w:val="nil"/>
              </w:pBdr>
              <w:tabs>
                <w:tab w:val="left" w:pos="709"/>
              </w:tabs>
              <w:spacing w:before="60" w:after="60" w:line="240" w:lineRule="auto"/>
              <w:ind w:left="323" w:hanging="323"/>
              <w:contextualSpacing/>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At least 10 per cent improvement in NDIS market concentration in remote areas by 30 June 2021.</w:t>
            </w:r>
          </w:p>
        </w:tc>
      </w:tr>
      <w:tr w:rsidR="00010972" w:rsidTr="00241B17">
        <w:tc>
          <w:tcPr>
            <w:tcW w:w="1800" w:type="dxa"/>
            <w:vMerge/>
            <w:tcBorders>
              <w:left w:val="single" w:sz="4" w:space="0" w:color="auto"/>
              <w:right w:val="single" w:sz="4" w:space="0" w:color="auto"/>
            </w:tcBorders>
            <w:vAlign w:val="center"/>
            <w:hideMark/>
          </w:tcPr>
          <w:p w:rsidR="001314FA" w:rsidRDefault="001314FA">
            <w:pPr>
              <w:spacing w:after="0"/>
              <w:rPr>
                <w:rFonts w:ascii="Arial" w:hAnsi="Arial" w:cs="Arial"/>
                <w:sz w:val="16"/>
                <w:szCs w:val="16"/>
                <w:bdr w:val="nil"/>
              </w:rPr>
            </w:pPr>
          </w:p>
        </w:tc>
        <w:tc>
          <w:tcPr>
            <w:tcW w:w="3367" w:type="dxa"/>
            <w:tcBorders>
              <w:top w:val="dotted" w:sz="4" w:space="0" w:color="auto"/>
              <w:left w:val="single" w:sz="4" w:space="0" w:color="auto"/>
              <w:bottom w:val="dotted" w:sz="4" w:space="0" w:color="auto"/>
              <w:right w:val="single" w:sz="4" w:space="0" w:color="auto"/>
            </w:tcBorders>
            <w:hideMark/>
          </w:tcPr>
          <w:p w:rsidR="001314FA" w:rsidRDefault="00D5482E">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Extent to which outcomes for children with disability more closely align with outcomes for all children.</w:t>
            </w:r>
          </w:p>
        </w:tc>
        <w:tc>
          <w:tcPr>
            <w:tcW w:w="2538" w:type="dxa"/>
            <w:tcBorders>
              <w:top w:val="dotted" w:sz="4" w:space="0" w:color="auto"/>
              <w:left w:val="single" w:sz="4" w:space="0" w:color="auto"/>
              <w:bottom w:val="dotted" w:sz="4" w:space="0" w:color="auto"/>
              <w:right w:val="single" w:sz="4" w:space="0" w:color="auto"/>
            </w:tcBorders>
            <w:hideMark/>
          </w:tcPr>
          <w:p w:rsidR="001314FA" w:rsidRDefault="00D5482E" w:rsidP="00950457">
            <w:pPr>
              <w:pStyle w:val="Normal2"/>
              <w:numPr>
                <w:ilvl w:val="0"/>
                <w:numId w:val="28"/>
              </w:numPr>
              <w:pBdr>
                <w:top w:val="nil"/>
                <w:left w:val="nil"/>
                <w:bottom w:val="nil"/>
                <w:right w:val="nil"/>
                <w:between w:val="nil"/>
                <w:bar w:val="nil"/>
              </w:pBdr>
              <w:tabs>
                <w:tab w:val="left" w:pos="709"/>
              </w:tabs>
              <w:spacing w:before="60" w:after="60" w:line="240" w:lineRule="auto"/>
              <w:ind w:left="323" w:hanging="323"/>
              <w:contextualSpacing/>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At least 60 per cent of NDIS participants aged school age to 14 attend school in a mainstream class.</w:t>
            </w:r>
          </w:p>
          <w:p w:rsidR="001314FA" w:rsidRDefault="00D5482E" w:rsidP="00950457">
            <w:pPr>
              <w:pStyle w:val="Normal2"/>
              <w:numPr>
                <w:ilvl w:val="0"/>
                <w:numId w:val="28"/>
              </w:numPr>
              <w:pBdr>
                <w:top w:val="nil"/>
                <w:left w:val="nil"/>
                <w:bottom w:val="nil"/>
                <w:right w:val="nil"/>
                <w:between w:val="nil"/>
                <w:bar w:val="nil"/>
              </w:pBdr>
              <w:tabs>
                <w:tab w:val="left" w:pos="709"/>
              </w:tabs>
              <w:spacing w:before="60" w:after="60" w:line="240" w:lineRule="auto"/>
              <w:ind w:left="323" w:hanging="323"/>
              <w:contextualSpacing/>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At least 70 per cent of NDIS participants with disability aged 18-24 have completed secondary school.</w:t>
            </w:r>
          </w:p>
        </w:tc>
      </w:tr>
      <w:tr w:rsidR="00010972" w:rsidTr="00241B17">
        <w:tc>
          <w:tcPr>
            <w:tcW w:w="1800" w:type="dxa"/>
            <w:vMerge/>
            <w:tcBorders>
              <w:left w:val="single" w:sz="4" w:space="0" w:color="auto"/>
              <w:bottom w:val="single" w:sz="4" w:space="0" w:color="auto"/>
              <w:right w:val="single" w:sz="4" w:space="0" w:color="auto"/>
            </w:tcBorders>
            <w:vAlign w:val="center"/>
          </w:tcPr>
          <w:p w:rsidR="001314FA" w:rsidRDefault="001314FA" w:rsidP="001314FA">
            <w:pPr>
              <w:spacing w:after="0"/>
              <w:rPr>
                <w:rFonts w:ascii="Arial" w:hAnsi="Arial" w:cs="Arial"/>
                <w:sz w:val="16"/>
                <w:szCs w:val="16"/>
                <w:bdr w:val="nil"/>
              </w:rPr>
            </w:pPr>
          </w:p>
        </w:tc>
        <w:tc>
          <w:tcPr>
            <w:tcW w:w="3367" w:type="dxa"/>
            <w:tcBorders>
              <w:top w:val="dotted" w:sz="4" w:space="0" w:color="auto"/>
              <w:left w:val="single" w:sz="4" w:space="0" w:color="auto"/>
              <w:bottom w:val="single" w:sz="4" w:space="0" w:color="auto"/>
              <w:right w:val="single" w:sz="4" w:space="0" w:color="auto"/>
            </w:tcBorders>
          </w:tcPr>
          <w:p w:rsidR="001314FA" w:rsidRDefault="00D5482E" w:rsidP="001314FA">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Extent to which NDIS participant outcomes are met.</w:t>
            </w:r>
          </w:p>
        </w:tc>
        <w:tc>
          <w:tcPr>
            <w:tcW w:w="2538" w:type="dxa"/>
            <w:tcBorders>
              <w:top w:val="dotted" w:sz="4" w:space="0" w:color="auto"/>
              <w:left w:val="single" w:sz="4" w:space="0" w:color="auto"/>
              <w:bottom w:val="single" w:sz="4" w:space="0" w:color="auto"/>
              <w:right w:val="single" w:sz="4" w:space="0" w:color="auto"/>
            </w:tcBorders>
          </w:tcPr>
          <w:p w:rsidR="001314FA" w:rsidRDefault="00D5482E" w:rsidP="001314FA">
            <w:pPr>
              <w:pStyle w:val="Normal2"/>
              <w:numPr>
                <w:ilvl w:val="0"/>
                <w:numId w:val="28"/>
              </w:numPr>
              <w:pBdr>
                <w:top w:val="nil"/>
                <w:left w:val="nil"/>
                <w:bottom w:val="nil"/>
                <w:right w:val="nil"/>
                <w:between w:val="nil"/>
                <w:bar w:val="nil"/>
              </w:pBdr>
              <w:tabs>
                <w:tab w:val="left" w:pos="709"/>
              </w:tabs>
              <w:spacing w:before="60" w:after="60" w:line="240" w:lineRule="auto"/>
              <w:ind w:left="323" w:hanging="323"/>
              <w:contextualSpacing/>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At least 80 per cent of NDIS participants report satisfaction with the scheme planning process.</w:t>
            </w:r>
          </w:p>
          <w:p w:rsidR="001314FA" w:rsidRDefault="00D5482E" w:rsidP="001314FA">
            <w:pPr>
              <w:pStyle w:val="Normal2"/>
              <w:numPr>
                <w:ilvl w:val="0"/>
                <w:numId w:val="28"/>
              </w:numPr>
              <w:pBdr>
                <w:top w:val="nil"/>
                <w:left w:val="nil"/>
                <w:bottom w:val="nil"/>
                <w:right w:val="nil"/>
                <w:between w:val="nil"/>
                <w:bar w:val="nil"/>
              </w:pBdr>
              <w:tabs>
                <w:tab w:val="left" w:pos="709"/>
              </w:tabs>
              <w:spacing w:before="60" w:after="60" w:line="240" w:lineRule="auto"/>
              <w:ind w:left="323" w:hanging="323"/>
              <w:contextualSpacing/>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At least 25 per cent of working age NDIS participants in paid employment.</w:t>
            </w:r>
          </w:p>
          <w:p w:rsidR="001314FA" w:rsidRDefault="00D5482E" w:rsidP="001314FA">
            <w:pPr>
              <w:pStyle w:val="Normal2"/>
              <w:numPr>
                <w:ilvl w:val="0"/>
                <w:numId w:val="28"/>
              </w:numPr>
              <w:pBdr>
                <w:top w:val="nil"/>
                <w:left w:val="nil"/>
                <w:bottom w:val="nil"/>
                <w:right w:val="nil"/>
                <w:between w:val="nil"/>
                <w:bar w:val="nil"/>
              </w:pBdr>
              <w:tabs>
                <w:tab w:val="left" w:pos="709"/>
              </w:tabs>
              <w:spacing w:before="60" w:after="60" w:line="240" w:lineRule="auto"/>
              <w:ind w:left="323" w:hanging="323"/>
              <w:contextualSpacing/>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At least 45 per cent of NDIS participants involved in community and social activities.</w:t>
            </w:r>
          </w:p>
          <w:p w:rsidR="001314FA" w:rsidRPr="001314FA" w:rsidRDefault="00D5482E" w:rsidP="001314FA">
            <w:pPr>
              <w:pStyle w:val="Normal2"/>
              <w:numPr>
                <w:ilvl w:val="0"/>
                <w:numId w:val="28"/>
              </w:numPr>
              <w:pBdr>
                <w:top w:val="nil"/>
                <w:left w:val="nil"/>
                <w:bottom w:val="nil"/>
                <w:right w:val="nil"/>
                <w:between w:val="nil"/>
                <w:bar w:val="nil"/>
              </w:pBdr>
              <w:tabs>
                <w:tab w:val="left" w:pos="709"/>
              </w:tabs>
              <w:spacing w:before="60" w:after="60" w:line="240" w:lineRule="auto"/>
              <w:ind w:left="323" w:hanging="323"/>
              <w:contextualSpacing/>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 xml:space="preserve">No people under 65 years entering residential aged care by the end of 2022 apart from in exceptional circumstances. </w:t>
            </w:r>
          </w:p>
        </w:tc>
      </w:tr>
    </w:tbl>
    <w:p w:rsidR="00950457" w:rsidRDefault="00D5482E" w:rsidP="00950457">
      <w:pPr>
        <w:pBdr>
          <w:top w:val="nil"/>
          <w:left w:val="nil"/>
          <w:bottom w:val="nil"/>
          <w:right w:val="nil"/>
          <w:between w:val="nil"/>
          <w:bar w:val="nil"/>
        </w:pBdr>
        <w:rPr>
          <w:bdr w:val="nil"/>
        </w:rPr>
      </w:pPr>
      <w:r>
        <w:rPr>
          <w:rFonts w:ascii="Book Antiqua" w:eastAsia="Times New Roman" w:hAnsi="Book Antiqua" w:cs="Times New Roman"/>
          <w:sz w:val="20"/>
          <w:szCs w:val="20"/>
          <w:bdr w:val="nil"/>
          <w:lang w:val="en-AU" w:eastAsia="en-AU"/>
        </w:rPr>
        <w:br w:type="page"/>
      </w:r>
    </w:p>
    <w:p w:rsidR="00950457" w:rsidRDefault="00D5482E" w:rsidP="00A6798F">
      <w:pPr>
        <w:pStyle w:val="TableHeading"/>
        <w:keepLines/>
        <w:pageBreakBefore/>
        <w:pBdr>
          <w:top w:val="nil"/>
          <w:left w:val="nil"/>
          <w:bottom w:val="nil"/>
          <w:right w:val="nil"/>
          <w:between w:val="nil"/>
          <w:bar w:val="nil"/>
        </w:pBdr>
        <w:spacing w:before="0" w:after="0"/>
        <w:rPr>
          <w:bdr w:val="nil"/>
        </w:rPr>
      </w:pPr>
      <w:r>
        <w:rPr>
          <w:bdr w:val="nil"/>
        </w:rPr>
        <w:lastRenderedPageBreak/>
        <w:t>Table 2.3.3: Performance criteria for Outcome 3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1"/>
        <w:gridCol w:w="3367"/>
        <w:gridCol w:w="2537"/>
      </w:tblGrid>
      <w:tr w:rsidR="00010972" w:rsidTr="00241B17">
        <w:tc>
          <w:tcPr>
            <w:tcW w:w="7705" w:type="dxa"/>
            <w:gridSpan w:val="3"/>
            <w:tcBorders>
              <w:top w:val="single" w:sz="4" w:space="0" w:color="auto"/>
              <w:left w:val="single" w:sz="4" w:space="0" w:color="auto"/>
              <w:bottom w:val="single" w:sz="4" w:space="0" w:color="auto"/>
              <w:right w:val="single" w:sz="4" w:space="0" w:color="auto"/>
            </w:tcBorders>
            <w:shd w:val="clear" w:color="auto" w:fill="E6E6E6"/>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 xml:space="preserve">Program 3.2 – </w:t>
            </w:r>
            <w:r>
              <w:rPr>
                <w:rFonts w:ascii="Arial" w:eastAsia="Times New Roman" w:hAnsi="Arial" w:cs="Arial"/>
                <w:sz w:val="16"/>
                <w:szCs w:val="16"/>
                <w:bdr w:val="nil"/>
                <w:lang w:val="en-US"/>
              </w:rPr>
              <w:t>National Disability Insurance Scheme (NDIS) – To improve the wellbeing and social and economic participation of people with disability, and their families and carers, by building a NDIS that delivers individualised support through an insurance approach. This program also includes funding from existing Commonwealth programs that are transitioning into the NDIS in a phased approach and the Jobs and Market Fund.</w:t>
            </w:r>
          </w:p>
        </w:tc>
      </w:tr>
      <w:tr w:rsidR="00010972" w:rsidTr="00241B17">
        <w:tc>
          <w:tcPr>
            <w:tcW w:w="1801" w:type="dxa"/>
            <w:tcBorders>
              <w:top w:val="double" w:sz="4" w:space="0" w:color="auto"/>
              <w:left w:val="single" w:sz="4" w:space="0" w:color="auto"/>
              <w:bottom w:val="single" w:sz="4" w:space="0" w:color="auto"/>
              <w:right w:val="single" w:sz="4" w:space="0" w:color="auto"/>
            </w:tcBorders>
            <w:hideMark/>
          </w:tcPr>
          <w:p w:rsidR="001314FA" w:rsidRDefault="00D5482E" w:rsidP="001314FA">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67" w:type="dxa"/>
            <w:tcBorders>
              <w:top w:val="double" w:sz="4" w:space="0" w:color="auto"/>
              <w:left w:val="single" w:sz="4" w:space="0" w:color="auto"/>
              <w:bottom w:val="single" w:sz="4" w:space="0" w:color="auto"/>
              <w:right w:val="single" w:sz="4" w:space="0" w:color="auto"/>
            </w:tcBorders>
            <w:hideMark/>
          </w:tcPr>
          <w:p w:rsidR="001314FA" w:rsidRDefault="00D5482E" w:rsidP="001314FA">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7" w:type="dxa"/>
            <w:tcBorders>
              <w:top w:val="double" w:sz="4" w:space="0" w:color="auto"/>
              <w:left w:val="single" w:sz="4" w:space="0" w:color="auto"/>
              <w:bottom w:val="single" w:sz="4" w:space="0" w:color="auto"/>
              <w:right w:val="single" w:sz="4" w:space="0" w:color="auto"/>
            </w:tcBorders>
            <w:hideMark/>
          </w:tcPr>
          <w:p w:rsidR="001314FA" w:rsidRDefault="00D5482E" w:rsidP="001314FA">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241B17">
        <w:tc>
          <w:tcPr>
            <w:tcW w:w="1801" w:type="dxa"/>
            <w:vMerge w:val="restart"/>
            <w:tcBorders>
              <w:top w:val="dotted" w:sz="4" w:space="0" w:color="auto"/>
              <w:left w:val="single" w:sz="4" w:space="0" w:color="auto"/>
              <w:bottom w:val="dotted"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67" w:type="dxa"/>
            <w:tcBorders>
              <w:top w:val="single" w:sz="4" w:space="0" w:color="auto"/>
              <w:left w:val="single" w:sz="4" w:space="0" w:color="auto"/>
              <w:bottom w:val="dotted" w:sz="4" w:space="0" w:color="auto"/>
              <w:right w:val="single" w:sz="4" w:space="0" w:color="auto"/>
            </w:tcBorders>
            <w:hideMark/>
          </w:tcPr>
          <w:p w:rsidR="00950457" w:rsidRDefault="00950457">
            <w:pPr>
              <w:pStyle w:val="Normal2"/>
              <w:tabs>
                <w:tab w:val="left" w:pos="709"/>
              </w:tabs>
              <w:spacing w:before="60" w:after="60" w:line="240" w:lineRule="auto"/>
              <w:jc w:val="left"/>
              <w:rPr>
                <w:rFonts w:ascii="Arial" w:hAnsi="Arial" w:cs="Arial"/>
                <w:color w:val="000000"/>
                <w:sz w:val="16"/>
                <w:szCs w:val="16"/>
                <w:bdr w:val="nil"/>
                <w:lang w:val="en-US" w:eastAsia="en-US"/>
              </w:rPr>
            </w:pPr>
          </w:p>
        </w:tc>
        <w:tc>
          <w:tcPr>
            <w:tcW w:w="2537" w:type="dxa"/>
            <w:tcBorders>
              <w:top w:val="single" w:sz="4" w:space="0" w:color="auto"/>
              <w:left w:val="single" w:sz="4" w:space="0" w:color="auto"/>
              <w:bottom w:val="dotted" w:sz="4" w:space="0" w:color="auto"/>
              <w:right w:val="single" w:sz="4" w:space="0" w:color="auto"/>
            </w:tcBorders>
            <w:hideMark/>
          </w:tcPr>
          <w:p w:rsidR="00950457" w:rsidRDefault="00D5482E" w:rsidP="00950457">
            <w:pPr>
              <w:pStyle w:val="Normal2"/>
              <w:numPr>
                <w:ilvl w:val="0"/>
                <w:numId w:val="28"/>
              </w:numPr>
              <w:pBdr>
                <w:top w:val="nil"/>
                <w:left w:val="nil"/>
                <w:bottom w:val="nil"/>
                <w:right w:val="nil"/>
                <w:between w:val="nil"/>
                <w:bar w:val="nil"/>
              </w:pBdr>
              <w:tabs>
                <w:tab w:val="left" w:pos="709"/>
              </w:tabs>
              <w:spacing w:before="60" w:after="60" w:line="240" w:lineRule="auto"/>
              <w:ind w:left="323" w:hanging="323"/>
              <w:contextualSpacing/>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No people under 45 years living in residential aged care by the end of 2022 apart from in exceptional circumstances.</w:t>
            </w:r>
          </w:p>
          <w:p w:rsidR="00950457" w:rsidRDefault="00D5482E" w:rsidP="00950457">
            <w:pPr>
              <w:pStyle w:val="Normal2"/>
              <w:numPr>
                <w:ilvl w:val="0"/>
                <w:numId w:val="28"/>
              </w:numPr>
              <w:pBdr>
                <w:top w:val="nil"/>
                <w:left w:val="nil"/>
                <w:bottom w:val="nil"/>
                <w:right w:val="nil"/>
                <w:between w:val="nil"/>
                <w:bar w:val="nil"/>
              </w:pBdr>
              <w:tabs>
                <w:tab w:val="left" w:pos="709"/>
              </w:tabs>
              <w:spacing w:before="60" w:after="60" w:line="240" w:lineRule="auto"/>
              <w:ind w:left="323" w:hanging="323"/>
              <w:contextualSpacing/>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No people under 65 years living in residential aged care by the end of 2025 apart from in exceptional circumstances.</w:t>
            </w:r>
          </w:p>
        </w:tc>
      </w:tr>
      <w:tr w:rsidR="00010972" w:rsidTr="00241B17">
        <w:tc>
          <w:tcPr>
            <w:tcW w:w="1801" w:type="dxa"/>
            <w:vMerge/>
            <w:tcBorders>
              <w:top w:val="dotted" w:sz="4" w:space="0" w:color="auto"/>
              <w:left w:val="single" w:sz="4" w:space="0" w:color="auto"/>
              <w:bottom w:val="dotted" w:sz="4" w:space="0" w:color="auto"/>
              <w:right w:val="single" w:sz="4" w:space="0" w:color="auto"/>
            </w:tcBorders>
            <w:vAlign w:val="center"/>
            <w:hideMark/>
          </w:tcPr>
          <w:p w:rsidR="00950457" w:rsidRDefault="00950457">
            <w:pPr>
              <w:spacing w:after="0"/>
              <w:rPr>
                <w:rFonts w:ascii="Arial" w:hAnsi="Arial" w:cs="Arial"/>
                <w:sz w:val="16"/>
                <w:szCs w:val="16"/>
                <w:bdr w:val="nil"/>
              </w:rPr>
            </w:pPr>
          </w:p>
        </w:tc>
        <w:tc>
          <w:tcPr>
            <w:tcW w:w="5904" w:type="dxa"/>
            <w:gridSpan w:val="2"/>
            <w:tcBorders>
              <w:top w:val="dotted" w:sz="4" w:space="0" w:color="auto"/>
              <w:left w:val="single" w:sz="4" w:space="0" w:color="auto"/>
              <w:bottom w:val="dotted" w:sz="4" w:space="0" w:color="auto"/>
              <w:right w:val="single" w:sz="4" w:space="0" w:color="auto"/>
            </w:tcBorders>
            <w:hideMark/>
          </w:tcPr>
          <w:p w:rsidR="00950457" w:rsidRDefault="00D5482E">
            <w:pPr>
              <w:keepLines/>
              <w:pBdr>
                <w:top w:val="nil"/>
                <w:left w:val="nil"/>
                <w:bottom w:val="nil"/>
                <w:right w:val="nil"/>
                <w:between w:val="nil"/>
                <w:bar w:val="nil"/>
              </w:pBdr>
              <w:tabs>
                <w:tab w:val="left" w:pos="709"/>
              </w:tabs>
              <w:spacing w:before="60" w:after="0" w:line="240" w:lineRule="auto"/>
              <w:rPr>
                <w:rFonts w:ascii="Arial" w:hAnsi="Arial" w:cs="Arial"/>
                <w:color w:val="000000"/>
                <w:sz w:val="16"/>
                <w:szCs w:val="16"/>
                <w:bdr w:val="nil"/>
              </w:rPr>
            </w:pPr>
            <w:r>
              <w:rPr>
                <w:rFonts w:ascii="Arial" w:eastAsia="Times New Roman" w:hAnsi="Arial" w:cs="Arial"/>
                <w:color w:val="000000"/>
                <w:sz w:val="16"/>
                <w:szCs w:val="16"/>
                <w:bdr w:val="nil"/>
              </w:rPr>
              <w:t>Outputs:</w:t>
            </w:r>
          </w:p>
          <w:p w:rsidR="00950457" w:rsidRDefault="00D5482E" w:rsidP="00950457">
            <w:pPr>
              <w:pStyle w:val="ListParagraph"/>
              <w:numPr>
                <w:ilvl w:val="0"/>
                <w:numId w:val="29"/>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Administered outlays (NDIS; NDIS Transition; NDIS Participant Plans; Information, Linkages and Capacity Building; Establishment of the NDIS Quality and Safeguards Commission; Boosting the Local Care Workforce; Payments to Corporate Entity – National Disability Insurance Agency costs)</w:t>
            </w:r>
          </w:p>
          <w:p w:rsidR="00950457" w:rsidRDefault="00D5482E" w:rsidP="00950457">
            <w:pPr>
              <w:pStyle w:val="ListParagraph"/>
              <w:numPr>
                <w:ilvl w:val="0"/>
                <w:numId w:val="29"/>
              </w:numPr>
              <w:pBdr>
                <w:top w:val="nil"/>
                <w:left w:val="nil"/>
                <w:bottom w:val="nil"/>
                <w:right w:val="nil"/>
                <w:between w:val="nil"/>
                <w:bar w:val="nil"/>
              </w:pBdr>
              <w:tabs>
                <w:tab w:val="left" w:pos="709"/>
              </w:tabs>
              <w:spacing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Value and number of Jobs and Market Fund projects supporting the market, sector and workforce to transition to the NDIS</w:t>
            </w:r>
          </w:p>
        </w:tc>
      </w:tr>
      <w:tr w:rsidR="00010972" w:rsidTr="00241B17">
        <w:tc>
          <w:tcPr>
            <w:tcW w:w="1801" w:type="dxa"/>
            <w:tcBorders>
              <w:top w:val="dotted" w:sz="4" w:space="0" w:color="auto"/>
              <w:left w:val="single" w:sz="4" w:space="0" w:color="auto"/>
              <w:bottom w:val="sing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67" w:type="dxa"/>
            <w:tcBorders>
              <w:top w:val="dotted" w:sz="4" w:space="0" w:color="auto"/>
              <w:left w:val="single" w:sz="4" w:space="0" w:color="auto"/>
              <w:bottom w:val="single" w:sz="4" w:space="0" w:color="auto"/>
              <w:right w:val="single" w:sz="4" w:space="0" w:color="auto"/>
            </w:tcBorders>
            <w:hideMark/>
          </w:tcPr>
          <w:p w:rsidR="00950457"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As per 2020-21</w:t>
            </w:r>
          </w:p>
        </w:tc>
        <w:tc>
          <w:tcPr>
            <w:tcW w:w="2537" w:type="dxa"/>
            <w:tcBorders>
              <w:top w:val="dotted" w:sz="4" w:space="0" w:color="auto"/>
              <w:left w:val="single" w:sz="4" w:space="0" w:color="auto"/>
              <w:bottom w:val="single" w:sz="4" w:space="0" w:color="auto"/>
              <w:right w:val="single" w:sz="4" w:space="0" w:color="auto"/>
            </w:tcBorders>
            <w:hideMark/>
          </w:tcPr>
          <w:p w:rsidR="00950457" w:rsidRDefault="00D5482E">
            <w:pPr>
              <w:pStyle w:val="Normal00"/>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eastAsia="en-US"/>
              </w:rPr>
            </w:pPr>
            <w:r>
              <w:rPr>
                <w:rFonts w:ascii="Arial" w:hAnsi="Arial" w:cs="Arial"/>
                <w:sz w:val="16"/>
                <w:szCs w:val="16"/>
                <w:bdr w:val="nil"/>
                <w:lang w:val="en-US" w:eastAsia="en-US"/>
              </w:rPr>
              <w:t>As per 2020-21</w:t>
            </w:r>
          </w:p>
        </w:tc>
      </w:tr>
      <w:tr w:rsidR="00010972" w:rsidTr="00241B17">
        <w:tc>
          <w:tcPr>
            <w:tcW w:w="1801" w:type="dxa"/>
            <w:tcBorders>
              <w:top w:val="single" w:sz="4" w:space="0" w:color="auto"/>
              <w:left w:val="single" w:sz="4" w:space="0" w:color="auto"/>
              <w:bottom w:val="sing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Purpose</w:t>
            </w:r>
          </w:p>
        </w:tc>
        <w:tc>
          <w:tcPr>
            <w:tcW w:w="5904" w:type="dxa"/>
            <w:gridSpan w:val="2"/>
            <w:tcBorders>
              <w:top w:val="dotted" w:sz="4" w:space="0" w:color="auto"/>
              <w:left w:val="single" w:sz="4" w:space="0" w:color="auto"/>
              <w:bottom w:val="dotted" w:sz="4" w:space="0" w:color="auto"/>
              <w:right w:val="single" w:sz="4" w:space="0" w:color="auto"/>
            </w:tcBorders>
            <w:hideMark/>
          </w:tcPr>
          <w:p w:rsidR="00950457" w:rsidRDefault="00D5482E">
            <w:pPr>
              <w:pStyle w:val="Normal00"/>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eastAsia="en-US"/>
              </w:rPr>
            </w:pPr>
            <w:r>
              <w:rPr>
                <w:rFonts w:ascii="Arial" w:hAnsi="Arial" w:cs="Arial"/>
                <w:sz w:val="16"/>
                <w:szCs w:val="16"/>
                <w:bdr w:val="nil"/>
                <w:lang w:val="en-US" w:eastAsia="en-US"/>
              </w:rPr>
              <w:t>Improved independence of, and participation by, people with disability, including improved support for carers, by providing targeted support and services.</w:t>
            </w:r>
          </w:p>
        </w:tc>
      </w:tr>
      <w:tr w:rsidR="00010972" w:rsidTr="00241B17">
        <w:tc>
          <w:tcPr>
            <w:tcW w:w="7705" w:type="dxa"/>
            <w:gridSpan w:val="3"/>
            <w:tcBorders>
              <w:top w:val="single" w:sz="4" w:space="0" w:color="auto"/>
              <w:left w:val="single" w:sz="4" w:space="0" w:color="auto"/>
              <w:bottom w:val="single" w:sz="4" w:space="0" w:color="auto"/>
              <w:right w:val="single" w:sz="4" w:space="0" w:color="auto"/>
            </w:tcBorders>
            <w:hideMark/>
          </w:tcPr>
          <w:p w:rsidR="00950457" w:rsidRDefault="00D5482E">
            <w:pPr>
              <w:pStyle w:val="Normal00"/>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eastAsia="en-US"/>
              </w:rPr>
            </w:pPr>
            <w:r>
              <w:rPr>
                <w:rStyle w:val="BodyTextChar"/>
                <w:rFonts w:ascii="Arial" w:hAnsi="Arial" w:cs="Arial"/>
                <w:b/>
                <w:bCs/>
                <w:iCs/>
                <w:spacing w:val="-6"/>
                <w:sz w:val="16"/>
                <w:szCs w:val="16"/>
                <w:bdr w:val="nil"/>
                <w:lang w:eastAsia="en-US"/>
              </w:rPr>
              <w:t>Material changes to Program 3.2:</w:t>
            </w:r>
            <w:r>
              <w:rPr>
                <w:rStyle w:val="BodyTextChar"/>
                <w:rFonts w:ascii="Arial" w:hAnsi="Arial" w:cs="Arial"/>
                <w:bCs/>
                <w:iCs/>
                <w:spacing w:val="-6"/>
                <w:sz w:val="16"/>
                <w:szCs w:val="16"/>
                <w:bdr w:val="nil"/>
                <w:lang w:eastAsia="en-US"/>
              </w:rPr>
              <w:t xml:space="preserve"> </w:t>
            </w:r>
            <w:r>
              <w:rPr>
                <w:rStyle w:val="BodyTextChar"/>
                <w:rFonts w:ascii="Arial" w:hAnsi="Arial" w:cs="Arial"/>
                <w:b/>
                <w:bCs/>
                <w:iCs/>
                <w:spacing w:val="-6"/>
                <w:sz w:val="16"/>
                <w:szCs w:val="16"/>
                <w:bdr w:val="nil"/>
                <w:lang w:eastAsia="en-US"/>
              </w:rPr>
              <w:t>Nil.</w:t>
            </w:r>
          </w:p>
        </w:tc>
      </w:tr>
    </w:tbl>
    <w:p w:rsidR="00950457" w:rsidRPr="006F5F97" w:rsidRDefault="00950457" w:rsidP="005C2BC3">
      <w:pPr>
        <w:pStyle w:val="Normal00"/>
        <w:pBdr>
          <w:top w:val="nil"/>
          <w:left w:val="nil"/>
          <w:bottom w:val="nil"/>
          <w:right w:val="nil"/>
          <w:between w:val="nil"/>
          <w:bar w:val="nil"/>
        </w:pBdr>
        <w:tabs>
          <w:tab w:val="left" w:pos="284"/>
        </w:tabs>
        <w:spacing w:before="20" w:after="0" w:line="240" w:lineRule="auto"/>
        <w:rPr>
          <w:rFonts w:ascii="Arial" w:hAnsi="Arial" w:cs="Arial"/>
          <w:sz w:val="16"/>
          <w:szCs w:val="16"/>
          <w:bdr w:val="nil"/>
          <w:lang w:eastAsia="en-US"/>
        </w:rPr>
      </w:pPr>
    </w:p>
    <w:p w:rsidR="00950457" w:rsidRDefault="00D5482E" w:rsidP="00A6798F">
      <w:pPr>
        <w:pStyle w:val="TableHeading"/>
        <w:keepLines/>
        <w:pageBreakBefore/>
        <w:pBdr>
          <w:top w:val="nil"/>
          <w:left w:val="nil"/>
          <w:bottom w:val="nil"/>
          <w:right w:val="nil"/>
          <w:between w:val="nil"/>
          <w:bar w:val="nil"/>
        </w:pBdr>
        <w:spacing w:before="0" w:after="0"/>
        <w:rPr>
          <w:bdr w:val="nil"/>
        </w:rPr>
      </w:pPr>
      <w:r>
        <w:rPr>
          <w:bdr w:val="nil"/>
        </w:rPr>
        <w:lastRenderedPageBreak/>
        <w:t>Table 2.3.3: Performance criteria for Outcome 3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2"/>
        <w:gridCol w:w="3369"/>
        <w:gridCol w:w="2534"/>
      </w:tblGrid>
      <w:tr w:rsidR="00010972" w:rsidTr="00241B17">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6E6E6"/>
            <w:hideMark/>
          </w:tcPr>
          <w:p w:rsidR="00950457" w:rsidRDefault="00D5482E" w:rsidP="003D226A">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3.3</w:t>
            </w:r>
            <w:r>
              <w:rPr>
                <w:rFonts w:ascii="Arial" w:eastAsia="Times New Roman" w:hAnsi="Arial" w:cs="Arial"/>
                <w:sz w:val="16"/>
                <w:szCs w:val="16"/>
                <w:bdr w:val="nil"/>
                <w:lang w:val="en-US"/>
              </w:rPr>
              <w:t xml:space="preserve"> – </w:t>
            </w:r>
            <w:r>
              <w:rPr>
                <w:rFonts w:ascii="Arial" w:eastAsia="Times New Roman" w:hAnsi="Arial" w:cs="Arial"/>
                <w:b/>
                <w:sz w:val="16"/>
                <w:szCs w:val="16"/>
                <w:bdr w:val="nil"/>
                <w:lang w:val="en-US"/>
              </w:rPr>
              <w:t xml:space="preserve">Program Support for Outcome 3 </w:t>
            </w:r>
            <w:r>
              <w:rPr>
                <w:rFonts w:ascii="Arial" w:eastAsia="Times New Roman" w:hAnsi="Arial" w:cs="Arial"/>
                <w:sz w:val="16"/>
                <w:szCs w:val="16"/>
                <w:bdr w:val="nil"/>
                <w:lang w:val="en-US"/>
              </w:rPr>
              <w:t>– To provide departmental funding for the annual operating costs of DSS to achieve agency objectives.</w:t>
            </w:r>
          </w:p>
        </w:tc>
      </w:tr>
      <w:tr w:rsidR="00010972" w:rsidTr="00241B17">
        <w:tc>
          <w:tcPr>
            <w:tcW w:w="1802" w:type="dxa"/>
            <w:tcBorders>
              <w:top w:val="single" w:sz="4" w:space="0" w:color="auto"/>
              <w:left w:val="single" w:sz="4" w:space="0" w:color="auto"/>
              <w:bottom w:val="doub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3" w:type="dxa"/>
            <w:gridSpan w:val="2"/>
            <w:tcBorders>
              <w:top w:val="single" w:sz="4" w:space="0" w:color="auto"/>
              <w:left w:val="single" w:sz="4" w:space="0" w:color="auto"/>
              <w:bottom w:val="doub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Departmental funding.</w:t>
            </w:r>
          </w:p>
        </w:tc>
      </w:tr>
      <w:tr w:rsidR="00010972" w:rsidTr="00241B17">
        <w:tc>
          <w:tcPr>
            <w:tcW w:w="7705" w:type="dxa"/>
            <w:gridSpan w:val="3"/>
            <w:tcBorders>
              <w:top w:val="double" w:sz="4" w:space="0" w:color="auto"/>
              <w:left w:val="single" w:sz="4" w:space="0" w:color="auto"/>
              <w:bottom w:val="doub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241B17">
        <w:tc>
          <w:tcPr>
            <w:tcW w:w="1802" w:type="dxa"/>
            <w:tcBorders>
              <w:top w:val="double" w:sz="4" w:space="0" w:color="auto"/>
              <w:left w:val="single" w:sz="4" w:space="0" w:color="auto"/>
              <w:bottom w:val="single" w:sz="4" w:space="0" w:color="auto"/>
              <w:right w:val="single" w:sz="4" w:space="0" w:color="auto"/>
            </w:tcBorders>
            <w:hideMark/>
          </w:tcPr>
          <w:p w:rsidR="001314FA" w:rsidRDefault="00D5482E" w:rsidP="001314FA">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69" w:type="dxa"/>
            <w:tcBorders>
              <w:top w:val="double" w:sz="4" w:space="0" w:color="auto"/>
              <w:left w:val="single" w:sz="4" w:space="0" w:color="auto"/>
              <w:bottom w:val="single" w:sz="4" w:space="0" w:color="auto"/>
              <w:right w:val="single" w:sz="4" w:space="0" w:color="auto"/>
            </w:tcBorders>
            <w:hideMark/>
          </w:tcPr>
          <w:p w:rsidR="001314FA" w:rsidRDefault="00D5482E" w:rsidP="001314FA">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4" w:type="dxa"/>
            <w:tcBorders>
              <w:top w:val="double" w:sz="4" w:space="0" w:color="auto"/>
              <w:left w:val="single" w:sz="4" w:space="0" w:color="auto"/>
              <w:bottom w:val="single" w:sz="4" w:space="0" w:color="auto"/>
              <w:right w:val="single" w:sz="4" w:space="0" w:color="auto"/>
            </w:tcBorders>
            <w:hideMark/>
          </w:tcPr>
          <w:p w:rsidR="001314FA" w:rsidRDefault="00D5482E" w:rsidP="001314FA">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241B17">
        <w:tc>
          <w:tcPr>
            <w:tcW w:w="1802" w:type="dxa"/>
            <w:vMerge w:val="restart"/>
            <w:tcBorders>
              <w:top w:val="dotted" w:sz="4" w:space="0" w:color="auto"/>
              <w:left w:val="single" w:sz="4" w:space="0" w:color="auto"/>
              <w:bottom w:val="dotted"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69" w:type="dxa"/>
            <w:tcBorders>
              <w:top w:val="dotted" w:sz="4" w:space="0" w:color="auto"/>
              <w:left w:val="single" w:sz="4" w:space="0" w:color="auto"/>
              <w:bottom w:val="dotted" w:sz="4" w:space="0" w:color="auto"/>
              <w:right w:val="single" w:sz="4" w:space="0" w:color="auto"/>
            </w:tcBorders>
            <w:hideMark/>
          </w:tcPr>
          <w:p w:rsidR="00950457" w:rsidRDefault="00D5482E">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Cross-Outcome departmental expenditure.</w:t>
            </w:r>
          </w:p>
        </w:tc>
        <w:tc>
          <w:tcPr>
            <w:tcW w:w="2534" w:type="dxa"/>
            <w:tcBorders>
              <w:top w:val="dotted" w:sz="4" w:space="0" w:color="auto"/>
              <w:left w:val="single" w:sz="4" w:space="0" w:color="auto"/>
              <w:bottom w:val="dotted" w:sz="4" w:space="0" w:color="auto"/>
              <w:right w:val="single" w:sz="4" w:space="0" w:color="auto"/>
            </w:tcBorders>
            <w:hideMark/>
          </w:tcPr>
          <w:p w:rsidR="00950457" w:rsidRDefault="00D5482E" w:rsidP="003D226A">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Budget estimates are accurate (taking into account, to the extent possible, all government decisions and other circumstances that may have a material effect) and explanations are provided where variances are equivalent to or greater than two per cent between budgeted expenses and Final Budget Outcome for all DSS’ Outcomes.</w:t>
            </w:r>
          </w:p>
        </w:tc>
      </w:tr>
      <w:tr w:rsidR="00010972" w:rsidTr="00241B17">
        <w:tc>
          <w:tcPr>
            <w:tcW w:w="1802" w:type="dxa"/>
            <w:vMerge/>
            <w:tcBorders>
              <w:top w:val="dotted" w:sz="4" w:space="0" w:color="auto"/>
              <w:left w:val="single" w:sz="4" w:space="0" w:color="auto"/>
              <w:bottom w:val="dotted" w:sz="4" w:space="0" w:color="auto"/>
              <w:right w:val="single" w:sz="4" w:space="0" w:color="auto"/>
            </w:tcBorders>
            <w:vAlign w:val="center"/>
            <w:hideMark/>
          </w:tcPr>
          <w:p w:rsidR="00950457" w:rsidRDefault="00950457">
            <w:pPr>
              <w:spacing w:after="0"/>
              <w:rPr>
                <w:rFonts w:ascii="Arial" w:hAnsi="Arial" w:cs="Arial"/>
                <w:sz w:val="16"/>
                <w:szCs w:val="16"/>
                <w:bdr w:val="nil"/>
              </w:rPr>
            </w:pPr>
          </w:p>
        </w:tc>
        <w:tc>
          <w:tcPr>
            <w:tcW w:w="3369" w:type="dxa"/>
            <w:tcBorders>
              <w:top w:val="dotted" w:sz="4" w:space="0" w:color="auto"/>
              <w:left w:val="single" w:sz="4" w:space="0" w:color="auto"/>
              <w:bottom w:val="dotted" w:sz="4" w:space="0" w:color="auto"/>
              <w:right w:val="single" w:sz="4" w:space="0" w:color="auto"/>
            </w:tcBorders>
            <w:hideMark/>
          </w:tcPr>
          <w:p w:rsidR="00950457" w:rsidRDefault="00D5482E" w:rsidP="00127379">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 xml:space="preserve">Timeliness of advice and support provided to Portfolio Ministers and Assistant Ministers by DSS across the four outcomes. </w:t>
            </w:r>
          </w:p>
        </w:tc>
        <w:tc>
          <w:tcPr>
            <w:tcW w:w="2534" w:type="dxa"/>
            <w:tcBorders>
              <w:top w:val="dotted" w:sz="4" w:space="0" w:color="auto"/>
              <w:left w:val="single" w:sz="4" w:space="0" w:color="auto"/>
              <w:bottom w:val="dotted" w:sz="4" w:space="0" w:color="auto"/>
              <w:right w:val="single" w:sz="4" w:space="0" w:color="auto"/>
            </w:tcBorders>
            <w:hideMark/>
          </w:tcPr>
          <w:p w:rsidR="00950457" w:rsidRDefault="00D5482E">
            <w:pPr>
              <w:pStyle w:val="Normal2"/>
              <w:pBdr>
                <w:top w:val="nil"/>
                <w:left w:val="nil"/>
                <w:bottom w:val="nil"/>
                <w:right w:val="nil"/>
                <w:between w:val="nil"/>
                <w:bar w:val="nil"/>
              </w:pBdr>
              <w:tabs>
                <w:tab w:val="left" w:pos="709"/>
              </w:tabs>
              <w:spacing w:before="60" w:after="60" w:line="240" w:lineRule="auto"/>
              <w:jc w:val="left"/>
              <w:rPr>
                <w:rFonts w:ascii="Arial" w:hAnsi="Arial" w:cs="Arial"/>
                <w:color w:val="000000"/>
                <w:sz w:val="16"/>
                <w:szCs w:val="16"/>
                <w:bdr w:val="nil"/>
                <w:lang w:val="en-US" w:eastAsia="en-US"/>
              </w:rPr>
            </w:pPr>
            <w:r>
              <w:rPr>
                <w:rFonts w:ascii="Arial" w:hAnsi="Arial" w:cs="Arial"/>
                <w:color w:val="000000"/>
                <w:sz w:val="16"/>
                <w:szCs w:val="16"/>
                <w:bdr w:val="nil"/>
                <w:lang w:val="en-US" w:eastAsia="en-US"/>
              </w:rPr>
              <w:t>At least 95 per cent of ministerial briefs and correspondence across the four outcomes are provided on time.</w:t>
            </w:r>
          </w:p>
        </w:tc>
      </w:tr>
      <w:tr w:rsidR="00010972" w:rsidTr="00241B17">
        <w:tc>
          <w:tcPr>
            <w:tcW w:w="1802" w:type="dxa"/>
            <w:tcBorders>
              <w:top w:val="dotted" w:sz="4" w:space="0" w:color="auto"/>
              <w:left w:val="single" w:sz="4" w:space="0" w:color="auto"/>
              <w:bottom w:val="sing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69" w:type="dxa"/>
            <w:tcBorders>
              <w:top w:val="dotted" w:sz="4" w:space="0" w:color="auto"/>
              <w:left w:val="single" w:sz="4" w:space="0" w:color="auto"/>
              <w:bottom w:val="dotted" w:sz="4" w:space="0" w:color="auto"/>
              <w:right w:val="single" w:sz="4" w:space="0" w:color="auto"/>
            </w:tcBorders>
            <w:hideMark/>
          </w:tcPr>
          <w:p w:rsidR="00950457"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As per 2020-21</w:t>
            </w:r>
          </w:p>
        </w:tc>
        <w:tc>
          <w:tcPr>
            <w:tcW w:w="2534" w:type="dxa"/>
            <w:tcBorders>
              <w:top w:val="dotted" w:sz="4" w:space="0" w:color="auto"/>
              <w:left w:val="single" w:sz="4" w:space="0" w:color="auto"/>
              <w:bottom w:val="single" w:sz="4" w:space="0" w:color="auto"/>
              <w:right w:val="single" w:sz="4" w:space="0" w:color="auto"/>
            </w:tcBorders>
            <w:hideMark/>
          </w:tcPr>
          <w:p w:rsidR="00950457" w:rsidRDefault="00D5482E">
            <w:pPr>
              <w:pStyle w:val="Normal00"/>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eastAsia="en-US"/>
              </w:rPr>
            </w:pPr>
            <w:r>
              <w:rPr>
                <w:rFonts w:ascii="Arial" w:hAnsi="Arial" w:cs="Arial"/>
                <w:sz w:val="16"/>
                <w:szCs w:val="16"/>
                <w:bdr w:val="nil"/>
                <w:lang w:val="en-US" w:eastAsia="en-US"/>
              </w:rPr>
              <w:t>As per 2020-21</w:t>
            </w:r>
          </w:p>
        </w:tc>
      </w:tr>
      <w:tr w:rsidR="00010972" w:rsidTr="00241B17">
        <w:tc>
          <w:tcPr>
            <w:tcW w:w="1802" w:type="dxa"/>
            <w:tcBorders>
              <w:top w:val="single" w:sz="4" w:space="0" w:color="auto"/>
              <w:left w:val="single" w:sz="4" w:space="0" w:color="auto"/>
              <w:bottom w:val="sing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Purpose</w:t>
            </w:r>
          </w:p>
        </w:tc>
        <w:tc>
          <w:tcPr>
            <w:tcW w:w="5903" w:type="dxa"/>
            <w:gridSpan w:val="2"/>
            <w:tcBorders>
              <w:top w:val="single" w:sz="4" w:space="0" w:color="auto"/>
              <w:left w:val="single" w:sz="4" w:space="0" w:color="auto"/>
              <w:bottom w:val="single" w:sz="4" w:space="0" w:color="auto"/>
              <w:right w:val="single" w:sz="4" w:space="0" w:color="auto"/>
            </w:tcBorders>
            <w:hideMark/>
          </w:tcPr>
          <w:p w:rsidR="00950457"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Improved independence of, and participation by, people with disability, including improved support for carers, by providing targeted support and services.</w:t>
            </w:r>
          </w:p>
        </w:tc>
      </w:tr>
      <w:tr w:rsidR="00010972" w:rsidTr="00241B17">
        <w:tc>
          <w:tcPr>
            <w:tcW w:w="7705" w:type="dxa"/>
            <w:gridSpan w:val="3"/>
            <w:tcBorders>
              <w:top w:val="single" w:sz="4" w:space="0" w:color="auto"/>
              <w:left w:val="single" w:sz="4" w:space="0" w:color="auto"/>
              <w:bottom w:val="single" w:sz="4" w:space="0" w:color="auto"/>
              <w:right w:val="single" w:sz="4" w:space="0" w:color="auto"/>
            </w:tcBorders>
            <w:hideMark/>
          </w:tcPr>
          <w:p w:rsidR="00950457" w:rsidRDefault="00D5482E">
            <w:pPr>
              <w:pStyle w:val="Normal0"/>
              <w:keepLines/>
              <w:pBdr>
                <w:top w:val="nil"/>
                <w:left w:val="nil"/>
                <w:bottom w:val="nil"/>
                <w:right w:val="nil"/>
                <w:between w:val="nil"/>
                <w:bar w:val="nil"/>
              </w:pBdr>
              <w:spacing w:after="60" w:line="260" w:lineRule="exact"/>
              <w:rPr>
                <w:rFonts w:ascii="Arial" w:eastAsia="Cambria"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3.3: Nil.</w:t>
            </w:r>
          </w:p>
        </w:tc>
      </w:tr>
    </w:tbl>
    <w:p w:rsidR="00950457" w:rsidRDefault="00950457" w:rsidP="00950457">
      <w:pPr>
        <w:pStyle w:val="Normal0"/>
        <w:keepLines/>
        <w:pBdr>
          <w:top w:val="nil"/>
          <w:left w:val="nil"/>
          <w:bottom w:val="nil"/>
          <w:right w:val="nil"/>
          <w:between w:val="nil"/>
          <w:bar w:val="nil"/>
        </w:pBdr>
        <w:tabs>
          <w:tab w:val="left" w:pos="709"/>
        </w:tabs>
        <w:spacing w:after="240" w:line="260" w:lineRule="exact"/>
        <w:jc w:val="both"/>
        <w:rPr>
          <w:vanish/>
          <w:bdr w:val="nil"/>
        </w:rPr>
      </w:pPr>
    </w:p>
    <w:p w:rsidR="006F1B5C" w:rsidRPr="00950457" w:rsidRDefault="006F1B5C" w:rsidP="00950457">
      <w:pPr>
        <w:keepLines/>
        <w:pBdr>
          <w:top w:val="nil"/>
          <w:left w:val="nil"/>
          <w:bottom w:val="nil"/>
          <w:right w:val="nil"/>
          <w:between w:val="nil"/>
          <w:bar w:val="nil"/>
        </w:pBdr>
        <w:spacing w:after="240" w:line="260" w:lineRule="exact"/>
        <w:jc w:val="both"/>
        <w:rPr>
          <w:vanish/>
          <w:bdr w:val="nil"/>
        </w:rPr>
      </w:pPr>
    </w:p>
    <w:p w:rsidR="007B495D" w:rsidRDefault="00D5482E" w:rsidP="005E1B58">
      <w:pPr>
        <w:keepNext/>
        <w:keepLines/>
        <w:pageBreakBefore/>
        <w:pBdr>
          <w:top w:val="nil"/>
          <w:left w:val="nil"/>
          <w:bottom w:val="nil"/>
          <w:right w:val="nil"/>
          <w:between w:val="nil"/>
          <w:bar w:val="nil"/>
        </w:pBdr>
        <w:tabs>
          <w:tab w:val="left" w:pos="709"/>
        </w:tabs>
        <w:spacing w:after="240" w:line="240" w:lineRule="auto"/>
        <w:outlineLvl w:val="2"/>
        <w:rPr>
          <w:rFonts w:ascii="Arial" w:hAnsi="Arial"/>
          <w:b/>
          <w:smallCaps/>
          <w:sz w:val="26"/>
          <w:bdr w:val="nil"/>
        </w:rPr>
      </w:pPr>
      <w:r>
        <w:rPr>
          <w:rFonts w:ascii="Arial" w:eastAsia="Times New Roman" w:hAnsi="Arial" w:cs="Times New Roman"/>
          <w:b/>
          <w:smallCaps/>
          <w:sz w:val="26"/>
          <w:szCs w:val="20"/>
          <w:bdr w:val="nil"/>
          <w:lang w:val="en-AU" w:eastAsia="en-AU"/>
        </w:rPr>
        <w:lastRenderedPageBreak/>
        <w:t>2.4</w:t>
      </w:r>
      <w:r>
        <w:rPr>
          <w:rFonts w:ascii="Arial" w:eastAsia="Times New Roman" w:hAnsi="Arial" w:cs="Times New Roman"/>
          <w:b/>
          <w:smallCaps/>
          <w:sz w:val="26"/>
          <w:szCs w:val="20"/>
          <w:bdr w:val="nil"/>
          <w:lang w:val="en-AU" w:eastAsia="en-AU"/>
        </w:rPr>
        <w:tab/>
        <w:t>Budgeted expenses and performance for Outcome 4</w:t>
      </w:r>
    </w:p>
    <w:tbl>
      <w:tblPr>
        <w:tblStyle w:val="TableGrid"/>
        <w:tblW w:w="5000" w:type="pct"/>
        <w:tblInd w:w="-5" w:type="dxa"/>
        <w:shd w:val="clear" w:color="auto" w:fill="D9D9D9" w:themeFill="background1" w:themeFillShade="D9"/>
        <w:tblCellMar>
          <w:top w:w="57" w:type="dxa"/>
          <w:bottom w:w="11" w:type="dxa"/>
        </w:tblCellMar>
        <w:tblLook w:val="04A0" w:firstRow="1" w:lastRow="0" w:firstColumn="1" w:lastColumn="0" w:noHBand="0" w:noVBand="1"/>
        <w:tblCaption w:val="Outcome 4: Housing"/>
        <w:tblDescription w:val="Increased housing supply, improved community housing and assisting individuals experiencing homelessness through targeted support and services."/>
      </w:tblPr>
      <w:tblGrid>
        <w:gridCol w:w="7705"/>
      </w:tblGrid>
      <w:tr w:rsidR="00010972" w:rsidTr="00241B17">
        <w:trPr>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E7B98" w:rsidRDefault="00D5482E" w:rsidP="005E1B58">
            <w:pPr>
              <w:pStyle w:val="Outcomeheading"/>
              <w:pBdr>
                <w:top w:val="nil"/>
                <w:left w:val="nil"/>
                <w:bottom w:val="nil"/>
                <w:right w:val="nil"/>
                <w:between w:val="nil"/>
                <w:bar w:val="nil"/>
              </w:pBdr>
              <w:tabs>
                <w:tab w:val="left" w:pos="0"/>
              </w:tabs>
              <w:outlineLvl w:val="2"/>
              <w:rPr>
                <w:rFonts w:cs="Arial"/>
                <w:bdr w:val="nil"/>
              </w:rPr>
            </w:pPr>
            <w:r>
              <w:rPr>
                <w:b w:val="0"/>
                <w:bdr w:val="nil"/>
              </w:rPr>
              <w:br w:type="page"/>
            </w:r>
            <w:r>
              <w:rPr>
                <w:bdr w:val="nil"/>
              </w:rPr>
              <w:br w:type="page"/>
            </w:r>
            <w:r>
              <w:rPr>
                <w:rFonts w:cs="Arial"/>
                <w:sz w:val="20"/>
                <w:bdr w:val="nil"/>
              </w:rPr>
              <w:t>Outcome 4: Housing</w:t>
            </w:r>
          </w:p>
          <w:p w:rsidR="00BE7B98" w:rsidRDefault="00D5482E" w:rsidP="00BE7B98">
            <w:pPr>
              <w:pStyle w:val="NormalOutcome"/>
              <w:pBdr>
                <w:top w:val="nil"/>
                <w:left w:val="nil"/>
                <w:bottom w:val="nil"/>
                <w:right w:val="nil"/>
                <w:between w:val="nil"/>
                <w:bar w:val="nil"/>
              </w:pBdr>
              <w:spacing w:line="240" w:lineRule="exact"/>
              <w:rPr>
                <w:bdr w:val="nil"/>
              </w:rPr>
            </w:pPr>
            <w:r>
              <w:rPr>
                <w:bdr w:val="nil"/>
              </w:rPr>
              <w:t>Increased housing supply, improved community housing and assisting individuals experiencing homelessness through targeted support and services.</w:t>
            </w:r>
          </w:p>
        </w:tc>
      </w:tr>
    </w:tbl>
    <w:p w:rsidR="00E8098B" w:rsidRDefault="00D5482E" w:rsidP="005E1B58">
      <w:pPr>
        <w:pStyle w:val="ProgramHeading1"/>
        <w:pBdr>
          <w:top w:val="nil"/>
          <w:left w:val="nil"/>
          <w:bottom w:val="nil"/>
          <w:right w:val="nil"/>
          <w:between w:val="nil"/>
          <w:bar w:val="nil"/>
        </w:pBdr>
        <w:spacing w:before="240" w:after="0"/>
        <w:rPr>
          <w:rFonts w:cs="Arial"/>
          <w:color w:val="000000"/>
          <w:sz w:val="22"/>
          <w:szCs w:val="22"/>
          <w:bdr w:val="nil"/>
        </w:rPr>
      </w:pPr>
      <w:r>
        <w:rPr>
          <w:rFonts w:cs="Arial"/>
          <w:sz w:val="22"/>
          <w:szCs w:val="22"/>
          <w:bdr w:val="nil"/>
        </w:rPr>
        <w:t xml:space="preserve">Linked </w:t>
      </w:r>
      <w:r>
        <w:rPr>
          <w:rFonts w:cs="Arial"/>
          <w:color w:val="000000"/>
          <w:sz w:val="22"/>
          <w:szCs w:val="22"/>
          <w:bdr w:val="nil"/>
        </w:rPr>
        <w:t>programs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705"/>
      </w:tblGrid>
      <w:tr w:rsidR="00010972" w:rsidTr="00241B17">
        <w:tc>
          <w:tcPr>
            <w:tcW w:w="7705" w:type="dxa"/>
            <w:tcBorders>
              <w:top w:val="single" w:sz="4" w:space="0" w:color="auto"/>
              <w:left w:val="single" w:sz="4" w:space="0" w:color="auto"/>
              <w:bottom w:val="dotted" w:sz="4" w:space="0" w:color="auto"/>
              <w:right w:val="single" w:sz="4" w:space="0" w:color="auto"/>
            </w:tcBorders>
            <w:hideMark/>
          </w:tcPr>
          <w:p w:rsidR="00E8098B" w:rsidRDefault="00D5482E">
            <w:pPr>
              <w:pStyle w:val="ExampleText0"/>
              <w:pBdr>
                <w:top w:val="nil"/>
                <w:left w:val="nil"/>
                <w:bottom w:val="nil"/>
                <w:right w:val="nil"/>
                <w:between w:val="nil"/>
                <w:bar w:val="nil"/>
              </w:pBdr>
              <w:spacing w:before="60" w:after="60" w:line="240" w:lineRule="auto"/>
              <w:rPr>
                <w:color w:val="auto"/>
                <w:bdr w:val="nil"/>
                <w:lang w:val="en-US" w:eastAsia="en-US"/>
              </w:rPr>
            </w:pPr>
            <w:r>
              <w:rPr>
                <w:rStyle w:val="ExampletextCharChar"/>
                <w:b/>
                <w:color w:val="auto"/>
                <w:bdr w:val="nil"/>
              </w:rPr>
              <w:t>The Treasury</w:t>
            </w:r>
          </w:p>
        </w:tc>
      </w:tr>
      <w:tr w:rsidR="00010972" w:rsidTr="00241B17">
        <w:tc>
          <w:tcPr>
            <w:tcW w:w="7705" w:type="dxa"/>
            <w:tcBorders>
              <w:top w:val="dotted" w:sz="4" w:space="0" w:color="auto"/>
              <w:left w:val="single" w:sz="4" w:space="0" w:color="auto"/>
              <w:bottom w:val="dotted" w:sz="4" w:space="0" w:color="000000" w:themeColor="text1"/>
              <w:right w:val="single" w:sz="4" w:space="0" w:color="auto"/>
            </w:tcBorders>
            <w:hideMark/>
          </w:tcPr>
          <w:p w:rsidR="00E8098B" w:rsidRPr="00E8098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E8098B">
              <w:rPr>
                <w:rStyle w:val="ExampletextCharChar"/>
                <w:rFonts w:eastAsiaTheme="minorHAnsi"/>
                <w:b/>
                <w:i w:val="0"/>
                <w:color w:val="000000"/>
                <w:bdr w:val="nil"/>
              </w:rPr>
              <w:t>Programs</w:t>
            </w:r>
          </w:p>
          <w:p w:rsidR="00E8098B" w:rsidRPr="00E8098B" w:rsidRDefault="00D5482E" w:rsidP="00E8098B">
            <w:pPr>
              <w:numPr>
                <w:ilvl w:val="0"/>
                <w:numId w:val="30"/>
              </w:numPr>
              <w:pBdr>
                <w:top w:val="nil"/>
                <w:left w:val="nil"/>
                <w:bottom w:val="nil"/>
                <w:right w:val="nil"/>
                <w:between w:val="nil"/>
                <w:bar w:val="nil"/>
              </w:pBdr>
              <w:spacing w:before="60" w:after="60" w:line="240" w:lineRule="auto"/>
              <w:ind w:left="714" w:hanging="357"/>
              <w:jc w:val="both"/>
              <w:rPr>
                <w:rStyle w:val="ExampletextCharChar"/>
                <w:rFonts w:eastAsiaTheme="minorHAnsi"/>
                <w:i w:val="0"/>
                <w:color w:val="000000"/>
                <w:bdr w:val="nil"/>
              </w:rPr>
            </w:pPr>
            <w:r w:rsidRPr="00E8098B">
              <w:rPr>
                <w:rStyle w:val="ExampletextCharChar"/>
                <w:rFonts w:eastAsiaTheme="minorHAnsi"/>
                <w:i w:val="0"/>
                <w:color w:val="000000"/>
                <w:bdr w:val="nil"/>
              </w:rPr>
              <w:t>Program 1.8 – Assistance to the States for Affordable Housing</w:t>
            </w:r>
          </w:p>
          <w:p w:rsidR="00E8098B" w:rsidRPr="00E8098B" w:rsidRDefault="00D5482E" w:rsidP="00E8098B">
            <w:pPr>
              <w:numPr>
                <w:ilvl w:val="0"/>
                <w:numId w:val="30"/>
              </w:numPr>
              <w:pBdr>
                <w:top w:val="nil"/>
                <w:left w:val="nil"/>
                <w:bottom w:val="nil"/>
                <w:right w:val="nil"/>
                <w:between w:val="nil"/>
                <w:bar w:val="nil"/>
              </w:pBdr>
              <w:spacing w:before="60" w:after="60" w:line="240" w:lineRule="auto"/>
              <w:ind w:left="714" w:hanging="357"/>
              <w:jc w:val="both"/>
              <w:rPr>
                <w:rStyle w:val="ExampletextCharChar"/>
                <w:rFonts w:eastAsia="Calibri"/>
                <w:i w:val="0"/>
                <w:color w:val="000000"/>
                <w:bdr w:val="nil"/>
              </w:rPr>
            </w:pPr>
            <w:r w:rsidRPr="00E8098B">
              <w:rPr>
                <w:rStyle w:val="ExampletextCharChar"/>
                <w:rFonts w:eastAsiaTheme="minorHAnsi"/>
                <w:i w:val="0"/>
                <w:color w:val="000000"/>
                <w:bdr w:val="nil"/>
              </w:rPr>
              <w:t>Program 1.9 – National Partnership Payments to the States</w:t>
            </w:r>
          </w:p>
        </w:tc>
      </w:tr>
      <w:tr w:rsidR="00010972" w:rsidTr="00241B17">
        <w:tc>
          <w:tcPr>
            <w:tcW w:w="7705" w:type="dxa"/>
            <w:tcBorders>
              <w:top w:val="dotted" w:sz="4" w:space="0" w:color="000000" w:themeColor="text1"/>
              <w:left w:val="single" w:sz="4" w:space="0" w:color="auto"/>
              <w:bottom w:val="single" w:sz="4" w:space="0" w:color="auto"/>
              <w:right w:val="single" w:sz="4" w:space="0" w:color="auto"/>
            </w:tcBorders>
            <w:hideMark/>
          </w:tcPr>
          <w:p w:rsidR="00E8098B" w:rsidRPr="00E8098B" w:rsidRDefault="00D5482E">
            <w:pPr>
              <w:keepLines/>
              <w:pBdr>
                <w:top w:val="nil"/>
                <w:left w:val="nil"/>
                <w:bottom w:val="nil"/>
                <w:right w:val="nil"/>
                <w:between w:val="nil"/>
                <w:bar w:val="nil"/>
              </w:pBdr>
              <w:spacing w:before="60" w:after="60" w:line="240" w:lineRule="auto"/>
              <w:jc w:val="both"/>
              <w:rPr>
                <w:rStyle w:val="ExampletextCharChar"/>
                <w:rFonts w:eastAsia="Calibri"/>
                <w:b/>
                <w:i w:val="0"/>
                <w:color w:val="000000"/>
                <w:bdr w:val="nil"/>
              </w:rPr>
            </w:pPr>
            <w:r w:rsidRPr="00E8098B">
              <w:rPr>
                <w:rStyle w:val="ExampletextCharChar"/>
                <w:rFonts w:eastAsiaTheme="minorHAnsi"/>
                <w:b/>
                <w:i w:val="0"/>
                <w:color w:val="000000"/>
                <w:bdr w:val="nil"/>
              </w:rPr>
              <w:t>Contribution to Outcome 4 made by linked programs</w:t>
            </w:r>
          </w:p>
          <w:p w:rsidR="00E8098B" w:rsidRPr="00E8098B" w:rsidRDefault="00D5482E" w:rsidP="00687AEE">
            <w:pPr>
              <w:keepLines/>
              <w:pBdr>
                <w:top w:val="nil"/>
                <w:left w:val="nil"/>
                <w:bottom w:val="nil"/>
                <w:right w:val="nil"/>
                <w:between w:val="nil"/>
                <w:bar w:val="nil"/>
              </w:pBdr>
              <w:spacing w:before="60" w:after="60" w:line="240" w:lineRule="auto"/>
              <w:jc w:val="both"/>
              <w:rPr>
                <w:rStyle w:val="ExampletextCharChar"/>
                <w:rFonts w:eastAsiaTheme="minorHAnsi"/>
                <w:i w:val="0"/>
                <w:color w:val="000000"/>
                <w:bdr w:val="nil"/>
              </w:rPr>
            </w:pPr>
            <w:r w:rsidRPr="00E8098B">
              <w:rPr>
                <w:rStyle w:val="ExampletextCharChar2"/>
                <w:rFonts w:eastAsia="Times New Roman" w:cs="Times New Roman"/>
                <w:i w:val="0"/>
                <w:color w:val="000000"/>
                <w:sz w:val="20"/>
                <w:szCs w:val="20"/>
                <w:bdr w:val="nil"/>
              </w:rPr>
              <w:t xml:space="preserve">On behalf of </w:t>
            </w:r>
            <w:r>
              <w:rPr>
                <w:rStyle w:val="ExampletextCharChar2"/>
                <w:rFonts w:eastAsia="Times New Roman" w:cs="Times New Roman"/>
                <w:i w:val="0"/>
                <w:color w:val="000000"/>
                <w:sz w:val="20"/>
                <w:szCs w:val="20"/>
                <w:bdr w:val="nil"/>
              </w:rPr>
              <w:t>DSS</w:t>
            </w:r>
            <w:r w:rsidRPr="00E8098B">
              <w:rPr>
                <w:rStyle w:val="ExampletextCharChar2"/>
                <w:rFonts w:eastAsia="Times New Roman" w:cs="Times New Roman"/>
                <w:i w:val="0"/>
                <w:color w:val="000000"/>
                <w:sz w:val="20"/>
                <w:szCs w:val="20"/>
                <w:bdr w:val="nil"/>
              </w:rPr>
              <w:t xml:space="preserve">, the Treasury makes payments to the states for the National Housing and Homelessness Agreement. Annual incentives under the National Rental Affordability Scheme are issued by </w:t>
            </w:r>
            <w:r>
              <w:rPr>
                <w:rStyle w:val="ExampletextCharChar2"/>
                <w:rFonts w:eastAsia="Times New Roman" w:cs="Times New Roman"/>
                <w:i w:val="0"/>
                <w:color w:val="000000"/>
                <w:sz w:val="20"/>
                <w:szCs w:val="20"/>
                <w:bdr w:val="nil"/>
              </w:rPr>
              <w:t>DSS</w:t>
            </w:r>
            <w:r w:rsidRPr="00E8098B">
              <w:rPr>
                <w:rStyle w:val="ExampletextCharChar2"/>
                <w:rFonts w:eastAsia="Times New Roman" w:cs="Times New Roman"/>
                <w:i w:val="0"/>
                <w:color w:val="000000"/>
                <w:sz w:val="20"/>
                <w:szCs w:val="20"/>
                <w:bdr w:val="nil"/>
              </w:rPr>
              <w:t xml:space="preserve"> as cash or refundable tax offset certificates. Refundable tax offset certificates are processed by the Australian Taxation Office.</w:t>
            </w:r>
          </w:p>
        </w:tc>
      </w:tr>
    </w:tbl>
    <w:p w:rsidR="0034624F" w:rsidRDefault="0034624F" w:rsidP="00155128">
      <w:pPr>
        <w:pBdr>
          <w:top w:val="nil"/>
          <w:left w:val="nil"/>
          <w:bottom w:val="nil"/>
          <w:right w:val="nil"/>
          <w:between w:val="nil"/>
          <w:bar w:val="nil"/>
        </w:pBdr>
        <w:spacing w:after="240"/>
        <w:rPr>
          <w:bCs/>
          <w:bdr w:val="nil"/>
        </w:rPr>
      </w:pPr>
    </w:p>
    <w:p w:rsidR="0034624F" w:rsidRPr="0034624F" w:rsidRDefault="0034624F" w:rsidP="0034624F">
      <w:pPr>
        <w:pStyle w:val="NoSpacing"/>
        <w:pBdr>
          <w:top w:val="nil"/>
          <w:left w:val="nil"/>
          <w:bottom w:val="nil"/>
          <w:right w:val="nil"/>
          <w:between w:val="nil"/>
          <w:bar w:val="nil"/>
        </w:pBdr>
        <w:rPr>
          <w:bdr w:val="nil"/>
        </w:rPr>
      </w:pPr>
    </w:p>
    <w:p w:rsidR="005A1789" w:rsidRDefault="005A1789" w:rsidP="00891BFF">
      <w:pPr>
        <w:pStyle w:val="NoSpacing"/>
        <w:pBdr>
          <w:top w:val="nil"/>
          <w:left w:val="nil"/>
          <w:bottom w:val="nil"/>
          <w:right w:val="nil"/>
          <w:between w:val="nil"/>
          <w:bar w:val="nil"/>
        </w:pBdr>
        <w:rPr>
          <w:bdr w:val="nil"/>
        </w:rPr>
      </w:pPr>
    </w:p>
    <w:p w:rsidR="005A1789" w:rsidRDefault="00D5482E">
      <w:pPr>
        <w:pBdr>
          <w:top w:val="nil"/>
          <w:left w:val="nil"/>
          <w:bottom w:val="nil"/>
          <w:right w:val="nil"/>
          <w:between w:val="nil"/>
          <w:bar w:val="nil"/>
        </w:pBdr>
        <w:rPr>
          <w:bdr w:val="nil"/>
        </w:rPr>
      </w:pPr>
      <w:r>
        <w:rPr>
          <w:rFonts w:ascii="Book Antiqua" w:eastAsia="Times New Roman" w:hAnsi="Book Antiqua" w:cs="Times New Roman"/>
          <w:sz w:val="20"/>
          <w:szCs w:val="20"/>
          <w:bdr w:val="nil"/>
          <w:lang w:val="en-AU" w:eastAsia="en-AU"/>
        </w:rPr>
        <w:br w:type="page"/>
      </w:r>
    </w:p>
    <w:p w:rsidR="005A1789" w:rsidRDefault="00D5482E" w:rsidP="002B6D29">
      <w:pPr>
        <w:pStyle w:val="TableHeading"/>
        <w:keepLines/>
        <w:pBdr>
          <w:top w:val="nil"/>
          <w:left w:val="nil"/>
          <w:bottom w:val="nil"/>
          <w:right w:val="nil"/>
          <w:between w:val="nil"/>
          <w:bar w:val="nil"/>
        </w:pBdr>
        <w:spacing w:before="0" w:after="240"/>
        <w:rPr>
          <w:bdr w:val="nil"/>
        </w:rPr>
      </w:pPr>
      <w:r>
        <w:rPr>
          <w:bdr w:val="nil"/>
        </w:rPr>
        <w:lastRenderedPageBreak/>
        <w:t>Budgeted expenses for Outcome 4</w:t>
      </w:r>
    </w:p>
    <w:p w:rsidR="005A1789" w:rsidRDefault="00D5482E" w:rsidP="002B6D29">
      <w:pPr>
        <w:keepLines/>
        <w:pBdr>
          <w:top w:val="nil"/>
          <w:left w:val="nil"/>
          <w:bottom w:val="nil"/>
          <w:right w:val="nil"/>
          <w:between w:val="nil"/>
          <w:bar w:val="nil"/>
        </w:pBdr>
        <w:spacing w:after="240" w:line="260" w:lineRule="exact"/>
        <w:jc w:val="both"/>
        <w:rPr>
          <w:bdr w:val="nil"/>
        </w:rPr>
      </w:pPr>
      <w:r>
        <w:rPr>
          <w:rFonts w:ascii="Book Antiqua" w:eastAsia="Times New Roman" w:hAnsi="Book Antiqua" w:cs="Times New Roman"/>
          <w:sz w:val="20"/>
          <w:szCs w:val="20"/>
          <w:bdr w:val="nil"/>
          <w:lang w:val="en-AU" w:eastAsia="en-AU"/>
        </w:rPr>
        <w:t>This table shows how much the entity intends to spend (on an accrual basis) on achieving the outcome, broken down by program, as well as by administered and departmental funding sources.</w:t>
      </w:r>
    </w:p>
    <w:p w:rsidR="002B6D29" w:rsidRDefault="00D5482E" w:rsidP="002B6D29">
      <w:pPr>
        <w:pStyle w:val="TableHeading"/>
        <w:keepLines/>
        <w:pBdr>
          <w:top w:val="nil"/>
          <w:left w:val="nil"/>
          <w:bottom w:val="nil"/>
          <w:right w:val="nil"/>
          <w:between w:val="nil"/>
          <w:bar w:val="nil"/>
        </w:pBdr>
        <w:spacing w:before="0" w:after="0"/>
        <w:rPr>
          <w:bdr w:val="nil"/>
        </w:rPr>
      </w:pPr>
      <w:r>
        <w:rPr>
          <w:bdr w:val="nil"/>
        </w:rPr>
        <w:t>Table 2.4.1: Budgeted expenses for Outcome 4</w:t>
      </w:r>
    </w:p>
    <w:tbl>
      <w:tblPr>
        <w:tblStyle w:val="CDMRange1"/>
        <w:tblW w:w="7695" w:type="dxa"/>
        <w:tblLayout w:type="fixed"/>
        <w:tblCellMar>
          <w:top w:w="11" w:type="dxa"/>
          <w:bottom w:w="11" w:type="dxa"/>
        </w:tblCellMar>
        <w:tblLook w:val="0600" w:firstRow="0" w:lastRow="0" w:firstColumn="0" w:lastColumn="0" w:noHBand="1" w:noVBand="1"/>
        <w:tblCaption w:val="Table 2.4.1: Budgeted expenses for Outcome 4"/>
      </w:tblPr>
      <w:tblGrid>
        <w:gridCol w:w="2820"/>
        <w:gridCol w:w="975"/>
        <w:gridCol w:w="975"/>
        <w:gridCol w:w="975"/>
        <w:gridCol w:w="975"/>
        <w:gridCol w:w="975"/>
      </w:tblGrid>
      <w:tr w:rsidR="00010972" w:rsidTr="00E42292">
        <w:trPr>
          <w:tblHeader/>
        </w:trPr>
        <w:tc>
          <w:tcPr>
            <w:tcW w:w="2820" w:type="dxa"/>
            <w:vMerge w:val="restart"/>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Outcome 4: Housing</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4.1 - Housing and Homelessness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6,277</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43,158</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34,272</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9,545</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6,277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43,158</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34,272</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9,545</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84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4.1</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6,277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43,158</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34,272</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9,545</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84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4.2 - Affordable Housing</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114,864</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113,366</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100,756</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81,572</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59,386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114,864</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113,366</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100,756</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81,572</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59,386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4.2</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114,864</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113,366</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100,756</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81,572</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59,386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4.3 - Program Support for Outcome 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appropriation</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23,599</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18,858</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17,812</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16,826</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16,548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s74 External Revenue (a)</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518</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1,318</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1,158</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1,158</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1,158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Expenses not requiring</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in the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Budget year (b)</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2,029</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435</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395</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346</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337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Departmental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26,146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20,611</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19,365</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18,330</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18,043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Program 4.3</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26,146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20,611</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19,365</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18,330</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18,043</w:t>
            </w:r>
          </w:p>
        </w:tc>
      </w:tr>
    </w:tbl>
    <w:p w:rsidR="005A1789" w:rsidRDefault="00D5482E">
      <w:pPr>
        <w:pBdr>
          <w:top w:val="nil"/>
          <w:left w:val="nil"/>
          <w:bottom w:val="nil"/>
          <w:right w:val="nil"/>
          <w:between w:val="nil"/>
          <w:bar w:val="nil"/>
        </w:pBdr>
        <w:rPr>
          <w:b/>
          <w:color w:val="FF0000"/>
          <w:bdr w:val="nil"/>
        </w:rPr>
      </w:pPr>
      <w:r>
        <w:rPr>
          <w:rFonts w:ascii="Book Antiqua" w:eastAsia="Times New Roman" w:hAnsi="Book Antiqua" w:cs="Times New Roman"/>
          <w:b/>
          <w:color w:val="FF0000"/>
          <w:sz w:val="20"/>
          <w:szCs w:val="20"/>
          <w:bdr w:val="nil"/>
          <w:lang w:val="en-AU" w:eastAsia="en-AU"/>
        </w:rPr>
        <w:br w:type="page"/>
      </w:r>
    </w:p>
    <w:p w:rsidR="005A1789" w:rsidRDefault="00D5482E" w:rsidP="00EB6968">
      <w:pPr>
        <w:pStyle w:val="TableHeading"/>
        <w:keepLines/>
        <w:pBdr>
          <w:top w:val="nil"/>
          <w:left w:val="nil"/>
          <w:bottom w:val="nil"/>
          <w:right w:val="nil"/>
          <w:between w:val="nil"/>
          <w:bar w:val="nil"/>
        </w:pBdr>
        <w:spacing w:before="0" w:after="0"/>
        <w:rPr>
          <w:bdr w:val="nil"/>
        </w:rPr>
      </w:pPr>
      <w:r>
        <w:rPr>
          <w:bdr w:val="nil"/>
        </w:rPr>
        <w:lastRenderedPageBreak/>
        <w:t>Table 2.4.1: Budgeted expenses for Outcome 4 (continued)</w:t>
      </w:r>
    </w:p>
    <w:tbl>
      <w:tblPr>
        <w:tblStyle w:val="CDMRange2"/>
        <w:tblW w:w="7695" w:type="dxa"/>
        <w:tblLayout w:type="fixed"/>
        <w:tblCellMar>
          <w:top w:w="11" w:type="dxa"/>
          <w:bottom w:w="11" w:type="dxa"/>
        </w:tblCellMar>
        <w:tblLook w:val="0600" w:firstRow="0" w:lastRow="0" w:firstColumn="0" w:lastColumn="0" w:noHBand="1" w:noVBand="1"/>
        <w:tblCaption w:val="Table 2.4.1: Budgeted expenses for Outcome 4 (continued)"/>
      </w:tblPr>
      <w:tblGrid>
        <w:gridCol w:w="2820"/>
        <w:gridCol w:w="975"/>
        <w:gridCol w:w="975"/>
        <w:gridCol w:w="975"/>
        <w:gridCol w:w="975"/>
        <w:gridCol w:w="975"/>
      </w:tblGrid>
      <w:tr w:rsidR="00010972" w:rsidTr="001958CE">
        <w:trPr>
          <w:tblHeader/>
        </w:trPr>
        <w:tc>
          <w:tcPr>
            <w:tcW w:w="2820" w:type="dxa"/>
            <w:vMerge w:val="restart"/>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Outcome 4: Housing</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tcMar>
              <w:left w:w="0" w:type="dxa"/>
              <w:right w:w="0" w:type="dxa"/>
            </w:tcMar>
            <w:vAlign w:val="center"/>
          </w:tcPr>
          <w:p w:rsidR="00010972" w:rsidRDefault="00010972">
            <w:pPr>
              <w:spacing w:after="0" w:line="240" w:lineRule="auto"/>
              <w:rPr>
                <w:rFonts w:ascii="Arial" w:eastAsia="Arial" w:hAnsi="Arial" w:cs="Arial"/>
                <w:b/>
                <w:color w:val="000000"/>
                <w:sz w:val="16"/>
                <w:bdr w:val="nil"/>
              </w:rPr>
            </w:pP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Outcome 4 Totals by appropriation type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rsidP="000A1073">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r w:rsidR="000A1073">
              <w:rPr>
                <w:rFonts w:ascii="Arial" w:eastAsia="Arial" w:hAnsi="Arial" w:cs="Arial"/>
                <w:color w:val="000000"/>
                <w:sz w:val="16"/>
                <w:szCs w:val="20"/>
                <w:bdr w:val="nil"/>
                <w:lang w:val="en-AU" w:eastAsia="en-AU"/>
              </w:rPr>
              <w:br/>
              <w:t xml:space="preserve">  </w:t>
            </w:r>
            <w:r>
              <w:rPr>
                <w:rFonts w:ascii="Arial" w:eastAsia="Arial" w:hAnsi="Arial" w:cs="Arial"/>
                <w:color w:val="000000"/>
                <w:sz w:val="16"/>
                <w:szCs w:val="20"/>
                <w:bdr w:val="nil"/>
                <w:lang w:val="en-AU" w:eastAsia="en-AU"/>
              </w:rPr>
              <w:t>and</w:t>
            </w:r>
            <w:r w:rsidR="000A1073">
              <w:rPr>
                <w:rFonts w:ascii="Arial" w:eastAsia="Arial" w:hAnsi="Arial" w:cs="Arial"/>
                <w:color w:val="000000"/>
                <w:sz w:val="16"/>
                <w:szCs w:val="20"/>
                <w:bdr w:val="nil"/>
                <w:lang w:val="en-AU" w:eastAsia="en-AU"/>
              </w:rPr>
              <w:t xml:space="preserve"> </w:t>
            </w:r>
            <w:r>
              <w:rPr>
                <w:rFonts w:ascii="Arial" w:eastAsia="Arial" w:hAnsi="Arial" w:cs="Arial"/>
                <w:color w:val="000000"/>
                <w:sz w:val="16"/>
                <w:szCs w:val="20"/>
                <w:bdr w:val="nil"/>
                <w:lang w:val="en-AU" w:eastAsia="en-AU"/>
              </w:rPr>
              <w:t>Bill No. 3)</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121,141</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156,524</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135,028</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91,117</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59,470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121,141</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156,524</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135,028</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91,117</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59,470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expenses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appropriation</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23,599</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18,858</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17,812</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16,826</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16,548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s74 External Revenue (a)</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518</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1,318</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1,158</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1,158</w:t>
            </w:r>
          </w:p>
        </w:tc>
        <w:tc>
          <w:tcPr>
            <w:tcW w:w="97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1,158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Expenses not requiring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in the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Budget year (b)</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2,029</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435</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395</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346</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337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Departmental 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26,146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20,611</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19,365</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18,330</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Pr="009D7D0D"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sidRPr="009D7D0D">
              <w:rPr>
                <w:rFonts w:ascii="Arial" w:eastAsia="Arial" w:hAnsi="Arial" w:cs="Arial"/>
                <w:b/>
                <w:color w:val="000000"/>
                <w:sz w:val="16"/>
                <w:szCs w:val="20"/>
                <w:bdr w:val="nil"/>
                <w:lang w:val="en-AU" w:eastAsia="en-AU"/>
              </w:rPr>
              <w:t>18,043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expenses for Outcome 4</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147,287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177,135</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154,393</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109,447</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77,513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dotted" w:sz="2" w:space="0" w:color="000000"/>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Movement of administered funds</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  between years</w:t>
            </w:r>
            <w:r>
              <w:rPr>
                <w:rFonts w:ascii="Arial" w:eastAsia="Arial" w:hAnsi="Arial" w:cs="Arial"/>
                <w:color w:val="000000"/>
                <w:sz w:val="16"/>
                <w:szCs w:val="20"/>
                <w:bdr w:val="nil"/>
                <w:lang w:val="en-AU" w:eastAsia="en-AU"/>
              </w:rPr>
              <w:t xml:space="preserve"> (c)</w:t>
            </w:r>
          </w:p>
        </w:tc>
        <w:tc>
          <w:tcPr>
            <w:tcW w:w="975"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jc w:val="center"/>
              <w:rPr>
                <w:rFonts w:ascii="Calibri" w:eastAsia="Calibri" w:hAnsi="Calibri" w:cs="Calibri"/>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jc w:val="center"/>
              <w:rPr>
                <w:rFonts w:ascii="Calibri" w:eastAsia="Calibri" w:hAnsi="Calibri" w:cs="Calibri"/>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jc w:val="center"/>
              <w:rPr>
                <w:rFonts w:ascii="Calibri" w:eastAsia="Calibri" w:hAnsi="Calibri" w:cs="Calibri"/>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tcMar>
              <w:left w:w="0" w:type="dxa"/>
              <w:right w:w="0" w:type="dxa"/>
            </w:tcMar>
            <w:vAlign w:val="center"/>
          </w:tcPr>
          <w:p w:rsidR="00010972" w:rsidRDefault="00010972">
            <w:pPr>
              <w:spacing w:after="0" w:line="240" w:lineRule="auto"/>
              <w:jc w:val="center"/>
              <w:rPr>
                <w:rFonts w:ascii="Calibri" w:eastAsia="Calibri" w:hAnsi="Calibri" w:cs="Calibri"/>
                <w:color w:val="000000"/>
                <w:sz w:val="16"/>
                <w:bdr w:val="nil"/>
              </w:rPr>
            </w:pPr>
          </w:p>
        </w:tc>
        <w:tc>
          <w:tcPr>
            <w:tcW w:w="975"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Outcome 4: </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Program 4.1 - Housing and</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Homelessness</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(13,634)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4,104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9,530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movement of</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  administered funds</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(13,634)</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4,104</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9,530</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r>
    </w:tbl>
    <w:p w:rsidR="00FB3260" w:rsidRPr="0074218D" w:rsidRDefault="00D5482E" w:rsidP="00FB3260">
      <w:pPr>
        <w:pBdr>
          <w:top w:val="nil"/>
          <w:left w:val="nil"/>
          <w:bottom w:val="nil"/>
          <w:right w:val="nil"/>
          <w:between w:val="nil"/>
          <w:bar w:val="nil"/>
        </w:pBdr>
        <w:spacing w:after="0" w:line="240" w:lineRule="auto"/>
        <w:rPr>
          <w:rFonts w:ascii="Arial" w:hAnsi="Arial" w:cs="Arial"/>
          <w:b/>
          <w:color w:val="000000"/>
          <w:bdr w:val="nil"/>
        </w:rPr>
      </w:pPr>
      <w:r w:rsidRPr="0074218D">
        <w:rPr>
          <w:rFonts w:ascii="Arial" w:eastAsia="Times New Roman" w:hAnsi="Arial" w:cs="Arial"/>
          <w:sz w:val="16"/>
          <w:szCs w:val="16"/>
          <w:bdr w:val="nil"/>
          <w:lang w:val="en-AU" w:eastAsia="en-AU"/>
        </w:rPr>
        <w:t>Note: Departmental appropriation splits and totals are indicative estimates and may change in the course of the Budget year as Government priorities change.</w:t>
      </w:r>
    </w:p>
    <w:p w:rsidR="00155128" w:rsidRPr="0074218D" w:rsidRDefault="00D5482E" w:rsidP="00FB3260">
      <w:pPr>
        <w:pStyle w:val="ListParagraph"/>
        <w:keepLines/>
        <w:numPr>
          <w:ilvl w:val="0"/>
          <w:numId w:val="31"/>
        </w:numPr>
        <w:pBdr>
          <w:top w:val="nil"/>
          <w:left w:val="nil"/>
          <w:bottom w:val="nil"/>
          <w:right w:val="nil"/>
          <w:between w:val="nil"/>
          <w:bar w:val="nil"/>
        </w:pBdr>
        <w:spacing w:after="0" w:line="240" w:lineRule="auto"/>
        <w:ind w:left="284" w:hanging="284"/>
        <w:jc w:val="both"/>
        <w:rPr>
          <w:rFonts w:eastAsia="Times New Roman" w:cs="Arial"/>
          <w:sz w:val="16"/>
          <w:szCs w:val="16"/>
          <w:bdr w:val="nil"/>
          <w:lang w:val="en-AU"/>
        </w:rPr>
      </w:pPr>
      <w:r w:rsidRPr="0074218D">
        <w:rPr>
          <w:rFonts w:ascii="Arial" w:eastAsia="Times New Roman" w:hAnsi="Arial" w:cs="Arial"/>
          <w:sz w:val="16"/>
          <w:szCs w:val="16"/>
          <w:bdr w:val="nil"/>
          <w:lang w:val="en-AU"/>
        </w:rPr>
        <w:t>Estimated expenses incurred in relation to receipts retained under section 74 of the PGPA Act.</w:t>
      </w:r>
    </w:p>
    <w:p w:rsidR="00155128" w:rsidRPr="0074218D" w:rsidRDefault="00D5482E" w:rsidP="00FB3260">
      <w:pPr>
        <w:pStyle w:val="ListParagraph"/>
        <w:keepLines/>
        <w:numPr>
          <w:ilvl w:val="0"/>
          <w:numId w:val="31"/>
        </w:numPr>
        <w:pBdr>
          <w:top w:val="nil"/>
          <w:left w:val="nil"/>
          <w:bottom w:val="nil"/>
          <w:right w:val="nil"/>
          <w:between w:val="nil"/>
          <w:bar w:val="nil"/>
        </w:pBdr>
        <w:spacing w:before="40" w:after="40" w:line="240" w:lineRule="auto"/>
        <w:ind w:left="284" w:hanging="284"/>
        <w:jc w:val="both"/>
        <w:rPr>
          <w:rFonts w:eastAsia="Times New Roman" w:cs="Arial"/>
          <w:sz w:val="16"/>
          <w:szCs w:val="16"/>
          <w:bdr w:val="nil"/>
          <w:lang w:val="en-AU"/>
        </w:rPr>
      </w:pPr>
      <w:r>
        <w:rPr>
          <w:rFonts w:ascii="Arial" w:eastAsia="Times New Roman" w:hAnsi="Arial" w:cs="Arial"/>
          <w:sz w:val="16"/>
          <w:szCs w:val="16"/>
          <w:bdr w:val="nil"/>
          <w:lang w:val="en-AU"/>
        </w:rPr>
        <w:t>‘</w:t>
      </w:r>
      <w:r w:rsidR="009B530C" w:rsidRPr="0074218D">
        <w:rPr>
          <w:rFonts w:ascii="Arial" w:eastAsia="Times New Roman" w:hAnsi="Arial" w:cs="Arial"/>
          <w:sz w:val="16"/>
          <w:szCs w:val="16"/>
          <w:bdr w:val="nil"/>
          <w:lang w:val="en-AU"/>
        </w:rPr>
        <w:t>Expenses not requiring appropriation in the Budget year</w:t>
      </w:r>
      <w:r>
        <w:rPr>
          <w:rFonts w:ascii="Arial" w:eastAsia="Times New Roman" w:hAnsi="Arial" w:cs="Arial"/>
          <w:sz w:val="16"/>
          <w:szCs w:val="16"/>
          <w:bdr w:val="nil"/>
          <w:lang w:val="en-AU"/>
        </w:rPr>
        <w:t>’</w:t>
      </w:r>
      <w:r w:rsidR="009B530C" w:rsidRPr="0074218D">
        <w:rPr>
          <w:rFonts w:ascii="Arial" w:eastAsia="Times New Roman" w:hAnsi="Arial" w:cs="Arial"/>
          <w:sz w:val="16"/>
          <w:szCs w:val="16"/>
          <w:bdr w:val="nil"/>
          <w:lang w:val="en-AU"/>
        </w:rPr>
        <w:t xml:space="preserve"> </w:t>
      </w:r>
      <w:r>
        <w:rPr>
          <w:rFonts w:ascii="Arial" w:eastAsia="Times New Roman" w:hAnsi="Arial" w:cs="Arial"/>
          <w:sz w:val="16"/>
          <w:szCs w:val="16"/>
          <w:bdr w:val="nil"/>
          <w:lang w:val="en-AU"/>
        </w:rPr>
        <w:t>are</w:t>
      </w:r>
      <w:r w:rsidR="009B530C" w:rsidRPr="0074218D">
        <w:rPr>
          <w:rFonts w:ascii="Arial" w:eastAsia="Times New Roman" w:hAnsi="Arial" w:cs="Arial"/>
          <w:sz w:val="16"/>
          <w:szCs w:val="16"/>
          <w:bdr w:val="nil"/>
          <w:lang w:val="en-AU"/>
        </w:rPr>
        <w:t xml:space="preserve"> made up of depreciation, amortisation expenses and audit fees.</w:t>
      </w:r>
    </w:p>
    <w:p w:rsidR="00155128" w:rsidRPr="0074218D" w:rsidRDefault="00D5482E" w:rsidP="00FB3260">
      <w:pPr>
        <w:pStyle w:val="ListParagraph"/>
        <w:keepLines/>
        <w:numPr>
          <w:ilvl w:val="0"/>
          <w:numId w:val="31"/>
        </w:numPr>
        <w:pBdr>
          <w:top w:val="nil"/>
          <w:left w:val="nil"/>
          <w:bottom w:val="nil"/>
          <w:right w:val="nil"/>
          <w:between w:val="nil"/>
          <w:bar w:val="nil"/>
        </w:pBdr>
        <w:spacing w:before="40" w:after="40" w:line="240" w:lineRule="auto"/>
        <w:ind w:left="284" w:hanging="284"/>
        <w:jc w:val="both"/>
        <w:rPr>
          <w:rFonts w:eastAsia="Times New Roman" w:cs="Arial"/>
          <w:sz w:val="16"/>
          <w:szCs w:val="16"/>
          <w:bdr w:val="nil"/>
          <w:lang w:val="en-AU"/>
        </w:rPr>
      </w:pPr>
      <w:r w:rsidRPr="0074218D">
        <w:rPr>
          <w:rFonts w:ascii="Arial" w:eastAsia="Times New Roman" w:hAnsi="Arial" w:cs="Arial"/>
          <w:sz w:val="16"/>
          <w:szCs w:val="16"/>
          <w:bdr w:val="nil"/>
          <w:lang w:val="en-AU"/>
        </w:rPr>
        <w:t xml:space="preserve">Figures displayed as a negative (-) represent a decrease in funds and a positive (+) represent an increase in funds. </w:t>
      </w:r>
    </w:p>
    <w:p w:rsidR="00891BFF" w:rsidRPr="00155128" w:rsidRDefault="00891BFF" w:rsidP="00155128">
      <w:pPr>
        <w:pBdr>
          <w:top w:val="nil"/>
          <w:left w:val="nil"/>
          <w:bottom w:val="nil"/>
          <w:right w:val="nil"/>
          <w:between w:val="nil"/>
          <w:bar w:val="nil"/>
        </w:pBdr>
        <w:spacing w:after="0"/>
        <w:rPr>
          <w:rFonts w:ascii="Arial" w:hAnsi="Arial" w:cs="Arial"/>
          <w:i/>
          <w:vanish/>
          <w:sz w:val="16"/>
          <w:szCs w:val="16"/>
          <w:bdr w:val="nil"/>
        </w:rPr>
      </w:pPr>
    </w:p>
    <w:p w:rsidR="00D86095" w:rsidRDefault="00D5482E" w:rsidP="00C53787">
      <w:pPr>
        <w:pStyle w:val="TableHeading"/>
        <w:keepLines/>
        <w:pageBreakBefore/>
        <w:pBdr>
          <w:top w:val="nil"/>
          <w:left w:val="nil"/>
          <w:bottom w:val="nil"/>
          <w:right w:val="nil"/>
          <w:between w:val="nil"/>
          <w:bar w:val="nil"/>
        </w:pBdr>
        <w:spacing w:before="0" w:after="0"/>
        <w:rPr>
          <w:bdr w:val="nil"/>
        </w:rPr>
      </w:pPr>
      <w:r w:rsidRPr="002E3447">
        <w:rPr>
          <w:bdr w:val="nil"/>
        </w:rPr>
        <w:lastRenderedPageBreak/>
        <w:t>Table 2</w:t>
      </w:r>
      <w:r>
        <w:rPr>
          <w:bdr w:val="nil"/>
        </w:rPr>
        <w:t>.4</w:t>
      </w:r>
      <w:r w:rsidRPr="002E3447">
        <w:rPr>
          <w:bdr w:val="nil"/>
        </w:rPr>
        <w:t>.</w:t>
      </w:r>
      <w:r>
        <w:rPr>
          <w:bdr w:val="nil"/>
        </w:rPr>
        <w:t>2</w:t>
      </w:r>
      <w:r w:rsidRPr="002E3447">
        <w:rPr>
          <w:bdr w:val="nil"/>
        </w:rPr>
        <w:t xml:space="preserve">: </w:t>
      </w:r>
      <w:r>
        <w:rPr>
          <w:bdr w:val="nil"/>
        </w:rPr>
        <w:t>Program</w:t>
      </w:r>
      <w:r w:rsidRPr="002E3447">
        <w:rPr>
          <w:bdr w:val="nil"/>
        </w:rPr>
        <w:t xml:space="preserve"> </w:t>
      </w:r>
      <w:r>
        <w:rPr>
          <w:bdr w:val="nil"/>
        </w:rPr>
        <w:t xml:space="preserve">component expenses for Outcome 4 </w:t>
      </w:r>
    </w:p>
    <w:tbl>
      <w:tblPr>
        <w:tblStyle w:val="CDMRange1"/>
        <w:tblW w:w="7695" w:type="dxa"/>
        <w:tblLayout w:type="fixed"/>
        <w:tblCellMar>
          <w:top w:w="11" w:type="dxa"/>
          <w:bottom w:w="11" w:type="dxa"/>
        </w:tblCellMar>
        <w:tblLook w:val="0600" w:firstRow="0" w:lastRow="0" w:firstColumn="0" w:lastColumn="0" w:noHBand="1" w:noVBand="1"/>
        <w:tblCaption w:val="Table 2.4.2: Program component expenses for Outcome 4 "/>
      </w:tblPr>
      <w:tblGrid>
        <w:gridCol w:w="2820"/>
        <w:gridCol w:w="975"/>
        <w:gridCol w:w="975"/>
        <w:gridCol w:w="975"/>
        <w:gridCol w:w="975"/>
        <w:gridCol w:w="975"/>
      </w:tblGrid>
      <w:tr w:rsidR="00010972" w:rsidTr="001958CE">
        <w:trPr>
          <w:tblHeader/>
        </w:trPr>
        <w:tc>
          <w:tcPr>
            <w:tcW w:w="7695" w:type="dxa"/>
            <w:gridSpan w:val="6"/>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4.1 - Housing and Homelessness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4.1.1 - Component 1 (Housing and Homelessness Service Improvement and Sector Support)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6,277</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43,158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34,272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9,545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6,277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43,158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34,272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9,545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6,277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43,158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34,272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9,545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84</w:t>
            </w:r>
          </w:p>
        </w:tc>
      </w:tr>
    </w:tbl>
    <w:tbl>
      <w:tblPr>
        <w:tblStyle w:val="CDMRange2"/>
        <w:tblW w:w="7695" w:type="dxa"/>
        <w:tblLayout w:type="fixed"/>
        <w:tblCellMar>
          <w:top w:w="11" w:type="dxa"/>
          <w:bottom w:w="11" w:type="dxa"/>
        </w:tblCellMar>
        <w:tblLook w:val="0600" w:firstRow="0" w:lastRow="0" w:firstColumn="0" w:lastColumn="0" w:noHBand="1" w:noVBand="1"/>
        <w:tblCaption w:val="Table 2.4.2: Program component expenses for Outcome 4 "/>
      </w:tblPr>
      <w:tblGrid>
        <w:gridCol w:w="2820"/>
        <w:gridCol w:w="975"/>
        <w:gridCol w:w="975"/>
        <w:gridCol w:w="975"/>
        <w:gridCol w:w="975"/>
        <w:gridCol w:w="975"/>
      </w:tblGrid>
      <w:tr w:rsidR="00010972" w:rsidTr="001958CE">
        <w:trPr>
          <w:tblHeader/>
        </w:trPr>
        <w:tc>
          <w:tcPr>
            <w:tcW w:w="769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4.2 - Affordable Housing</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4.2.1 - Component 1 (National Rental Affordability Scheme)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Ordinary annual services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Act No. 1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Bill No. 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114,864</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113,366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100,756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81,572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59,386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114,864</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113,366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100,756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81,572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59,386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114,864</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113,366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100,756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81,572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59,386</w:t>
            </w:r>
          </w:p>
        </w:tc>
      </w:tr>
    </w:tbl>
    <w:tbl>
      <w:tblPr>
        <w:tblStyle w:val="CDMRange1"/>
        <w:tblW w:w="7695" w:type="dxa"/>
        <w:tblLayout w:type="fixed"/>
        <w:tblCellMar>
          <w:top w:w="11" w:type="dxa"/>
          <w:bottom w:w="11" w:type="dxa"/>
        </w:tblCellMar>
        <w:tblLook w:val="0600" w:firstRow="0" w:lastRow="0" w:firstColumn="0" w:lastColumn="0" w:noHBand="1" w:noVBand="1"/>
        <w:tblCaption w:val="Table 2.4.2: Program component expenses for Outcome 4 "/>
      </w:tblPr>
      <w:tblGrid>
        <w:gridCol w:w="2820"/>
        <w:gridCol w:w="975"/>
        <w:gridCol w:w="975"/>
        <w:gridCol w:w="975"/>
        <w:gridCol w:w="975"/>
        <w:gridCol w:w="975"/>
      </w:tblGrid>
      <w:tr w:rsidR="00010972" w:rsidTr="001958CE">
        <w:trPr>
          <w:tblHeader/>
        </w:trPr>
        <w:tc>
          <w:tcPr>
            <w:tcW w:w="7695" w:type="dxa"/>
            <w:gridSpan w:val="6"/>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Program 4.3 - Program Support for Outcome 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expenses</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95" w:type="dxa"/>
            <w:gridSpan w:val="6"/>
            <w:tcBorders>
              <w:top w:val="dotted" w:sz="2" w:space="0" w:color="000000"/>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4.3.1 - Component 1 (Departmental DSS - Outcome 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dotted" w:sz="2" w:space="0" w:color="000000"/>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departmental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appropriation</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23,599</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18,858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17,812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16,826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16,548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s74 External Revenue (a)</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518</w:t>
            </w:r>
          </w:p>
        </w:tc>
        <w:tc>
          <w:tcPr>
            <w:tcW w:w="975" w:type="dxa"/>
            <w:tcBorders>
              <w:top w:val="nil"/>
              <w:left w:val="nil"/>
              <w:bottom w:val="nil"/>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1,318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1,158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1,158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1,158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Expenses not requiring</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appropriation in the</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Budget year (b)</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2,029</w:t>
            </w:r>
          </w:p>
        </w:tc>
        <w:tc>
          <w:tcPr>
            <w:tcW w:w="975" w:type="dxa"/>
            <w:tcBorders>
              <w:top w:val="nil"/>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435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395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346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337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Total component 1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26,146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20,611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19,365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18,330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18,043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Program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26,146</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20,611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19,365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18,330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18,043</w:t>
            </w:r>
          </w:p>
        </w:tc>
      </w:tr>
    </w:tbl>
    <w:p w:rsidR="001C4A1A" w:rsidRDefault="00D5482E" w:rsidP="001C4A1A">
      <w:pPr>
        <w:pStyle w:val="ChartandTableFootnote"/>
        <w:pBdr>
          <w:top w:val="nil"/>
          <w:left w:val="nil"/>
          <w:bottom w:val="nil"/>
          <w:right w:val="nil"/>
          <w:between w:val="nil"/>
          <w:bar w:val="nil"/>
        </w:pBdr>
        <w:tabs>
          <w:tab w:val="left" w:pos="0"/>
        </w:tabs>
        <w:ind w:left="0" w:firstLine="0"/>
        <w:rPr>
          <w:bdr w:val="nil"/>
        </w:rPr>
      </w:pPr>
      <w:r>
        <w:rPr>
          <w:bdr w:val="nil"/>
        </w:rPr>
        <w:t>Note: Departmental appropriation splits and totals are indicative estimates and may change in the course of the Budget year as government priorities change.</w:t>
      </w:r>
    </w:p>
    <w:p w:rsidR="004E47BC" w:rsidRDefault="00D5482E" w:rsidP="00266E85">
      <w:pPr>
        <w:pStyle w:val="FootnoteText"/>
        <w:numPr>
          <w:ilvl w:val="0"/>
          <w:numId w:val="32"/>
        </w:numPr>
        <w:pBdr>
          <w:top w:val="nil"/>
          <w:left w:val="nil"/>
          <w:bottom w:val="nil"/>
          <w:right w:val="nil"/>
          <w:between w:val="nil"/>
          <w:bar w:val="nil"/>
        </w:pBdr>
        <w:spacing w:after="0"/>
        <w:ind w:left="284" w:hanging="284"/>
        <w:jc w:val="both"/>
        <w:rPr>
          <w:rFonts w:ascii="Arial" w:hAnsi="Arial" w:cs="Arial"/>
          <w:bdr w:val="nil"/>
        </w:rPr>
      </w:pPr>
      <w:r>
        <w:rPr>
          <w:rFonts w:ascii="Arial" w:hAnsi="Arial" w:cs="Arial"/>
          <w:bdr w:val="nil"/>
        </w:rPr>
        <w:t>Estimated expenses incurred in relation to receipts retained under section 74 of the PGPA Act.</w:t>
      </w:r>
    </w:p>
    <w:p w:rsidR="00AE3EFD" w:rsidRDefault="00D5482E" w:rsidP="00266E85">
      <w:pPr>
        <w:pStyle w:val="FootnoteText"/>
        <w:numPr>
          <w:ilvl w:val="0"/>
          <w:numId w:val="32"/>
        </w:numPr>
        <w:pBdr>
          <w:top w:val="nil"/>
          <w:left w:val="nil"/>
          <w:bottom w:val="nil"/>
          <w:right w:val="nil"/>
          <w:between w:val="nil"/>
          <w:bar w:val="nil"/>
        </w:pBdr>
        <w:spacing w:after="0"/>
        <w:ind w:left="284" w:hanging="284"/>
        <w:jc w:val="both"/>
        <w:rPr>
          <w:rFonts w:ascii="Arial" w:hAnsi="Arial" w:cs="Arial"/>
          <w:bdr w:val="nil"/>
        </w:rPr>
      </w:pPr>
      <w:r>
        <w:rPr>
          <w:rFonts w:ascii="Arial" w:hAnsi="Arial" w:cs="Arial"/>
          <w:bdr w:val="nil"/>
        </w:rPr>
        <w:t xml:space="preserve">‘Expenses not </w:t>
      </w:r>
      <w:r w:rsidR="004E47BC">
        <w:rPr>
          <w:rFonts w:ascii="Arial" w:hAnsi="Arial" w:cs="Arial"/>
          <w:bdr w:val="nil"/>
        </w:rPr>
        <w:t>requiring appropriation in the B</w:t>
      </w:r>
      <w:r>
        <w:rPr>
          <w:rFonts w:ascii="Arial" w:hAnsi="Arial" w:cs="Arial"/>
          <w:bdr w:val="nil"/>
        </w:rPr>
        <w:t>udget year’ is made up of depreciation, amortisation expenses and audit fees.</w:t>
      </w:r>
    </w:p>
    <w:p w:rsidR="00E331B4" w:rsidRPr="00E331B4" w:rsidRDefault="00E331B4" w:rsidP="00E331B4">
      <w:pPr>
        <w:pBdr>
          <w:top w:val="nil"/>
          <w:left w:val="nil"/>
          <w:bottom w:val="nil"/>
          <w:right w:val="nil"/>
          <w:between w:val="nil"/>
          <w:bar w:val="nil"/>
        </w:pBdr>
        <w:rPr>
          <w:vanish/>
          <w:bdr w:val="nil"/>
        </w:rPr>
      </w:pPr>
    </w:p>
    <w:p w:rsidR="00A42CA2" w:rsidRDefault="00D5482E" w:rsidP="000773F0">
      <w:pPr>
        <w:pStyle w:val="TableHeading"/>
        <w:keepLines/>
        <w:pageBreakBefore/>
        <w:pBdr>
          <w:top w:val="nil"/>
          <w:left w:val="nil"/>
          <w:bottom w:val="nil"/>
          <w:right w:val="nil"/>
          <w:between w:val="nil"/>
          <w:bar w:val="nil"/>
        </w:pBdr>
        <w:spacing w:before="0" w:after="240"/>
        <w:rPr>
          <w:bdr w:val="nil"/>
        </w:rPr>
      </w:pPr>
      <w:r>
        <w:rPr>
          <w:bdr w:val="nil"/>
        </w:rPr>
        <w:lastRenderedPageBreak/>
        <w:t>Table 2.4.3: Performance criteria for Outcome 4</w:t>
      </w:r>
    </w:p>
    <w:p w:rsidR="00A42CA2" w:rsidRDefault="00D5482E" w:rsidP="000773F0">
      <w:pPr>
        <w:pStyle w:val="Normal0"/>
        <w:keepLines/>
        <w:pBdr>
          <w:top w:val="nil"/>
          <w:left w:val="nil"/>
          <w:bottom w:val="nil"/>
          <w:right w:val="nil"/>
          <w:between w:val="nil"/>
          <w:bar w:val="nil"/>
        </w:pBdr>
        <w:tabs>
          <w:tab w:val="left" w:pos="709"/>
        </w:tabs>
        <w:spacing w:after="240" w:line="240" w:lineRule="auto"/>
        <w:jc w:val="both"/>
        <w:rPr>
          <w:bdr w:val="nil"/>
        </w:rPr>
      </w:pPr>
      <w:r>
        <w:rPr>
          <w:rFonts w:eastAsia="Times New Roman"/>
          <w:sz w:val="20"/>
          <w:szCs w:val="20"/>
          <w:bdr w:val="nil"/>
          <w:lang w:eastAsia="en-AU"/>
        </w:rPr>
        <w:t>Table 2.4.3 below details the performance criteria for each program associated with Outcome 4. It is to be used by entities to describe the results they plan to achieve with the resources provided for new programs, or materially changed existing programs resulting from decisions made since the 2020-21 Budget.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1"/>
        <w:gridCol w:w="3367"/>
        <w:gridCol w:w="2537"/>
      </w:tblGrid>
      <w:tr w:rsidR="00010972" w:rsidTr="00241B17">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6E6E6"/>
            <w:hideMark/>
          </w:tcPr>
          <w:p w:rsidR="00A42CA2" w:rsidRDefault="00D5482E" w:rsidP="00F61E8B">
            <w:pPr>
              <w:pStyle w:val="TableColumnHeadingLeft"/>
              <w:pBdr>
                <w:top w:val="nil"/>
                <w:left w:val="nil"/>
                <w:bottom w:val="nil"/>
                <w:right w:val="nil"/>
                <w:between w:val="nil"/>
                <w:bar w:val="nil"/>
              </w:pBdr>
              <w:spacing w:line="240" w:lineRule="auto"/>
              <w:rPr>
                <w:bdr w:val="nil"/>
                <w:lang w:val="en-US" w:eastAsia="en-US"/>
              </w:rPr>
            </w:pPr>
            <w:r>
              <w:rPr>
                <w:bdr w:val="nil"/>
                <w:lang w:val="en-US" w:eastAsia="en-US"/>
              </w:rPr>
              <w:t xml:space="preserve">Outcome 4 – </w:t>
            </w:r>
            <w:r w:rsidRPr="000537CD">
              <w:rPr>
                <w:b w:val="0"/>
                <w:bdr w:val="nil"/>
                <w:lang w:val="en-US" w:eastAsia="en-US"/>
              </w:rPr>
              <w:t>Increased housing supply, improved community housing and assisting individuals experiencing homelessness through targeted support and services.</w:t>
            </w:r>
          </w:p>
        </w:tc>
      </w:tr>
      <w:tr w:rsidR="00010972" w:rsidTr="00241B17">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6E6E6"/>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4.1 – Housing and Homelessness</w:t>
            </w:r>
            <w:r>
              <w:rPr>
                <w:rFonts w:ascii="Arial" w:eastAsia="Times New Roman" w:hAnsi="Arial" w:cs="Arial"/>
                <w:sz w:val="16"/>
                <w:szCs w:val="16"/>
                <w:bdr w:val="nil"/>
                <w:lang w:val="en-US"/>
              </w:rPr>
              <w:t xml:space="preserve"> – To provide support for affordable housing and homelessness prevention initiatives, including the design and implementation of innovative early stage projects.</w:t>
            </w:r>
          </w:p>
        </w:tc>
      </w:tr>
      <w:tr w:rsidR="00010972" w:rsidTr="00241B17">
        <w:tc>
          <w:tcPr>
            <w:tcW w:w="1801" w:type="dxa"/>
            <w:tcBorders>
              <w:top w:val="single" w:sz="4" w:space="0" w:color="auto"/>
              <w:left w:val="single" w:sz="4" w:space="0" w:color="auto"/>
              <w:bottom w:val="doub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4" w:type="dxa"/>
            <w:gridSpan w:val="2"/>
            <w:tcBorders>
              <w:top w:val="single" w:sz="4" w:space="0" w:color="auto"/>
              <w:left w:val="single" w:sz="4" w:space="0" w:color="auto"/>
              <w:bottom w:val="doub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Fund organisations to design and implement initiatives that improve the availability of affordable housing and prevent homelessness.</w:t>
            </w:r>
          </w:p>
        </w:tc>
      </w:tr>
      <w:tr w:rsidR="00010972" w:rsidTr="00241B17">
        <w:tc>
          <w:tcPr>
            <w:tcW w:w="7705" w:type="dxa"/>
            <w:gridSpan w:val="3"/>
            <w:tcBorders>
              <w:top w:val="double" w:sz="4" w:space="0" w:color="auto"/>
              <w:left w:val="single" w:sz="4" w:space="0" w:color="auto"/>
              <w:bottom w:val="doub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241B17">
        <w:tc>
          <w:tcPr>
            <w:tcW w:w="1801" w:type="dxa"/>
            <w:tcBorders>
              <w:top w:val="doub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67" w:type="dxa"/>
            <w:tcBorders>
              <w:top w:val="doub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7" w:type="dxa"/>
            <w:tcBorders>
              <w:top w:val="doub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241B17">
        <w:tc>
          <w:tcPr>
            <w:tcW w:w="1801" w:type="dxa"/>
            <w:tcBorders>
              <w:top w:val="dotted" w:sz="4" w:space="0" w:color="auto"/>
              <w:left w:val="single" w:sz="4" w:space="0" w:color="auto"/>
              <w:bottom w:val="dotted"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67" w:type="dxa"/>
            <w:tcBorders>
              <w:top w:val="dotted" w:sz="4" w:space="0" w:color="auto"/>
              <w:left w:val="single" w:sz="4" w:space="0" w:color="auto"/>
              <w:bottom w:val="dotted" w:sz="4" w:space="0" w:color="auto"/>
              <w:right w:val="single" w:sz="4" w:space="0" w:color="auto"/>
            </w:tcBorders>
            <w:hideMark/>
          </w:tcPr>
          <w:p w:rsidR="00A42CA2" w:rsidRDefault="00D5482E" w:rsidP="0092707B">
            <w:pPr>
              <w:pBdr>
                <w:top w:val="nil"/>
                <w:left w:val="nil"/>
                <w:bottom w:val="nil"/>
                <w:right w:val="nil"/>
                <w:between w:val="nil"/>
                <w:bar w:val="nil"/>
              </w:pBdr>
              <w:tabs>
                <w:tab w:val="left" w:pos="709"/>
              </w:tabs>
              <w:spacing w:before="60" w:after="60" w:line="240" w:lineRule="auto"/>
              <w:rPr>
                <w:rFonts w:cs="Arial"/>
                <w:color w:val="000000"/>
                <w:sz w:val="16"/>
                <w:szCs w:val="16"/>
                <w:bdr w:val="nil"/>
              </w:rPr>
            </w:pPr>
            <w:r>
              <w:rPr>
                <w:rFonts w:ascii="Arial" w:eastAsia="Times New Roman" w:hAnsi="Arial" w:cs="Arial"/>
                <w:color w:val="000000"/>
                <w:sz w:val="16"/>
                <w:szCs w:val="16"/>
                <w:bdr w:val="nil"/>
              </w:rPr>
              <w:t xml:space="preserve">Standard of delivery by states and territories and organisations is in accordance with the terms and conditions of contracts and agreements with </w:t>
            </w:r>
            <w:r w:rsidR="0092707B">
              <w:rPr>
                <w:rFonts w:ascii="Arial" w:eastAsia="Times New Roman" w:hAnsi="Arial" w:cs="Arial"/>
                <w:color w:val="000000"/>
                <w:sz w:val="16"/>
                <w:szCs w:val="16"/>
                <w:bdr w:val="nil"/>
              </w:rPr>
              <w:t>DSS.</w:t>
            </w:r>
          </w:p>
        </w:tc>
        <w:tc>
          <w:tcPr>
            <w:tcW w:w="2537" w:type="dxa"/>
            <w:tcBorders>
              <w:top w:val="dotted" w:sz="4" w:space="0" w:color="auto"/>
              <w:left w:val="single" w:sz="4" w:space="0" w:color="auto"/>
              <w:bottom w:val="dotted" w:sz="4" w:space="0" w:color="auto"/>
              <w:right w:val="single" w:sz="4" w:space="0" w:color="auto"/>
            </w:tcBorders>
            <w:hideMark/>
          </w:tcPr>
          <w:p w:rsidR="00A42CA2" w:rsidRDefault="00D5482E">
            <w:pPr>
              <w:keepLines/>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rPr>
            </w:pPr>
            <w:r>
              <w:rPr>
                <w:rFonts w:ascii="Arial" w:eastAsia="Times New Roman" w:hAnsi="Arial" w:cs="Arial"/>
                <w:color w:val="000000"/>
                <w:sz w:val="16"/>
                <w:szCs w:val="16"/>
                <w:bdr w:val="nil"/>
              </w:rPr>
              <w:t>100 per cent of states and territories meet their requirements under the National Housing and Homelessness Agreement by:</w:t>
            </w:r>
          </w:p>
          <w:p w:rsidR="00A42CA2" w:rsidRDefault="00D5482E" w:rsidP="00A42CA2">
            <w:pPr>
              <w:pStyle w:val="ListParagraph"/>
              <w:numPr>
                <w:ilvl w:val="0"/>
                <w:numId w:val="33"/>
              </w:numPr>
              <w:pBdr>
                <w:top w:val="nil"/>
                <w:left w:val="nil"/>
                <w:bottom w:val="nil"/>
                <w:right w:val="nil"/>
                <w:between w:val="nil"/>
                <w:bar w:val="nil"/>
              </w:pBdr>
              <w:tabs>
                <w:tab w:val="left" w:pos="709"/>
              </w:tabs>
              <w:spacing w:before="60"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having a publicly available housing strategy.</w:t>
            </w:r>
          </w:p>
          <w:p w:rsidR="00A42CA2" w:rsidRDefault="00D5482E" w:rsidP="00A42CA2">
            <w:pPr>
              <w:pStyle w:val="ListParagraph"/>
              <w:numPr>
                <w:ilvl w:val="0"/>
                <w:numId w:val="33"/>
              </w:numPr>
              <w:pBdr>
                <w:top w:val="nil"/>
                <w:left w:val="nil"/>
                <w:bottom w:val="nil"/>
                <w:right w:val="nil"/>
                <w:between w:val="nil"/>
                <w:bar w:val="nil"/>
              </w:pBdr>
              <w:tabs>
                <w:tab w:val="left" w:pos="709"/>
              </w:tabs>
              <w:spacing w:before="60"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having a publicly available homelessness strategy.</w:t>
            </w:r>
          </w:p>
          <w:p w:rsidR="00A42CA2" w:rsidRDefault="00D5482E" w:rsidP="00A42CA2">
            <w:pPr>
              <w:pStyle w:val="ListParagraph"/>
              <w:numPr>
                <w:ilvl w:val="0"/>
                <w:numId w:val="33"/>
              </w:numPr>
              <w:pBdr>
                <w:top w:val="nil"/>
                <w:left w:val="nil"/>
                <w:bottom w:val="nil"/>
                <w:right w:val="nil"/>
                <w:between w:val="nil"/>
                <w:bar w:val="nil"/>
              </w:pBdr>
              <w:tabs>
                <w:tab w:val="left" w:pos="709"/>
              </w:tabs>
              <w:spacing w:before="60"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contributing to the ongoing collection and transparent reporting of agreed data.</w:t>
            </w:r>
          </w:p>
          <w:p w:rsidR="00A42CA2" w:rsidRDefault="00D5482E" w:rsidP="00A42CA2">
            <w:pPr>
              <w:pStyle w:val="ListParagraph"/>
              <w:numPr>
                <w:ilvl w:val="0"/>
                <w:numId w:val="33"/>
              </w:numPr>
              <w:pBdr>
                <w:top w:val="nil"/>
                <w:left w:val="nil"/>
                <w:bottom w:val="nil"/>
                <w:right w:val="nil"/>
                <w:between w:val="nil"/>
                <w:bar w:val="nil"/>
              </w:pBdr>
              <w:tabs>
                <w:tab w:val="left" w:pos="709"/>
              </w:tabs>
              <w:spacing w:before="60" w:after="60" w:line="240" w:lineRule="auto"/>
              <w:ind w:left="357" w:hanging="357"/>
              <w:rPr>
                <w:rFonts w:eastAsia="Times New Roman" w:cs="Arial"/>
                <w:color w:val="000000"/>
                <w:sz w:val="16"/>
                <w:szCs w:val="16"/>
                <w:bdr w:val="nil"/>
                <w:lang w:val="en-AU"/>
              </w:rPr>
            </w:pPr>
            <w:r>
              <w:rPr>
                <w:rFonts w:ascii="Arial" w:eastAsia="Times New Roman" w:hAnsi="Arial" w:cs="Arial"/>
                <w:color w:val="000000"/>
                <w:sz w:val="16"/>
                <w:szCs w:val="16"/>
                <w:bdr w:val="nil"/>
                <w:lang w:val="en-AU"/>
              </w:rPr>
              <w:t>providing annual statement of assurance reports outlining their housing and homelessness expenditure.</w:t>
            </w:r>
          </w:p>
        </w:tc>
      </w:tr>
      <w:tr w:rsidR="00010972" w:rsidTr="00241B17">
        <w:tc>
          <w:tcPr>
            <w:tcW w:w="1801" w:type="dxa"/>
            <w:tcBorders>
              <w:top w:val="dotted"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67" w:type="dxa"/>
            <w:tcBorders>
              <w:top w:val="dotted" w:sz="4" w:space="0" w:color="auto"/>
              <w:left w:val="single" w:sz="4" w:space="0" w:color="auto"/>
              <w:bottom w:val="single" w:sz="4" w:space="0" w:color="auto"/>
              <w:right w:val="single" w:sz="4" w:space="0" w:color="auto"/>
            </w:tcBorders>
            <w:hideMark/>
          </w:tcPr>
          <w:p w:rsidR="00A42CA2" w:rsidRDefault="00D5482E">
            <w:pPr>
              <w:pStyle w:val="Normal00"/>
              <w:pBdr>
                <w:top w:val="nil"/>
                <w:left w:val="nil"/>
                <w:bottom w:val="nil"/>
                <w:right w:val="nil"/>
                <w:between w:val="nil"/>
                <w:bar w:val="nil"/>
              </w:pBdr>
              <w:tabs>
                <w:tab w:val="left" w:pos="709"/>
              </w:tabs>
              <w:spacing w:before="60" w:after="60" w:line="240" w:lineRule="auto"/>
              <w:jc w:val="left"/>
              <w:rPr>
                <w:rFonts w:ascii="Arial" w:hAnsi="Arial" w:cs="Arial"/>
                <w:sz w:val="16"/>
                <w:szCs w:val="16"/>
                <w:bdr w:val="nil"/>
                <w:lang w:val="en-US" w:eastAsia="en-US"/>
              </w:rPr>
            </w:pPr>
            <w:r>
              <w:rPr>
                <w:rFonts w:ascii="Arial" w:hAnsi="Arial" w:cs="Arial"/>
                <w:sz w:val="16"/>
                <w:szCs w:val="16"/>
                <w:bdr w:val="nil"/>
                <w:lang w:val="en-US" w:eastAsia="en-US"/>
              </w:rPr>
              <w:t>As per 2020-21</w:t>
            </w:r>
          </w:p>
        </w:tc>
        <w:tc>
          <w:tcPr>
            <w:tcW w:w="2537" w:type="dxa"/>
            <w:tcBorders>
              <w:top w:val="dotted" w:sz="4" w:space="0" w:color="auto"/>
              <w:left w:val="single" w:sz="4" w:space="0" w:color="auto"/>
              <w:bottom w:val="single" w:sz="4" w:space="0" w:color="auto"/>
              <w:right w:val="single" w:sz="4" w:space="0" w:color="auto"/>
            </w:tcBorders>
            <w:hideMark/>
          </w:tcPr>
          <w:p w:rsidR="00A42CA2" w:rsidRDefault="00D5482E">
            <w:pPr>
              <w:pStyle w:val="Normal00"/>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eastAsia="en-US"/>
              </w:rPr>
            </w:pPr>
            <w:r>
              <w:rPr>
                <w:rFonts w:ascii="Arial" w:hAnsi="Arial" w:cs="Arial"/>
                <w:sz w:val="16"/>
                <w:szCs w:val="16"/>
                <w:bdr w:val="nil"/>
                <w:lang w:val="en-US" w:eastAsia="en-US"/>
              </w:rPr>
              <w:t>As per 2020-21</w:t>
            </w:r>
          </w:p>
        </w:tc>
      </w:tr>
      <w:tr w:rsidR="00010972" w:rsidTr="00241B17">
        <w:tc>
          <w:tcPr>
            <w:tcW w:w="1801" w:type="dxa"/>
            <w:tcBorders>
              <w:top w:val="sing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Purpose</w:t>
            </w:r>
          </w:p>
        </w:tc>
        <w:tc>
          <w:tcPr>
            <w:tcW w:w="5904" w:type="dxa"/>
            <w:gridSpan w:val="2"/>
            <w:tcBorders>
              <w:top w:val="sing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Increased housing supply, improved community housing and assisting individuals experiencing homelessness through targeted support and services.</w:t>
            </w:r>
          </w:p>
        </w:tc>
      </w:tr>
      <w:tr w:rsidR="00010972" w:rsidTr="00241B17">
        <w:tc>
          <w:tcPr>
            <w:tcW w:w="7705" w:type="dxa"/>
            <w:gridSpan w:val="3"/>
            <w:tcBorders>
              <w:top w:val="sing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spacing w:after="40" w:line="260" w:lineRule="exact"/>
              <w:rPr>
                <w:rFonts w:ascii="Arial" w:hAnsi="Arial" w:cs="Arial"/>
                <w:b/>
                <w:bCs/>
                <w:iCs/>
                <w:spacing w:val="-6"/>
                <w:sz w:val="16"/>
                <w:szCs w:val="16"/>
                <w:bdr w:val="nil"/>
                <w:lang w:val="en-US"/>
              </w:rPr>
            </w:pPr>
            <w:r>
              <w:rPr>
                <w:rStyle w:val="BodyTextChar"/>
                <w:rFonts w:ascii="Arial" w:eastAsiaTheme="minorHAnsi" w:hAnsi="Arial" w:cs="Arial"/>
                <w:b/>
                <w:bCs/>
                <w:iCs/>
                <w:spacing w:val="-6"/>
                <w:sz w:val="16"/>
                <w:szCs w:val="16"/>
                <w:bdr w:val="nil"/>
                <w:lang w:eastAsia="en-US"/>
              </w:rPr>
              <w:t>Material changes to Program 4.1: Nil.</w:t>
            </w:r>
          </w:p>
        </w:tc>
      </w:tr>
    </w:tbl>
    <w:p w:rsidR="00A42CA2" w:rsidRDefault="00D5482E" w:rsidP="00A42CA2">
      <w:pPr>
        <w:pStyle w:val="TableGraphic"/>
        <w:keepLines/>
        <w:pBdr>
          <w:top w:val="nil"/>
          <w:left w:val="nil"/>
          <w:bottom w:val="nil"/>
          <w:right w:val="nil"/>
          <w:between w:val="nil"/>
          <w:bar w:val="nil"/>
        </w:pBdr>
        <w:spacing w:after="240"/>
        <w:rPr>
          <w:rFonts w:ascii="Arial" w:hAnsi="Arial"/>
          <w:color w:val="000000"/>
          <w:sz w:val="16"/>
          <w:bdr w:val="nil"/>
        </w:rPr>
      </w:pPr>
      <w:r>
        <w:rPr>
          <w:i w:val="0"/>
          <w:bdr w:val="nil"/>
        </w:rPr>
        <w:br w:type="page"/>
      </w:r>
    </w:p>
    <w:p w:rsidR="00A42CA2" w:rsidRDefault="00D5482E" w:rsidP="000537CD">
      <w:pPr>
        <w:pStyle w:val="TableHeading"/>
        <w:keepLines/>
        <w:pBdr>
          <w:top w:val="nil"/>
          <w:left w:val="nil"/>
          <w:bottom w:val="nil"/>
          <w:right w:val="nil"/>
          <w:between w:val="nil"/>
          <w:bar w:val="nil"/>
        </w:pBdr>
        <w:spacing w:before="0" w:after="0"/>
        <w:rPr>
          <w:bdr w:val="nil"/>
        </w:rPr>
      </w:pPr>
      <w:r>
        <w:rPr>
          <w:bdr w:val="nil"/>
        </w:rPr>
        <w:lastRenderedPageBreak/>
        <w:t>Table 2.4.3: Performance criteria for Outcome 4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2"/>
        <w:gridCol w:w="3372"/>
        <w:gridCol w:w="2531"/>
      </w:tblGrid>
      <w:tr w:rsidR="00010972" w:rsidTr="00241B17">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6E6E6"/>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4.2 – Affordable Housing</w:t>
            </w:r>
            <w:r>
              <w:rPr>
                <w:rFonts w:ascii="Arial" w:eastAsia="Times New Roman" w:hAnsi="Arial" w:cs="Arial"/>
                <w:sz w:val="16"/>
                <w:szCs w:val="16"/>
                <w:bdr w:val="nil"/>
                <w:lang w:val="en-US"/>
              </w:rPr>
              <w:t xml:space="preserve"> – To improve the supply of affordable rental housing to low and moderate income households.</w:t>
            </w:r>
          </w:p>
        </w:tc>
      </w:tr>
      <w:tr w:rsidR="00010972" w:rsidTr="00241B17">
        <w:tc>
          <w:tcPr>
            <w:tcW w:w="1802" w:type="dxa"/>
            <w:tcBorders>
              <w:top w:val="single" w:sz="4" w:space="0" w:color="auto"/>
              <w:left w:val="single" w:sz="4" w:space="0" w:color="auto"/>
              <w:bottom w:val="doub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3" w:type="dxa"/>
            <w:gridSpan w:val="2"/>
            <w:tcBorders>
              <w:top w:val="single" w:sz="4" w:space="0" w:color="auto"/>
              <w:left w:val="single" w:sz="4" w:space="0" w:color="auto"/>
              <w:bottom w:val="doub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 xml:space="preserve">Provide National Rental Affordability Scheme incentives in accordance with </w:t>
            </w:r>
            <w:r>
              <w:rPr>
                <w:rFonts w:ascii="Arial" w:eastAsia="Times New Roman" w:hAnsi="Arial" w:cs="Arial"/>
                <w:color w:val="000000"/>
                <w:sz w:val="16"/>
                <w:szCs w:val="16"/>
                <w:bdr w:val="nil"/>
                <w:lang w:val="en-US"/>
              </w:rPr>
              <w:t>statutory criteria to approved participants.</w:t>
            </w:r>
          </w:p>
        </w:tc>
      </w:tr>
      <w:tr w:rsidR="00010972" w:rsidTr="00241B17">
        <w:tc>
          <w:tcPr>
            <w:tcW w:w="7705" w:type="dxa"/>
            <w:gridSpan w:val="3"/>
            <w:tcBorders>
              <w:top w:val="double" w:sz="4" w:space="0" w:color="auto"/>
              <w:left w:val="single" w:sz="4" w:space="0" w:color="auto"/>
              <w:bottom w:val="doub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241B17">
        <w:tc>
          <w:tcPr>
            <w:tcW w:w="1802" w:type="dxa"/>
            <w:tcBorders>
              <w:top w:val="doub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72" w:type="dxa"/>
            <w:tcBorders>
              <w:top w:val="doub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1" w:type="dxa"/>
            <w:tcBorders>
              <w:top w:val="doub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vertAlign w:val="superscript"/>
                <w:lang w:val="en-US"/>
              </w:rPr>
            </w:pPr>
            <w:r>
              <w:rPr>
                <w:rFonts w:ascii="Arial" w:eastAsia="Times New Roman" w:hAnsi="Arial" w:cs="Arial"/>
                <w:b/>
                <w:sz w:val="16"/>
                <w:szCs w:val="16"/>
                <w:bdr w:val="nil"/>
                <w:lang w:val="en-US"/>
              </w:rPr>
              <w:t>Targets</w:t>
            </w:r>
          </w:p>
        </w:tc>
      </w:tr>
      <w:tr w:rsidR="00010972" w:rsidTr="00241B17">
        <w:tc>
          <w:tcPr>
            <w:tcW w:w="1802" w:type="dxa"/>
            <w:vMerge w:val="restart"/>
            <w:tcBorders>
              <w:top w:val="dotted" w:sz="4" w:space="0" w:color="auto"/>
              <w:left w:val="single" w:sz="4" w:space="0" w:color="auto"/>
              <w:bottom w:val="dotted"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72" w:type="dxa"/>
            <w:tcBorders>
              <w:top w:val="dotted" w:sz="4" w:space="0" w:color="auto"/>
              <w:left w:val="single" w:sz="4" w:space="0" w:color="auto"/>
              <w:bottom w:val="dotted" w:sz="4" w:space="0" w:color="auto"/>
              <w:right w:val="single" w:sz="4" w:space="0" w:color="auto"/>
            </w:tcBorders>
            <w:hideMark/>
          </w:tcPr>
          <w:p w:rsidR="00A42CA2" w:rsidRDefault="00D5482E">
            <w:pPr>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rPr>
            </w:pPr>
            <w:r>
              <w:rPr>
                <w:rFonts w:ascii="Arial" w:eastAsia="Times New Roman" w:hAnsi="Arial" w:cs="Arial"/>
                <w:color w:val="000000"/>
                <w:sz w:val="16"/>
                <w:szCs w:val="16"/>
                <w:bdr w:val="nil"/>
              </w:rPr>
              <w:t>Delivery complies with relevant legislation to ensure that incentives are issued accurately to approved participants.</w:t>
            </w:r>
          </w:p>
        </w:tc>
        <w:tc>
          <w:tcPr>
            <w:tcW w:w="2531" w:type="dxa"/>
            <w:tcBorders>
              <w:top w:val="dotted" w:sz="4" w:space="0" w:color="auto"/>
              <w:left w:val="single" w:sz="4" w:space="0" w:color="auto"/>
              <w:bottom w:val="dotted" w:sz="4" w:space="0" w:color="auto"/>
              <w:right w:val="single" w:sz="4" w:space="0" w:color="auto"/>
            </w:tcBorders>
            <w:hideMark/>
          </w:tcPr>
          <w:p w:rsidR="00A42CA2" w:rsidRDefault="00D5482E">
            <w:pPr>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rPr>
            </w:pPr>
            <w:r>
              <w:rPr>
                <w:rFonts w:ascii="Arial" w:eastAsia="Times New Roman" w:hAnsi="Arial" w:cs="Arial"/>
                <w:color w:val="000000"/>
                <w:sz w:val="16"/>
                <w:szCs w:val="16"/>
                <w:bdr w:val="nil"/>
              </w:rPr>
              <w:t>90 per cent of statements of compliance are processed within 60 days.</w:t>
            </w:r>
          </w:p>
        </w:tc>
      </w:tr>
      <w:tr w:rsidR="00010972" w:rsidTr="00241B17">
        <w:tc>
          <w:tcPr>
            <w:tcW w:w="1802" w:type="dxa"/>
            <w:vMerge/>
            <w:tcBorders>
              <w:top w:val="dotted" w:sz="4" w:space="0" w:color="auto"/>
              <w:left w:val="single" w:sz="4" w:space="0" w:color="auto"/>
              <w:bottom w:val="dotted" w:sz="4" w:space="0" w:color="auto"/>
              <w:right w:val="single" w:sz="4" w:space="0" w:color="auto"/>
            </w:tcBorders>
            <w:vAlign w:val="center"/>
            <w:hideMark/>
          </w:tcPr>
          <w:p w:rsidR="00A42CA2" w:rsidRDefault="00A42CA2">
            <w:pPr>
              <w:spacing w:after="0"/>
              <w:rPr>
                <w:rFonts w:ascii="Arial" w:hAnsi="Arial" w:cs="Arial"/>
                <w:sz w:val="16"/>
                <w:szCs w:val="16"/>
                <w:bdr w:val="nil"/>
              </w:rPr>
            </w:pPr>
          </w:p>
        </w:tc>
        <w:tc>
          <w:tcPr>
            <w:tcW w:w="5903" w:type="dxa"/>
            <w:gridSpan w:val="2"/>
            <w:tcBorders>
              <w:top w:val="dotted" w:sz="4" w:space="0" w:color="auto"/>
              <w:left w:val="single" w:sz="4" w:space="0" w:color="auto"/>
              <w:bottom w:val="dotted" w:sz="4" w:space="0" w:color="auto"/>
              <w:right w:val="single" w:sz="4" w:space="0" w:color="auto"/>
            </w:tcBorders>
            <w:hideMark/>
          </w:tcPr>
          <w:p w:rsidR="00A42CA2" w:rsidRDefault="00D5482E">
            <w:pPr>
              <w:keepLines/>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rPr>
            </w:pPr>
            <w:r>
              <w:rPr>
                <w:rFonts w:ascii="Arial" w:eastAsia="Times New Roman" w:hAnsi="Arial" w:cs="Arial"/>
                <w:color w:val="000000"/>
                <w:sz w:val="16"/>
                <w:szCs w:val="16"/>
                <w:bdr w:val="nil"/>
              </w:rPr>
              <w:t>Outputs:</w:t>
            </w:r>
          </w:p>
          <w:p w:rsidR="00A42CA2" w:rsidRDefault="00D5482E" w:rsidP="00A42CA2">
            <w:pPr>
              <w:pStyle w:val="ListParagraph"/>
              <w:numPr>
                <w:ilvl w:val="0"/>
                <w:numId w:val="34"/>
              </w:numPr>
              <w:pBdr>
                <w:top w:val="nil"/>
                <w:left w:val="nil"/>
                <w:bottom w:val="nil"/>
                <w:right w:val="nil"/>
                <w:between w:val="nil"/>
                <w:bar w:val="nil"/>
              </w:pBdr>
              <w:tabs>
                <w:tab w:val="left" w:pos="709"/>
              </w:tabs>
              <w:spacing w:before="60" w:after="60" w:line="240" w:lineRule="auto"/>
              <w:rPr>
                <w:rFonts w:eastAsia="Times New Roman" w:cs="Arial"/>
                <w:color w:val="000000"/>
                <w:sz w:val="16"/>
                <w:szCs w:val="16"/>
                <w:bdr w:val="nil"/>
                <w:lang w:val="en-AU"/>
              </w:rPr>
            </w:pPr>
            <w:r>
              <w:rPr>
                <w:rFonts w:ascii="Arial" w:eastAsia="Times New Roman" w:hAnsi="Arial" w:cs="Arial"/>
                <w:color w:val="000000"/>
                <w:sz w:val="16"/>
                <w:szCs w:val="16"/>
                <w:bdr w:val="nil"/>
                <w:lang w:val="en-AU"/>
              </w:rPr>
              <w:t xml:space="preserve">Percentage of dwellings that were paid an incentive for the relevant </w:t>
            </w:r>
            <w:r>
              <w:rPr>
                <w:rFonts w:ascii="Arial" w:eastAsia="Times New Roman" w:hAnsi="Arial" w:cs="Arial"/>
                <w:sz w:val="16"/>
                <w:szCs w:val="16"/>
                <w:bdr w:val="nil"/>
                <w:lang w:val="en-AU"/>
              </w:rPr>
              <w:t xml:space="preserve">National Rental Affordability Scheme </w:t>
            </w:r>
            <w:r>
              <w:rPr>
                <w:rFonts w:ascii="Arial" w:eastAsia="Times New Roman" w:hAnsi="Arial" w:cs="Arial"/>
                <w:color w:val="000000"/>
                <w:sz w:val="16"/>
                <w:szCs w:val="16"/>
                <w:bdr w:val="nil"/>
                <w:lang w:val="en-AU"/>
              </w:rPr>
              <w:t>year.</w:t>
            </w:r>
          </w:p>
          <w:p w:rsidR="00A42CA2" w:rsidRDefault="00D5482E" w:rsidP="00A42CA2">
            <w:pPr>
              <w:pStyle w:val="ListParagraph"/>
              <w:numPr>
                <w:ilvl w:val="0"/>
                <w:numId w:val="34"/>
              </w:numPr>
              <w:pBdr>
                <w:top w:val="nil"/>
                <w:left w:val="nil"/>
                <w:bottom w:val="nil"/>
                <w:right w:val="nil"/>
                <w:between w:val="nil"/>
                <w:bar w:val="nil"/>
              </w:pBdr>
              <w:tabs>
                <w:tab w:val="left" w:pos="709"/>
              </w:tabs>
              <w:spacing w:before="60" w:after="60" w:line="240" w:lineRule="auto"/>
              <w:rPr>
                <w:rFonts w:eastAsia="Times New Roman" w:cs="Arial"/>
                <w:color w:val="000000"/>
                <w:sz w:val="16"/>
                <w:szCs w:val="16"/>
                <w:bdr w:val="nil"/>
                <w:lang w:val="en-AU"/>
              </w:rPr>
            </w:pPr>
            <w:r>
              <w:rPr>
                <w:rFonts w:ascii="Arial" w:eastAsia="Times New Roman" w:hAnsi="Arial" w:cs="Arial"/>
                <w:color w:val="000000"/>
                <w:sz w:val="16"/>
                <w:szCs w:val="16"/>
                <w:bdr w:val="nil"/>
                <w:lang w:val="en-AU"/>
              </w:rPr>
              <w:t xml:space="preserve">Number of </w:t>
            </w:r>
            <w:r>
              <w:rPr>
                <w:rFonts w:ascii="Arial" w:eastAsia="Times New Roman" w:hAnsi="Arial" w:cs="Arial"/>
                <w:sz w:val="16"/>
                <w:szCs w:val="16"/>
                <w:bdr w:val="nil"/>
                <w:lang w:val="en-AU"/>
              </w:rPr>
              <w:t xml:space="preserve">National Rental Affordability Scheme </w:t>
            </w:r>
            <w:r>
              <w:rPr>
                <w:rFonts w:ascii="Arial" w:eastAsia="Times New Roman" w:hAnsi="Arial" w:cs="Arial"/>
                <w:color w:val="000000"/>
                <w:sz w:val="16"/>
                <w:szCs w:val="16"/>
                <w:bdr w:val="nil"/>
                <w:lang w:val="en-AU"/>
              </w:rPr>
              <w:t xml:space="preserve">incentives issued for the relevant </w:t>
            </w:r>
            <w:r>
              <w:rPr>
                <w:rFonts w:ascii="Arial" w:eastAsia="Times New Roman" w:hAnsi="Arial" w:cs="Arial"/>
                <w:sz w:val="16"/>
                <w:szCs w:val="16"/>
                <w:bdr w:val="nil"/>
                <w:lang w:val="en-AU"/>
              </w:rPr>
              <w:t xml:space="preserve">National Rental Affordability Scheme </w:t>
            </w:r>
            <w:r>
              <w:rPr>
                <w:rFonts w:ascii="Arial" w:eastAsia="Times New Roman" w:hAnsi="Arial" w:cs="Arial"/>
                <w:color w:val="000000"/>
                <w:sz w:val="16"/>
                <w:szCs w:val="16"/>
                <w:bdr w:val="nil"/>
                <w:lang w:val="en-AU"/>
              </w:rPr>
              <w:t>year (Cash payments and Refundable Tax Offsets).</w:t>
            </w:r>
          </w:p>
        </w:tc>
      </w:tr>
      <w:tr w:rsidR="00010972" w:rsidTr="00241B17">
        <w:tc>
          <w:tcPr>
            <w:tcW w:w="1802" w:type="dxa"/>
            <w:tcBorders>
              <w:top w:val="dotted"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72" w:type="dxa"/>
            <w:tcBorders>
              <w:top w:val="dotted"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c>
          <w:tcPr>
            <w:tcW w:w="2531" w:type="dxa"/>
            <w:tcBorders>
              <w:top w:val="dotted"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jc w:val="both"/>
              <w:rPr>
                <w:rFonts w:ascii="Arial" w:hAnsi="Arial" w:cs="Arial"/>
                <w:sz w:val="16"/>
                <w:szCs w:val="16"/>
                <w:bdr w:val="nil"/>
                <w:lang w:val="en-US"/>
              </w:rPr>
            </w:pPr>
            <w:r>
              <w:rPr>
                <w:rFonts w:ascii="Arial" w:eastAsia="Times New Roman" w:hAnsi="Arial" w:cs="Arial"/>
                <w:sz w:val="16"/>
                <w:szCs w:val="16"/>
                <w:bdr w:val="nil"/>
                <w:lang w:val="en-US"/>
              </w:rPr>
              <w:t>As per 2020-21</w:t>
            </w:r>
          </w:p>
        </w:tc>
      </w:tr>
      <w:tr w:rsidR="00010972" w:rsidTr="00241B17">
        <w:tc>
          <w:tcPr>
            <w:tcW w:w="1802" w:type="dxa"/>
            <w:tcBorders>
              <w:top w:val="sing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Purpose</w:t>
            </w:r>
          </w:p>
        </w:tc>
        <w:tc>
          <w:tcPr>
            <w:tcW w:w="5903" w:type="dxa"/>
            <w:gridSpan w:val="2"/>
            <w:tcBorders>
              <w:top w:val="sing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Increased housing supply, improved community housing and assisting individuals experiencing homelessness through targeted support and services.</w:t>
            </w:r>
          </w:p>
        </w:tc>
      </w:tr>
      <w:tr w:rsidR="00010972" w:rsidTr="00241B17">
        <w:tc>
          <w:tcPr>
            <w:tcW w:w="7705" w:type="dxa"/>
            <w:gridSpan w:val="3"/>
            <w:tcBorders>
              <w:top w:val="sing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spacing w:after="40" w:line="260" w:lineRule="exact"/>
              <w:rPr>
                <w:rStyle w:val="BodyTextChar"/>
                <w:rFonts w:ascii="Arial" w:eastAsia="Cambria" w:hAnsi="Arial" w:cs="Arial"/>
                <w:sz w:val="16"/>
                <w:szCs w:val="16"/>
                <w:bdr w:val="nil"/>
                <w:lang w:eastAsia="en-US"/>
              </w:rPr>
            </w:pPr>
            <w:r>
              <w:rPr>
                <w:rStyle w:val="BodyTextChar"/>
                <w:rFonts w:ascii="Arial" w:eastAsiaTheme="minorHAnsi" w:hAnsi="Arial" w:cs="Arial"/>
                <w:b/>
                <w:bCs/>
                <w:iCs/>
                <w:spacing w:val="-6"/>
                <w:sz w:val="16"/>
                <w:szCs w:val="16"/>
                <w:bdr w:val="nil"/>
                <w:lang w:eastAsia="en-US"/>
              </w:rPr>
              <w:t>Material changes to Program 4.2: Nil.</w:t>
            </w:r>
          </w:p>
        </w:tc>
      </w:tr>
    </w:tbl>
    <w:p w:rsidR="00A42CA2" w:rsidRDefault="00D5482E" w:rsidP="00A42CA2">
      <w:pPr>
        <w:pStyle w:val="TableGraphic"/>
        <w:keepLines/>
        <w:pBdr>
          <w:top w:val="nil"/>
          <w:left w:val="nil"/>
          <w:bottom w:val="nil"/>
          <w:right w:val="nil"/>
          <w:between w:val="nil"/>
          <w:bar w:val="nil"/>
        </w:pBdr>
        <w:spacing w:after="240"/>
        <w:rPr>
          <w:rFonts w:ascii="Arial" w:hAnsi="Arial"/>
          <w:bdr w:val="nil"/>
        </w:rPr>
      </w:pPr>
      <w:r>
        <w:rPr>
          <w:i w:val="0"/>
          <w:bdr w:val="nil"/>
        </w:rPr>
        <w:br w:type="page"/>
      </w:r>
    </w:p>
    <w:p w:rsidR="00A42CA2" w:rsidRDefault="00D5482E" w:rsidP="000537CD">
      <w:pPr>
        <w:pStyle w:val="TableHeading"/>
        <w:keepLines/>
        <w:pBdr>
          <w:top w:val="nil"/>
          <w:left w:val="nil"/>
          <w:bottom w:val="nil"/>
          <w:right w:val="nil"/>
          <w:between w:val="nil"/>
          <w:bar w:val="nil"/>
        </w:pBdr>
        <w:spacing w:before="0" w:after="0"/>
        <w:rPr>
          <w:bdr w:val="nil"/>
        </w:rPr>
      </w:pPr>
      <w:r>
        <w:rPr>
          <w:bdr w:val="nil"/>
        </w:rPr>
        <w:lastRenderedPageBreak/>
        <w:t>Table 2.4.3: Performance criteria for Outcome 4 (continued)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802"/>
        <w:gridCol w:w="3369"/>
        <w:gridCol w:w="2534"/>
      </w:tblGrid>
      <w:tr w:rsidR="00010972" w:rsidTr="00241B17">
        <w:trPr>
          <w:tblHeader/>
        </w:trPr>
        <w:tc>
          <w:tcPr>
            <w:tcW w:w="7705" w:type="dxa"/>
            <w:gridSpan w:val="3"/>
            <w:tcBorders>
              <w:top w:val="single" w:sz="4" w:space="0" w:color="auto"/>
              <w:left w:val="single" w:sz="4" w:space="0" w:color="auto"/>
              <w:bottom w:val="single" w:sz="4" w:space="0" w:color="auto"/>
              <w:right w:val="single" w:sz="4" w:space="0" w:color="auto"/>
            </w:tcBorders>
            <w:shd w:val="clear" w:color="auto" w:fill="E6E6E6"/>
            <w:hideMark/>
          </w:tcPr>
          <w:p w:rsidR="00A42CA2" w:rsidRDefault="00D5482E" w:rsidP="00F61E8B">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b/>
                <w:sz w:val="16"/>
                <w:szCs w:val="16"/>
                <w:bdr w:val="nil"/>
                <w:lang w:val="en-US"/>
              </w:rPr>
              <w:t>Program 4.3 – Program Support for Outcome 4</w:t>
            </w:r>
            <w:r>
              <w:rPr>
                <w:rFonts w:ascii="Arial" w:eastAsia="Times New Roman" w:hAnsi="Arial" w:cs="Arial"/>
                <w:sz w:val="16"/>
                <w:szCs w:val="16"/>
                <w:bdr w:val="nil"/>
                <w:lang w:val="en-US"/>
              </w:rPr>
              <w:t xml:space="preserve"> – To provide departmental funding for the annual operating costs of DSS to achieve agency objectives.</w:t>
            </w:r>
          </w:p>
        </w:tc>
      </w:tr>
      <w:tr w:rsidR="00010972" w:rsidTr="00241B17">
        <w:tc>
          <w:tcPr>
            <w:tcW w:w="1802" w:type="dxa"/>
            <w:tcBorders>
              <w:top w:val="single" w:sz="4" w:space="0" w:color="auto"/>
              <w:left w:val="single" w:sz="4" w:space="0" w:color="auto"/>
              <w:bottom w:val="doub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Delivery</w:t>
            </w:r>
          </w:p>
        </w:tc>
        <w:tc>
          <w:tcPr>
            <w:tcW w:w="5903" w:type="dxa"/>
            <w:gridSpan w:val="2"/>
            <w:tcBorders>
              <w:top w:val="single" w:sz="4" w:space="0" w:color="auto"/>
              <w:left w:val="single" w:sz="4" w:space="0" w:color="auto"/>
              <w:bottom w:val="doub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Departmental funding.</w:t>
            </w:r>
          </w:p>
        </w:tc>
      </w:tr>
      <w:tr w:rsidR="00010972" w:rsidTr="00241B17">
        <w:tc>
          <w:tcPr>
            <w:tcW w:w="7705" w:type="dxa"/>
            <w:gridSpan w:val="3"/>
            <w:tcBorders>
              <w:top w:val="double" w:sz="4" w:space="0" w:color="auto"/>
              <w:left w:val="single" w:sz="4" w:space="0" w:color="auto"/>
              <w:bottom w:val="doub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information</w:t>
            </w:r>
          </w:p>
        </w:tc>
      </w:tr>
      <w:tr w:rsidR="00010972" w:rsidTr="00241B17">
        <w:tc>
          <w:tcPr>
            <w:tcW w:w="1802" w:type="dxa"/>
            <w:tcBorders>
              <w:top w:val="doub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Year</w:t>
            </w:r>
          </w:p>
        </w:tc>
        <w:tc>
          <w:tcPr>
            <w:tcW w:w="3369" w:type="dxa"/>
            <w:tcBorders>
              <w:top w:val="doub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Performance criteria</w:t>
            </w:r>
          </w:p>
        </w:tc>
        <w:tc>
          <w:tcPr>
            <w:tcW w:w="2534" w:type="dxa"/>
            <w:tcBorders>
              <w:top w:val="doub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Targets</w:t>
            </w:r>
          </w:p>
        </w:tc>
      </w:tr>
      <w:tr w:rsidR="00010972" w:rsidTr="00241B17">
        <w:tc>
          <w:tcPr>
            <w:tcW w:w="1802" w:type="dxa"/>
            <w:vMerge w:val="restart"/>
            <w:tcBorders>
              <w:top w:val="dotted" w:sz="4" w:space="0" w:color="auto"/>
              <w:left w:val="single" w:sz="4" w:space="0" w:color="auto"/>
              <w:bottom w:val="dotted"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2020-21</w:t>
            </w:r>
          </w:p>
        </w:tc>
        <w:tc>
          <w:tcPr>
            <w:tcW w:w="3369" w:type="dxa"/>
            <w:tcBorders>
              <w:top w:val="dotted" w:sz="4" w:space="0" w:color="auto"/>
              <w:left w:val="single" w:sz="4" w:space="0" w:color="auto"/>
              <w:bottom w:val="dotted" w:sz="4" w:space="0" w:color="auto"/>
              <w:right w:val="single" w:sz="4" w:space="0" w:color="auto"/>
            </w:tcBorders>
            <w:hideMark/>
          </w:tcPr>
          <w:p w:rsidR="00A42CA2" w:rsidRDefault="00D5482E">
            <w:pPr>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rPr>
            </w:pPr>
            <w:r>
              <w:rPr>
                <w:rFonts w:ascii="Arial" w:eastAsia="Times New Roman" w:hAnsi="Arial" w:cs="Arial"/>
                <w:color w:val="000000"/>
                <w:sz w:val="16"/>
                <w:szCs w:val="16"/>
                <w:bdr w:val="nil"/>
              </w:rPr>
              <w:t>Cross-Outcome Departmental expenditure.</w:t>
            </w:r>
          </w:p>
        </w:tc>
        <w:tc>
          <w:tcPr>
            <w:tcW w:w="2534" w:type="dxa"/>
            <w:tcBorders>
              <w:top w:val="dotted" w:sz="4" w:space="0" w:color="auto"/>
              <w:left w:val="single" w:sz="4" w:space="0" w:color="auto"/>
              <w:bottom w:val="dotted" w:sz="4" w:space="0" w:color="auto"/>
              <w:right w:val="single" w:sz="4" w:space="0" w:color="auto"/>
            </w:tcBorders>
            <w:hideMark/>
          </w:tcPr>
          <w:p w:rsidR="00A42CA2" w:rsidRDefault="00D5482E" w:rsidP="0092707B">
            <w:pPr>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rPr>
            </w:pPr>
            <w:r>
              <w:rPr>
                <w:rFonts w:ascii="Arial" w:eastAsia="Times New Roman" w:hAnsi="Arial" w:cs="Arial"/>
                <w:color w:val="000000"/>
                <w:sz w:val="16"/>
                <w:szCs w:val="16"/>
                <w:bdr w:val="nil"/>
              </w:rPr>
              <w:t xml:space="preserve">Budget estimates are accurate (taking into account, to the extent possible, all government decisions and other circumstances that may have a material effect) and explanations are provided where variances are equivalent to or greater than two per cent between budgeted expenses and Final Budget Outcome for all </w:t>
            </w:r>
            <w:r w:rsidR="0092707B">
              <w:rPr>
                <w:rFonts w:ascii="Arial" w:eastAsia="Times New Roman" w:hAnsi="Arial" w:cs="Arial"/>
                <w:color w:val="000000"/>
                <w:sz w:val="16"/>
                <w:szCs w:val="16"/>
                <w:bdr w:val="nil"/>
              </w:rPr>
              <w:t>DSS</w:t>
            </w:r>
            <w:r>
              <w:rPr>
                <w:rFonts w:ascii="Arial" w:eastAsia="Times New Roman" w:hAnsi="Arial" w:cs="Arial"/>
                <w:color w:val="000000"/>
                <w:sz w:val="16"/>
                <w:szCs w:val="16"/>
                <w:bdr w:val="nil"/>
              </w:rPr>
              <w:t>’ Outcomes.</w:t>
            </w:r>
          </w:p>
        </w:tc>
      </w:tr>
      <w:tr w:rsidR="00010972" w:rsidTr="00241B17">
        <w:tc>
          <w:tcPr>
            <w:tcW w:w="1802" w:type="dxa"/>
            <w:vMerge/>
            <w:tcBorders>
              <w:top w:val="dotted" w:sz="4" w:space="0" w:color="auto"/>
              <w:left w:val="single" w:sz="4" w:space="0" w:color="auto"/>
              <w:bottom w:val="dotted" w:sz="4" w:space="0" w:color="auto"/>
              <w:right w:val="single" w:sz="4" w:space="0" w:color="auto"/>
            </w:tcBorders>
            <w:vAlign w:val="center"/>
            <w:hideMark/>
          </w:tcPr>
          <w:p w:rsidR="00A42CA2" w:rsidRDefault="00A42CA2">
            <w:pPr>
              <w:spacing w:after="0"/>
              <w:rPr>
                <w:rFonts w:ascii="Arial" w:hAnsi="Arial" w:cs="Arial"/>
                <w:sz w:val="16"/>
                <w:szCs w:val="16"/>
                <w:bdr w:val="nil"/>
              </w:rPr>
            </w:pPr>
          </w:p>
        </w:tc>
        <w:tc>
          <w:tcPr>
            <w:tcW w:w="3369" w:type="dxa"/>
            <w:tcBorders>
              <w:top w:val="dotted" w:sz="4" w:space="0" w:color="auto"/>
              <w:left w:val="single" w:sz="4" w:space="0" w:color="auto"/>
              <w:bottom w:val="dotted" w:sz="4" w:space="0" w:color="auto"/>
              <w:right w:val="single" w:sz="4" w:space="0" w:color="auto"/>
            </w:tcBorders>
            <w:hideMark/>
          </w:tcPr>
          <w:p w:rsidR="00A42CA2" w:rsidRDefault="00D5482E" w:rsidP="0092707B">
            <w:pPr>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rPr>
            </w:pPr>
            <w:r>
              <w:rPr>
                <w:rFonts w:ascii="Arial" w:eastAsia="Times New Roman" w:hAnsi="Arial" w:cs="Arial"/>
                <w:color w:val="000000"/>
                <w:sz w:val="16"/>
                <w:szCs w:val="16"/>
                <w:bdr w:val="nil"/>
              </w:rPr>
              <w:t xml:space="preserve">Timeliness of advice and support provided to Portfolio Ministers and Assistant Ministers by </w:t>
            </w:r>
            <w:r w:rsidR="0092707B">
              <w:rPr>
                <w:rFonts w:ascii="Arial" w:eastAsia="Times New Roman" w:hAnsi="Arial" w:cs="Arial"/>
                <w:color w:val="000000"/>
                <w:sz w:val="16"/>
                <w:szCs w:val="16"/>
                <w:bdr w:val="nil"/>
              </w:rPr>
              <w:t>DSS</w:t>
            </w:r>
            <w:r>
              <w:rPr>
                <w:rFonts w:ascii="Arial" w:eastAsia="Times New Roman" w:hAnsi="Arial" w:cs="Arial"/>
                <w:color w:val="000000"/>
                <w:sz w:val="16"/>
                <w:szCs w:val="16"/>
                <w:bdr w:val="nil"/>
              </w:rPr>
              <w:t xml:space="preserve"> across the four outcomes. </w:t>
            </w:r>
          </w:p>
        </w:tc>
        <w:tc>
          <w:tcPr>
            <w:tcW w:w="2534" w:type="dxa"/>
            <w:tcBorders>
              <w:top w:val="dotted" w:sz="4" w:space="0" w:color="auto"/>
              <w:left w:val="single" w:sz="4" w:space="0" w:color="auto"/>
              <w:bottom w:val="dotted" w:sz="4" w:space="0" w:color="auto"/>
              <w:right w:val="single" w:sz="4" w:space="0" w:color="auto"/>
            </w:tcBorders>
            <w:hideMark/>
          </w:tcPr>
          <w:p w:rsidR="00A42CA2" w:rsidRDefault="00D5482E">
            <w:pPr>
              <w:pBdr>
                <w:top w:val="nil"/>
                <w:left w:val="nil"/>
                <w:bottom w:val="nil"/>
                <w:right w:val="nil"/>
                <w:between w:val="nil"/>
                <w:bar w:val="nil"/>
              </w:pBdr>
              <w:tabs>
                <w:tab w:val="left" w:pos="709"/>
              </w:tabs>
              <w:spacing w:before="60" w:after="60" w:line="240" w:lineRule="auto"/>
              <w:rPr>
                <w:rFonts w:ascii="Arial" w:hAnsi="Arial" w:cs="Arial"/>
                <w:color w:val="000000"/>
                <w:sz w:val="16"/>
                <w:szCs w:val="16"/>
                <w:bdr w:val="nil"/>
              </w:rPr>
            </w:pPr>
            <w:r>
              <w:rPr>
                <w:rFonts w:ascii="Arial" w:eastAsia="Times New Roman" w:hAnsi="Arial" w:cs="Arial"/>
                <w:color w:val="000000"/>
                <w:sz w:val="16"/>
                <w:szCs w:val="16"/>
                <w:bdr w:val="nil"/>
              </w:rPr>
              <w:t>At least 95 per cent of ministerial briefs and correspondence across the four outcomes are provided on time.</w:t>
            </w:r>
          </w:p>
        </w:tc>
      </w:tr>
      <w:tr w:rsidR="00010972" w:rsidTr="00241B17">
        <w:tc>
          <w:tcPr>
            <w:tcW w:w="1802" w:type="dxa"/>
            <w:tcBorders>
              <w:top w:val="dotted"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2021-22 and beyond</w:t>
            </w:r>
          </w:p>
        </w:tc>
        <w:tc>
          <w:tcPr>
            <w:tcW w:w="3369" w:type="dxa"/>
            <w:tcBorders>
              <w:top w:val="dotted"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c>
          <w:tcPr>
            <w:tcW w:w="2534" w:type="dxa"/>
            <w:tcBorders>
              <w:top w:val="dotted"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As per 2020-21</w:t>
            </w:r>
          </w:p>
        </w:tc>
      </w:tr>
      <w:tr w:rsidR="00010972" w:rsidTr="00241B17">
        <w:tc>
          <w:tcPr>
            <w:tcW w:w="1802" w:type="dxa"/>
            <w:tcBorders>
              <w:top w:val="sing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lang w:val="en-US"/>
              </w:rPr>
            </w:pPr>
            <w:r>
              <w:rPr>
                <w:rFonts w:ascii="Arial" w:eastAsia="Times New Roman" w:hAnsi="Arial" w:cs="Arial"/>
                <w:b/>
                <w:sz w:val="16"/>
                <w:szCs w:val="16"/>
                <w:bdr w:val="nil"/>
                <w:lang w:val="en-US"/>
              </w:rPr>
              <w:t>Purpose</w:t>
            </w:r>
          </w:p>
        </w:tc>
        <w:tc>
          <w:tcPr>
            <w:tcW w:w="5903" w:type="dxa"/>
            <w:gridSpan w:val="2"/>
            <w:tcBorders>
              <w:top w:val="sing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lang w:val="en-US"/>
              </w:rPr>
            </w:pPr>
            <w:r>
              <w:rPr>
                <w:rFonts w:ascii="Arial" w:eastAsia="Times New Roman" w:hAnsi="Arial" w:cs="Arial"/>
                <w:sz w:val="16"/>
                <w:szCs w:val="16"/>
                <w:bdr w:val="nil"/>
                <w:lang w:val="en-US"/>
              </w:rPr>
              <w:t>Increased housing supply, improved community housing and assisting individuals experiencing homelessness through targeted support and services.</w:t>
            </w:r>
          </w:p>
        </w:tc>
      </w:tr>
      <w:tr w:rsidR="00010972" w:rsidTr="00241B17">
        <w:tc>
          <w:tcPr>
            <w:tcW w:w="7705" w:type="dxa"/>
            <w:gridSpan w:val="3"/>
            <w:tcBorders>
              <w:top w:val="single" w:sz="4" w:space="0" w:color="auto"/>
              <w:left w:val="single" w:sz="4" w:space="0" w:color="auto"/>
              <w:bottom w:val="single" w:sz="4" w:space="0" w:color="auto"/>
              <w:right w:val="single" w:sz="4" w:space="0" w:color="auto"/>
            </w:tcBorders>
            <w:hideMark/>
          </w:tcPr>
          <w:p w:rsidR="00A42CA2" w:rsidRDefault="00D5482E">
            <w:pPr>
              <w:pStyle w:val="Normal0"/>
              <w:keepLines/>
              <w:pBdr>
                <w:top w:val="nil"/>
                <w:left w:val="nil"/>
                <w:bottom w:val="nil"/>
                <w:right w:val="nil"/>
                <w:between w:val="nil"/>
                <w:bar w:val="nil"/>
              </w:pBdr>
              <w:spacing w:after="40" w:line="260" w:lineRule="exact"/>
              <w:rPr>
                <w:rStyle w:val="BodyTextChar"/>
                <w:rFonts w:ascii="Arial" w:eastAsia="Cambria" w:hAnsi="Arial" w:cs="Arial"/>
                <w:sz w:val="16"/>
                <w:szCs w:val="16"/>
                <w:bdr w:val="nil"/>
                <w:lang w:eastAsia="en-US"/>
              </w:rPr>
            </w:pPr>
            <w:r>
              <w:rPr>
                <w:rStyle w:val="BodyTextChar"/>
                <w:rFonts w:ascii="Arial" w:eastAsiaTheme="minorHAnsi" w:hAnsi="Arial" w:cs="Arial"/>
                <w:b/>
                <w:bCs/>
                <w:iCs/>
                <w:spacing w:val="-6"/>
                <w:sz w:val="16"/>
                <w:szCs w:val="16"/>
                <w:bdr w:val="nil"/>
                <w:lang w:eastAsia="en-US"/>
              </w:rPr>
              <w:t>Material changes to Program 4.3: Nil.</w:t>
            </w:r>
          </w:p>
        </w:tc>
      </w:tr>
    </w:tbl>
    <w:p w:rsidR="00A42CA2" w:rsidRDefault="00A42CA2" w:rsidP="00A42CA2">
      <w:pPr>
        <w:pStyle w:val="Normal04"/>
        <w:pBdr>
          <w:top w:val="nil"/>
          <w:left w:val="nil"/>
          <w:bottom w:val="nil"/>
          <w:right w:val="nil"/>
          <w:between w:val="nil"/>
          <w:bar w:val="nil"/>
        </w:pBdr>
        <w:tabs>
          <w:tab w:val="left" w:pos="709"/>
        </w:tabs>
        <w:spacing w:before="40" w:after="40" w:line="240" w:lineRule="auto"/>
        <w:ind w:left="142" w:hanging="142"/>
        <w:jc w:val="left"/>
        <w:rPr>
          <w:rFonts w:ascii="Arial" w:hAnsi="Arial" w:cs="Arial"/>
          <w:sz w:val="16"/>
          <w:szCs w:val="16"/>
          <w:bdr w:val="nil"/>
          <w:lang w:eastAsia="en-US"/>
        </w:rPr>
      </w:pPr>
    </w:p>
    <w:p w:rsidR="00A42CA2" w:rsidRDefault="00A42CA2" w:rsidP="00A42CA2">
      <w:pPr>
        <w:pStyle w:val="Normal0"/>
        <w:keepLines/>
        <w:pBdr>
          <w:top w:val="nil"/>
          <w:left w:val="nil"/>
          <w:bottom w:val="nil"/>
          <w:right w:val="nil"/>
          <w:between w:val="nil"/>
          <w:bar w:val="nil"/>
        </w:pBdr>
        <w:tabs>
          <w:tab w:val="left" w:pos="709"/>
        </w:tabs>
        <w:spacing w:after="0" w:line="240" w:lineRule="auto"/>
        <w:rPr>
          <w:i/>
          <w:vanish/>
          <w:sz w:val="2"/>
          <w:bdr w:val="nil"/>
        </w:rPr>
      </w:pPr>
    </w:p>
    <w:p w:rsidR="00D46240" w:rsidRPr="00A42CA2" w:rsidRDefault="00D46240" w:rsidP="00A42CA2">
      <w:pPr>
        <w:keepLines/>
        <w:pBdr>
          <w:top w:val="nil"/>
          <w:left w:val="nil"/>
          <w:bottom w:val="nil"/>
          <w:right w:val="nil"/>
          <w:between w:val="nil"/>
          <w:bar w:val="nil"/>
        </w:pBdr>
        <w:spacing w:after="240" w:line="260" w:lineRule="exact"/>
        <w:jc w:val="both"/>
        <w:rPr>
          <w:vanish/>
          <w:bdr w:val="nil"/>
        </w:rPr>
      </w:pPr>
    </w:p>
    <w:p w:rsidR="00EC2B3D" w:rsidRPr="008D7A4D" w:rsidRDefault="00D5482E" w:rsidP="00EB7026">
      <w:pPr>
        <w:pStyle w:val="Heading2"/>
        <w:keepNext w:val="0"/>
        <w:keepLines w:val="0"/>
        <w:pageBreakBefore/>
        <w:pBdr>
          <w:top w:val="nil"/>
          <w:left w:val="nil"/>
          <w:bottom w:val="nil"/>
          <w:right w:val="nil"/>
          <w:between w:val="nil"/>
          <w:bar w:val="nil"/>
        </w:pBdr>
        <w:spacing w:before="0"/>
        <w:rPr>
          <w:szCs w:val="30"/>
          <w:bdr w:val="nil"/>
        </w:rPr>
      </w:pPr>
      <w:r w:rsidRPr="008D7A4D">
        <w:rPr>
          <w:b/>
          <w:bCs/>
          <w:szCs w:val="30"/>
          <w:bdr w:val="nil"/>
          <w:lang w:eastAsia="en-US"/>
        </w:rPr>
        <w:lastRenderedPageBreak/>
        <w:t>Section 3</w:t>
      </w:r>
      <w:bookmarkStart w:id="77" w:name="_Toc449255782"/>
      <w:bookmarkStart w:id="78" w:name="_Toc446237038"/>
      <w:bookmarkStart w:id="79" w:name="_Toc436625460"/>
      <w:bookmarkStart w:id="80" w:name="_Toc436624159"/>
      <w:r w:rsidRPr="008D7A4D">
        <w:rPr>
          <w:b/>
          <w:bCs/>
          <w:szCs w:val="30"/>
          <w:bdr w:val="nil"/>
          <w:lang w:eastAsia="en-US"/>
        </w:rPr>
        <w:t>: Special account flows and budgeted financial statements</w:t>
      </w:r>
      <w:bookmarkEnd w:id="77"/>
      <w:bookmarkEnd w:id="78"/>
      <w:bookmarkEnd w:id="79"/>
      <w:bookmarkEnd w:id="80"/>
    </w:p>
    <w:p w:rsidR="002A7B0C" w:rsidRDefault="002A7B0C" w:rsidP="002A7B0C">
      <w:pPr>
        <w:pStyle w:val="Heading3"/>
        <w:keepNext w:val="0"/>
        <w:keepLines w:val="0"/>
        <w:pBdr>
          <w:top w:val="nil"/>
          <w:left w:val="nil"/>
          <w:bottom w:val="nil"/>
          <w:right w:val="nil"/>
          <w:between w:val="nil"/>
          <w:bar w:val="nil"/>
        </w:pBdr>
        <w:spacing w:before="0"/>
        <w:rPr>
          <w:szCs w:val="26"/>
          <w:bdr w:val="nil"/>
        </w:rPr>
      </w:pPr>
      <w:bookmarkStart w:id="81" w:name="_Toc210703218"/>
      <w:bookmarkStart w:id="82" w:name="_Toc190682533"/>
      <w:bookmarkStart w:id="83" w:name="_Toc190682316"/>
      <w:r w:rsidRPr="00105C18">
        <w:rPr>
          <w:bCs/>
          <w:smallCaps w:val="0"/>
          <w:szCs w:val="26"/>
          <w:bdr w:val="nil"/>
          <w:lang w:eastAsia="en-US"/>
        </w:rPr>
        <w:t>3.1</w:t>
      </w:r>
      <w:r w:rsidRPr="00105C18">
        <w:rPr>
          <w:bCs/>
          <w:smallCaps w:val="0"/>
          <w:szCs w:val="26"/>
          <w:bdr w:val="nil"/>
          <w:lang w:eastAsia="en-US"/>
        </w:rPr>
        <w:tab/>
      </w:r>
      <w:bookmarkEnd w:id="81"/>
      <w:bookmarkEnd w:id="82"/>
      <w:bookmarkEnd w:id="83"/>
      <w:r>
        <w:rPr>
          <w:bCs/>
          <w:szCs w:val="26"/>
          <w:bdr w:val="nil"/>
          <w:lang w:eastAsia="en-US"/>
        </w:rPr>
        <w:t>Special account flows</w:t>
      </w:r>
    </w:p>
    <w:p w:rsidR="002A7B0C" w:rsidRPr="00823F6E" w:rsidRDefault="002A7B0C" w:rsidP="002A7B0C">
      <w:pPr>
        <w:pStyle w:val="Heading4"/>
        <w:keepNext w:val="0"/>
        <w:keepLines w:val="0"/>
        <w:pBdr>
          <w:top w:val="nil"/>
          <w:left w:val="nil"/>
          <w:bottom w:val="nil"/>
          <w:right w:val="nil"/>
          <w:between w:val="nil"/>
          <w:bar w:val="nil"/>
        </w:pBdr>
        <w:spacing w:before="0" w:after="240"/>
        <w:jc w:val="both"/>
        <w:rPr>
          <w:sz w:val="20"/>
          <w:bdr w:val="nil"/>
        </w:rPr>
      </w:pPr>
      <w:r>
        <w:rPr>
          <w:iCs/>
          <w:sz w:val="20"/>
          <w:bdr w:val="nil"/>
          <w:lang w:eastAsia="en-US"/>
        </w:rPr>
        <w:t>Estimates of special a</w:t>
      </w:r>
      <w:r w:rsidRPr="00823F6E">
        <w:rPr>
          <w:iCs/>
          <w:sz w:val="20"/>
          <w:bdr w:val="nil"/>
          <w:lang w:eastAsia="en-US"/>
        </w:rPr>
        <w:t>ccount flows</w:t>
      </w:r>
    </w:p>
    <w:p w:rsidR="002A7B0C" w:rsidRDefault="002A7B0C" w:rsidP="002A7B0C">
      <w:pPr>
        <w:keepLines/>
        <w:pBdr>
          <w:top w:val="nil"/>
          <w:left w:val="nil"/>
          <w:bottom w:val="nil"/>
          <w:right w:val="nil"/>
          <w:between w:val="nil"/>
          <w:bar w:val="nil"/>
        </w:pBdr>
        <w:spacing w:after="240" w:line="240" w:lineRule="auto"/>
        <w:jc w:val="both"/>
        <w:rPr>
          <w:bdr w:val="nil"/>
          <w:lang w:val="en-AU"/>
        </w:rPr>
      </w:pPr>
      <w:r>
        <w:rPr>
          <w:rFonts w:ascii="Book Antiqua" w:eastAsia="Times New Roman" w:hAnsi="Book Antiqua" w:cs="Times New Roman"/>
          <w:sz w:val="20"/>
          <w:szCs w:val="20"/>
          <w:bdr w:val="nil"/>
          <w:lang w:val="en-AU" w:eastAsia="en-AU"/>
        </w:rPr>
        <w:t>Special accounts provide a means to set aside and record amounts used for specified purposes. Table 3.1 shows the expected additions (receipts) and reductions (payments) for each account used by DSS.</w:t>
      </w:r>
    </w:p>
    <w:p w:rsidR="002A7B0C" w:rsidRDefault="002A7B0C" w:rsidP="002A7B0C">
      <w:pPr>
        <w:pStyle w:val="TableHeading"/>
        <w:keepLines/>
        <w:pBdr>
          <w:top w:val="nil"/>
          <w:left w:val="nil"/>
          <w:bottom w:val="nil"/>
          <w:right w:val="nil"/>
          <w:between w:val="nil"/>
          <w:bar w:val="nil"/>
        </w:pBdr>
        <w:spacing w:before="0" w:after="0"/>
        <w:rPr>
          <w:rStyle w:val="BookTitle"/>
          <w:rFonts w:eastAsia="Calibri"/>
          <w:i w:val="0"/>
          <w:bdr w:val="nil"/>
        </w:rPr>
      </w:pPr>
      <w:r>
        <w:rPr>
          <w:rFonts w:eastAsia="Calibri" w:cs="Arial"/>
          <w:szCs w:val="22"/>
          <w:bdr w:val="nil"/>
          <w:lang w:eastAsia="en-US"/>
        </w:rPr>
        <w:t>Table 3.1: Estimates of special account flows and balances</w:t>
      </w:r>
    </w:p>
    <w:tbl>
      <w:tblPr>
        <w:tblStyle w:val="CDMRange1"/>
        <w:tblW w:w="8205" w:type="dxa"/>
        <w:tblLayout w:type="fixed"/>
        <w:tblCellMar>
          <w:top w:w="11" w:type="dxa"/>
          <w:bottom w:w="11" w:type="dxa"/>
        </w:tblCellMar>
        <w:tblLook w:val="0600" w:firstRow="0" w:lastRow="0" w:firstColumn="0" w:lastColumn="0" w:noHBand="1" w:noVBand="1"/>
        <w:tblCaption w:val="Table 3.1: Estimates of special account flows and balances"/>
      </w:tblPr>
      <w:tblGrid>
        <w:gridCol w:w="2700"/>
        <w:gridCol w:w="810"/>
        <w:gridCol w:w="840"/>
        <w:gridCol w:w="960"/>
        <w:gridCol w:w="960"/>
        <w:gridCol w:w="975"/>
        <w:gridCol w:w="960"/>
      </w:tblGrid>
      <w:tr w:rsidR="002A7B0C" w:rsidTr="001958CE">
        <w:trPr>
          <w:tblHeader/>
        </w:trPr>
        <w:tc>
          <w:tcPr>
            <w:tcW w:w="2700" w:type="dxa"/>
            <w:tcBorders>
              <w:top w:val="dotted" w:sz="2" w:space="0" w:color="000000"/>
              <w:left w:val="nil"/>
              <w:bottom w:val="nil"/>
              <w:right w:val="nil"/>
              <w:tl2br w:val="nil"/>
              <w:tr2bl w:val="nil"/>
            </w:tcBorders>
            <w:shd w:val="clear" w:color="FFFFFF" w:fill="FFFFFF"/>
            <w:noWrap/>
            <w:tcMar>
              <w:left w:w="0" w:type="dxa"/>
              <w:right w:w="0" w:type="dxa"/>
            </w:tcMar>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810"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Outcome</w:t>
            </w:r>
          </w:p>
        </w:tc>
        <w:tc>
          <w:tcPr>
            <w:tcW w:w="84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Opening</w:t>
            </w:r>
          </w:p>
        </w:tc>
        <w:tc>
          <w:tcPr>
            <w:tcW w:w="960" w:type="dxa"/>
            <w:tcBorders>
              <w:top w:val="dotted" w:sz="2" w:space="0" w:color="000000"/>
              <w:left w:val="nil"/>
              <w:bottom w:val="nil"/>
              <w:right w:val="nil"/>
              <w:tl2br w:val="nil"/>
              <w:tr2bl w:val="nil"/>
            </w:tcBorders>
            <w:shd w:val="clear" w:color="FFFFFF" w:fill="EAEAEA"/>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Receipts</w:t>
            </w:r>
          </w:p>
        </w:tc>
        <w:tc>
          <w:tcPr>
            <w:tcW w:w="960" w:type="dxa"/>
            <w:tcBorders>
              <w:top w:val="dotted" w:sz="2" w:space="0" w:color="000000"/>
              <w:left w:val="nil"/>
              <w:bottom w:val="nil"/>
              <w:right w:val="nil"/>
              <w:tl2br w:val="nil"/>
              <w:tr2bl w:val="nil"/>
            </w:tcBorders>
            <w:shd w:val="clear" w:color="FFFFFF" w:fill="EAEAEA"/>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Payments</w:t>
            </w:r>
          </w:p>
        </w:tc>
        <w:tc>
          <w:tcPr>
            <w:tcW w:w="975" w:type="dxa"/>
            <w:tcBorders>
              <w:top w:val="dotted" w:sz="2" w:space="0" w:color="000000"/>
              <w:left w:val="nil"/>
              <w:bottom w:val="nil"/>
              <w:right w:val="nil"/>
              <w:tl2br w:val="nil"/>
              <w:tr2bl w:val="nil"/>
            </w:tcBorders>
            <w:shd w:val="clear" w:color="FFFFFF" w:fill="EAEAEA"/>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Adjustments</w:t>
            </w:r>
          </w:p>
        </w:tc>
        <w:tc>
          <w:tcPr>
            <w:tcW w:w="960" w:type="dxa"/>
            <w:tcBorders>
              <w:top w:val="dotted" w:sz="2" w:space="0" w:color="000000"/>
              <w:left w:val="nil"/>
              <w:bottom w:val="nil"/>
              <w:right w:val="nil"/>
              <w:tl2br w:val="nil"/>
              <w:tr2bl w:val="nil"/>
            </w:tcBorders>
            <w:shd w:val="clear" w:color="FFFFFF" w:fill="EAEAEA"/>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Closing</w:t>
            </w: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noWrap/>
            <w:tcMar>
              <w:left w:w="0" w:type="dxa"/>
              <w:right w:w="0" w:type="dxa"/>
            </w:tcMar>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810" w:type="dxa"/>
            <w:tcBorders>
              <w:top w:val="nil"/>
              <w:left w:val="nil"/>
              <w:bottom w:val="nil"/>
              <w:right w:val="nil"/>
              <w:tl2br w:val="nil"/>
              <w:tr2bl w:val="nil"/>
            </w:tcBorders>
            <w:shd w:val="clear" w:color="FFFFFF" w:fill="FFFFFF"/>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840" w:type="dxa"/>
            <w:tcBorders>
              <w:top w:val="nil"/>
              <w:left w:val="nil"/>
              <w:bottom w:val="nil"/>
              <w:right w:val="nil"/>
              <w:tl2br w:val="nil"/>
              <w:tr2bl w:val="nil"/>
            </w:tcBorders>
            <w:shd w:val="clear" w:color="FFFFFF" w:fill="FFFFFF"/>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balance</w:t>
            </w:r>
          </w:p>
        </w:tc>
        <w:tc>
          <w:tcPr>
            <w:tcW w:w="960" w:type="dxa"/>
            <w:tcBorders>
              <w:top w:val="nil"/>
              <w:left w:val="nil"/>
              <w:bottom w:val="nil"/>
              <w:right w:val="nil"/>
              <w:tl2br w:val="nil"/>
              <w:tr2bl w:val="nil"/>
            </w:tcBorders>
            <w:shd w:val="clear" w:color="FFFFFF" w:fill="EAEAEA"/>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60" w:type="dxa"/>
            <w:tcBorders>
              <w:top w:val="nil"/>
              <w:left w:val="nil"/>
              <w:bottom w:val="nil"/>
              <w:right w:val="nil"/>
              <w:tl2br w:val="nil"/>
              <w:tr2bl w:val="nil"/>
            </w:tcBorders>
            <w:shd w:val="clear" w:color="FFFFFF" w:fill="EAEAEA"/>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EAEAEA"/>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60" w:type="dxa"/>
            <w:tcBorders>
              <w:top w:val="nil"/>
              <w:left w:val="nil"/>
              <w:bottom w:val="nil"/>
              <w:right w:val="nil"/>
              <w:tl2br w:val="nil"/>
              <w:tr2bl w:val="nil"/>
            </w:tcBorders>
            <w:shd w:val="clear" w:color="FFFFFF" w:fill="EAEAEA"/>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balance</w:t>
            </w: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noWrap/>
            <w:tcMar>
              <w:left w:w="0" w:type="dxa"/>
              <w:right w:w="0" w:type="dxa"/>
            </w:tcMar>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810" w:type="dxa"/>
            <w:tcBorders>
              <w:top w:val="nil"/>
              <w:left w:val="nil"/>
              <w:bottom w:val="dotted" w:sz="2" w:space="0" w:color="000000"/>
              <w:right w:val="nil"/>
              <w:tl2br w:val="nil"/>
              <w:tr2bl w:val="nil"/>
            </w:tcBorders>
            <w:shd w:val="clear" w:color="FFFFFF" w:fill="FFFFFF"/>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84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60"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60"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60"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40" w:type="dxa"/>
              <w:right w:w="40" w:type="dxa"/>
            </w:tcMar>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Services – Services for</w:t>
            </w:r>
          </w:p>
          <w:p w:rsidR="002A7B0C" w:rsidRDefault="002A7B0C" w:rsidP="000E3E5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Other Entities and Trust</w:t>
            </w:r>
          </w:p>
          <w:p w:rsidR="002A7B0C" w:rsidRDefault="002A7B0C" w:rsidP="000E3E5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Moneys (A)</w:t>
            </w:r>
          </w:p>
        </w:tc>
        <w:tc>
          <w:tcPr>
            <w:tcW w:w="810" w:type="dxa"/>
            <w:tcBorders>
              <w:top w:val="dotted" w:sz="2" w:space="0" w:color="000000"/>
              <w:left w:val="nil"/>
              <w:bottom w:val="nil"/>
              <w:right w:val="nil"/>
              <w:tl2br w:val="nil"/>
              <w:tr2bl w:val="nil"/>
            </w:tcBorders>
            <w:shd w:val="clear" w:color="FFFFFF" w:fill="FFFFFF"/>
            <w:noWrap/>
            <w:tcMar>
              <w:left w:w="40" w:type="dxa"/>
              <w:right w:w="40" w:type="dxa"/>
            </w:tcMar>
          </w:tcPr>
          <w:p w:rsidR="002A7B0C" w:rsidRDefault="002A7B0C" w:rsidP="000E3E52">
            <w:pPr>
              <w:keepLines/>
              <w:pBdr>
                <w:top w:val="nil"/>
                <w:left w:val="nil"/>
                <w:bottom w:val="nil"/>
                <w:right w:val="nil"/>
                <w:between w:val="nil"/>
                <w:bar w:val="nil"/>
              </w:pBdr>
              <w:spacing w:after="0" w:line="240" w:lineRule="auto"/>
              <w:jc w:val="center"/>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w:t>
            </w:r>
          </w:p>
        </w:tc>
        <w:tc>
          <w:tcPr>
            <w:tcW w:w="840" w:type="dxa"/>
            <w:tcBorders>
              <w:top w:val="dotted" w:sz="2" w:space="0" w:color="000000"/>
              <w:left w:val="nil"/>
              <w:bottom w:val="nil"/>
              <w:right w:val="nil"/>
              <w:tl2br w:val="nil"/>
              <w:tr2bl w:val="nil"/>
            </w:tcBorders>
            <w:shd w:val="clear" w:color="FFFFFF" w:fill="FFFFFF"/>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60" w:type="dxa"/>
            <w:tcBorders>
              <w:top w:val="dotted" w:sz="2" w:space="0" w:color="000000"/>
              <w:left w:val="nil"/>
              <w:bottom w:val="nil"/>
              <w:right w:val="nil"/>
              <w:tl2br w:val="nil"/>
              <w:tr2bl w:val="nil"/>
            </w:tcBorders>
            <w:shd w:val="clear" w:color="FFFFFF" w:fill="EAEAEA"/>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60" w:type="dxa"/>
            <w:tcBorders>
              <w:top w:val="dotted" w:sz="2" w:space="0" w:color="000000"/>
              <w:left w:val="nil"/>
              <w:bottom w:val="nil"/>
              <w:right w:val="nil"/>
              <w:tl2br w:val="nil"/>
              <w:tr2bl w:val="nil"/>
            </w:tcBorders>
            <w:shd w:val="clear" w:color="FFFFFF" w:fill="EAEAEA"/>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AEAEA"/>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60" w:type="dxa"/>
            <w:tcBorders>
              <w:top w:val="dotted" w:sz="2" w:space="0" w:color="000000"/>
              <w:left w:val="nil"/>
              <w:bottom w:val="nil"/>
              <w:right w:val="nil"/>
              <w:tl2br w:val="nil"/>
              <w:tr2bl w:val="nil"/>
            </w:tcBorders>
            <w:shd w:val="clear" w:color="FFFFFF" w:fill="EAEAEA"/>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175" w:type="dxa"/>
              <w:right w:w="4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2020-21</w:t>
            </w:r>
          </w:p>
        </w:tc>
        <w:tc>
          <w:tcPr>
            <w:tcW w:w="810" w:type="dxa"/>
            <w:tcBorders>
              <w:top w:val="nil"/>
              <w:left w:val="nil"/>
              <w:bottom w:val="nil"/>
              <w:right w:val="nil"/>
              <w:tl2br w:val="nil"/>
              <w:tr2bl w:val="nil"/>
            </w:tcBorders>
            <w:shd w:val="clear" w:color="FFFFFF" w:fill="FFFFFF"/>
            <w:tcMar>
              <w:left w:w="0" w:type="dxa"/>
              <w:right w:w="0" w:type="dxa"/>
            </w:tcMar>
            <w:vAlign w:val="center"/>
          </w:tcPr>
          <w:p w:rsidR="002A7B0C" w:rsidRDefault="002A7B0C" w:rsidP="000E3E52">
            <w:pPr>
              <w:keepLines/>
              <w:pBdr>
                <w:top w:val="nil"/>
                <w:left w:val="nil"/>
                <w:bottom w:val="nil"/>
                <w:right w:val="nil"/>
                <w:between w:val="nil"/>
                <w:bar w:val="nil"/>
              </w:pBdr>
              <w:spacing w:after="0" w:line="240" w:lineRule="auto"/>
              <w:jc w:val="center"/>
              <w:rPr>
                <w:rFonts w:ascii="Arial" w:eastAsia="Arial" w:hAnsi="Arial" w:cs="Arial"/>
                <w:color w:val="000000"/>
                <w:sz w:val="14"/>
                <w:bdr w:val="nil"/>
                <w:lang w:val="en-AU"/>
              </w:rPr>
            </w:pPr>
          </w:p>
        </w:tc>
        <w:tc>
          <w:tcPr>
            <w:tcW w:w="840" w:type="dxa"/>
            <w:tcBorders>
              <w:top w:val="nil"/>
              <w:left w:val="nil"/>
              <w:bottom w:val="nil"/>
              <w:right w:val="nil"/>
              <w:tl2br w:val="nil"/>
              <w:tr2bl w:val="nil"/>
            </w:tcBorders>
            <w:shd w:val="clear" w:color="auto" w:fill="auto"/>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5,152</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10,434</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(15,274)</w:t>
            </w:r>
          </w:p>
        </w:tc>
        <w:tc>
          <w:tcPr>
            <w:tcW w:w="975"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312</w:t>
            </w: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175" w:type="dxa"/>
              <w:right w:w="4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2019-20</w:t>
            </w:r>
          </w:p>
        </w:tc>
        <w:tc>
          <w:tcPr>
            <w:tcW w:w="810" w:type="dxa"/>
            <w:tcBorders>
              <w:top w:val="nil"/>
              <w:left w:val="nil"/>
              <w:bottom w:val="nil"/>
              <w:right w:val="nil"/>
              <w:tl2br w:val="nil"/>
              <w:tr2bl w:val="nil"/>
            </w:tcBorders>
            <w:shd w:val="clear" w:color="FFFFFF" w:fill="FFFFFF"/>
            <w:tcMar>
              <w:left w:w="0" w:type="dxa"/>
              <w:right w:w="0" w:type="dxa"/>
            </w:tcMar>
            <w:vAlign w:val="center"/>
          </w:tcPr>
          <w:p w:rsidR="002A7B0C" w:rsidRDefault="002A7B0C" w:rsidP="000E3E52">
            <w:pPr>
              <w:keepLines/>
              <w:pBdr>
                <w:top w:val="nil"/>
                <w:left w:val="nil"/>
                <w:bottom w:val="nil"/>
                <w:right w:val="nil"/>
                <w:between w:val="nil"/>
                <w:bar w:val="nil"/>
              </w:pBdr>
              <w:spacing w:after="0" w:line="240" w:lineRule="auto"/>
              <w:jc w:val="center"/>
              <w:rPr>
                <w:rFonts w:ascii="Arial" w:eastAsia="Arial" w:hAnsi="Arial" w:cs="Arial"/>
                <w:color w:val="000000"/>
                <w:sz w:val="14"/>
                <w:bdr w:val="nil"/>
                <w:lang w:val="en-AU"/>
              </w:rPr>
            </w:pPr>
          </w:p>
        </w:tc>
        <w:tc>
          <w:tcPr>
            <w:tcW w:w="840" w:type="dxa"/>
            <w:tcBorders>
              <w:top w:val="nil"/>
              <w:left w:val="nil"/>
              <w:bottom w:val="nil"/>
              <w:right w:val="nil"/>
              <w:tl2br w:val="nil"/>
              <w:tr2bl w:val="nil"/>
            </w:tcBorders>
            <w:shd w:val="clear" w:color="auto" w:fill="auto"/>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397</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10,444</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(5,689)</w:t>
            </w:r>
          </w:p>
        </w:tc>
        <w:tc>
          <w:tcPr>
            <w:tcW w:w="975"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5,152</w:t>
            </w: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40" w:type="dxa"/>
              <w:right w:w="40" w:type="dxa"/>
            </w:tcMar>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Social and Community</w:t>
            </w:r>
          </w:p>
          <w:p w:rsidR="002A7B0C" w:rsidRDefault="002A7B0C" w:rsidP="000E3E5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Services Pay Equity </w:t>
            </w:r>
          </w:p>
          <w:p w:rsidR="002A7B0C" w:rsidRDefault="002A7B0C" w:rsidP="000E3E5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Special Account (A) </w:t>
            </w:r>
          </w:p>
        </w:tc>
        <w:tc>
          <w:tcPr>
            <w:tcW w:w="810" w:type="dxa"/>
            <w:tcBorders>
              <w:top w:val="nil"/>
              <w:left w:val="nil"/>
              <w:bottom w:val="nil"/>
              <w:right w:val="nil"/>
              <w:tl2br w:val="nil"/>
              <w:tr2bl w:val="nil"/>
            </w:tcBorders>
            <w:shd w:val="clear" w:color="FFFFFF" w:fill="FFFFFF"/>
            <w:tcMar>
              <w:left w:w="40" w:type="dxa"/>
              <w:right w:w="40" w:type="dxa"/>
            </w:tcMar>
          </w:tcPr>
          <w:p w:rsidR="002A7B0C" w:rsidRDefault="002A7B0C" w:rsidP="000E3E52">
            <w:pPr>
              <w:keepLines/>
              <w:pBdr>
                <w:top w:val="nil"/>
                <w:left w:val="nil"/>
                <w:bottom w:val="nil"/>
                <w:right w:val="nil"/>
                <w:between w:val="nil"/>
                <w:bar w:val="nil"/>
              </w:pBdr>
              <w:spacing w:after="0" w:line="240" w:lineRule="auto"/>
              <w:jc w:val="center"/>
              <w:rPr>
                <w:rFonts w:ascii="Arial" w:eastAsia="Arial" w:hAnsi="Arial" w:cs="Arial"/>
                <w:color w:val="000000"/>
                <w:sz w:val="14"/>
                <w:bdr w:val="nil"/>
                <w:lang w:val="en-AU"/>
              </w:rPr>
            </w:pPr>
            <w:r>
              <w:rPr>
                <w:rFonts w:ascii="Arial" w:eastAsia="Arial" w:hAnsi="Arial" w:cs="Arial"/>
                <w:color w:val="000000"/>
                <w:sz w:val="15"/>
                <w:szCs w:val="20"/>
                <w:bdr w:val="nil"/>
                <w:lang w:val="en-AU" w:eastAsia="en-AU"/>
              </w:rPr>
              <w:t>2.3</w:t>
            </w:r>
          </w:p>
        </w:tc>
        <w:tc>
          <w:tcPr>
            <w:tcW w:w="840" w:type="dxa"/>
            <w:tcBorders>
              <w:top w:val="nil"/>
              <w:left w:val="nil"/>
              <w:bottom w:val="nil"/>
              <w:right w:val="nil"/>
              <w:tl2br w:val="nil"/>
              <w:tr2bl w:val="nil"/>
            </w:tcBorders>
            <w:shd w:val="clear" w:color="auto" w:fill="auto"/>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60" w:type="dxa"/>
            <w:tcBorders>
              <w:top w:val="nil"/>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60" w:type="dxa"/>
            <w:tcBorders>
              <w:top w:val="nil"/>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75" w:type="dxa"/>
            <w:tcBorders>
              <w:top w:val="nil"/>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60" w:type="dxa"/>
            <w:tcBorders>
              <w:top w:val="nil"/>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175" w:type="dxa"/>
              <w:right w:w="4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2020-21</w:t>
            </w:r>
          </w:p>
        </w:tc>
        <w:tc>
          <w:tcPr>
            <w:tcW w:w="810" w:type="dxa"/>
            <w:tcBorders>
              <w:top w:val="nil"/>
              <w:left w:val="nil"/>
              <w:bottom w:val="nil"/>
              <w:right w:val="nil"/>
              <w:tl2br w:val="nil"/>
              <w:tr2bl w:val="nil"/>
            </w:tcBorders>
            <w:shd w:val="clear" w:color="auto" w:fill="auto"/>
            <w:noWrap/>
            <w:tcMar>
              <w:left w:w="0" w:type="dxa"/>
              <w:right w:w="0" w:type="dxa"/>
            </w:tcMar>
            <w:vAlign w:val="center"/>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840" w:type="dxa"/>
            <w:tcBorders>
              <w:top w:val="nil"/>
              <w:left w:val="nil"/>
              <w:bottom w:val="nil"/>
              <w:right w:val="nil"/>
              <w:tl2br w:val="nil"/>
              <w:tr2bl w:val="nil"/>
            </w:tcBorders>
            <w:shd w:val="clear" w:color="auto" w:fill="auto"/>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501,020</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576,464</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(547,108)</w:t>
            </w:r>
          </w:p>
        </w:tc>
        <w:tc>
          <w:tcPr>
            <w:tcW w:w="975"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(530,376)</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175" w:type="dxa"/>
              <w:right w:w="4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2019-20</w:t>
            </w:r>
          </w:p>
        </w:tc>
        <w:tc>
          <w:tcPr>
            <w:tcW w:w="810" w:type="dxa"/>
            <w:tcBorders>
              <w:top w:val="nil"/>
              <w:left w:val="nil"/>
              <w:bottom w:val="nil"/>
              <w:right w:val="nil"/>
              <w:tl2br w:val="nil"/>
              <w:tr2bl w:val="nil"/>
            </w:tcBorders>
            <w:shd w:val="clear" w:color="FFFFFF" w:fill="FFFFFF"/>
            <w:tcMar>
              <w:left w:w="0" w:type="dxa"/>
              <w:right w:w="0" w:type="dxa"/>
            </w:tcMar>
            <w:vAlign w:val="center"/>
          </w:tcPr>
          <w:p w:rsidR="002A7B0C" w:rsidRDefault="002A7B0C" w:rsidP="000E3E52">
            <w:pPr>
              <w:keepLines/>
              <w:pBdr>
                <w:top w:val="nil"/>
                <w:left w:val="nil"/>
                <w:bottom w:val="nil"/>
                <w:right w:val="nil"/>
                <w:between w:val="nil"/>
                <w:bar w:val="nil"/>
              </w:pBdr>
              <w:spacing w:after="0" w:line="240" w:lineRule="auto"/>
              <w:jc w:val="center"/>
              <w:rPr>
                <w:rFonts w:ascii="Arial" w:eastAsia="Arial" w:hAnsi="Arial" w:cs="Arial"/>
                <w:color w:val="000000"/>
                <w:sz w:val="14"/>
                <w:bdr w:val="nil"/>
                <w:lang w:val="en-AU"/>
              </w:rPr>
            </w:pPr>
          </w:p>
        </w:tc>
        <w:tc>
          <w:tcPr>
            <w:tcW w:w="840" w:type="dxa"/>
            <w:tcBorders>
              <w:top w:val="nil"/>
              <w:left w:val="nil"/>
              <w:bottom w:val="nil"/>
              <w:right w:val="nil"/>
              <w:tl2br w:val="nil"/>
              <w:tr2bl w:val="nil"/>
            </w:tcBorders>
            <w:shd w:val="clear" w:color="auto" w:fill="auto"/>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400,407</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511,150</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(410,537)</w:t>
            </w:r>
          </w:p>
        </w:tc>
        <w:tc>
          <w:tcPr>
            <w:tcW w:w="975"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501,020</w:t>
            </w: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40" w:type="dxa"/>
              <w:right w:w="40" w:type="dxa"/>
            </w:tcMar>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National Disability Research</w:t>
            </w:r>
          </w:p>
          <w:p w:rsidR="002A7B0C" w:rsidRDefault="002A7B0C" w:rsidP="000E3E5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Special Account 2016 (A)</w:t>
            </w:r>
          </w:p>
        </w:tc>
        <w:tc>
          <w:tcPr>
            <w:tcW w:w="810" w:type="dxa"/>
            <w:tcBorders>
              <w:top w:val="nil"/>
              <w:left w:val="nil"/>
              <w:bottom w:val="nil"/>
              <w:right w:val="nil"/>
              <w:tl2br w:val="nil"/>
              <w:tr2bl w:val="nil"/>
            </w:tcBorders>
            <w:shd w:val="clear" w:color="FFFFFF" w:fill="FFFFFF"/>
            <w:tcMar>
              <w:left w:w="40" w:type="dxa"/>
              <w:right w:w="40" w:type="dxa"/>
            </w:tcMar>
          </w:tcPr>
          <w:p w:rsidR="002A7B0C" w:rsidRDefault="002A7B0C" w:rsidP="000E3E52">
            <w:pPr>
              <w:keepLines/>
              <w:pBdr>
                <w:top w:val="nil"/>
                <w:left w:val="nil"/>
                <w:bottom w:val="nil"/>
                <w:right w:val="nil"/>
                <w:between w:val="nil"/>
                <w:bar w:val="nil"/>
              </w:pBdr>
              <w:spacing w:after="0" w:line="240" w:lineRule="auto"/>
              <w:jc w:val="center"/>
              <w:rPr>
                <w:rFonts w:ascii="Arial" w:eastAsia="Arial" w:hAnsi="Arial" w:cs="Arial"/>
                <w:color w:val="000000"/>
                <w:sz w:val="14"/>
                <w:bdr w:val="nil"/>
                <w:lang w:val="en-AU"/>
              </w:rPr>
            </w:pPr>
            <w:r>
              <w:rPr>
                <w:rFonts w:ascii="Arial" w:eastAsia="Arial" w:hAnsi="Arial" w:cs="Arial"/>
                <w:color w:val="000000"/>
                <w:sz w:val="15"/>
                <w:szCs w:val="20"/>
                <w:bdr w:val="nil"/>
                <w:lang w:val="en-AU" w:eastAsia="en-AU"/>
              </w:rPr>
              <w:t>3.1</w:t>
            </w:r>
          </w:p>
        </w:tc>
        <w:tc>
          <w:tcPr>
            <w:tcW w:w="840" w:type="dxa"/>
            <w:tcBorders>
              <w:top w:val="nil"/>
              <w:left w:val="nil"/>
              <w:bottom w:val="nil"/>
              <w:right w:val="nil"/>
              <w:tl2br w:val="nil"/>
              <w:tr2bl w:val="nil"/>
            </w:tcBorders>
            <w:shd w:val="clear" w:color="auto" w:fill="auto"/>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60" w:type="dxa"/>
            <w:tcBorders>
              <w:top w:val="nil"/>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60" w:type="dxa"/>
            <w:tcBorders>
              <w:top w:val="nil"/>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75" w:type="dxa"/>
            <w:tcBorders>
              <w:top w:val="nil"/>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60" w:type="dxa"/>
            <w:tcBorders>
              <w:top w:val="nil"/>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175" w:type="dxa"/>
              <w:right w:w="4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2020-21</w:t>
            </w:r>
          </w:p>
        </w:tc>
        <w:tc>
          <w:tcPr>
            <w:tcW w:w="810" w:type="dxa"/>
            <w:tcBorders>
              <w:top w:val="nil"/>
              <w:left w:val="nil"/>
              <w:bottom w:val="nil"/>
              <w:right w:val="nil"/>
              <w:tl2br w:val="nil"/>
              <w:tr2bl w:val="nil"/>
            </w:tcBorders>
            <w:shd w:val="clear" w:color="auto" w:fill="auto"/>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840" w:type="dxa"/>
            <w:tcBorders>
              <w:top w:val="nil"/>
              <w:left w:val="nil"/>
              <w:bottom w:val="nil"/>
              <w:right w:val="nil"/>
              <w:tl2br w:val="nil"/>
              <w:tr2bl w:val="nil"/>
            </w:tcBorders>
            <w:shd w:val="clear" w:color="auto" w:fill="auto"/>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983</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(202)</w:t>
            </w:r>
          </w:p>
        </w:tc>
        <w:tc>
          <w:tcPr>
            <w:tcW w:w="975"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(781)</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175" w:type="dxa"/>
              <w:right w:w="4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2019-20</w:t>
            </w:r>
          </w:p>
        </w:tc>
        <w:tc>
          <w:tcPr>
            <w:tcW w:w="810" w:type="dxa"/>
            <w:tcBorders>
              <w:top w:val="nil"/>
              <w:left w:val="nil"/>
              <w:bottom w:val="nil"/>
              <w:right w:val="nil"/>
              <w:tl2br w:val="nil"/>
              <w:tr2bl w:val="nil"/>
            </w:tcBorders>
            <w:shd w:val="clear" w:color="FFFFFF" w:fill="FFFFFF"/>
            <w:tcMar>
              <w:left w:w="0" w:type="dxa"/>
              <w:right w:w="0" w:type="dxa"/>
            </w:tcMar>
            <w:vAlign w:val="center"/>
          </w:tcPr>
          <w:p w:rsidR="002A7B0C" w:rsidRDefault="002A7B0C" w:rsidP="000E3E52">
            <w:pPr>
              <w:keepLines/>
              <w:pBdr>
                <w:top w:val="nil"/>
                <w:left w:val="nil"/>
                <w:bottom w:val="nil"/>
                <w:right w:val="nil"/>
                <w:between w:val="nil"/>
                <w:bar w:val="nil"/>
              </w:pBdr>
              <w:spacing w:after="0" w:line="240" w:lineRule="auto"/>
              <w:jc w:val="center"/>
              <w:rPr>
                <w:rFonts w:ascii="Arial" w:eastAsia="Arial" w:hAnsi="Arial" w:cs="Arial"/>
                <w:color w:val="000000"/>
                <w:sz w:val="14"/>
                <w:bdr w:val="nil"/>
                <w:lang w:val="en-AU"/>
              </w:rPr>
            </w:pPr>
          </w:p>
        </w:tc>
        <w:tc>
          <w:tcPr>
            <w:tcW w:w="840" w:type="dxa"/>
            <w:tcBorders>
              <w:top w:val="nil"/>
              <w:left w:val="nil"/>
              <w:bottom w:val="nil"/>
              <w:right w:val="nil"/>
              <w:tl2br w:val="nil"/>
              <w:tr2bl w:val="nil"/>
            </w:tcBorders>
            <w:shd w:val="clear" w:color="auto" w:fill="auto"/>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1,559</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(576)</w:t>
            </w:r>
          </w:p>
        </w:tc>
        <w:tc>
          <w:tcPr>
            <w:tcW w:w="975"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983</w:t>
            </w: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40" w:type="dxa"/>
              <w:right w:w="40" w:type="dxa"/>
            </w:tcMar>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National Disability Research</w:t>
            </w:r>
          </w:p>
          <w:p w:rsidR="002A7B0C" w:rsidRDefault="002A7B0C" w:rsidP="000E3E5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Special Account 2020 (A)</w:t>
            </w:r>
          </w:p>
        </w:tc>
        <w:tc>
          <w:tcPr>
            <w:tcW w:w="810" w:type="dxa"/>
            <w:tcBorders>
              <w:top w:val="nil"/>
              <w:left w:val="nil"/>
              <w:bottom w:val="nil"/>
              <w:right w:val="nil"/>
              <w:tl2br w:val="nil"/>
              <w:tr2bl w:val="nil"/>
            </w:tcBorders>
            <w:shd w:val="clear" w:color="FFFFFF" w:fill="FFFFFF"/>
            <w:tcMar>
              <w:left w:w="40" w:type="dxa"/>
              <w:right w:w="40" w:type="dxa"/>
            </w:tcMar>
          </w:tcPr>
          <w:p w:rsidR="002A7B0C" w:rsidRDefault="002A7B0C" w:rsidP="000E3E52">
            <w:pPr>
              <w:keepLines/>
              <w:pBdr>
                <w:top w:val="nil"/>
                <w:left w:val="nil"/>
                <w:bottom w:val="nil"/>
                <w:right w:val="nil"/>
                <w:between w:val="nil"/>
                <w:bar w:val="nil"/>
              </w:pBdr>
              <w:spacing w:after="0" w:line="240" w:lineRule="auto"/>
              <w:jc w:val="center"/>
              <w:rPr>
                <w:rFonts w:ascii="Arial" w:eastAsia="Arial" w:hAnsi="Arial" w:cs="Arial"/>
                <w:color w:val="000000"/>
                <w:sz w:val="14"/>
                <w:bdr w:val="nil"/>
                <w:lang w:val="en-AU"/>
              </w:rPr>
            </w:pPr>
            <w:r>
              <w:rPr>
                <w:rFonts w:ascii="Arial" w:eastAsia="Arial" w:hAnsi="Arial" w:cs="Arial"/>
                <w:color w:val="000000"/>
                <w:sz w:val="15"/>
                <w:szCs w:val="20"/>
                <w:bdr w:val="nil"/>
                <w:lang w:val="en-AU" w:eastAsia="en-AU"/>
              </w:rPr>
              <w:t>3.1</w:t>
            </w:r>
          </w:p>
        </w:tc>
        <w:tc>
          <w:tcPr>
            <w:tcW w:w="840" w:type="dxa"/>
            <w:tcBorders>
              <w:top w:val="nil"/>
              <w:left w:val="nil"/>
              <w:bottom w:val="nil"/>
              <w:right w:val="nil"/>
              <w:tl2br w:val="nil"/>
              <w:tr2bl w:val="nil"/>
            </w:tcBorders>
            <w:shd w:val="clear" w:color="auto" w:fill="auto"/>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60" w:type="dxa"/>
            <w:tcBorders>
              <w:top w:val="nil"/>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60" w:type="dxa"/>
            <w:tcBorders>
              <w:top w:val="nil"/>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75" w:type="dxa"/>
            <w:tcBorders>
              <w:top w:val="nil"/>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60" w:type="dxa"/>
            <w:tcBorders>
              <w:top w:val="nil"/>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175" w:type="dxa"/>
              <w:right w:w="4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2020-21</w:t>
            </w:r>
          </w:p>
        </w:tc>
        <w:tc>
          <w:tcPr>
            <w:tcW w:w="810" w:type="dxa"/>
            <w:tcBorders>
              <w:top w:val="nil"/>
              <w:left w:val="nil"/>
              <w:bottom w:val="nil"/>
              <w:right w:val="nil"/>
              <w:tl2br w:val="nil"/>
              <w:tr2bl w:val="nil"/>
            </w:tcBorders>
            <w:shd w:val="clear" w:color="auto" w:fill="auto"/>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840" w:type="dxa"/>
            <w:tcBorders>
              <w:top w:val="nil"/>
              <w:left w:val="nil"/>
              <w:bottom w:val="nil"/>
              <w:right w:val="nil"/>
              <w:tl2br w:val="nil"/>
              <w:tr2bl w:val="nil"/>
            </w:tcBorders>
            <w:shd w:val="clear" w:color="auto" w:fill="auto"/>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(781)</w:t>
            </w:r>
          </w:p>
        </w:tc>
        <w:tc>
          <w:tcPr>
            <w:tcW w:w="975"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781</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175" w:type="dxa"/>
              <w:right w:w="4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2019-20</w:t>
            </w:r>
          </w:p>
        </w:tc>
        <w:tc>
          <w:tcPr>
            <w:tcW w:w="810" w:type="dxa"/>
            <w:tcBorders>
              <w:top w:val="nil"/>
              <w:left w:val="nil"/>
              <w:bottom w:val="nil"/>
              <w:right w:val="nil"/>
              <w:tl2br w:val="nil"/>
              <w:tr2bl w:val="nil"/>
            </w:tcBorders>
            <w:shd w:val="clear" w:color="FFFFFF" w:fill="FFFFFF"/>
            <w:tcMar>
              <w:left w:w="0" w:type="dxa"/>
              <w:right w:w="0" w:type="dxa"/>
            </w:tcMar>
            <w:vAlign w:val="center"/>
          </w:tcPr>
          <w:p w:rsidR="002A7B0C" w:rsidRDefault="002A7B0C" w:rsidP="000E3E52">
            <w:pPr>
              <w:keepLines/>
              <w:pBdr>
                <w:top w:val="nil"/>
                <w:left w:val="nil"/>
                <w:bottom w:val="nil"/>
                <w:right w:val="nil"/>
                <w:between w:val="nil"/>
                <w:bar w:val="nil"/>
              </w:pBdr>
              <w:spacing w:after="0" w:line="240" w:lineRule="auto"/>
              <w:jc w:val="center"/>
              <w:rPr>
                <w:rFonts w:ascii="Arial" w:eastAsia="Arial" w:hAnsi="Arial" w:cs="Arial"/>
                <w:color w:val="000000"/>
                <w:sz w:val="14"/>
                <w:bdr w:val="nil"/>
                <w:lang w:val="en-AU"/>
              </w:rPr>
            </w:pPr>
          </w:p>
        </w:tc>
        <w:tc>
          <w:tcPr>
            <w:tcW w:w="840" w:type="dxa"/>
            <w:tcBorders>
              <w:top w:val="nil"/>
              <w:left w:val="nil"/>
              <w:bottom w:val="nil"/>
              <w:right w:val="nil"/>
              <w:tl2br w:val="nil"/>
              <w:tr2bl w:val="nil"/>
            </w:tcBorders>
            <w:shd w:val="clear" w:color="auto" w:fill="auto"/>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w:t>
            </w:r>
          </w:p>
        </w:tc>
        <w:tc>
          <w:tcPr>
            <w:tcW w:w="975"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w:t>
            </w:r>
          </w:p>
        </w:tc>
        <w:tc>
          <w:tcPr>
            <w:tcW w:w="960" w:type="dxa"/>
            <w:tcBorders>
              <w:top w:val="nil"/>
              <w:left w:val="nil"/>
              <w:bottom w:val="nil"/>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w:t>
            </w: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135"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i/>
                <w:color w:val="000000"/>
                <w:sz w:val="16"/>
                <w:bdr w:val="nil"/>
                <w:lang w:val="en-AU"/>
              </w:rPr>
            </w:pPr>
          </w:p>
        </w:tc>
        <w:tc>
          <w:tcPr>
            <w:tcW w:w="810" w:type="dxa"/>
            <w:tcBorders>
              <w:top w:val="nil"/>
              <w:left w:val="nil"/>
              <w:bottom w:val="nil"/>
              <w:right w:val="nil"/>
              <w:tl2br w:val="nil"/>
              <w:tr2bl w:val="nil"/>
            </w:tcBorders>
            <w:shd w:val="clear" w:color="FFFFFF" w:fill="FFFFFF"/>
            <w:tcMar>
              <w:left w:w="0" w:type="dxa"/>
              <w:right w:w="0" w:type="dxa"/>
            </w:tcMar>
            <w:vAlign w:val="center"/>
          </w:tcPr>
          <w:p w:rsidR="002A7B0C" w:rsidRDefault="002A7B0C" w:rsidP="000E3E52">
            <w:pPr>
              <w:keepLines/>
              <w:pBdr>
                <w:top w:val="nil"/>
                <w:left w:val="nil"/>
                <w:bottom w:val="nil"/>
                <w:right w:val="nil"/>
                <w:between w:val="nil"/>
                <w:bar w:val="nil"/>
              </w:pBdr>
              <w:spacing w:after="0" w:line="240" w:lineRule="auto"/>
              <w:jc w:val="center"/>
              <w:rPr>
                <w:rFonts w:ascii="Arial" w:eastAsia="Arial" w:hAnsi="Arial" w:cs="Arial"/>
                <w:color w:val="000000"/>
                <w:sz w:val="14"/>
                <w:bdr w:val="nil"/>
                <w:lang w:val="en-AU"/>
              </w:rPr>
            </w:pPr>
          </w:p>
        </w:tc>
        <w:tc>
          <w:tcPr>
            <w:tcW w:w="840" w:type="dxa"/>
            <w:tcBorders>
              <w:top w:val="nil"/>
              <w:left w:val="nil"/>
              <w:bottom w:val="dotted" w:sz="2" w:space="0" w:color="000000"/>
              <w:right w:val="nil"/>
              <w:tl2br w:val="nil"/>
              <w:tr2bl w:val="nil"/>
            </w:tcBorders>
            <w:shd w:val="clear" w:color="auto" w:fill="auto"/>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60" w:type="dxa"/>
            <w:tcBorders>
              <w:top w:val="nil"/>
              <w:left w:val="nil"/>
              <w:bottom w:val="dotted" w:sz="2" w:space="0" w:color="000000"/>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60" w:type="dxa"/>
            <w:tcBorders>
              <w:top w:val="nil"/>
              <w:left w:val="nil"/>
              <w:bottom w:val="dotted" w:sz="2" w:space="0" w:color="000000"/>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75" w:type="dxa"/>
            <w:tcBorders>
              <w:top w:val="nil"/>
              <w:left w:val="nil"/>
              <w:bottom w:val="dotted" w:sz="2" w:space="0" w:color="000000"/>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c>
          <w:tcPr>
            <w:tcW w:w="960" w:type="dxa"/>
            <w:tcBorders>
              <w:top w:val="nil"/>
              <w:left w:val="nil"/>
              <w:bottom w:val="dotted" w:sz="2" w:space="0" w:color="000000"/>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40" w:type="dxa"/>
              <w:right w:w="40" w:type="dxa"/>
            </w:tcMar>
            <w:vAlign w:val="bottom"/>
          </w:tcPr>
          <w:p w:rsidR="002A7B0C" w:rsidRDefault="002A7B0C" w:rsidP="002A7B0C">
            <w:pPr>
              <w:keepLines/>
              <w:pBdr>
                <w:top w:val="nil"/>
                <w:left w:val="nil"/>
                <w:bottom w:val="nil"/>
                <w:right w:val="nil"/>
                <w:between w:val="nil"/>
                <w:bar w:val="nil"/>
              </w:pBdr>
              <w:spacing w:after="0" w:line="240" w:lineRule="auto"/>
              <w:ind w:left="99" w:hanging="99"/>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special accounts 2020-21  Budget estimate</w:t>
            </w:r>
          </w:p>
        </w:tc>
        <w:tc>
          <w:tcPr>
            <w:tcW w:w="810" w:type="dxa"/>
            <w:tcBorders>
              <w:top w:val="nil"/>
              <w:left w:val="nil"/>
              <w:bottom w:val="nil"/>
              <w:right w:val="nil"/>
              <w:tl2br w:val="nil"/>
              <w:tr2bl w:val="nil"/>
            </w:tcBorders>
            <w:shd w:val="clear" w:color="FFFFFF" w:fill="FFFFFF"/>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84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507,155</w:t>
            </w:r>
          </w:p>
        </w:tc>
        <w:tc>
          <w:tcPr>
            <w:tcW w:w="96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586,898</w:t>
            </w:r>
          </w:p>
        </w:tc>
        <w:tc>
          <w:tcPr>
            <w:tcW w:w="96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(563,365)</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(530,376)</w:t>
            </w:r>
          </w:p>
        </w:tc>
        <w:tc>
          <w:tcPr>
            <w:tcW w:w="96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312</w:t>
            </w: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810" w:type="dxa"/>
            <w:tcBorders>
              <w:top w:val="nil"/>
              <w:left w:val="nil"/>
              <w:bottom w:val="nil"/>
              <w:right w:val="nil"/>
              <w:tl2br w:val="nil"/>
              <w:tr2bl w:val="nil"/>
            </w:tcBorders>
            <w:shd w:val="clear" w:color="FFFFFF" w:fill="FFFFFF"/>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840"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96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96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96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nil"/>
              <w:right w:val="nil"/>
              <w:tl2br w:val="nil"/>
              <w:tr2bl w:val="nil"/>
            </w:tcBorders>
            <w:shd w:val="clear" w:color="FFFFFF" w:fill="FFFFFF"/>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Total special accounts</w:t>
            </w:r>
          </w:p>
        </w:tc>
        <w:tc>
          <w:tcPr>
            <w:tcW w:w="810" w:type="dxa"/>
            <w:tcBorders>
              <w:top w:val="nil"/>
              <w:left w:val="nil"/>
              <w:bottom w:val="nil"/>
              <w:right w:val="nil"/>
              <w:tl2br w:val="nil"/>
              <w:tr2bl w:val="nil"/>
            </w:tcBorders>
            <w:shd w:val="clear" w:color="FFFFFF" w:fill="FFFFFF"/>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840" w:type="dxa"/>
            <w:tcBorders>
              <w:top w:val="nil"/>
              <w:left w:val="nil"/>
              <w:bottom w:val="dotted" w:sz="2" w:space="0" w:color="000000"/>
              <w:right w:val="nil"/>
              <w:tl2br w:val="nil"/>
              <w:tr2bl w:val="nil"/>
            </w:tcBorders>
            <w:shd w:val="clear" w:color="FFFFFF" w:fill="FFFFFF"/>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960" w:type="dxa"/>
            <w:tcBorders>
              <w:top w:val="nil"/>
              <w:left w:val="nil"/>
              <w:bottom w:val="dotted" w:sz="2" w:space="0" w:color="000000"/>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960" w:type="dxa"/>
            <w:tcBorders>
              <w:top w:val="nil"/>
              <w:left w:val="nil"/>
              <w:bottom w:val="dotted" w:sz="2" w:space="0" w:color="000000"/>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975" w:type="dxa"/>
            <w:tcBorders>
              <w:top w:val="nil"/>
              <w:left w:val="nil"/>
              <w:bottom w:val="dotted" w:sz="2" w:space="0" w:color="000000"/>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960" w:type="dxa"/>
            <w:tcBorders>
              <w:top w:val="nil"/>
              <w:left w:val="nil"/>
              <w:bottom w:val="dotted" w:sz="2" w:space="0" w:color="000000"/>
              <w:right w:val="nil"/>
              <w:tl2br w:val="nil"/>
              <w:tr2bl w:val="nil"/>
            </w:tcBorders>
            <w:shd w:val="clear" w:color="FFFFFF" w:fill="EAEAEA"/>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r>
      <w:tr w:rsidR="002A7B0C" w:rsidTr="000E3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0" w:type="dxa"/>
            <w:tcBorders>
              <w:top w:val="nil"/>
              <w:left w:val="nil"/>
              <w:bottom w:val="dotted" w:sz="2" w:space="0" w:color="000000"/>
              <w:right w:val="nil"/>
              <w:tl2br w:val="nil"/>
              <w:tr2bl w:val="nil"/>
            </w:tcBorders>
            <w:shd w:val="clear" w:color="FFFFFF" w:fill="FFFFFF"/>
            <w:tcMar>
              <w:left w:w="175" w:type="dxa"/>
              <w:right w:w="40" w:type="dxa"/>
            </w:tcMar>
            <w:vAlign w:val="bottom"/>
          </w:tcPr>
          <w:p w:rsidR="002A7B0C" w:rsidRDefault="002A7B0C" w:rsidP="000E3E52">
            <w:pPr>
              <w:keepLines/>
              <w:pBdr>
                <w:top w:val="nil"/>
                <w:left w:val="nil"/>
                <w:bottom w:val="nil"/>
                <w:right w:val="nil"/>
                <w:between w:val="nil"/>
                <w:bar w:val="nil"/>
              </w:pBdr>
              <w:spacing w:after="0" w:line="240" w:lineRule="auto"/>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2019-20 actual</w:t>
            </w:r>
          </w:p>
        </w:tc>
        <w:tc>
          <w:tcPr>
            <w:tcW w:w="810" w:type="dxa"/>
            <w:tcBorders>
              <w:top w:val="nil"/>
              <w:left w:val="nil"/>
              <w:bottom w:val="dotted" w:sz="2" w:space="0" w:color="000000"/>
              <w:right w:val="nil"/>
              <w:tl2br w:val="nil"/>
              <w:tr2bl w:val="nil"/>
            </w:tcBorders>
            <w:shd w:val="clear" w:color="FFFFFF" w:fill="FFFFFF"/>
            <w:noWrap/>
            <w:tcMar>
              <w:left w:w="0" w:type="dxa"/>
              <w:right w:w="0" w:type="dxa"/>
            </w:tcMar>
            <w:vAlign w:val="bottom"/>
          </w:tcPr>
          <w:p w:rsidR="002A7B0C" w:rsidRDefault="002A7B0C" w:rsidP="000E3E52">
            <w:pPr>
              <w:keepLines/>
              <w:pBdr>
                <w:top w:val="nil"/>
                <w:left w:val="nil"/>
                <w:bottom w:val="nil"/>
                <w:right w:val="nil"/>
                <w:between w:val="nil"/>
                <w:bar w:val="nil"/>
              </w:pBdr>
              <w:spacing w:after="0" w:line="240" w:lineRule="auto"/>
              <w:jc w:val="center"/>
              <w:rPr>
                <w:rFonts w:ascii="Arial" w:eastAsia="Arial" w:hAnsi="Arial" w:cs="Arial"/>
                <w:b/>
                <w:color w:val="000000"/>
                <w:sz w:val="14"/>
                <w:bdr w:val="nil"/>
                <w:lang w:val="en-AU"/>
              </w:rPr>
            </w:pPr>
          </w:p>
        </w:tc>
        <w:tc>
          <w:tcPr>
            <w:tcW w:w="84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402,363</w:t>
            </w:r>
          </w:p>
        </w:tc>
        <w:tc>
          <w:tcPr>
            <w:tcW w:w="96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521,594</w:t>
            </w:r>
          </w:p>
        </w:tc>
        <w:tc>
          <w:tcPr>
            <w:tcW w:w="96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(416,802)</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w:t>
            </w:r>
          </w:p>
        </w:tc>
        <w:tc>
          <w:tcPr>
            <w:tcW w:w="96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2A7B0C" w:rsidRDefault="002A7B0C" w:rsidP="000E3E52">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507,155</w:t>
            </w:r>
          </w:p>
        </w:tc>
      </w:tr>
    </w:tbl>
    <w:p w:rsidR="002A7B0C" w:rsidRPr="001D2D38" w:rsidRDefault="002A7B0C" w:rsidP="002A7B0C">
      <w:pPr>
        <w:keepLines/>
        <w:pBdr>
          <w:top w:val="nil"/>
          <w:left w:val="nil"/>
          <w:bottom w:val="nil"/>
          <w:right w:val="nil"/>
          <w:between w:val="nil"/>
          <w:bar w:val="nil"/>
        </w:pBdr>
        <w:spacing w:after="0" w:line="240" w:lineRule="auto"/>
        <w:jc w:val="both"/>
        <w:rPr>
          <w:rFonts w:ascii="Arial" w:hAnsi="Arial" w:cs="Arial"/>
          <w:sz w:val="16"/>
          <w:szCs w:val="16"/>
          <w:bdr w:val="nil"/>
          <w:lang w:val="en-AU"/>
        </w:rPr>
      </w:pPr>
      <w:r w:rsidRPr="001D2D38">
        <w:rPr>
          <w:rFonts w:ascii="Arial" w:eastAsia="Times New Roman" w:hAnsi="Arial" w:cs="Arial"/>
          <w:sz w:val="16"/>
          <w:szCs w:val="16"/>
          <w:bdr w:val="nil"/>
          <w:lang w:val="en-AU" w:eastAsia="en-AU"/>
        </w:rPr>
        <w:t>(A) = Administered</w:t>
      </w:r>
    </w:p>
    <w:p w:rsidR="002A7B0C" w:rsidRPr="00766DEB" w:rsidRDefault="002A7B0C" w:rsidP="002A7B0C">
      <w:pPr>
        <w:keepLines/>
        <w:pBdr>
          <w:top w:val="nil"/>
          <w:left w:val="nil"/>
          <w:bottom w:val="nil"/>
          <w:right w:val="nil"/>
          <w:between w:val="nil"/>
          <w:bar w:val="nil"/>
        </w:pBdr>
        <w:spacing w:after="240" w:line="260" w:lineRule="exact"/>
        <w:jc w:val="both"/>
        <w:rPr>
          <w:b/>
          <w:vanish/>
          <w:color w:val="FF0000"/>
          <w:bdr w:val="nil"/>
          <w:lang w:val="en-AU"/>
        </w:rPr>
      </w:pPr>
    </w:p>
    <w:p w:rsidR="001A2675" w:rsidRPr="001A2675" w:rsidRDefault="00D5482E" w:rsidP="009D65B4">
      <w:pPr>
        <w:pStyle w:val="Heading3"/>
        <w:keepNext w:val="0"/>
        <w:keepLines w:val="0"/>
        <w:pageBreakBefore/>
        <w:pBdr>
          <w:top w:val="nil"/>
          <w:left w:val="nil"/>
          <w:bottom w:val="nil"/>
          <w:right w:val="nil"/>
          <w:between w:val="nil"/>
          <w:bar w:val="nil"/>
        </w:pBdr>
        <w:spacing w:before="0"/>
        <w:rPr>
          <w:szCs w:val="26"/>
          <w:bdr w:val="nil"/>
        </w:rPr>
      </w:pPr>
      <w:r w:rsidRPr="001A2675">
        <w:rPr>
          <w:bCs/>
          <w:szCs w:val="26"/>
          <w:bdr w:val="nil"/>
          <w:lang w:eastAsia="en-US"/>
        </w:rPr>
        <w:lastRenderedPageBreak/>
        <w:t>3.2</w:t>
      </w:r>
      <w:r w:rsidRPr="001A2675">
        <w:rPr>
          <w:bCs/>
          <w:szCs w:val="26"/>
          <w:bdr w:val="nil"/>
          <w:lang w:eastAsia="en-US"/>
        </w:rPr>
        <w:tab/>
        <w:t>Budgeted financial statements</w:t>
      </w:r>
    </w:p>
    <w:p w:rsidR="005453C3" w:rsidRPr="00D244DD" w:rsidRDefault="00D5482E" w:rsidP="005D41A0">
      <w:pPr>
        <w:pStyle w:val="Heading4"/>
        <w:keepNext w:val="0"/>
        <w:keepLines w:val="0"/>
        <w:pBdr>
          <w:top w:val="nil"/>
          <w:left w:val="nil"/>
          <w:bottom w:val="nil"/>
          <w:right w:val="nil"/>
          <w:between w:val="nil"/>
          <w:bar w:val="nil"/>
        </w:pBdr>
        <w:spacing w:before="0" w:after="240"/>
        <w:rPr>
          <w:bdr w:val="nil"/>
        </w:rPr>
      </w:pPr>
      <w:r w:rsidRPr="00D244DD">
        <w:rPr>
          <w:iCs/>
          <w:szCs w:val="22"/>
          <w:bdr w:val="nil"/>
          <w:lang w:eastAsia="en-US"/>
        </w:rPr>
        <w:t>3.2.1</w:t>
      </w:r>
      <w:r w:rsidRPr="00D244DD">
        <w:rPr>
          <w:iCs/>
          <w:szCs w:val="22"/>
          <w:bdr w:val="nil"/>
          <w:lang w:eastAsia="en-US"/>
        </w:rPr>
        <w:tab/>
        <w:t>Analysis of budgeted financial statements</w:t>
      </w:r>
    </w:p>
    <w:p w:rsidR="00702DC6" w:rsidRPr="00D244DD" w:rsidRDefault="00D5482E" w:rsidP="005D41A0">
      <w:pPr>
        <w:keepLines/>
        <w:pBdr>
          <w:top w:val="nil"/>
          <w:left w:val="nil"/>
          <w:bottom w:val="nil"/>
          <w:right w:val="nil"/>
          <w:between w:val="nil"/>
          <w:bar w:val="nil"/>
        </w:pBdr>
        <w:spacing w:after="240" w:line="240" w:lineRule="auto"/>
        <w:jc w:val="both"/>
        <w:rPr>
          <w:bdr w:val="nil"/>
          <w:lang w:val="en-AU"/>
        </w:rPr>
      </w:pPr>
      <w:r w:rsidRPr="00D244DD">
        <w:rPr>
          <w:rFonts w:ascii="Book Antiqua" w:eastAsia="Times New Roman" w:hAnsi="Book Antiqua" w:cs="Times New Roman"/>
          <w:sz w:val="20"/>
          <w:szCs w:val="20"/>
          <w:bdr w:val="nil"/>
          <w:lang w:val="en-AU" w:eastAsia="en-AU"/>
        </w:rPr>
        <w:t>Budgeted statements of income and expenditure, assets and liabilities, and cash flows have been included for the financial years 2019-20 to 2023-24. These statements are prepared in accordance with the requirements of the Australian Government's financial budget and reporting framework.</w:t>
      </w:r>
    </w:p>
    <w:p w:rsidR="00702DC6" w:rsidRPr="00D244DD" w:rsidRDefault="00D5482E" w:rsidP="005D41A0">
      <w:pPr>
        <w:keepLines/>
        <w:pBdr>
          <w:top w:val="nil"/>
          <w:left w:val="nil"/>
          <w:bottom w:val="nil"/>
          <w:right w:val="nil"/>
          <w:between w:val="nil"/>
          <w:bar w:val="nil"/>
        </w:pBdr>
        <w:spacing w:after="240" w:line="240" w:lineRule="auto"/>
        <w:jc w:val="both"/>
        <w:rPr>
          <w:bdr w:val="nil"/>
          <w:lang w:val="en-AU"/>
        </w:rPr>
      </w:pPr>
      <w:r w:rsidRPr="00D244DD">
        <w:rPr>
          <w:rFonts w:ascii="Book Antiqua" w:eastAsia="Times New Roman" w:hAnsi="Book Antiqua" w:cs="Times New Roman"/>
          <w:sz w:val="20"/>
          <w:szCs w:val="20"/>
          <w:bdr w:val="nil"/>
          <w:lang w:val="en-AU" w:eastAsia="en-AU"/>
        </w:rPr>
        <w:t>Amounts in these statements are rounded to the nearest thousand dollars.</w:t>
      </w:r>
    </w:p>
    <w:p w:rsidR="00702DC6" w:rsidRPr="00D244DD" w:rsidRDefault="00D5482E" w:rsidP="005D41A0">
      <w:pPr>
        <w:pStyle w:val="Heading5"/>
        <w:keepLines w:val="0"/>
        <w:pBdr>
          <w:top w:val="nil"/>
          <w:left w:val="nil"/>
          <w:bottom w:val="nil"/>
          <w:right w:val="nil"/>
          <w:between w:val="nil"/>
          <w:bar w:val="nil"/>
        </w:pBdr>
        <w:spacing w:after="240" w:line="240" w:lineRule="auto"/>
        <w:jc w:val="left"/>
        <w:rPr>
          <w:iCs w:val="0"/>
          <w:szCs w:val="20"/>
          <w:bdr w:val="nil"/>
        </w:rPr>
      </w:pPr>
      <w:r w:rsidRPr="00D244DD">
        <w:rPr>
          <w:iCs w:val="0"/>
          <w:sz w:val="22"/>
          <w:szCs w:val="20"/>
          <w:bdr w:val="nil"/>
          <w:lang w:eastAsia="en-US"/>
        </w:rPr>
        <w:t>Departmental and Administered Items</w:t>
      </w:r>
    </w:p>
    <w:p w:rsidR="00702DC6" w:rsidRPr="00D244DD" w:rsidRDefault="00D5482E" w:rsidP="005D41A0">
      <w:pPr>
        <w:keepLines/>
        <w:pBdr>
          <w:top w:val="nil"/>
          <w:left w:val="nil"/>
          <w:bottom w:val="nil"/>
          <w:right w:val="nil"/>
          <w:between w:val="nil"/>
          <w:bar w:val="nil"/>
        </w:pBdr>
        <w:spacing w:after="240" w:line="240" w:lineRule="auto"/>
        <w:jc w:val="both"/>
        <w:rPr>
          <w:b/>
          <w:bCs/>
          <w:bdr w:val="nil"/>
          <w:lang w:val="en-AU"/>
        </w:rPr>
      </w:pPr>
      <w:r w:rsidRPr="00D244DD">
        <w:rPr>
          <w:rFonts w:ascii="Book Antiqua" w:eastAsia="Times New Roman" w:hAnsi="Book Antiqua" w:cs="Times New Roman"/>
          <w:sz w:val="20"/>
          <w:szCs w:val="20"/>
          <w:bdr w:val="nil"/>
          <w:lang w:val="en-AU" w:eastAsia="en-AU"/>
        </w:rPr>
        <w:t xml:space="preserve">Departmental revenues, expenses, assets and liabilities are those which are controlled by </w:t>
      </w:r>
      <w:r w:rsidR="009C60AB">
        <w:rPr>
          <w:rFonts w:ascii="Book Antiqua" w:eastAsia="Times New Roman" w:hAnsi="Book Antiqua" w:cs="Times New Roman"/>
          <w:sz w:val="20"/>
          <w:szCs w:val="20"/>
          <w:bdr w:val="nil"/>
          <w:lang w:val="en-AU" w:eastAsia="en-AU"/>
        </w:rPr>
        <w:t>DSS</w:t>
      </w:r>
      <w:r w:rsidRPr="00D244DD">
        <w:rPr>
          <w:rFonts w:ascii="Book Antiqua" w:eastAsia="Times New Roman" w:hAnsi="Book Antiqua" w:cs="Times New Roman"/>
          <w:sz w:val="20"/>
          <w:szCs w:val="20"/>
          <w:bdr w:val="nil"/>
          <w:lang w:val="en-AU" w:eastAsia="en-AU"/>
        </w:rPr>
        <w:t xml:space="preserve">. Departmental expenses include employee and supplier expenses and other administrative costs which are incurred by </w:t>
      </w:r>
      <w:r w:rsidR="009C60AB">
        <w:rPr>
          <w:rFonts w:ascii="Book Antiqua" w:eastAsia="Times New Roman" w:hAnsi="Book Antiqua" w:cs="Times New Roman"/>
          <w:sz w:val="20"/>
          <w:szCs w:val="20"/>
          <w:bdr w:val="nil"/>
          <w:lang w:val="en-AU" w:eastAsia="en-AU"/>
        </w:rPr>
        <w:t>DSS</w:t>
      </w:r>
      <w:r w:rsidRPr="00D244DD">
        <w:rPr>
          <w:rFonts w:ascii="Book Antiqua" w:eastAsia="Times New Roman" w:hAnsi="Book Antiqua" w:cs="Times New Roman"/>
          <w:sz w:val="20"/>
          <w:szCs w:val="20"/>
          <w:bdr w:val="nil"/>
          <w:lang w:val="en-AU" w:eastAsia="en-AU"/>
        </w:rPr>
        <w:t xml:space="preserve"> in providing its goods and services. </w:t>
      </w:r>
    </w:p>
    <w:p w:rsidR="00702DC6" w:rsidRPr="00D244DD" w:rsidRDefault="00D5482E" w:rsidP="005D41A0">
      <w:pPr>
        <w:keepLines/>
        <w:pBdr>
          <w:top w:val="nil"/>
          <w:left w:val="nil"/>
          <w:bottom w:val="nil"/>
          <w:right w:val="nil"/>
          <w:between w:val="nil"/>
          <w:bar w:val="nil"/>
        </w:pBdr>
        <w:spacing w:after="240" w:line="240" w:lineRule="auto"/>
        <w:jc w:val="both"/>
        <w:rPr>
          <w:b/>
          <w:bCs/>
          <w:bdr w:val="nil"/>
          <w:lang w:val="en-AU"/>
        </w:rPr>
      </w:pPr>
      <w:r w:rsidRPr="00D244DD">
        <w:rPr>
          <w:rFonts w:ascii="Book Antiqua" w:eastAsia="Times New Roman" w:hAnsi="Book Antiqua" w:cs="Times New Roman"/>
          <w:sz w:val="20"/>
          <w:szCs w:val="20"/>
          <w:bdr w:val="nil"/>
          <w:lang w:val="en-AU" w:eastAsia="en-AU"/>
        </w:rPr>
        <w:t xml:space="preserve">Administered items are revenues, expenses, assets and liabilities which are managed by </w:t>
      </w:r>
      <w:r w:rsidR="009C60AB">
        <w:rPr>
          <w:rFonts w:ascii="Book Antiqua" w:eastAsia="Times New Roman" w:hAnsi="Book Antiqua" w:cs="Times New Roman"/>
          <w:sz w:val="20"/>
          <w:szCs w:val="20"/>
          <w:bdr w:val="nil"/>
          <w:lang w:val="en-AU" w:eastAsia="en-AU"/>
        </w:rPr>
        <w:t>DSS</w:t>
      </w:r>
      <w:r w:rsidRPr="00D244DD">
        <w:rPr>
          <w:rFonts w:ascii="Book Antiqua" w:eastAsia="Times New Roman" w:hAnsi="Book Antiqua" w:cs="Times New Roman"/>
          <w:sz w:val="20"/>
          <w:szCs w:val="20"/>
          <w:bdr w:val="nil"/>
          <w:lang w:val="en-AU" w:eastAsia="en-AU"/>
        </w:rPr>
        <w:t xml:space="preserve"> on behalf of the Government, according to set government directions. Administered expenses include subsidies, grants, personal benefit payments and suppliers. </w:t>
      </w:r>
    </w:p>
    <w:p w:rsidR="00702DC6" w:rsidRPr="00D244DD" w:rsidRDefault="00D5482E" w:rsidP="005D41A0">
      <w:pPr>
        <w:keepLines/>
        <w:pBdr>
          <w:top w:val="nil"/>
          <w:left w:val="nil"/>
          <w:bottom w:val="nil"/>
          <w:right w:val="nil"/>
          <w:between w:val="nil"/>
          <w:bar w:val="nil"/>
        </w:pBdr>
        <w:spacing w:after="240" w:line="240" w:lineRule="auto"/>
        <w:jc w:val="both"/>
        <w:rPr>
          <w:bdr w:val="nil"/>
          <w:lang w:val="en-AU"/>
        </w:rPr>
      </w:pPr>
      <w:r w:rsidRPr="00D244DD">
        <w:rPr>
          <w:rFonts w:ascii="Book Antiqua" w:eastAsia="Times New Roman" w:hAnsi="Book Antiqua" w:cs="Times New Roman"/>
          <w:sz w:val="20"/>
          <w:szCs w:val="20"/>
          <w:bdr w:val="nil"/>
          <w:lang w:val="en-AU" w:eastAsia="en-AU"/>
        </w:rPr>
        <w:br w:type="page"/>
      </w:r>
    </w:p>
    <w:p w:rsidR="00702DC6" w:rsidRPr="00D244DD" w:rsidRDefault="00D5482E" w:rsidP="005D41A0">
      <w:pPr>
        <w:pStyle w:val="Heading5"/>
        <w:keepLines w:val="0"/>
        <w:pBdr>
          <w:top w:val="nil"/>
          <w:left w:val="nil"/>
          <w:bottom w:val="nil"/>
          <w:right w:val="nil"/>
          <w:between w:val="nil"/>
          <w:bar w:val="nil"/>
        </w:pBdr>
        <w:spacing w:after="240" w:line="240" w:lineRule="auto"/>
        <w:jc w:val="left"/>
        <w:rPr>
          <w:iCs w:val="0"/>
          <w:bdr w:val="nil"/>
        </w:rPr>
      </w:pPr>
      <w:r w:rsidRPr="00D244DD">
        <w:rPr>
          <w:iCs w:val="0"/>
          <w:sz w:val="22"/>
          <w:szCs w:val="22"/>
          <w:bdr w:val="nil"/>
          <w:lang w:eastAsia="en-US"/>
        </w:rPr>
        <w:lastRenderedPageBreak/>
        <w:t>Commentary – Financial Statements</w:t>
      </w:r>
    </w:p>
    <w:p w:rsidR="00702DC6" w:rsidRPr="00D244DD" w:rsidRDefault="00D5482E" w:rsidP="005D41A0">
      <w:pPr>
        <w:pStyle w:val="Heading5"/>
        <w:keepLines w:val="0"/>
        <w:pBdr>
          <w:top w:val="nil"/>
          <w:left w:val="nil"/>
          <w:bottom w:val="nil"/>
          <w:right w:val="nil"/>
          <w:between w:val="nil"/>
          <w:bar w:val="nil"/>
        </w:pBdr>
        <w:spacing w:after="240" w:line="240" w:lineRule="auto"/>
        <w:jc w:val="left"/>
        <w:rPr>
          <w:iCs w:val="0"/>
          <w:bdr w:val="nil"/>
        </w:rPr>
      </w:pPr>
      <w:r w:rsidRPr="00D244DD">
        <w:rPr>
          <w:iCs w:val="0"/>
          <w:sz w:val="22"/>
          <w:szCs w:val="22"/>
          <w:bdr w:val="nil"/>
          <w:lang w:eastAsia="en-US"/>
        </w:rPr>
        <w:t>Departmental</w:t>
      </w:r>
    </w:p>
    <w:p w:rsidR="00702DC6" w:rsidRPr="00D27591" w:rsidRDefault="00D5482E" w:rsidP="005D41A0">
      <w:pPr>
        <w:pStyle w:val="Heading6"/>
        <w:pBdr>
          <w:top w:val="nil"/>
          <w:left w:val="nil"/>
          <w:bottom w:val="nil"/>
          <w:right w:val="nil"/>
          <w:between w:val="nil"/>
          <w:bar w:val="nil"/>
        </w:pBdr>
        <w:spacing w:line="240" w:lineRule="auto"/>
        <w:rPr>
          <w:b w:val="0"/>
          <w:i w:val="0"/>
          <w:color w:val="auto"/>
          <w:bdr w:val="nil"/>
        </w:rPr>
      </w:pPr>
      <w:r w:rsidRPr="00D27591">
        <w:rPr>
          <w:b w:val="0"/>
          <w:i w:val="0"/>
          <w:color w:val="auto"/>
          <w:bdr w:val="nil"/>
        </w:rPr>
        <w:t>Income and expenses</w:t>
      </w:r>
    </w:p>
    <w:p w:rsidR="00702DC6" w:rsidRPr="00D244DD" w:rsidRDefault="00D5482E" w:rsidP="005D41A0">
      <w:pPr>
        <w:keepLines/>
        <w:pBdr>
          <w:top w:val="nil"/>
          <w:left w:val="nil"/>
          <w:bottom w:val="nil"/>
          <w:right w:val="nil"/>
          <w:between w:val="nil"/>
          <w:bar w:val="nil"/>
        </w:pBdr>
        <w:spacing w:after="240" w:line="240" w:lineRule="auto"/>
        <w:jc w:val="both"/>
        <w:rPr>
          <w:bdr w:val="nil"/>
          <w:lang w:val="en-AU"/>
        </w:rPr>
      </w:pPr>
      <w:r>
        <w:rPr>
          <w:rFonts w:ascii="Book Antiqua" w:eastAsia="Times New Roman" w:hAnsi="Book Antiqua" w:cs="Times New Roman"/>
          <w:sz w:val="20"/>
          <w:szCs w:val="20"/>
          <w:bdr w:val="nil"/>
          <w:lang w:val="en-AU" w:eastAsia="en-AU"/>
        </w:rPr>
        <w:t>DSS</w:t>
      </w:r>
      <w:r w:rsidR="00A64D17" w:rsidRPr="00D244DD">
        <w:rPr>
          <w:rFonts w:ascii="Book Antiqua" w:eastAsia="Times New Roman" w:hAnsi="Book Antiqua" w:cs="Times New Roman"/>
          <w:sz w:val="20"/>
          <w:szCs w:val="20"/>
          <w:bdr w:val="nil"/>
          <w:lang w:val="en-AU" w:eastAsia="en-AU"/>
        </w:rPr>
        <w:t xml:space="preserve"> is budgeting for a balanced operating result in 2020-21 before allowing for unfunded items. Under net cash funding arrangements, asset replacement is funded through capital appropriations.</w:t>
      </w:r>
    </w:p>
    <w:p w:rsidR="00702DC6" w:rsidRPr="00D244DD" w:rsidRDefault="00D5482E" w:rsidP="005D41A0">
      <w:pPr>
        <w:keepLines/>
        <w:pBdr>
          <w:top w:val="nil"/>
          <w:left w:val="nil"/>
          <w:bottom w:val="nil"/>
          <w:right w:val="nil"/>
          <w:between w:val="nil"/>
          <w:bar w:val="nil"/>
        </w:pBdr>
        <w:spacing w:after="240" w:line="240" w:lineRule="auto"/>
        <w:jc w:val="both"/>
        <w:rPr>
          <w:bdr w:val="nil"/>
          <w:lang w:val="en-AU"/>
        </w:rPr>
      </w:pPr>
      <w:r w:rsidRPr="00D244DD">
        <w:rPr>
          <w:rFonts w:ascii="Book Antiqua" w:eastAsia="Times New Roman" w:hAnsi="Book Antiqua" w:cs="Times New Roman"/>
          <w:sz w:val="20"/>
          <w:szCs w:val="20"/>
          <w:bdr w:val="nil"/>
          <w:lang w:val="en-AU" w:eastAsia="en-AU"/>
        </w:rPr>
        <w:t>Revenue from the government for 2020-21 is estimated at $385.0 million, lower than in 2019-20. Expenditure for 2020-21 is estimated to be $434.4 million (inclusive of $42.1 million of unfunded depreciation), lower than in 2019-20</w:t>
      </w:r>
      <w:r>
        <w:rPr>
          <w:rFonts w:ascii="Book Antiqua" w:eastAsia="Times New Roman" w:hAnsi="Book Antiqua" w:cs="Times New Roman"/>
          <w:sz w:val="20"/>
          <w:szCs w:val="20"/>
          <w:bdr w:val="nil"/>
          <w:lang w:val="en-AU" w:eastAsia="en-AU"/>
        </w:rPr>
        <w:t>. These decreases are</w:t>
      </w:r>
      <w:r w:rsidRPr="00D244DD">
        <w:rPr>
          <w:rFonts w:ascii="Book Antiqua" w:eastAsia="Times New Roman" w:hAnsi="Book Antiqua" w:cs="Times New Roman"/>
          <w:sz w:val="20"/>
          <w:szCs w:val="20"/>
          <w:bdr w:val="nil"/>
          <w:lang w:val="en-AU" w:eastAsia="en-AU"/>
        </w:rPr>
        <w:t xml:space="preserve"> due to the transfer of the IT function to Services Australia through a Machinery of Government change.</w:t>
      </w:r>
    </w:p>
    <w:p w:rsidR="00702DC6" w:rsidRPr="00D27591" w:rsidRDefault="00D5482E" w:rsidP="005D41A0">
      <w:pPr>
        <w:pStyle w:val="Heading6"/>
        <w:pBdr>
          <w:top w:val="nil"/>
          <w:left w:val="nil"/>
          <w:bottom w:val="nil"/>
          <w:right w:val="nil"/>
          <w:between w:val="nil"/>
          <w:bar w:val="nil"/>
        </w:pBdr>
        <w:spacing w:line="240" w:lineRule="auto"/>
        <w:rPr>
          <w:b w:val="0"/>
          <w:i w:val="0"/>
          <w:color w:val="auto"/>
          <w:bdr w:val="nil"/>
        </w:rPr>
      </w:pPr>
      <w:r w:rsidRPr="00D27591">
        <w:rPr>
          <w:b w:val="0"/>
          <w:i w:val="0"/>
          <w:color w:val="auto"/>
          <w:bdr w:val="nil"/>
        </w:rPr>
        <w:t>Balance sheet</w:t>
      </w:r>
    </w:p>
    <w:p w:rsidR="00702DC6" w:rsidRPr="00D244DD" w:rsidRDefault="00D5482E" w:rsidP="005D41A0">
      <w:pPr>
        <w:keepLines/>
        <w:pBdr>
          <w:top w:val="nil"/>
          <w:left w:val="nil"/>
          <w:bottom w:val="nil"/>
          <w:right w:val="nil"/>
          <w:between w:val="nil"/>
          <w:bar w:val="nil"/>
        </w:pBdr>
        <w:spacing w:after="240" w:line="240" w:lineRule="auto"/>
        <w:jc w:val="both"/>
        <w:rPr>
          <w:rFonts w:ascii="Arial" w:hAnsi="Arial"/>
          <w:b/>
          <w:bCs/>
          <w:iCs/>
          <w:bdr w:val="nil"/>
          <w:lang w:val="en-AU"/>
        </w:rPr>
      </w:pPr>
      <w:r>
        <w:rPr>
          <w:rFonts w:ascii="Book Antiqua" w:eastAsia="Times New Roman" w:hAnsi="Book Antiqua" w:cs="Times New Roman"/>
          <w:sz w:val="20"/>
          <w:szCs w:val="20"/>
          <w:bdr w:val="nil"/>
          <w:lang w:val="en-AU" w:eastAsia="en-AU"/>
        </w:rPr>
        <w:t>DSS’</w:t>
      </w:r>
      <w:r w:rsidR="00A64D17" w:rsidRPr="00D244DD">
        <w:rPr>
          <w:rFonts w:ascii="Book Antiqua" w:eastAsia="Times New Roman" w:hAnsi="Book Antiqua" w:cs="Times New Roman"/>
          <w:sz w:val="20"/>
          <w:szCs w:val="20"/>
          <w:bdr w:val="nil"/>
          <w:lang w:val="en-AU" w:eastAsia="en-AU"/>
        </w:rPr>
        <w:t xml:space="preserve"> budgeted net liability position for 2020-21 is expected to be</w:t>
      </w:r>
      <w:r w:rsidR="00A64D17">
        <w:rPr>
          <w:rFonts w:ascii="Book Antiqua" w:eastAsia="Times New Roman" w:hAnsi="Book Antiqua" w:cs="Times New Roman"/>
          <w:sz w:val="20"/>
          <w:szCs w:val="20"/>
          <w:bdr w:val="nil"/>
          <w:lang w:val="en-AU" w:eastAsia="en-AU"/>
        </w:rPr>
        <w:t xml:space="preserve"> </w:t>
      </w:r>
      <w:r w:rsidR="0029301F">
        <w:rPr>
          <w:rFonts w:ascii="Book Antiqua" w:eastAsia="Times New Roman" w:hAnsi="Book Antiqua" w:cs="Times New Roman"/>
          <w:sz w:val="20"/>
          <w:szCs w:val="20"/>
          <w:bdr w:val="nil"/>
          <w:lang w:val="en-AU" w:eastAsia="en-AU"/>
        </w:rPr>
        <w:t xml:space="preserve">$10.0 million, reflecting </w:t>
      </w:r>
      <w:r w:rsidR="009D61A1">
        <w:rPr>
          <w:rFonts w:ascii="Book Antiqua" w:eastAsia="Times New Roman" w:hAnsi="Book Antiqua" w:cs="Times New Roman"/>
          <w:sz w:val="20"/>
          <w:szCs w:val="20"/>
          <w:bdr w:val="nil"/>
          <w:lang w:val="en-AU" w:eastAsia="en-AU"/>
        </w:rPr>
        <w:t>the accounting treatment of property leases under AASB 16 Leases</w:t>
      </w:r>
      <w:r w:rsidR="00A64D17" w:rsidRPr="00D244DD">
        <w:rPr>
          <w:rFonts w:ascii="Book Antiqua" w:eastAsia="Times New Roman" w:hAnsi="Book Antiqua" w:cs="Times New Roman"/>
          <w:sz w:val="20"/>
          <w:szCs w:val="20"/>
          <w:bdr w:val="nil"/>
          <w:lang w:val="en-AU" w:eastAsia="en-AU"/>
        </w:rPr>
        <w:t>.</w:t>
      </w:r>
    </w:p>
    <w:p w:rsidR="00702DC6" w:rsidRPr="00D244DD" w:rsidRDefault="00D5482E" w:rsidP="005D41A0">
      <w:pPr>
        <w:pStyle w:val="Heading5"/>
        <w:keepLines w:val="0"/>
        <w:pBdr>
          <w:top w:val="nil"/>
          <w:left w:val="nil"/>
          <w:bottom w:val="nil"/>
          <w:right w:val="nil"/>
          <w:between w:val="nil"/>
          <w:bar w:val="nil"/>
        </w:pBdr>
        <w:spacing w:after="240" w:line="240" w:lineRule="auto"/>
        <w:jc w:val="left"/>
        <w:rPr>
          <w:szCs w:val="20"/>
          <w:bdr w:val="nil"/>
        </w:rPr>
      </w:pPr>
      <w:r w:rsidRPr="00D244DD">
        <w:rPr>
          <w:iCs w:val="0"/>
          <w:sz w:val="22"/>
          <w:szCs w:val="20"/>
          <w:bdr w:val="nil"/>
          <w:lang w:eastAsia="en-US"/>
        </w:rPr>
        <w:t>Administered</w:t>
      </w:r>
    </w:p>
    <w:p w:rsidR="00702DC6" w:rsidRPr="00D27591" w:rsidRDefault="00D5482E" w:rsidP="005D41A0">
      <w:pPr>
        <w:pStyle w:val="Heading6"/>
        <w:pBdr>
          <w:top w:val="nil"/>
          <w:left w:val="nil"/>
          <w:bottom w:val="nil"/>
          <w:right w:val="nil"/>
          <w:between w:val="nil"/>
          <w:bar w:val="nil"/>
        </w:pBdr>
        <w:spacing w:line="240" w:lineRule="auto"/>
        <w:rPr>
          <w:b w:val="0"/>
          <w:i w:val="0"/>
          <w:color w:val="auto"/>
          <w:bdr w:val="nil"/>
        </w:rPr>
      </w:pPr>
      <w:r w:rsidRPr="00D27591">
        <w:rPr>
          <w:b w:val="0"/>
          <w:i w:val="0"/>
          <w:color w:val="auto"/>
          <w:bdr w:val="nil"/>
        </w:rPr>
        <w:t>Income and expenses</w:t>
      </w:r>
    </w:p>
    <w:p w:rsidR="00702DC6" w:rsidRPr="00D244DD" w:rsidRDefault="00D5482E" w:rsidP="005D41A0">
      <w:pPr>
        <w:keepLines/>
        <w:pBdr>
          <w:top w:val="nil"/>
          <w:left w:val="nil"/>
          <w:bottom w:val="nil"/>
          <w:right w:val="nil"/>
          <w:between w:val="nil"/>
          <w:bar w:val="nil"/>
        </w:pBdr>
        <w:spacing w:after="240" w:line="240" w:lineRule="auto"/>
        <w:jc w:val="both"/>
        <w:rPr>
          <w:bdr w:val="nil"/>
          <w:lang w:val="en-AU"/>
        </w:rPr>
      </w:pPr>
      <w:r>
        <w:rPr>
          <w:rFonts w:ascii="Book Antiqua" w:eastAsia="Times New Roman" w:hAnsi="Book Antiqua" w:cs="Times New Roman"/>
          <w:sz w:val="20"/>
          <w:szCs w:val="20"/>
          <w:bdr w:val="nil"/>
          <w:lang w:val="en-AU" w:eastAsia="en-AU"/>
        </w:rPr>
        <w:t>DSS</w:t>
      </w:r>
      <w:r w:rsidR="00A64D17" w:rsidRPr="00D244DD">
        <w:rPr>
          <w:rFonts w:ascii="Book Antiqua" w:eastAsia="Times New Roman" w:hAnsi="Book Antiqua" w:cs="Times New Roman"/>
          <w:sz w:val="20"/>
          <w:szCs w:val="20"/>
          <w:bdr w:val="nil"/>
          <w:lang w:val="en-AU" w:eastAsia="en-AU"/>
        </w:rPr>
        <w:t xml:space="preserve"> will administer the collection of non-taxation revenue estimated at $470.9 million in 2020-21, higher than 2019-20 mainly due to recoveries of </w:t>
      </w:r>
      <w:r>
        <w:rPr>
          <w:rFonts w:ascii="Book Antiqua" w:eastAsia="Times New Roman" w:hAnsi="Book Antiqua" w:cs="Times New Roman"/>
          <w:sz w:val="20"/>
          <w:szCs w:val="20"/>
          <w:bdr w:val="nil"/>
          <w:lang w:val="en-AU" w:eastAsia="en-AU"/>
        </w:rPr>
        <w:t xml:space="preserve">the </w:t>
      </w:r>
      <w:r w:rsidR="00A64D17" w:rsidRPr="00D244DD">
        <w:rPr>
          <w:rFonts w:ascii="Book Antiqua" w:eastAsia="Times New Roman" w:hAnsi="Book Antiqua" w:cs="Times New Roman"/>
          <w:sz w:val="20"/>
          <w:szCs w:val="20"/>
          <w:bdr w:val="nil"/>
          <w:lang w:val="en-AU" w:eastAsia="en-AU"/>
        </w:rPr>
        <w:t>National Redress Scheme for Institutional Child Sexual Abuse payments made on behalf of other governments and organisations.</w:t>
      </w:r>
    </w:p>
    <w:p w:rsidR="00702DC6" w:rsidRPr="00D244DD" w:rsidRDefault="00D5482E" w:rsidP="005D41A0">
      <w:pPr>
        <w:keepLines/>
        <w:pBdr>
          <w:top w:val="nil"/>
          <w:left w:val="nil"/>
          <w:bottom w:val="nil"/>
          <w:right w:val="nil"/>
          <w:between w:val="nil"/>
          <w:bar w:val="nil"/>
        </w:pBdr>
        <w:spacing w:after="240" w:line="240" w:lineRule="auto"/>
        <w:jc w:val="both"/>
        <w:rPr>
          <w:bdr w:val="nil"/>
          <w:lang w:val="en-AU"/>
        </w:rPr>
      </w:pPr>
      <w:r>
        <w:rPr>
          <w:rFonts w:ascii="Book Antiqua" w:eastAsia="Times New Roman" w:hAnsi="Book Antiqua" w:cs="Times New Roman"/>
          <w:sz w:val="20"/>
          <w:szCs w:val="20"/>
          <w:bdr w:val="nil"/>
          <w:lang w:val="en-AU" w:eastAsia="en-AU"/>
        </w:rPr>
        <w:t>DSS</w:t>
      </w:r>
      <w:r w:rsidRPr="00D244DD">
        <w:rPr>
          <w:rFonts w:ascii="Book Antiqua" w:eastAsia="Times New Roman" w:hAnsi="Book Antiqua" w:cs="Times New Roman"/>
          <w:sz w:val="20"/>
          <w:szCs w:val="20"/>
          <w:bdr w:val="nil"/>
          <w:lang w:val="en-AU" w:eastAsia="en-AU"/>
        </w:rPr>
        <w:t xml:space="preserve"> expenses administered on behalf of the Australian Government will total $169.2 billion in 2020-21, </w:t>
      </w:r>
      <w:r>
        <w:rPr>
          <w:rFonts w:ascii="Book Antiqua" w:eastAsia="Times New Roman" w:hAnsi="Book Antiqua" w:cs="Times New Roman"/>
          <w:sz w:val="20"/>
          <w:szCs w:val="20"/>
          <w:bdr w:val="nil"/>
          <w:lang w:val="en-AU" w:eastAsia="en-AU"/>
        </w:rPr>
        <w:t xml:space="preserve">significantly </w:t>
      </w:r>
      <w:r w:rsidRPr="00D244DD">
        <w:rPr>
          <w:rFonts w:ascii="Book Antiqua" w:eastAsia="Times New Roman" w:hAnsi="Book Antiqua" w:cs="Times New Roman"/>
          <w:sz w:val="20"/>
          <w:szCs w:val="20"/>
          <w:bdr w:val="nil"/>
          <w:lang w:val="en-AU" w:eastAsia="en-AU"/>
        </w:rPr>
        <w:t xml:space="preserve">higher than in 2019-20 due to the </w:t>
      </w:r>
      <w:r>
        <w:rPr>
          <w:rFonts w:ascii="Book Antiqua" w:eastAsia="Times New Roman" w:hAnsi="Book Antiqua" w:cs="Times New Roman"/>
          <w:sz w:val="20"/>
          <w:szCs w:val="20"/>
          <w:bdr w:val="nil"/>
          <w:lang w:val="en-AU" w:eastAsia="en-AU"/>
        </w:rPr>
        <w:t>ongoing effects of the COVID-19 pandemic.</w:t>
      </w:r>
    </w:p>
    <w:p w:rsidR="00702DC6" w:rsidRPr="00D27591" w:rsidRDefault="00D5482E" w:rsidP="005D41A0">
      <w:pPr>
        <w:pStyle w:val="Heading6"/>
        <w:pBdr>
          <w:top w:val="nil"/>
          <w:left w:val="nil"/>
          <w:bottom w:val="nil"/>
          <w:right w:val="nil"/>
          <w:between w:val="nil"/>
          <w:bar w:val="nil"/>
        </w:pBdr>
        <w:spacing w:line="240" w:lineRule="auto"/>
        <w:rPr>
          <w:b w:val="0"/>
          <w:i w:val="0"/>
          <w:color w:val="auto"/>
          <w:bdr w:val="nil"/>
        </w:rPr>
      </w:pPr>
      <w:r w:rsidRPr="00D27591">
        <w:rPr>
          <w:b w:val="0"/>
          <w:i w:val="0"/>
          <w:color w:val="auto"/>
          <w:bdr w:val="nil"/>
        </w:rPr>
        <w:t>Balance sheet</w:t>
      </w:r>
    </w:p>
    <w:p w:rsidR="00702DC6" w:rsidRPr="00D244DD" w:rsidRDefault="00D5482E" w:rsidP="005D41A0">
      <w:pPr>
        <w:keepLines/>
        <w:pBdr>
          <w:top w:val="nil"/>
          <w:left w:val="nil"/>
          <w:bottom w:val="nil"/>
          <w:right w:val="nil"/>
          <w:between w:val="nil"/>
          <w:bar w:val="nil"/>
        </w:pBdr>
        <w:spacing w:after="240" w:line="240" w:lineRule="auto"/>
        <w:jc w:val="both"/>
        <w:rPr>
          <w:bdr w:val="nil"/>
          <w:lang w:val="en-AU"/>
        </w:rPr>
      </w:pPr>
      <w:r w:rsidRPr="00D244DD">
        <w:rPr>
          <w:rFonts w:ascii="Book Antiqua" w:eastAsia="Times New Roman" w:hAnsi="Book Antiqua" w:cs="Times New Roman"/>
          <w:sz w:val="20"/>
          <w:szCs w:val="20"/>
          <w:bdr w:val="nil"/>
          <w:lang w:val="en-AU" w:eastAsia="en-AU"/>
        </w:rPr>
        <w:t>Total assets administered on behalf of the Australian Government are expected to be $4.8 billion. The reduction when compared to 2019-20 is primarily due to a decrease in receivables</w:t>
      </w:r>
      <w:r>
        <w:rPr>
          <w:rFonts w:ascii="Book Antiqua" w:eastAsia="Times New Roman" w:hAnsi="Book Antiqua" w:cs="Times New Roman"/>
          <w:sz w:val="20"/>
          <w:szCs w:val="20"/>
          <w:bdr w:val="nil"/>
          <w:lang w:val="en-AU" w:eastAsia="en-AU"/>
        </w:rPr>
        <w:t>.</w:t>
      </w:r>
    </w:p>
    <w:p w:rsidR="00702DC6" w:rsidRPr="00D244DD" w:rsidRDefault="00D5482E" w:rsidP="005D41A0">
      <w:pPr>
        <w:keepLines/>
        <w:pBdr>
          <w:top w:val="nil"/>
          <w:left w:val="nil"/>
          <w:bottom w:val="nil"/>
          <w:right w:val="nil"/>
          <w:between w:val="nil"/>
          <w:bar w:val="nil"/>
        </w:pBdr>
        <w:spacing w:after="240" w:line="240" w:lineRule="auto"/>
        <w:jc w:val="both"/>
        <w:rPr>
          <w:iCs/>
          <w:smallCaps/>
          <w:spacing w:val="5"/>
          <w:bdr w:val="nil"/>
          <w:lang w:val="en-AU"/>
        </w:rPr>
      </w:pPr>
      <w:r w:rsidRPr="00D244DD">
        <w:rPr>
          <w:rFonts w:ascii="Book Antiqua" w:eastAsia="Times New Roman" w:hAnsi="Book Antiqua" w:cs="Times New Roman"/>
          <w:sz w:val="20"/>
          <w:szCs w:val="20"/>
          <w:bdr w:val="nil"/>
          <w:lang w:val="en-AU" w:eastAsia="en-AU"/>
        </w:rPr>
        <w:t xml:space="preserve">Total liabilities administered on behalf of the Australian Government are expected to be $7.5 billion. The reduction when compared to 2019-20 is primarily due to a decrease in personal benefits payable.  </w:t>
      </w:r>
    </w:p>
    <w:p w:rsidR="006F0217" w:rsidRPr="006F0217" w:rsidRDefault="006F0217" w:rsidP="005D41A0">
      <w:pPr>
        <w:keepLines/>
        <w:pBdr>
          <w:top w:val="nil"/>
          <w:left w:val="nil"/>
          <w:bottom w:val="nil"/>
          <w:right w:val="nil"/>
          <w:between w:val="nil"/>
          <w:bar w:val="nil"/>
        </w:pBdr>
        <w:spacing w:after="240" w:line="240" w:lineRule="auto"/>
        <w:jc w:val="both"/>
        <w:rPr>
          <w:bdr w:val="nil"/>
          <w:lang w:val="en-AU"/>
        </w:rPr>
      </w:pPr>
    </w:p>
    <w:p w:rsidR="007B0256" w:rsidRPr="00BA3C19" w:rsidRDefault="00D5482E" w:rsidP="00222FDB">
      <w:pPr>
        <w:keepLines/>
        <w:pageBreakBefore/>
        <w:pBdr>
          <w:top w:val="nil"/>
          <w:left w:val="nil"/>
          <w:bottom w:val="nil"/>
          <w:right w:val="nil"/>
          <w:between w:val="nil"/>
          <w:bar w:val="nil"/>
        </w:pBdr>
        <w:spacing w:after="0" w:line="240" w:lineRule="auto"/>
        <w:jc w:val="both"/>
        <w:rPr>
          <w:rStyle w:val="BookTitle"/>
          <w:rFonts w:ascii="Arial" w:hAnsi="Arial" w:cs="Arial"/>
          <w:b/>
          <w:i w:val="0"/>
          <w:smallCaps w:val="0"/>
          <w:spacing w:val="0"/>
          <w:bdr w:val="nil"/>
          <w:lang w:val="en-AU"/>
        </w:rPr>
      </w:pPr>
      <w:r>
        <w:rPr>
          <w:rFonts w:ascii="Arial" w:eastAsia="Times New Roman" w:hAnsi="Arial" w:cs="Arial"/>
          <w:b/>
          <w:snapToGrid w:val="0"/>
          <w:szCs w:val="20"/>
          <w:bdr w:val="nil"/>
          <w:lang w:val="en-AU" w:eastAsia="en-AU"/>
        </w:rPr>
        <w:lastRenderedPageBreak/>
        <w:t>3.2.2</w:t>
      </w:r>
      <w:r w:rsidRPr="00BA3C19">
        <w:rPr>
          <w:rFonts w:ascii="Arial" w:eastAsia="Times New Roman" w:hAnsi="Arial" w:cs="Arial"/>
          <w:b/>
          <w:snapToGrid w:val="0"/>
          <w:szCs w:val="20"/>
          <w:bdr w:val="nil"/>
          <w:lang w:val="en-AU" w:eastAsia="en-AU"/>
        </w:rPr>
        <w:tab/>
        <w:t>Budgeted financial statements</w:t>
      </w:r>
    </w:p>
    <w:p w:rsidR="007B0256" w:rsidRDefault="00D5482E" w:rsidP="00605E3F">
      <w:pPr>
        <w:pStyle w:val="TableHeading"/>
        <w:keepLines/>
        <w:pBdr>
          <w:top w:val="nil"/>
          <w:left w:val="nil"/>
          <w:bottom w:val="nil"/>
          <w:right w:val="nil"/>
          <w:between w:val="nil"/>
          <w:bar w:val="nil"/>
        </w:pBdr>
        <w:spacing w:before="240" w:after="0"/>
        <w:rPr>
          <w:rFonts w:eastAsia="Calibri"/>
          <w:bdr w:val="nil"/>
        </w:rPr>
      </w:pPr>
      <w:r>
        <w:rPr>
          <w:rFonts w:eastAsia="Calibri" w:cs="Arial"/>
          <w:szCs w:val="22"/>
          <w:bdr w:val="nil"/>
          <w:lang w:eastAsia="en-US"/>
        </w:rPr>
        <w:t>Table 3.2</w:t>
      </w:r>
      <w:r w:rsidRPr="00803533">
        <w:rPr>
          <w:rFonts w:eastAsia="Calibri" w:cs="Arial"/>
          <w:szCs w:val="22"/>
          <w:bdr w:val="nil"/>
          <w:lang w:eastAsia="en-US"/>
        </w:rPr>
        <w:t xml:space="preserve">: </w:t>
      </w:r>
      <w:r>
        <w:rPr>
          <w:rFonts w:eastAsia="Calibri" w:cs="Arial"/>
          <w:szCs w:val="22"/>
          <w:bdr w:val="nil"/>
          <w:lang w:eastAsia="en-US"/>
        </w:rPr>
        <w:t xml:space="preserve">Comprehensive income statement (showing net cost of services) </w:t>
      </w:r>
      <w:r>
        <w:rPr>
          <w:rFonts w:eastAsia="Calibri" w:cs="Arial"/>
          <w:szCs w:val="22"/>
          <w:bdr w:val="nil"/>
          <w:lang w:eastAsia="en-US"/>
        </w:rPr>
        <w:br/>
        <w:t>for the period ended 30 June</w:t>
      </w:r>
    </w:p>
    <w:tbl>
      <w:tblPr>
        <w:tblStyle w:val="CDMRange1"/>
        <w:tblW w:w="7845" w:type="dxa"/>
        <w:tblLayout w:type="fixed"/>
        <w:tblCellMar>
          <w:top w:w="11" w:type="dxa"/>
          <w:bottom w:w="11" w:type="dxa"/>
        </w:tblCellMar>
        <w:tblLook w:val="0600" w:firstRow="0" w:lastRow="0" w:firstColumn="0" w:lastColumn="0" w:noHBand="1" w:noVBand="1"/>
        <w:tblCaption w:val="Table 3.2: Comprehensive income statement (showing net cost of services) "/>
      </w:tblPr>
      <w:tblGrid>
        <w:gridCol w:w="2595"/>
        <w:gridCol w:w="1050"/>
        <w:gridCol w:w="1050"/>
        <w:gridCol w:w="1050"/>
        <w:gridCol w:w="1050"/>
        <w:gridCol w:w="1050"/>
      </w:tblGrid>
      <w:tr w:rsidR="00010972" w:rsidTr="001958CE">
        <w:trPr>
          <w:tblHeader/>
        </w:trPr>
        <w:tc>
          <w:tcPr>
            <w:tcW w:w="2595"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1050" w:type="dxa"/>
            <w:tcBorders>
              <w:top w:val="dotted" w:sz="2" w:space="0" w:color="000000"/>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1050"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1050"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1050"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right"/>
              <w:rPr>
                <w:rFonts w:ascii="Arial" w:eastAsia="Arial" w:hAnsi="Arial" w:cs="Arial"/>
                <w:color w:val="000000"/>
                <w:sz w:val="16"/>
                <w:bdr w:val="nil"/>
                <w:lang w:val="en-AU"/>
              </w:rPr>
            </w:pP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1050" w:type="dxa"/>
            <w:tcBorders>
              <w:top w:val="nil"/>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right"/>
              <w:rPr>
                <w:rFonts w:ascii="Arial" w:eastAsia="Arial" w:hAnsi="Arial" w:cs="Arial"/>
                <w:color w:val="000000"/>
                <w:sz w:val="16"/>
                <w:bdr w:val="nil"/>
                <w:lang w:val="en-AU"/>
              </w:rPr>
            </w:pPr>
          </w:p>
        </w:tc>
        <w:tc>
          <w:tcPr>
            <w:tcW w:w="1050"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nil"/>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right"/>
              <w:rPr>
                <w:rFonts w:ascii="Arial" w:eastAsia="Arial" w:hAnsi="Arial" w:cs="Arial"/>
                <w:color w:val="000000"/>
                <w:sz w:val="16"/>
                <w:bdr w:val="nil"/>
                <w:lang w:val="en-AU"/>
              </w:rPr>
            </w:pPr>
          </w:p>
        </w:tc>
        <w:tc>
          <w:tcPr>
            <w:tcW w:w="1050"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50" w:type="dxa"/>
            <w:tcBorders>
              <w:top w:val="nil"/>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5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5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5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EXPENSES</w:t>
            </w:r>
          </w:p>
        </w:tc>
        <w:tc>
          <w:tcPr>
            <w:tcW w:w="105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dotted" w:sz="2" w:space="0" w:color="000000"/>
              <w:left w:val="nil"/>
              <w:bottom w:val="nil"/>
              <w:right w:val="single" w:sz="4" w:space="0" w:color="FFFFFF"/>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dotted" w:sz="2" w:space="0" w:color="000000"/>
              <w:left w:val="single" w:sz="4" w:space="0" w:color="FFFFFF"/>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Employee benefits</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288,486</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242,761</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250,592</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252,727</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257,332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Suppliers</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146,343</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141,304</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103,959</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84,251</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74,329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Depreciation and amortisation</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73,225</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42,114</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38,958</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35,139</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34,982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expenses</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6,317</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financing costs</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8,487</w:t>
            </w:r>
          </w:p>
        </w:tc>
        <w:tc>
          <w:tcPr>
            <w:tcW w:w="105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8,212</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7,936</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7,668</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7,381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expenses</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522,858</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434,391</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401,445</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379,785</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374,024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LESS: </w:t>
            </w:r>
          </w:p>
        </w:tc>
        <w:tc>
          <w:tcPr>
            <w:tcW w:w="105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OWN-SOURCE INCOME</w:t>
            </w: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Own-source revenue</w:t>
            </w: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Sale of goods and rendering</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of services</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49,598</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25,273</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25,018</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25,018</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25,018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Rental income</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2,198</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2,706</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1,256</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1,256</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1,256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revenue</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1,713</w:t>
            </w:r>
          </w:p>
        </w:tc>
        <w:tc>
          <w:tcPr>
            <w:tcW w:w="105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1,470</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1,470</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1,470</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1,470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own-source revenue</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53,509</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29,449</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27,744</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27,744</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27,744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Gains</w:t>
            </w:r>
          </w:p>
        </w:tc>
        <w:tc>
          <w:tcPr>
            <w:tcW w:w="105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gains</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699</w:t>
            </w:r>
          </w:p>
        </w:tc>
        <w:tc>
          <w:tcPr>
            <w:tcW w:w="105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gains</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699</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own-source income</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54,208</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29,449</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27,744</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27,744</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27,744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(cost of)/contribution by</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services</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(468,650)</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(404,942)</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(373,701)</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(352,041)</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(346,280)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FFFFFF" w:fill="FFFFFF"/>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Revenue from Government</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411,945</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384,996</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357,718</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341,315</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335,711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Surplus/(deficit) attributable</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to the Australian</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Government</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(56,705)</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(19,946)</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(15,983)</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(10,726)</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(10,569)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OTHER COMPREHENSIVE</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INCOME</w:t>
            </w: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Changes in asset revaluation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reserves</w:t>
            </w:r>
          </w:p>
        </w:tc>
        <w:tc>
          <w:tcPr>
            <w:tcW w:w="105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w:t>
            </w:r>
          </w:p>
        </w:tc>
        <w:tc>
          <w:tcPr>
            <w:tcW w:w="105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other comprehensive</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income </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(8)</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comprehensive</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income/(loss)</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(56,713)</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(19,946)</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(15,983)</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(10,726)</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(10,569)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comprehensive</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income/(loss) attributable to</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the Australian Government</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(56,713)</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(19,946)</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(15,983)</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(10,726)</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(10,569)</w:t>
            </w:r>
          </w:p>
        </w:tc>
      </w:tr>
    </w:tbl>
    <w:p w:rsidR="00F74D89" w:rsidRDefault="00F74D89">
      <w:pPr>
        <w:pBdr>
          <w:top w:val="nil"/>
          <w:left w:val="nil"/>
          <w:bottom w:val="nil"/>
          <w:right w:val="nil"/>
          <w:between w:val="nil"/>
          <w:bar w:val="nil"/>
        </w:pBdr>
        <w:rPr>
          <w:rFonts w:ascii="Arial" w:eastAsia="Calibri" w:hAnsi="Arial" w:cs="Arial"/>
          <w:b/>
          <w:bdr w:val="nil"/>
          <w:lang w:val="en-AU"/>
        </w:rPr>
      </w:pPr>
    </w:p>
    <w:p w:rsidR="004B29E2" w:rsidRDefault="00D5482E">
      <w:pPr>
        <w:pBdr>
          <w:top w:val="nil"/>
          <w:left w:val="nil"/>
          <w:bottom w:val="nil"/>
          <w:right w:val="nil"/>
          <w:between w:val="nil"/>
          <w:bar w:val="nil"/>
        </w:pBdr>
        <w:rPr>
          <w:rFonts w:ascii="Arial" w:eastAsia="Calibri" w:hAnsi="Arial" w:cs="Arial"/>
          <w:b/>
          <w:bdr w:val="nil"/>
          <w:lang w:val="en-AU"/>
        </w:rPr>
      </w:pPr>
      <w:r>
        <w:rPr>
          <w:rFonts w:ascii="Book Antiqua" w:eastAsia="Times New Roman" w:hAnsi="Book Antiqua" w:cs="Times New Roman"/>
          <w:sz w:val="20"/>
          <w:szCs w:val="20"/>
          <w:bdr w:val="nil"/>
          <w:lang w:val="en-AU" w:eastAsia="en-AU"/>
        </w:rPr>
        <w:br w:type="page"/>
      </w:r>
    </w:p>
    <w:p w:rsidR="00D145BE" w:rsidRDefault="00D5482E" w:rsidP="00D145BE">
      <w:pPr>
        <w:pStyle w:val="TableHeading"/>
        <w:keepLines/>
        <w:pBdr>
          <w:top w:val="nil"/>
          <w:left w:val="nil"/>
          <w:bottom w:val="nil"/>
          <w:right w:val="nil"/>
          <w:between w:val="nil"/>
          <w:bar w:val="nil"/>
        </w:pBdr>
        <w:spacing w:before="0" w:after="0"/>
        <w:rPr>
          <w:rStyle w:val="BookTitle"/>
          <w:rFonts w:eastAsia="Calibri"/>
          <w:i w:val="0"/>
          <w:bdr w:val="nil"/>
        </w:rPr>
      </w:pPr>
      <w:r>
        <w:rPr>
          <w:rFonts w:eastAsia="Calibri" w:cs="Arial"/>
          <w:szCs w:val="22"/>
          <w:bdr w:val="nil"/>
          <w:lang w:eastAsia="en-US"/>
        </w:rPr>
        <w:lastRenderedPageBreak/>
        <w:t xml:space="preserve">Table 3.2: Comprehensive income statement (showing net cost of services) </w:t>
      </w:r>
      <w:r>
        <w:rPr>
          <w:rFonts w:eastAsia="Calibri" w:cs="Arial"/>
          <w:szCs w:val="22"/>
          <w:bdr w:val="nil"/>
          <w:lang w:eastAsia="en-US"/>
        </w:rPr>
        <w:br/>
        <w:t>for the period ended 30 June (continued)</w:t>
      </w:r>
    </w:p>
    <w:tbl>
      <w:tblPr>
        <w:tblStyle w:val="CDMRange2"/>
        <w:tblW w:w="7845" w:type="dxa"/>
        <w:tblLayout w:type="fixed"/>
        <w:tblCellMar>
          <w:top w:w="11" w:type="dxa"/>
          <w:bottom w:w="11" w:type="dxa"/>
        </w:tblCellMar>
        <w:tblLook w:val="0600" w:firstRow="0" w:lastRow="0" w:firstColumn="0" w:lastColumn="0" w:noHBand="1" w:noVBand="1"/>
        <w:tblCaption w:val="Table 3.2: Comprehensive income statement (showing net cost of services) "/>
      </w:tblPr>
      <w:tblGrid>
        <w:gridCol w:w="2595"/>
        <w:gridCol w:w="1050"/>
        <w:gridCol w:w="1050"/>
        <w:gridCol w:w="1050"/>
        <w:gridCol w:w="1050"/>
        <w:gridCol w:w="1050"/>
      </w:tblGrid>
      <w:tr w:rsidR="00010972" w:rsidTr="001958CE">
        <w:trPr>
          <w:tblHeader/>
        </w:trPr>
        <w:tc>
          <w:tcPr>
            <w:tcW w:w="7845" w:type="dxa"/>
            <w:gridSpan w:val="6"/>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Note: Impact of net cash appropriation arrangements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1050" w:type="dxa"/>
            <w:tcBorders>
              <w:top w:val="dotted" w:sz="2" w:space="0" w:color="000000"/>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1050"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1050"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1050"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1050" w:type="dxa"/>
            <w:tcBorders>
              <w:top w:val="nil"/>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nil"/>
              <w:left w:val="nil"/>
              <w:bottom w:val="nil"/>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50"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50" w:type="dxa"/>
            <w:tcBorders>
              <w:top w:val="nil"/>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5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5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5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comprehensive</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income/(loss) excluding</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depreciation/amortisation</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expenses previously</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funded through revenue</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appropriations, depreciation</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on ROU, principal</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repayments on leased assets</w:t>
            </w:r>
          </w:p>
        </w:tc>
        <w:tc>
          <w:tcPr>
            <w:tcW w:w="1050" w:type="dxa"/>
            <w:tcBorders>
              <w:top w:val="dotted" w:sz="2" w:space="0" w:color="000000"/>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(4,276)</w:t>
            </w:r>
          </w:p>
        </w:tc>
        <w:tc>
          <w:tcPr>
            <w:tcW w:w="1050" w:type="dxa"/>
            <w:tcBorders>
              <w:top w:val="dotted" w:sz="2" w:space="0" w:color="000000"/>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050"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050"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050"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less depreciation/amortisation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expenses previously funded</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through revenue</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appropriations (a)</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38,931</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7,235</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6,415</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5,413</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5,256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less depreciation/amortisation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expenses for ROU assets (b)</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34,294</w:t>
            </w:r>
          </w:p>
        </w:tc>
        <w:tc>
          <w:tcPr>
            <w:tcW w:w="105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34,879</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32,543</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29,726</w:t>
            </w:r>
          </w:p>
        </w:tc>
        <w:tc>
          <w:tcPr>
            <w:tcW w:w="105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29,726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nil"/>
              <w:right w:val="nil"/>
              <w:tl2br w:val="nil"/>
              <w:tr2bl w:val="nil"/>
            </w:tcBorders>
            <w:shd w:val="clear" w:color="auto" w:fill="auto"/>
            <w:tcMar>
              <w:left w:w="175" w:type="dxa"/>
              <w:right w:w="40" w:type="dxa"/>
            </w:tcMar>
            <w:vAlign w:val="bottom"/>
          </w:tcPr>
          <w:p w:rsidR="00010972" w:rsidRDefault="0041477B">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plus</w:t>
            </w:r>
            <w:r w:rsidR="00D5482E">
              <w:rPr>
                <w:rFonts w:ascii="Arial" w:eastAsia="Arial" w:hAnsi="Arial" w:cs="Arial"/>
                <w:color w:val="000000"/>
                <w:sz w:val="16"/>
                <w:szCs w:val="20"/>
                <w:bdr w:val="nil"/>
                <w:lang w:val="en-AU" w:eastAsia="en-AU"/>
              </w:rPr>
              <w:t xml:space="preserve"> principal repayments 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leased assets (b)</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20,788</w:t>
            </w:r>
          </w:p>
        </w:tc>
        <w:tc>
          <w:tcPr>
            <w:tcW w:w="105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22,168</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22,975</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24,413</w:t>
            </w:r>
          </w:p>
        </w:tc>
        <w:tc>
          <w:tcPr>
            <w:tcW w:w="105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24,413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comprehensive</w:t>
            </w:r>
          </w:p>
          <w:p w:rsidR="00010972" w:rsidRDefault="009A1AEC">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income/(loss) –</w:t>
            </w:r>
            <w:r w:rsidR="00D5482E">
              <w:rPr>
                <w:rFonts w:ascii="Arial" w:eastAsia="Arial" w:hAnsi="Arial" w:cs="Arial"/>
                <w:b/>
                <w:color w:val="000000"/>
                <w:sz w:val="16"/>
                <w:szCs w:val="20"/>
                <w:bdr w:val="nil"/>
                <w:lang w:val="en-AU" w:eastAsia="en-AU"/>
              </w:rPr>
              <w:t xml:space="preserve"> as per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the statement of</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comprehensive income</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(56,713)</w:t>
            </w:r>
          </w:p>
        </w:tc>
        <w:tc>
          <w:tcPr>
            <w:tcW w:w="1050"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(19,946)</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(15,983)</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(10,726)</w:t>
            </w:r>
          </w:p>
        </w:tc>
        <w:tc>
          <w:tcPr>
            <w:tcW w:w="105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(10,569)</w:t>
            </w:r>
          </w:p>
        </w:tc>
      </w:tr>
    </w:tbl>
    <w:p w:rsidR="00D145BE" w:rsidRPr="00F74D89" w:rsidRDefault="00D5482E" w:rsidP="004D2590">
      <w:pPr>
        <w:keepLines/>
        <w:pBdr>
          <w:top w:val="nil"/>
          <w:left w:val="nil"/>
          <w:bottom w:val="nil"/>
          <w:right w:val="nil"/>
          <w:between w:val="nil"/>
          <w:bar w:val="nil"/>
        </w:pBdr>
        <w:spacing w:after="0" w:line="240" w:lineRule="auto"/>
        <w:contextualSpacing/>
        <w:jc w:val="both"/>
        <w:rPr>
          <w:rFonts w:ascii="Arial" w:hAnsi="Arial" w:cs="Arial"/>
          <w:sz w:val="16"/>
          <w:szCs w:val="16"/>
          <w:bdr w:val="nil"/>
          <w:lang w:val="en-AU"/>
        </w:rPr>
      </w:pPr>
      <w:r w:rsidRPr="00F74D89">
        <w:rPr>
          <w:rFonts w:ascii="Arial" w:eastAsia="Times New Roman" w:hAnsi="Arial" w:cs="Arial"/>
          <w:sz w:val="16"/>
          <w:szCs w:val="16"/>
          <w:bdr w:val="nil"/>
          <w:lang w:val="en-AU"/>
        </w:rPr>
        <w:t>Prepared on Australian Accounting Standard basis.</w:t>
      </w:r>
    </w:p>
    <w:p w:rsidR="00D145BE" w:rsidRDefault="00D5482E" w:rsidP="00E915B3">
      <w:pPr>
        <w:pStyle w:val="ListParagraph"/>
        <w:numPr>
          <w:ilvl w:val="0"/>
          <w:numId w:val="35"/>
        </w:numPr>
        <w:pBdr>
          <w:top w:val="nil"/>
          <w:left w:val="nil"/>
          <w:bottom w:val="nil"/>
          <w:right w:val="nil"/>
          <w:between w:val="nil"/>
          <w:bar w:val="nil"/>
        </w:pBdr>
        <w:spacing w:after="0" w:line="240" w:lineRule="auto"/>
        <w:ind w:left="284" w:hanging="284"/>
        <w:jc w:val="both"/>
        <w:rPr>
          <w:rFonts w:eastAsia="Calibri" w:cs="Arial"/>
          <w:sz w:val="16"/>
          <w:szCs w:val="16"/>
          <w:bdr w:val="nil"/>
          <w:lang w:val="en-AU"/>
        </w:rPr>
      </w:pPr>
      <w:r w:rsidRPr="00F74D89">
        <w:rPr>
          <w:rFonts w:ascii="Arial" w:eastAsia="Calibri" w:hAnsi="Arial" w:cs="Arial"/>
          <w:sz w:val="16"/>
          <w:szCs w:val="16"/>
          <w:bdr w:val="nil"/>
          <w:lang w:val="en-AU"/>
        </w:rPr>
        <w:t xml:space="preserve">From 2010­11, the Government introduced net cash appropriation arrangements where </w:t>
      </w:r>
      <w:r w:rsidRPr="00E915B3">
        <w:rPr>
          <w:rFonts w:ascii="Arial" w:eastAsia="Calibri" w:hAnsi="Arial" w:cs="Arial"/>
          <w:sz w:val="16"/>
          <w:szCs w:val="16"/>
          <w:bdr w:val="nil"/>
          <w:lang w:val="en-AU"/>
        </w:rPr>
        <w:t>Appropriation Act (No.1)</w:t>
      </w:r>
      <w:r w:rsidRPr="00F74D89">
        <w:rPr>
          <w:rFonts w:ascii="Arial" w:eastAsia="Calibri" w:hAnsi="Arial" w:cs="Arial"/>
          <w:sz w:val="16"/>
          <w:szCs w:val="16"/>
          <w:bdr w:val="nil"/>
          <w:lang w:val="en-AU"/>
        </w:rPr>
        <w:t xml:space="preserve"> and Bill (No. 3) revenue appropriations for the depreciation/amortisation expenses of non-corporate Commonwealth entities (and select corporate Commonwealth entities) were replaced with a separate capital budget (the Departmental Capital Budget, or DCB) provided through </w:t>
      </w:r>
      <w:r w:rsidRPr="00E915B3">
        <w:rPr>
          <w:rFonts w:ascii="Arial" w:eastAsia="Calibri" w:hAnsi="Arial" w:cs="Arial"/>
          <w:sz w:val="16"/>
          <w:szCs w:val="16"/>
          <w:bdr w:val="nil"/>
          <w:lang w:val="en-AU"/>
        </w:rPr>
        <w:t>Appropriation Act (No.1)</w:t>
      </w:r>
      <w:r w:rsidRPr="00063192">
        <w:rPr>
          <w:rFonts w:ascii="Arial" w:eastAsia="Calibri" w:hAnsi="Arial" w:cs="Arial"/>
          <w:i/>
          <w:sz w:val="16"/>
          <w:szCs w:val="16"/>
          <w:bdr w:val="nil"/>
          <w:lang w:val="en-AU"/>
        </w:rPr>
        <w:t xml:space="preserve"> </w:t>
      </w:r>
      <w:r w:rsidRPr="00F74D89">
        <w:rPr>
          <w:rFonts w:ascii="Arial" w:eastAsia="Calibri" w:hAnsi="Arial" w:cs="Arial"/>
          <w:sz w:val="16"/>
          <w:szCs w:val="16"/>
          <w:bdr w:val="nil"/>
          <w:lang w:val="en-AU"/>
        </w:rPr>
        <w:t>and Bill (No. 3) equity appropriations. For information regarding DCBs, please refer to Table</w:t>
      </w:r>
      <w:r>
        <w:rPr>
          <w:rFonts w:ascii="Arial" w:eastAsia="Calibri" w:hAnsi="Arial" w:cs="Arial"/>
          <w:sz w:val="16"/>
          <w:szCs w:val="16"/>
          <w:bdr w:val="nil"/>
          <w:lang w:val="en-AU"/>
        </w:rPr>
        <w:t> </w:t>
      </w:r>
      <w:r w:rsidRPr="00F74D89">
        <w:rPr>
          <w:rFonts w:ascii="Arial" w:eastAsia="Calibri" w:hAnsi="Arial" w:cs="Arial"/>
          <w:sz w:val="16"/>
          <w:szCs w:val="16"/>
          <w:bdr w:val="nil"/>
          <w:lang w:val="en-AU"/>
        </w:rPr>
        <w:t>3.6</w:t>
      </w:r>
      <w:r>
        <w:rPr>
          <w:rFonts w:ascii="Arial" w:eastAsia="Calibri" w:hAnsi="Arial" w:cs="Arial"/>
          <w:sz w:val="16"/>
          <w:szCs w:val="16"/>
          <w:bdr w:val="nil"/>
          <w:lang w:val="en-AU"/>
        </w:rPr>
        <w:t> Departmental Capital Budget</w:t>
      </w:r>
      <w:r w:rsidRPr="00F74D89">
        <w:rPr>
          <w:rFonts w:ascii="Arial" w:eastAsia="Calibri" w:hAnsi="Arial" w:cs="Arial"/>
          <w:sz w:val="16"/>
          <w:szCs w:val="16"/>
          <w:bdr w:val="nil"/>
          <w:lang w:val="en-AU"/>
        </w:rPr>
        <w:t xml:space="preserve"> Statement.</w:t>
      </w:r>
    </w:p>
    <w:p w:rsidR="001E15F9" w:rsidRDefault="00D5482E" w:rsidP="00E915B3">
      <w:pPr>
        <w:pStyle w:val="ListParagraph"/>
        <w:numPr>
          <w:ilvl w:val="0"/>
          <w:numId w:val="35"/>
        </w:numPr>
        <w:pBdr>
          <w:top w:val="nil"/>
          <w:left w:val="nil"/>
          <w:bottom w:val="nil"/>
          <w:right w:val="nil"/>
          <w:between w:val="nil"/>
          <w:bar w:val="nil"/>
        </w:pBdr>
        <w:spacing w:after="0" w:line="240" w:lineRule="auto"/>
        <w:ind w:left="284" w:hanging="284"/>
        <w:jc w:val="both"/>
        <w:rPr>
          <w:rFonts w:eastAsia="Calibri" w:cs="Arial"/>
          <w:sz w:val="16"/>
          <w:szCs w:val="16"/>
          <w:bdr w:val="nil"/>
          <w:lang w:val="en-AU"/>
        </w:rPr>
      </w:pPr>
      <w:r>
        <w:rPr>
          <w:rFonts w:ascii="Arial" w:eastAsia="Calibri" w:hAnsi="Arial" w:cs="Arial"/>
          <w:sz w:val="16"/>
          <w:szCs w:val="20"/>
          <w:bdr w:val="nil"/>
          <w:lang w:val="en-AU"/>
        </w:rPr>
        <w:t>Applies to leases under AASB 16 Leases.</w:t>
      </w:r>
    </w:p>
    <w:p w:rsidR="004B29E2" w:rsidRPr="004B29E2" w:rsidRDefault="004B29E2" w:rsidP="004B29E2">
      <w:pPr>
        <w:keepLines/>
        <w:pBdr>
          <w:top w:val="nil"/>
          <w:left w:val="nil"/>
          <w:bottom w:val="nil"/>
          <w:right w:val="nil"/>
          <w:between w:val="nil"/>
          <w:bar w:val="nil"/>
        </w:pBdr>
        <w:spacing w:after="240" w:line="260" w:lineRule="exact"/>
        <w:jc w:val="both"/>
        <w:rPr>
          <w:rFonts w:cs="Arial"/>
          <w:sz w:val="16"/>
          <w:szCs w:val="16"/>
          <w:bdr w:val="nil"/>
          <w:lang w:val="en-AU"/>
        </w:rPr>
      </w:pPr>
    </w:p>
    <w:p w:rsidR="007B0256" w:rsidRDefault="00D5482E" w:rsidP="004264DE">
      <w:pPr>
        <w:pStyle w:val="TableHeading"/>
        <w:keepLines/>
        <w:pageBreakBefore/>
        <w:pBdr>
          <w:top w:val="nil"/>
          <w:left w:val="nil"/>
          <w:bottom w:val="nil"/>
          <w:right w:val="nil"/>
          <w:between w:val="nil"/>
          <w:bar w:val="nil"/>
        </w:pBdr>
        <w:spacing w:before="0" w:after="0"/>
        <w:rPr>
          <w:rFonts w:eastAsia="Calibri"/>
          <w:bdr w:val="nil"/>
        </w:rPr>
      </w:pPr>
      <w:r>
        <w:rPr>
          <w:rFonts w:eastAsia="Calibri" w:cs="Arial"/>
          <w:szCs w:val="22"/>
          <w:bdr w:val="nil"/>
          <w:lang w:eastAsia="en-US"/>
        </w:rPr>
        <w:lastRenderedPageBreak/>
        <w:t>Table 3.3</w:t>
      </w:r>
      <w:r w:rsidRPr="00803533">
        <w:rPr>
          <w:rFonts w:eastAsia="Calibri" w:cs="Arial"/>
          <w:szCs w:val="22"/>
          <w:bdr w:val="nil"/>
          <w:lang w:eastAsia="en-US"/>
        </w:rPr>
        <w:t xml:space="preserve">: </w:t>
      </w:r>
      <w:r>
        <w:rPr>
          <w:rFonts w:eastAsia="Calibri" w:cs="Arial"/>
          <w:szCs w:val="22"/>
          <w:bdr w:val="nil"/>
          <w:lang w:eastAsia="en-US"/>
        </w:rPr>
        <w:t xml:space="preserve">Budgeted departmental balance sheet </w:t>
      </w:r>
      <w:r w:rsidRPr="00803533">
        <w:rPr>
          <w:rFonts w:eastAsia="Calibri" w:cs="Arial"/>
          <w:szCs w:val="22"/>
          <w:bdr w:val="nil"/>
          <w:lang w:eastAsia="en-US"/>
        </w:rPr>
        <w:t>(</w:t>
      </w:r>
      <w:r>
        <w:rPr>
          <w:rFonts w:eastAsia="Calibri" w:cs="Arial"/>
          <w:szCs w:val="22"/>
          <w:bdr w:val="nil"/>
          <w:lang w:eastAsia="en-US"/>
        </w:rPr>
        <w:t>as at 30 June</w:t>
      </w:r>
      <w:r w:rsidRPr="00803533">
        <w:rPr>
          <w:rFonts w:eastAsia="Calibri" w:cs="Arial"/>
          <w:szCs w:val="22"/>
          <w:bdr w:val="nil"/>
          <w:lang w:eastAsia="en-US"/>
        </w:rPr>
        <w:t>)</w:t>
      </w:r>
    </w:p>
    <w:tbl>
      <w:tblPr>
        <w:tblStyle w:val="CDMRange1"/>
        <w:tblW w:w="7890" w:type="dxa"/>
        <w:tblLayout w:type="fixed"/>
        <w:tblCellMar>
          <w:top w:w="11" w:type="dxa"/>
          <w:bottom w:w="11" w:type="dxa"/>
        </w:tblCellMar>
        <w:tblLook w:val="0600" w:firstRow="0" w:lastRow="0" w:firstColumn="0" w:lastColumn="0" w:noHBand="1" w:noVBand="1"/>
        <w:tblCaption w:val="Table 3.3: Budgeted departmental balance sheet (as at 30 June)"/>
      </w:tblPr>
      <w:tblGrid>
        <w:gridCol w:w="2490"/>
        <w:gridCol w:w="1080"/>
        <w:gridCol w:w="1080"/>
        <w:gridCol w:w="1080"/>
        <w:gridCol w:w="1080"/>
        <w:gridCol w:w="1080"/>
      </w:tblGrid>
      <w:tr w:rsidR="00010972" w:rsidTr="006F54B7">
        <w:trPr>
          <w:tblHeader/>
        </w:trPr>
        <w:tc>
          <w:tcPr>
            <w:tcW w:w="249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1080"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1080"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1080"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1080"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1080"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lang w:val="en-AU"/>
              </w:rPr>
            </w:pP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ASSETS</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Financial assets</w:t>
            </w:r>
          </w:p>
        </w:tc>
        <w:tc>
          <w:tcPr>
            <w:tcW w:w="108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FFFFFF" w:fill="EAEAEA"/>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Cash and cash equivalents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5,334</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5,334</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5,334</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5,334</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5,334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Trade and other receivables</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85,636</w:t>
            </w:r>
          </w:p>
        </w:tc>
        <w:tc>
          <w:tcPr>
            <w:tcW w:w="108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78,723</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76,978</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76,466</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76,466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financial assets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90,970</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84,057</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82,312</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81,800</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81,800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Non-financial assets</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Leasehold improvements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581,359</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544,198</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538,004</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504,392</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470,642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Property, plant and equipment</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1,485</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3,313</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5,368</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7,819</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10,206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Intangibles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62</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Prepayments</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1,042</w:t>
            </w:r>
          </w:p>
        </w:tc>
        <w:tc>
          <w:tcPr>
            <w:tcW w:w="108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1,042</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1,042</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1,042</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1,042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non-financial assets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583,948</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548,553</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544,414</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513,253</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481,890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assets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674,918</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632,610</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626,726</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595,053</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563,690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LIABILITIES</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Payables</w:t>
            </w:r>
          </w:p>
        </w:tc>
        <w:tc>
          <w:tcPr>
            <w:tcW w:w="108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FFFFFF" w:fill="FFFFFF"/>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Suppliers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20,406</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15,754</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14,392</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14,164</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14,164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FFFFFF" w:fill="FFFFFF"/>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payables</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7,255</w:t>
            </w:r>
          </w:p>
        </w:tc>
        <w:tc>
          <w:tcPr>
            <w:tcW w:w="108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7,255</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7,255</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7,255</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7,255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payables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27,661</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23,009</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21,647</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21,419</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21,419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Interest bearing liabilities</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FFFFFF" w:fill="FFFFFF"/>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Leases</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548,847</w:t>
            </w:r>
          </w:p>
        </w:tc>
        <w:tc>
          <w:tcPr>
            <w:tcW w:w="108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527,682</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533,659</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507,434</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483,021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interest bearing Liabilities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548,847</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527,682</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533,659</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507,434</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483,021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Provisions</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Employee provisions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91,691</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91,608</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93,345</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95,182</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95,182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provisions</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273</w:t>
            </w:r>
          </w:p>
        </w:tc>
        <w:tc>
          <w:tcPr>
            <w:tcW w:w="108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273</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273</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273</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273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provisions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91,964</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91,881</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93,618</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95,455</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95,455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liabilities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668,472</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642,572</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648,924</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624,308</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599,895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assets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6,446</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(9,962)</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(22,198)</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(29,255)</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(36,205)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EQUITY*</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Parent entity interest</w:t>
            </w:r>
          </w:p>
        </w:tc>
        <w:tc>
          <w:tcPr>
            <w:tcW w:w="108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Contributed equity</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331,165</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334,703</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338,450</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342,119</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345,738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Reserves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75,605</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75,605</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75,605</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75,605</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75,605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Retained surpluses/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(accumulated deficit)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(400,324)</w:t>
            </w:r>
          </w:p>
        </w:tc>
        <w:tc>
          <w:tcPr>
            <w:tcW w:w="108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(420,270)</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(436,253)</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(446,979)</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(457,548)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parent entity interest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6,446</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(9,962)</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(22,198)</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(29,255)</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(36,205)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Equity</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6,446</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(9,962)</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(22,198)</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(29,255)</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(36,205)</w:t>
            </w:r>
          </w:p>
        </w:tc>
      </w:tr>
    </w:tbl>
    <w:p w:rsidR="00F57D35" w:rsidRPr="00C073D5" w:rsidRDefault="00D5482E" w:rsidP="004264DE">
      <w:pPr>
        <w:keepLines/>
        <w:pBdr>
          <w:top w:val="nil"/>
          <w:left w:val="nil"/>
          <w:bottom w:val="nil"/>
          <w:right w:val="nil"/>
          <w:between w:val="nil"/>
          <w:bar w:val="nil"/>
        </w:pBdr>
        <w:spacing w:after="0" w:line="240" w:lineRule="auto"/>
        <w:jc w:val="both"/>
        <w:rPr>
          <w:rFonts w:ascii="Arial" w:hAnsi="Arial" w:cs="Arial"/>
          <w:sz w:val="16"/>
          <w:bdr w:val="nil"/>
          <w:lang w:val="en-AU"/>
        </w:rPr>
      </w:pPr>
      <w:r w:rsidRPr="00C073D5">
        <w:rPr>
          <w:rFonts w:ascii="Arial" w:eastAsia="Times New Roman" w:hAnsi="Arial" w:cs="Arial"/>
          <w:sz w:val="16"/>
          <w:szCs w:val="20"/>
          <w:bdr w:val="nil"/>
          <w:lang w:val="en-AU"/>
        </w:rPr>
        <w:t>Prepared on Australian Accounting Standard basis.</w:t>
      </w:r>
    </w:p>
    <w:p w:rsidR="00F57D35" w:rsidRPr="004F689D" w:rsidRDefault="00D5482E" w:rsidP="004F689D">
      <w:pPr>
        <w:keepLines/>
        <w:pBdr>
          <w:top w:val="nil"/>
          <w:left w:val="nil"/>
          <w:bottom w:val="nil"/>
          <w:right w:val="nil"/>
          <w:between w:val="nil"/>
          <w:bar w:val="nil"/>
        </w:pBdr>
        <w:spacing w:after="0" w:line="240" w:lineRule="auto"/>
        <w:jc w:val="both"/>
        <w:rPr>
          <w:rFonts w:ascii="Arial" w:hAnsi="Arial" w:cs="Arial"/>
          <w:sz w:val="16"/>
          <w:bdr w:val="nil"/>
          <w:lang w:val="en-AU"/>
        </w:rPr>
      </w:pPr>
      <w:r w:rsidRPr="004F689D">
        <w:rPr>
          <w:rFonts w:ascii="Arial" w:eastAsia="Times New Roman" w:hAnsi="Arial" w:cs="Arial"/>
          <w:sz w:val="16"/>
          <w:szCs w:val="20"/>
          <w:bdr w:val="nil"/>
          <w:lang w:val="en-AU" w:eastAsia="en-AU"/>
        </w:rPr>
        <w:t>*</w:t>
      </w:r>
      <w:r>
        <w:rPr>
          <w:rFonts w:ascii="Arial" w:eastAsia="Times New Roman" w:hAnsi="Arial" w:cs="Arial"/>
          <w:sz w:val="16"/>
          <w:szCs w:val="20"/>
          <w:bdr w:val="nil"/>
          <w:lang w:val="en-AU" w:eastAsia="en-AU"/>
        </w:rPr>
        <w:t xml:space="preserve"> </w:t>
      </w:r>
      <w:r w:rsidRPr="004F689D">
        <w:rPr>
          <w:rFonts w:ascii="Arial" w:eastAsia="Times New Roman" w:hAnsi="Arial" w:cs="Arial"/>
          <w:sz w:val="16"/>
          <w:szCs w:val="20"/>
          <w:bdr w:val="nil"/>
          <w:lang w:val="en-AU" w:eastAsia="en-AU"/>
        </w:rPr>
        <w:t>Equity is the residual interest in assets after deduction of liabilities.</w:t>
      </w:r>
    </w:p>
    <w:p w:rsidR="003448DE" w:rsidRDefault="003448DE" w:rsidP="00F57D35">
      <w:pPr>
        <w:keepLines/>
        <w:pBdr>
          <w:top w:val="nil"/>
          <w:left w:val="nil"/>
          <w:bottom w:val="nil"/>
          <w:right w:val="nil"/>
          <w:between w:val="nil"/>
          <w:bar w:val="nil"/>
        </w:pBdr>
        <w:spacing w:after="240" w:line="260" w:lineRule="exact"/>
        <w:jc w:val="both"/>
        <w:rPr>
          <w:rFonts w:ascii="Arial" w:hAnsi="Arial" w:cs="Arial"/>
          <w:sz w:val="18"/>
          <w:bdr w:val="nil"/>
          <w:lang w:val="en-AU"/>
        </w:rPr>
      </w:pPr>
    </w:p>
    <w:p w:rsidR="003448DE" w:rsidRPr="00F57D35" w:rsidRDefault="003448DE" w:rsidP="00F57D35">
      <w:pPr>
        <w:keepLines/>
        <w:pBdr>
          <w:top w:val="nil"/>
          <w:left w:val="nil"/>
          <w:bottom w:val="nil"/>
          <w:right w:val="nil"/>
          <w:between w:val="nil"/>
          <w:bar w:val="nil"/>
        </w:pBdr>
        <w:spacing w:after="240" w:line="260" w:lineRule="exact"/>
        <w:jc w:val="both"/>
        <w:rPr>
          <w:rFonts w:ascii="Arial" w:hAnsi="Arial" w:cs="Arial"/>
          <w:sz w:val="18"/>
          <w:bdr w:val="nil"/>
          <w:lang w:val="en-AU"/>
        </w:rPr>
      </w:pPr>
    </w:p>
    <w:p w:rsidR="007B0256" w:rsidRDefault="00D5482E" w:rsidP="00384D01">
      <w:pPr>
        <w:pStyle w:val="TableHeading"/>
        <w:keepLines/>
        <w:pageBreakBefore/>
        <w:pBdr>
          <w:top w:val="nil"/>
          <w:left w:val="nil"/>
          <w:bottom w:val="nil"/>
          <w:right w:val="nil"/>
          <w:between w:val="nil"/>
          <w:bar w:val="nil"/>
        </w:pBdr>
        <w:spacing w:before="0" w:after="0"/>
        <w:rPr>
          <w:rFonts w:eastAsia="Calibri"/>
          <w:bdr w:val="nil"/>
        </w:rPr>
      </w:pPr>
      <w:r>
        <w:rPr>
          <w:rFonts w:eastAsia="Calibri" w:cs="Arial"/>
          <w:szCs w:val="22"/>
          <w:bdr w:val="nil"/>
          <w:lang w:eastAsia="en-US"/>
        </w:rPr>
        <w:lastRenderedPageBreak/>
        <w:t>Table 3.4</w:t>
      </w:r>
      <w:r w:rsidRPr="00803533">
        <w:rPr>
          <w:rFonts w:eastAsia="Calibri" w:cs="Arial"/>
          <w:szCs w:val="22"/>
          <w:bdr w:val="nil"/>
          <w:lang w:eastAsia="en-US"/>
        </w:rPr>
        <w:t xml:space="preserve">: </w:t>
      </w:r>
      <w:r>
        <w:rPr>
          <w:rFonts w:eastAsia="Calibri" w:cs="Arial"/>
          <w:szCs w:val="22"/>
          <w:bdr w:val="nil"/>
          <w:lang w:eastAsia="en-US"/>
        </w:rPr>
        <w:t xml:space="preserve">Departmental statement of changes in equity – summary of movement </w:t>
      </w:r>
      <w:r w:rsidRPr="00803533">
        <w:rPr>
          <w:rFonts w:eastAsia="Calibri" w:cs="Arial"/>
          <w:szCs w:val="22"/>
          <w:bdr w:val="nil"/>
          <w:lang w:eastAsia="en-US"/>
        </w:rPr>
        <w:t>(</w:t>
      </w:r>
      <w:r>
        <w:rPr>
          <w:rFonts w:eastAsia="Calibri" w:cs="Arial"/>
          <w:szCs w:val="22"/>
          <w:bdr w:val="nil"/>
          <w:lang w:eastAsia="en-US"/>
        </w:rPr>
        <w:t>2020-21 Budget Year</w:t>
      </w:r>
      <w:r w:rsidRPr="00803533">
        <w:rPr>
          <w:rFonts w:eastAsia="Calibri" w:cs="Arial"/>
          <w:szCs w:val="22"/>
          <w:bdr w:val="nil"/>
          <w:lang w:eastAsia="en-US"/>
        </w:rPr>
        <w:t>)</w:t>
      </w:r>
    </w:p>
    <w:tbl>
      <w:tblPr>
        <w:tblStyle w:val="CDMRange1"/>
        <w:tblW w:w="7635" w:type="dxa"/>
        <w:tblLayout w:type="fixed"/>
        <w:tblCellMar>
          <w:top w:w="11" w:type="dxa"/>
          <w:bottom w:w="11" w:type="dxa"/>
        </w:tblCellMar>
        <w:tblLook w:val="0600" w:firstRow="0" w:lastRow="0" w:firstColumn="0" w:lastColumn="0" w:noHBand="1" w:noVBand="1"/>
        <w:tblCaption w:val="Table 3.4: Departmental statement of changes in equity – summary of movement (2020-21 Budget Year)"/>
      </w:tblPr>
      <w:tblGrid>
        <w:gridCol w:w="3315"/>
        <w:gridCol w:w="1080"/>
        <w:gridCol w:w="1080"/>
        <w:gridCol w:w="1080"/>
        <w:gridCol w:w="1080"/>
      </w:tblGrid>
      <w:tr w:rsidR="00010972" w:rsidTr="006F54B7">
        <w:trPr>
          <w:tblHeader/>
        </w:trPr>
        <w:tc>
          <w:tcPr>
            <w:tcW w:w="331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b/>
                <w:color w:val="FF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Retained</w:t>
            </w:r>
          </w:p>
        </w:tc>
        <w:tc>
          <w:tcPr>
            <w:tcW w:w="1080"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Asset</w:t>
            </w:r>
          </w:p>
        </w:tc>
        <w:tc>
          <w:tcPr>
            <w:tcW w:w="1080"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Contributed</w:t>
            </w:r>
          </w:p>
        </w:tc>
        <w:tc>
          <w:tcPr>
            <w:tcW w:w="1080" w:type="dxa"/>
            <w:tcBorders>
              <w:top w:val="dotted" w:sz="2" w:space="0" w:color="000000"/>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Total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b/>
                <w:color w:val="FF0000"/>
                <w:sz w:val="16"/>
                <w:bdr w:val="nil"/>
                <w:lang w:val="en-AU"/>
              </w:rPr>
            </w:pPr>
          </w:p>
        </w:tc>
        <w:tc>
          <w:tcPr>
            <w:tcW w:w="108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earnings</w:t>
            </w:r>
          </w:p>
        </w:tc>
        <w:tc>
          <w:tcPr>
            <w:tcW w:w="108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revaluation</w:t>
            </w:r>
          </w:p>
        </w:tc>
        <w:tc>
          <w:tcPr>
            <w:tcW w:w="108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equity/</w:t>
            </w:r>
          </w:p>
        </w:tc>
        <w:tc>
          <w:tcPr>
            <w:tcW w:w="108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equity</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b/>
                <w:color w:val="FF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reserve</w:t>
            </w:r>
          </w:p>
        </w:tc>
        <w:tc>
          <w:tcPr>
            <w:tcW w:w="108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capital</w:t>
            </w:r>
          </w:p>
        </w:tc>
        <w:tc>
          <w:tcPr>
            <w:tcW w:w="108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Opening balance as at 1 July 2020</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Balance carried forward from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previous period</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(400,324)</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75,605</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331,165</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6,446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Adjusted opening balance</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(400,324)</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75,605</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331,165</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6,446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Comprehensive income</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Surplus/(deficit) for the period</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(19,946)</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(19,946)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comprehensive income</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(19,946)</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(19,946)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of which:</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Attributable to the Australian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Government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(19,946)</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(19,946)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Transactions with owners</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Contributions by owners</w:t>
            </w: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Equity Injection – Appropriation</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Departmental Capital Budget (DCB)</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3,538</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3,538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Subtotal transactions with owners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3,538</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3,538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Estimated closing balance as at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30 June 2021</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(420,270)</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75,605</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334,703</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(9,962)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Closing balance attributable to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the Australian Government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(420,270)</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75,605</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334,703</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(9,962)</w:t>
            </w:r>
          </w:p>
        </w:tc>
      </w:tr>
    </w:tbl>
    <w:p w:rsidR="004B6871" w:rsidRDefault="00D5482E" w:rsidP="00384D01">
      <w:pPr>
        <w:keepLines/>
        <w:pBdr>
          <w:top w:val="nil"/>
          <w:left w:val="nil"/>
          <w:bottom w:val="nil"/>
          <w:right w:val="nil"/>
          <w:between w:val="nil"/>
          <w:bar w:val="nil"/>
        </w:pBdr>
        <w:spacing w:after="0" w:line="240" w:lineRule="auto"/>
        <w:jc w:val="both"/>
        <w:rPr>
          <w:rFonts w:ascii="Arial" w:hAnsi="Arial" w:cs="Arial"/>
          <w:sz w:val="16"/>
          <w:bdr w:val="nil"/>
          <w:lang w:val="en-AU"/>
        </w:rPr>
      </w:pPr>
      <w:r>
        <w:rPr>
          <w:rFonts w:ascii="Arial" w:eastAsia="Times New Roman" w:hAnsi="Arial" w:cs="Arial"/>
          <w:sz w:val="16"/>
          <w:szCs w:val="20"/>
          <w:bdr w:val="nil"/>
          <w:lang w:val="en-AU"/>
        </w:rPr>
        <w:t>Prepared on Australian Accounting Standard basis.</w:t>
      </w:r>
    </w:p>
    <w:p w:rsidR="00D57835" w:rsidRPr="00D57835" w:rsidRDefault="00D57835" w:rsidP="00D57835">
      <w:pPr>
        <w:keepLines/>
        <w:pBdr>
          <w:top w:val="nil"/>
          <w:left w:val="nil"/>
          <w:bottom w:val="nil"/>
          <w:right w:val="nil"/>
          <w:between w:val="nil"/>
          <w:bar w:val="nil"/>
        </w:pBdr>
        <w:spacing w:after="240" w:line="260" w:lineRule="exact"/>
        <w:jc w:val="both"/>
        <w:rPr>
          <w:rFonts w:ascii="Arial" w:hAnsi="Arial" w:cs="Arial"/>
          <w:bdr w:val="nil"/>
          <w:lang w:val="en-AU"/>
        </w:rPr>
      </w:pPr>
    </w:p>
    <w:p w:rsidR="002C4038" w:rsidRDefault="00D5482E" w:rsidP="005B3B57">
      <w:pPr>
        <w:pStyle w:val="TableHeading"/>
        <w:keepLines/>
        <w:pageBreakBefore/>
        <w:pBdr>
          <w:top w:val="nil"/>
          <w:left w:val="nil"/>
          <w:bottom w:val="nil"/>
          <w:right w:val="nil"/>
          <w:between w:val="nil"/>
          <w:bar w:val="nil"/>
        </w:pBdr>
        <w:spacing w:before="0" w:after="0"/>
        <w:rPr>
          <w:rFonts w:eastAsia="Calibri"/>
          <w:bdr w:val="nil"/>
        </w:rPr>
      </w:pPr>
      <w:r>
        <w:rPr>
          <w:rFonts w:eastAsia="Calibri" w:cs="Arial"/>
          <w:szCs w:val="22"/>
          <w:bdr w:val="nil"/>
          <w:lang w:eastAsia="en-US"/>
        </w:rPr>
        <w:lastRenderedPageBreak/>
        <w:t>Table 3.5</w:t>
      </w:r>
      <w:r w:rsidRPr="00803533">
        <w:rPr>
          <w:rFonts w:eastAsia="Calibri" w:cs="Arial"/>
          <w:szCs w:val="22"/>
          <w:bdr w:val="nil"/>
          <w:lang w:eastAsia="en-US"/>
        </w:rPr>
        <w:t xml:space="preserve">: </w:t>
      </w:r>
      <w:r>
        <w:rPr>
          <w:rFonts w:eastAsia="Calibri" w:cs="Arial"/>
          <w:szCs w:val="22"/>
          <w:bdr w:val="nil"/>
          <w:lang w:eastAsia="en-US"/>
        </w:rPr>
        <w:t>Budgeted departmental statement of cash flows (for the period ended 30 June</w:t>
      </w:r>
      <w:r w:rsidRPr="00803533">
        <w:rPr>
          <w:rFonts w:eastAsia="Calibri" w:cs="Arial"/>
          <w:szCs w:val="22"/>
          <w:bdr w:val="nil"/>
          <w:lang w:eastAsia="en-US"/>
        </w:rPr>
        <w:t>)</w:t>
      </w:r>
    </w:p>
    <w:tbl>
      <w:tblPr>
        <w:tblStyle w:val="CDMRange1"/>
        <w:tblW w:w="7890" w:type="dxa"/>
        <w:tblLayout w:type="fixed"/>
        <w:tblCellMar>
          <w:top w:w="11" w:type="dxa"/>
          <w:bottom w:w="11" w:type="dxa"/>
        </w:tblCellMar>
        <w:tblLook w:val="0600" w:firstRow="0" w:lastRow="0" w:firstColumn="0" w:lastColumn="0" w:noHBand="1" w:noVBand="1"/>
        <w:tblCaption w:val="Table 3.5: Budgeted departmental statement of cash flows (for the period ended 30 June)"/>
      </w:tblPr>
      <w:tblGrid>
        <w:gridCol w:w="2490"/>
        <w:gridCol w:w="1080"/>
        <w:gridCol w:w="1080"/>
        <w:gridCol w:w="1080"/>
        <w:gridCol w:w="1080"/>
        <w:gridCol w:w="1080"/>
      </w:tblGrid>
      <w:tr w:rsidR="00010972" w:rsidTr="00E74FD9">
        <w:trPr>
          <w:tblHeader/>
        </w:trPr>
        <w:tc>
          <w:tcPr>
            <w:tcW w:w="249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1080" w:type="dxa"/>
            <w:tcBorders>
              <w:top w:val="dotted" w:sz="2" w:space="0" w:color="000000"/>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1080"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1080"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1080" w:type="dxa"/>
            <w:tcBorders>
              <w:top w:val="dotted" w:sz="2" w:space="0" w:color="000000"/>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1080"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FFFFFF" w:fill="FFFFFF"/>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right"/>
              <w:rPr>
                <w:rFonts w:ascii="Arial" w:eastAsia="Arial" w:hAnsi="Arial" w:cs="Arial"/>
                <w:color w:val="000000"/>
                <w:sz w:val="16"/>
                <w:bdr w:val="nil"/>
                <w:lang w:val="en-AU"/>
              </w:rPr>
            </w:pP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FFFFFF" w:fill="EAEAEA"/>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OPERATING ACTIVITIES</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received</w:t>
            </w: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Appropriations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469,833</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392,560</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359,525</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341,756</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335,479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Goods and services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54,527</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27,979</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26,274</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26,274</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26,274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GST received</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18,136</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15,051</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10,830</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8,553</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7,314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Other </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11,976</w:t>
            </w:r>
          </w:p>
        </w:tc>
        <w:tc>
          <w:tcPr>
            <w:tcW w:w="108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received</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554,472</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435,590</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396,629</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376,583</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369,067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used</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Employees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292,953</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242,844</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248,855</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250,890</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257,332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Suppliers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147,444</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146,664</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106,033</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85,059</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72,627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GST payments to suppliers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16,168</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15,051</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10,830</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8,553</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7,314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Cash to the OPA</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70,578</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651</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Lease liability – interest</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payments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8,484</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8,212</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7,936</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7,668</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7,381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152</w:t>
            </w:r>
          </w:p>
        </w:tc>
        <w:tc>
          <w:tcPr>
            <w:tcW w:w="108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used</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535,779</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413,422</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373,654</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352,170</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344,654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cash from/(used by)</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operating activities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18,693</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22,168</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22,975</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24,413</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24,413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INVESTING ACTIVITIES</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received</w:t>
            </w: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Proceeds from sales of</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property, plant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and equipment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w:t>
            </w:r>
          </w:p>
        </w:tc>
        <w:tc>
          <w:tcPr>
            <w:tcW w:w="108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received</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used</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Purchase of property, plant,</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equipment and intangibles</w:t>
            </w:r>
          </w:p>
        </w:tc>
        <w:tc>
          <w:tcPr>
            <w:tcW w:w="1080"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12,357</w:t>
            </w:r>
          </w:p>
        </w:tc>
        <w:tc>
          <w:tcPr>
            <w:tcW w:w="108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3,538</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3,747</w:t>
            </w:r>
          </w:p>
        </w:tc>
        <w:tc>
          <w:tcPr>
            <w:tcW w:w="1080"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3,669</w:t>
            </w:r>
          </w:p>
        </w:tc>
        <w:tc>
          <w:tcPr>
            <w:tcW w:w="1080"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used</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12,357</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3,538</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3,747</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3,669</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3,619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cash from/(used by)</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investing activities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(12,354)</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(3,538)</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(3,747)</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(3,669)</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FINANCING ACTIVITIES</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received</w:t>
            </w: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Appropriations – contributed</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equity</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10,470</w:t>
            </w:r>
          </w:p>
        </w:tc>
        <w:tc>
          <w:tcPr>
            <w:tcW w:w="108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3,538</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3,747</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3,669</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received</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10,470</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3,538</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3,747</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3,669</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3,619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Cash used</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Principal payments of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lease liability</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20,788</w:t>
            </w:r>
          </w:p>
        </w:tc>
        <w:tc>
          <w:tcPr>
            <w:tcW w:w="108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22,168</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22,975</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24,413</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24,413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 xml:space="preserve">Total cash used </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20,788</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22,168</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22,975</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24,413</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24,413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cash from/(used by)</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financing activities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(10,318)</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(18,630)</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(19,228)</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(20,744)</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(20,794)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increase/(decrease) in</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cash held</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(3,979)</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Cash and cash equivalents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at the beginning of the</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reporting period</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9,313</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5,334</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5,334</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5,334</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5,334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Cash and cash equivalents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at the end of the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reporting period</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5,334</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5,334</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5,334</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5,334</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5,334</w:t>
            </w:r>
          </w:p>
        </w:tc>
      </w:tr>
    </w:tbl>
    <w:p w:rsidR="002C4038" w:rsidRDefault="00D5482E" w:rsidP="005B3B57">
      <w:pPr>
        <w:keepLines/>
        <w:pBdr>
          <w:top w:val="nil"/>
          <w:left w:val="nil"/>
          <w:bottom w:val="nil"/>
          <w:right w:val="nil"/>
          <w:between w:val="nil"/>
          <w:bar w:val="nil"/>
        </w:pBdr>
        <w:spacing w:after="0" w:line="240" w:lineRule="auto"/>
        <w:jc w:val="both"/>
        <w:rPr>
          <w:rFonts w:ascii="Arial" w:hAnsi="Arial" w:cs="Arial"/>
          <w:sz w:val="16"/>
          <w:bdr w:val="nil"/>
          <w:lang w:val="en-AU"/>
        </w:rPr>
      </w:pPr>
      <w:r>
        <w:rPr>
          <w:rFonts w:ascii="Arial" w:eastAsia="Times New Roman" w:hAnsi="Arial" w:cs="Arial"/>
          <w:sz w:val="16"/>
          <w:szCs w:val="20"/>
          <w:bdr w:val="nil"/>
          <w:lang w:val="en-AU"/>
        </w:rPr>
        <w:t>Prepared on Australian Accounting Standard basis.</w:t>
      </w:r>
    </w:p>
    <w:p w:rsidR="002C4038" w:rsidRPr="002C4038" w:rsidRDefault="002C4038" w:rsidP="002C4038">
      <w:pPr>
        <w:keepLines/>
        <w:pBdr>
          <w:top w:val="nil"/>
          <w:left w:val="nil"/>
          <w:bottom w:val="nil"/>
          <w:right w:val="nil"/>
          <w:between w:val="nil"/>
          <w:bar w:val="nil"/>
        </w:pBdr>
        <w:spacing w:after="240" w:line="260" w:lineRule="exact"/>
        <w:jc w:val="both"/>
        <w:rPr>
          <w:rFonts w:ascii="Arial" w:hAnsi="Arial" w:cs="Arial"/>
          <w:sz w:val="16"/>
          <w:bdr w:val="nil"/>
          <w:lang w:val="en-AU"/>
        </w:rPr>
      </w:pPr>
    </w:p>
    <w:p w:rsidR="007B0256" w:rsidRDefault="00D5482E" w:rsidP="003F7D72">
      <w:pPr>
        <w:pStyle w:val="TableHeading"/>
        <w:keepLines/>
        <w:pageBreakBefore/>
        <w:pBdr>
          <w:top w:val="nil"/>
          <w:left w:val="nil"/>
          <w:bottom w:val="nil"/>
          <w:right w:val="nil"/>
          <w:between w:val="nil"/>
          <w:bar w:val="nil"/>
        </w:pBdr>
        <w:spacing w:before="0" w:after="0"/>
        <w:rPr>
          <w:rFonts w:eastAsia="Calibri"/>
          <w:bdr w:val="nil"/>
        </w:rPr>
      </w:pPr>
      <w:r>
        <w:rPr>
          <w:rFonts w:eastAsia="Calibri" w:cs="Arial"/>
          <w:szCs w:val="22"/>
          <w:bdr w:val="nil"/>
          <w:lang w:eastAsia="en-US"/>
        </w:rPr>
        <w:lastRenderedPageBreak/>
        <w:t>Table 3.6</w:t>
      </w:r>
      <w:r w:rsidRPr="00803533">
        <w:rPr>
          <w:rFonts w:eastAsia="Calibri" w:cs="Arial"/>
          <w:szCs w:val="22"/>
          <w:bdr w:val="nil"/>
          <w:lang w:eastAsia="en-US"/>
        </w:rPr>
        <w:t xml:space="preserve">: </w:t>
      </w:r>
      <w:r>
        <w:rPr>
          <w:rFonts w:eastAsia="Calibri" w:cs="Arial"/>
          <w:szCs w:val="22"/>
          <w:bdr w:val="nil"/>
          <w:lang w:eastAsia="en-US"/>
        </w:rPr>
        <w:t>Departmental capital budget statement (for the period ended 30 June)</w:t>
      </w:r>
    </w:p>
    <w:tbl>
      <w:tblPr>
        <w:tblStyle w:val="CDMRange1"/>
        <w:tblW w:w="7890" w:type="dxa"/>
        <w:tblLayout w:type="fixed"/>
        <w:tblCellMar>
          <w:top w:w="11" w:type="dxa"/>
          <w:bottom w:w="11" w:type="dxa"/>
        </w:tblCellMar>
        <w:tblLook w:val="0600" w:firstRow="0" w:lastRow="0" w:firstColumn="0" w:lastColumn="0" w:noHBand="1" w:noVBand="1"/>
        <w:tblCaption w:val="Table 3.6: Departmental capital budget statement (for the period ended 30 June)"/>
      </w:tblPr>
      <w:tblGrid>
        <w:gridCol w:w="3015"/>
        <w:gridCol w:w="975"/>
        <w:gridCol w:w="975"/>
        <w:gridCol w:w="975"/>
        <w:gridCol w:w="975"/>
        <w:gridCol w:w="975"/>
      </w:tblGrid>
      <w:tr w:rsidR="00010972" w:rsidTr="00E74FD9">
        <w:trPr>
          <w:tblHeader/>
        </w:trPr>
        <w:tc>
          <w:tcPr>
            <w:tcW w:w="301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AEAEA"/>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AEAEA"/>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FFFFFF"/>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EAEAEA"/>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97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975" w:type="dxa"/>
            <w:tcBorders>
              <w:top w:val="nil"/>
              <w:left w:val="nil"/>
              <w:bottom w:val="dotted" w:sz="2" w:space="0" w:color="000000"/>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AEAEA"/>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NEW CAPITAL APPROPRIATIONS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Capital Budget – Act No. 1 (DCB)</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2,664</w:t>
            </w:r>
          </w:p>
        </w:tc>
        <w:tc>
          <w:tcPr>
            <w:tcW w:w="97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3,538</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3,747</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3,669</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Equity Injections – Act No. 2</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5,764</w:t>
            </w:r>
          </w:p>
        </w:tc>
        <w:tc>
          <w:tcPr>
            <w:tcW w:w="975"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new capital appropriations</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8,428</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3,538</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3,747</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3,669</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FFFFFF" w:fill="FFFFFF"/>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Provided for:</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FFFFFF" w:fill="FFFFFF"/>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Purchase of non-financial assets</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8,428</w:t>
            </w:r>
          </w:p>
        </w:tc>
        <w:tc>
          <w:tcPr>
            <w:tcW w:w="975"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3,538</w:t>
            </w:r>
          </w:p>
        </w:tc>
        <w:tc>
          <w:tcPr>
            <w:tcW w:w="97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3,747</w:t>
            </w:r>
          </w:p>
        </w:tc>
        <w:tc>
          <w:tcPr>
            <w:tcW w:w="97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3,669</w:t>
            </w:r>
          </w:p>
        </w:tc>
        <w:tc>
          <w:tcPr>
            <w:tcW w:w="97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3,619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FFFFFF" w:fill="FFFFFF"/>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Items</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8,428</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3,538</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3,747</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3,669</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3,619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PURCHASE OF NON-FINANCIAL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ASSETS</w:t>
            </w: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Funded by capital appropriations (a)</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7,304</w:t>
            </w:r>
          </w:p>
        </w:tc>
        <w:tc>
          <w:tcPr>
            <w:tcW w:w="97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Funded by capital appropriations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DCB (b)</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3,653</w:t>
            </w:r>
          </w:p>
        </w:tc>
        <w:tc>
          <w:tcPr>
            <w:tcW w:w="975"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3,538</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3,747</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3,669</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Funded internally from departmental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resources</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1,400</w:t>
            </w:r>
          </w:p>
        </w:tc>
        <w:tc>
          <w:tcPr>
            <w:tcW w:w="975"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12,357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3,538</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3,747</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3,669</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RECONCILIATION OF CASH</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USED TO ACQUIRE ASSETS</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TO ASSET MOVEMENT TABLE</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Calibri" w:eastAsia="Calibri" w:hAnsi="Calibri" w:cs="Calibri"/>
                <w:color w:val="000000"/>
                <w:bdr w:val="nil"/>
                <w:lang w:val="en-AU"/>
              </w:rPr>
            </w:pPr>
          </w:p>
        </w:tc>
        <w:tc>
          <w:tcPr>
            <w:tcW w:w="975"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Calibri" w:eastAsia="Calibri" w:hAnsi="Calibri" w:cs="Calibri"/>
                <w:color w:val="000000"/>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Calibri" w:eastAsia="Calibri" w:hAnsi="Calibri" w:cs="Calibri"/>
                <w:color w:val="000000"/>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Calibri" w:eastAsia="Calibri" w:hAnsi="Calibri" w:cs="Calibri"/>
                <w:color w:val="000000"/>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Calibri" w:eastAsia="Calibri" w:hAnsi="Calibri" w:cs="Calibri"/>
                <w:color w:val="000000"/>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Total purchases</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12,357</w:t>
            </w:r>
          </w:p>
        </w:tc>
        <w:tc>
          <w:tcPr>
            <w:tcW w:w="975"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3,538</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3,747</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3,669</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cash used to acquire assets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12,357</w:t>
            </w:r>
          </w:p>
        </w:tc>
        <w:tc>
          <w:tcPr>
            <w:tcW w:w="975"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3,538</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3,747</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3,669</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3,619</w:t>
            </w:r>
          </w:p>
        </w:tc>
      </w:tr>
    </w:tbl>
    <w:p w:rsidR="00DF0802" w:rsidRDefault="00D5482E" w:rsidP="008B0B9F">
      <w:pPr>
        <w:keepLines/>
        <w:pBdr>
          <w:top w:val="nil"/>
          <w:left w:val="nil"/>
          <w:bottom w:val="nil"/>
          <w:right w:val="nil"/>
          <w:between w:val="nil"/>
          <w:bar w:val="nil"/>
        </w:pBdr>
        <w:spacing w:after="0" w:line="240" w:lineRule="auto"/>
        <w:jc w:val="both"/>
        <w:rPr>
          <w:rFonts w:ascii="Arial" w:hAnsi="Arial" w:cs="Arial"/>
          <w:bdr w:val="nil"/>
          <w:lang w:val="en-AU"/>
        </w:rPr>
      </w:pPr>
      <w:r>
        <w:rPr>
          <w:rFonts w:ascii="Arial" w:eastAsia="Times New Roman" w:hAnsi="Arial" w:cs="Arial"/>
          <w:sz w:val="16"/>
          <w:szCs w:val="20"/>
          <w:bdr w:val="nil"/>
          <w:lang w:val="en-AU"/>
        </w:rPr>
        <w:t>Prepared on Australian Accounting Standard basis.</w:t>
      </w:r>
    </w:p>
    <w:p w:rsidR="0001562E" w:rsidRPr="0001562E" w:rsidRDefault="00D5482E" w:rsidP="00353C1B">
      <w:pPr>
        <w:pStyle w:val="ListParagraph"/>
        <w:numPr>
          <w:ilvl w:val="0"/>
          <w:numId w:val="36"/>
        </w:numPr>
        <w:pBdr>
          <w:top w:val="nil"/>
          <w:left w:val="nil"/>
          <w:bottom w:val="nil"/>
          <w:right w:val="nil"/>
          <w:between w:val="nil"/>
          <w:bar w:val="nil"/>
        </w:pBdr>
        <w:spacing w:after="0" w:line="240" w:lineRule="auto"/>
        <w:ind w:left="284" w:hanging="284"/>
        <w:rPr>
          <w:rFonts w:eastAsia="Calibri" w:cs="Arial"/>
          <w:sz w:val="16"/>
          <w:szCs w:val="16"/>
          <w:bdr w:val="nil"/>
          <w:lang w:val="en-AU"/>
        </w:rPr>
      </w:pPr>
      <w:r w:rsidRPr="0001562E">
        <w:rPr>
          <w:rFonts w:ascii="Arial" w:eastAsia="Calibri" w:hAnsi="Arial" w:cs="Arial"/>
          <w:sz w:val="16"/>
          <w:szCs w:val="16"/>
          <w:bdr w:val="nil"/>
          <w:lang w:val="en-AU"/>
        </w:rPr>
        <w:t xml:space="preserve">Includes </w:t>
      </w:r>
      <w:r w:rsidRPr="00353C1B">
        <w:rPr>
          <w:rFonts w:ascii="Arial" w:eastAsia="Calibri" w:hAnsi="Arial" w:cs="Arial"/>
          <w:sz w:val="16"/>
          <w:szCs w:val="16"/>
          <w:bdr w:val="nil"/>
          <w:lang w:val="en-AU"/>
        </w:rPr>
        <w:t xml:space="preserve">current and prior Appropriation Bill (No. 4) and prior </w:t>
      </w:r>
      <w:r w:rsidRPr="0070088B">
        <w:rPr>
          <w:rFonts w:ascii="Arial" w:eastAsia="Calibri" w:hAnsi="Arial" w:cs="Arial"/>
          <w:sz w:val="16"/>
          <w:szCs w:val="16"/>
          <w:bdr w:val="nil"/>
          <w:lang w:val="en-AU"/>
        </w:rPr>
        <w:t>Appropriation Act No. 2/4/6</w:t>
      </w:r>
      <w:r w:rsidRPr="00353C1B">
        <w:rPr>
          <w:rFonts w:ascii="Arial" w:eastAsia="Calibri" w:hAnsi="Arial" w:cs="Arial"/>
          <w:sz w:val="16"/>
          <w:szCs w:val="16"/>
          <w:bdr w:val="nil"/>
          <w:lang w:val="en-AU"/>
        </w:rPr>
        <w:t xml:space="preserve"> </w:t>
      </w:r>
      <w:r w:rsidRPr="0001562E">
        <w:rPr>
          <w:rFonts w:ascii="Arial" w:eastAsia="Calibri" w:hAnsi="Arial" w:cs="Arial"/>
          <w:sz w:val="16"/>
          <w:szCs w:val="16"/>
          <w:bdr w:val="nil"/>
          <w:lang w:val="en-AU"/>
        </w:rPr>
        <w:t>appropriations.</w:t>
      </w:r>
    </w:p>
    <w:p w:rsidR="00DF0802" w:rsidRPr="0001562E" w:rsidRDefault="00D5482E" w:rsidP="003F7D72">
      <w:pPr>
        <w:pStyle w:val="ListParagraph"/>
        <w:numPr>
          <w:ilvl w:val="0"/>
          <w:numId w:val="36"/>
        </w:numPr>
        <w:pBdr>
          <w:top w:val="nil"/>
          <w:left w:val="nil"/>
          <w:bottom w:val="nil"/>
          <w:right w:val="nil"/>
          <w:between w:val="nil"/>
          <w:bar w:val="nil"/>
        </w:pBdr>
        <w:spacing w:after="0" w:line="240" w:lineRule="auto"/>
        <w:ind w:left="284" w:hanging="284"/>
        <w:rPr>
          <w:rStyle w:val="BookTitle"/>
          <w:rFonts w:eastAsia="Times New Roman" w:cs="Arial"/>
          <w:i w:val="0"/>
          <w:smallCaps w:val="0"/>
          <w:spacing w:val="0"/>
          <w:sz w:val="16"/>
          <w:szCs w:val="16"/>
          <w:bdr w:val="nil"/>
          <w:lang w:val="en-AU"/>
        </w:rPr>
      </w:pPr>
      <w:r w:rsidRPr="0001562E">
        <w:rPr>
          <w:rFonts w:ascii="Arial" w:eastAsia="Calibri" w:hAnsi="Arial" w:cs="Arial"/>
          <w:sz w:val="16"/>
          <w:szCs w:val="16"/>
          <w:bdr w:val="nil"/>
          <w:lang w:val="en-AU"/>
        </w:rPr>
        <w:t xml:space="preserve">Does not include annual finance lease costs. Includes purchases from current and previous years' </w:t>
      </w:r>
      <w:r>
        <w:rPr>
          <w:rFonts w:ascii="Arial" w:eastAsia="Calibri" w:hAnsi="Arial" w:cs="Arial"/>
          <w:sz w:val="16"/>
          <w:szCs w:val="16"/>
          <w:bdr w:val="nil"/>
          <w:lang w:val="en-AU"/>
        </w:rPr>
        <w:t>DCB</w:t>
      </w:r>
      <w:r w:rsidRPr="0001562E">
        <w:rPr>
          <w:rFonts w:ascii="Arial" w:eastAsia="Calibri" w:hAnsi="Arial" w:cs="Arial"/>
          <w:sz w:val="16"/>
          <w:szCs w:val="16"/>
          <w:bdr w:val="nil"/>
          <w:lang w:val="en-AU"/>
        </w:rPr>
        <w:t>.</w:t>
      </w:r>
    </w:p>
    <w:p w:rsidR="00DF0802" w:rsidRPr="00DF0802" w:rsidRDefault="00DF0802" w:rsidP="00DF0802">
      <w:pPr>
        <w:keepLines/>
        <w:pBdr>
          <w:top w:val="nil"/>
          <w:left w:val="nil"/>
          <w:bottom w:val="nil"/>
          <w:right w:val="nil"/>
          <w:between w:val="nil"/>
          <w:bar w:val="nil"/>
        </w:pBdr>
        <w:spacing w:after="240" w:line="260" w:lineRule="exact"/>
        <w:jc w:val="both"/>
        <w:rPr>
          <w:rFonts w:ascii="Arial" w:hAnsi="Arial" w:cs="Arial"/>
          <w:bdr w:val="nil"/>
          <w:lang w:val="en-AU"/>
        </w:rPr>
      </w:pPr>
    </w:p>
    <w:p w:rsidR="007B0256" w:rsidRDefault="00D5482E" w:rsidP="00EF24A2">
      <w:pPr>
        <w:pStyle w:val="TableHeading"/>
        <w:keepLines/>
        <w:pageBreakBefore/>
        <w:pBdr>
          <w:top w:val="nil"/>
          <w:left w:val="nil"/>
          <w:bottom w:val="nil"/>
          <w:right w:val="nil"/>
          <w:between w:val="nil"/>
          <w:bar w:val="nil"/>
        </w:pBdr>
        <w:spacing w:before="0" w:after="0"/>
        <w:contextualSpacing/>
        <w:rPr>
          <w:rFonts w:eastAsia="Calibri"/>
          <w:bdr w:val="nil"/>
        </w:rPr>
      </w:pPr>
      <w:r>
        <w:rPr>
          <w:rFonts w:eastAsia="Calibri" w:cs="Arial"/>
          <w:szCs w:val="22"/>
          <w:bdr w:val="nil"/>
          <w:lang w:eastAsia="en-US"/>
        </w:rPr>
        <w:lastRenderedPageBreak/>
        <w:t>Table 3.7</w:t>
      </w:r>
      <w:r w:rsidRPr="00803533">
        <w:rPr>
          <w:rFonts w:eastAsia="Calibri" w:cs="Arial"/>
          <w:szCs w:val="22"/>
          <w:bdr w:val="nil"/>
          <w:lang w:eastAsia="en-US"/>
        </w:rPr>
        <w:t xml:space="preserve">: </w:t>
      </w:r>
      <w:r>
        <w:rPr>
          <w:rFonts w:eastAsia="Calibri" w:cs="Arial"/>
          <w:szCs w:val="22"/>
          <w:bdr w:val="nil"/>
          <w:lang w:eastAsia="en-US"/>
        </w:rPr>
        <w:t>Statement of asset movements (2020-21 Budget Year)</w:t>
      </w:r>
    </w:p>
    <w:tbl>
      <w:tblPr>
        <w:tblStyle w:val="CDMRange1"/>
        <w:tblW w:w="7695" w:type="dxa"/>
        <w:tblLayout w:type="fixed"/>
        <w:tblCellMar>
          <w:top w:w="11" w:type="dxa"/>
          <w:bottom w:w="11" w:type="dxa"/>
        </w:tblCellMar>
        <w:tblLook w:val="0600" w:firstRow="0" w:lastRow="0" w:firstColumn="0" w:lastColumn="0" w:noHBand="1" w:noVBand="1"/>
        <w:tblCaption w:val="Table 3.7: Statement of asset movements (2020-21 Budget Year)"/>
      </w:tblPr>
      <w:tblGrid>
        <w:gridCol w:w="2820"/>
        <w:gridCol w:w="975"/>
        <w:gridCol w:w="975"/>
        <w:gridCol w:w="975"/>
        <w:gridCol w:w="975"/>
        <w:gridCol w:w="975"/>
      </w:tblGrid>
      <w:tr w:rsidR="00010972" w:rsidTr="00E74FD9">
        <w:trPr>
          <w:tblHeader/>
        </w:trPr>
        <w:tc>
          <w:tcPr>
            <w:tcW w:w="282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b/>
                <w:color w:val="FF0000"/>
                <w:sz w:val="16"/>
                <w:bdr w:val="nil"/>
                <w:lang w:val="en-AU"/>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Buildings</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Computer</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Total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b/>
                <w:color w:val="FF0000"/>
                <w:sz w:val="16"/>
                <w:bdr w:val="nil"/>
                <w:lang w:val="en-AU"/>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property,</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software</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b/>
                <w:color w:val="FF0000"/>
                <w:sz w:val="16"/>
                <w:bdr w:val="nil"/>
                <w:lang w:val="en-AU"/>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plant and</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and</w:t>
            </w: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b/>
                <w:color w:val="FF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b/>
                <w:color w:val="FF0000"/>
                <w:bdr w:val="nil"/>
                <w:lang w:val="en-AU"/>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equipment</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intangibles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b/>
                <w:color w:val="FF0000"/>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b/>
                <w:color w:val="FF0000"/>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b/>
                <w:color w:val="FF0000"/>
                <w:sz w:val="16"/>
                <w:bdr w:val="nil"/>
                <w:lang w:val="en-AU"/>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As at 1 July 2020</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Gross book value </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52,341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1,305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889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1,042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55,577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Gross book value - ROU asset </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568,290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498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568,788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Accumulated depreciation/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amortisation and impairment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(7,068)</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(125)</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(827)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(8,020)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Accumulated depreciation/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amortisation and impairment –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ROU assets</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(32,204)</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(32,397)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Opening net book balance</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581,359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1,485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1,042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583,948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CAPITAL ASSET ADDITIONS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Estimated expenditure on new</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or replacement assets</w:t>
            </w: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By purchase – appropriation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ordinary annual services (a)</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1,618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1,920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3,538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By purchase – appropriation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ordinary annual services –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ROU assets</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2,875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306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3,181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additions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4,493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2,226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6,719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Other movements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Depreciation/amortisation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expense</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(6,985)</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(188)</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(7,235)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Depreciation/amortisation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on ROU assets</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(34,669)</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(34,879)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other movements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(41,654)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(398)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(42,114)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As at 30 June 2021</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Gross book value</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53,959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3,225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889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1,042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59,115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Gross book value - ROU assets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571,165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804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571,969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Accumulated depreciation/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amortisation and impairment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(14,053)</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(313)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(14,366)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Accumulated depreciation/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amortisation and impairment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 ROU assets</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(66,873)</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(403)</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(889)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(68,165)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Closing net book balance</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544,198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3,313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1,042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548,553</w:t>
            </w:r>
          </w:p>
        </w:tc>
      </w:tr>
    </w:tbl>
    <w:p w:rsidR="008C078B" w:rsidRPr="00F9499E" w:rsidRDefault="00D5482E" w:rsidP="006C4F26">
      <w:pPr>
        <w:keepLines/>
        <w:pBdr>
          <w:top w:val="nil"/>
          <w:left w:val="nil"/>
          <w:bottom w:val="nil"/>
          <w:right w:val="nil"/>
          <w:between w:val="nil"/>
          <w:bar w:val="nil"/>
        </w:pBdr>
        <w:spacing w:after="0" w:line="240" w:lineRule="auto"/>
        <w:contextualSpacing/>
        <w:jc w:val="both"/>
        <w:rPr>
          <w:b/>
          <w:color w:val="FF0000"/>
          <w:bdr w:val="nil"/>
          <w:lang w:val="en-AU"/>
        </w:rPr>
      </w:pPr>
      <w:r>
        <w:rPr>
          <w:rFonts w:ascii="Arial" w:eastAsia="Times New Roman" w:hAnsi="Arial" w:cs="Arial"/>
          <w:sz w:val="16"/>
          <w:szCs w:val="20"/>
          <w:bdr w:val="nil"/>
          <w:lang w:val="en-AU"/>
        </w:rPr>
        <w:t>Prepared on Australian Accounting Standard basis.</w:t>
      </w:r>
    </w:p>
    <w:p w:rsidR="002459B5" w:rsidRPr="002459B5" w:rsidRDefault="00D5482E" w:rsidP="002459B5">
      <w:pPr>
        <w:pStyle w:val="ChartandTableFootnoteAlpha"/>
        <w:numPr>
          <w:ilvl w:val="0"/>
          <w:numId w:val="37"/>
        </w:numPr>
        <w:pBdr>
          <w:top w:val="nil"/>
          <w:left w:val="nil"/>
          <w:bottom w:val="nil"/>
          <w:right w:val="nil"/>
          <w:between w:val="nil"/>
          <w:bar w:val="nil"/>
        </w:pBdr>
        <w:spacing w:after="0"/>
        <w:ind w:left="284" w:hanging="284"/>
        <w:rPr>
          <w:bdr w:val="nil"/>
        </w:rPr>
      </w:pPr>
      <w:r>
        <w:rPr>
          <w:bdr w:val="nil"/>
        </w:rPr>
        <w:t xml:space="preserve">‘Appropriation ordinary annual services’ refers to funding provided through </w:t>
      </w:r>
      <w:r>
        <w:rPr>
          <w:i/>
          <w:bdr w:val="nil"/>
        </w:rPr>
        <w:t>Appropriation Act (No. 1) 2020</w:t>
      </w:r>
      <w:r w:rsidR="007A4EA1">
        <w:rPr>
          <w:i/>
          <w:bdr w:val="nil"/>
        </w:rPr>
        <w:noBreakHyphen/>
      </w:r>
      <w:r>
        <w:rPr>
          <w:i/>
          <w:bdr w:val="nil"/>
        </w:rPr>
        <w:t>2021</w:t>
      </w:r>
      <w:r>
        <w:rPr>
          <w:bdr w:val="nil"/>
        </w:rPr>
        <w:t xml:space="preserve"> and Appropriation Bill (No. 3) 2020-2021 for depreciation/amortisation expenses, DCB or other operational expenses.</w:t>
      </w:r>
    </w:p>
    <w:p w:rsidR="007B0256" w:rsidRDefault="00D5482E" w:rsidP="001D3B27">
      <w:pPr>
        <w:pStyle w:val="TableHeading"/>
        <w:keepLines/>
        <w:pageBreakBefore/>
        <w:pBdr>
          <w:top w:val="nil"/>
          <w:left w:val="nil"/>
          <w:bottom w:val="nil"/>
          <w:right w:val="nil"/>
          <w:between w:val="nil"/>
          <w:bar w:val="nil"/>
        </w:pBdr>
        <w:spacing w:before="0" w:after="0"/>
        <w:rPr>
          <w:rFonts w:eastAsia="Calibri"/>
          <w:bdr w:val="nil"/>
        </w:rPr>
      </w:pPr>
      <w:r>
        <w:rPr>
          <w:rFonts w:eastAsia="Calibri" w:cs="Arial"/>
          <w:szCs w:val="22"/>
          <w:bdr w:val="nil"/>
          <w:lang w:eastAsia="en-US"/>
        </w:rPr>
        <w:lastRenderedPageBreak/>
        <w:t>Table 3.8</w:t>
      </w:r>
      <w:r w:rsidRPr="00803533">
        <w:rPr>
          <w:rFonts w:eastAsia="Calibri" w:cs="Arial"/>
          <w:szCs w:val="22"/>
          <w:bdr w:val="nil"/>
          <w:lang w:eastAsia="en-US"/>
        </w:rPr>
        <w:t xml:space="preserve">: </w:t>
      </w:r>
      <w:r>
        <w:rPr>
          <w:rFonts w:eastAsia="Calibri" w:cs="Arial"/>
          <w:szCs w:val="22"/>
          <w:bdr w:val="nil"/>
          <w:lang w:eastAsia="en-US"/>
        </w:rPr>
        <w:t>Schedule of budgeted income and expenses administered on behalf of Government</w:t>
      </w:r>
      <w:r w:rsidRPr="00803533">
        <w:rPr>
          <w:rFonts w:eastAsia="Calibri" w:cs="Arial"/>
          <w:szCs w:val="22"/>
          <w:bdr w:val="nil"/>
          <w:lang w:eastAsia="en-US"/>
        </w:rPr>
        <w:t xml:space="preserve"> (for the period ended </w:t>
      </w:r>
      <w:r>
        <w:rPr>
          <w:rFonts w:eastAsia="Calibri" w:cs="Arial"/>
          <w:szCs w:val="22"/>
          <w:bdr w:val="nil"/>
          <w:lang w:eastAsia="en-US"/>
        </w:rPr>
        <w:t>30 June</w:t>
      </w:r>
      <w:r w:rsidRPr="00803533">
        <w:rPr>
          <w:rFonts w:eastAsia="Calibri" w:cs="Arial"/>
          <w:szCs w:val="22"/>
          <w:bdr w:val="nil"/>
          <w:lang w:eastAsia="en-US"/>
        </w:rPr>
        <w:t>)</w:t>
      </w:r>
    </w:p>
    <w:tbl>
      <w:tblPr>
        <w:tblStyle w:val="CDMRange1"/>
        <w:tblW w:w="8190" w:type="dxa"/>
        <w:tblLayout w:type="fixed"/>
        <w:tblCellMar>
          <w:top w:w="11" w:type="dxa"/>
          <w:bottom w:w="11" w:type="dxa"/>
        </w:tblCellMar>
        <w:tblLook w:val="0600" w:firstRow="0" w:lastRow="0" w:firstColumn="0" w:lastColumn="0" w:noHBand="1" w:noVBand="1"/>
        <w:tblCaption w:val="Table 3.8: Schedule of budgeted income and expenses administered on behalf of Government (for the period ended 30 June)"/>
      </w:tblPr>
      <w:tblGrid>
        <w:gridCol w:w="2190"/>
        <w:gridCol w:w="1200"/>
        <w:gridCol w:w="1200"/>
        <w:gridCol w:w="1200"/>
        <w:gridCol w:w="1200"/>
        <w:gridCol w:w="1200"/>
      </w:tblGrid>
      <w:tr w:rsidR="00010972" w:rsidTr="00C5172A">
        <w:trPr>
          <w:tblHeader/>
        </w:trPr>
        <w:tc>
          <w:tcPr>
            <w:tcW w:w="219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200" w:type="dxa"/>
            <w:tcBorders>
              <w:top w:val="dotted" w:sz="2" w:space="0" w:color="000000"/>
              <w:left w:val="nil"/>
              <w:bottom w:val="nil"/>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1200" w:type="dxa"/>
            <w:tcBorders>
              <w:top w:val="dotted" w:sz="2" w:space="0" w:color="000000"/>
              <w:left w:val="nil"/>
              <w:bottom w:val="nil"/>
              <w:right w:val="nil"/>
              <w:tl2br w:val="nil"/>
              <w:tr2bl w:val="nil"/>
            </w:tcBorders>
            <w:shd w:val="clear" w:color="FFFFFF" w:fill="EAEAEA"/>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1200" w:type="dxa"/>
            <w:tcBorders>
              <w:top w:val="dotted" w:sz="2" w:space="0" w:color="000000"/>
              <w:left w:val="nil"/>
              <w:bottom w:val="nil"/>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1200" w:type="dxa"/>
            <w:tcBorders>
              <w:top w:val="dotted" w:sz="2" w:space="0" w:color="000000"/>
              <w:left w:val="nil"/>
              <w:bottom w:val="nil"/>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1200" w:type="dxa"/>
            <w:tcBorders>
              <w:top w:val="dotted" w:sz="2" w:space="0" w:color="000000"/>
              <w:left w:val="nil"/>
              <w:bottom w:val="nil"/>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1200" w:type="dxa"/>
            <w:tcBorders>
              <w:top w:val="nil"/>
              <w:left w:val="nil"/>
              <w:bottom w:val="nil"/>
              <w:right w:val="nil"/>
              <w:tl2br w:val="nil"/>
              <w:tr2bl w:val="nil"/>
            </w:tcBorders>
            <w:shd w:val="clear" w:color="FFFFFF" w:fill="EAEAEA"/>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1200"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1200"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1200"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FFFFFF" w:fill="FFFFFF"/>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FFFFFF" w:fill="EAEAEA"/>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1200"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1200"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1200"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200" w:type="dxa"/>
            <w:tcBorders>
              <w:top w:val="nil"/>
              <w:left w:val="nil"/>
              <w:bottom w:val="dotted" w:sz="2" w:space="0" w:color="000000"/>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200" w:type="dxa"/>
            <w:tcBorders>
              <w:top w:val="nil"/>
              <w:left w:val="nil"/>
              <w:bottom w:val="dotted" w:sz="2" w:space="0" w:color="000000"/>
              <w:right w:val="nil"/>
              <w:tl2br w:val="nil"/>
              <w:tr2bl w:val="nil"/>
            </w:tcBorders>
            <w:shd w:val="clear" w:color="FFFFFF" w:fill="EAEAEA"/>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200" w:type="dxa"/>
            <w:tcBorders>
              <w:top w:val="nil"/>
              <w:left w:val="nil"/>
              <w:bottom w:val="dotted" w:sz="2" w:space="0" w:color="000000"/>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200" w:type="dxa"/>
            <w:tcBorders>
              <w:top w:val="nil"/>
              <w:left w:val="nil"/>
              <w:bottom w:val="dotted" w:sz="2" w:space="0" w:color="000000"/>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200" w:type="dxa"/>
            <w:tcBorders>
              <w:top w:val="nil"/>
              <w:left w:val="nil"/>
              <w:bottom w:val="dotted" w:sz="2" w:space="0" w:color="000000"/>
              <w:right w:val="nil"/>
              <w:tl2br w:val="nil"/>
              <w:tr2bl w:val="nil"/>
            </w:tcBorders>
            <w:shd w:val="clear" w:color="FFFFFF" w:fill="FFFFFF"/>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EXPENSES</w:t>
            </w:r>
          </w:p>
        </w:tc>
        <w:tc>
          <w:tcPr>
            <w:tcW w:w="120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Suppliers</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128,156</w:t>
            </w:r>
          </w:p>
        </w:tc>
        <w:tc>
          <w:tcPr>
            <w:tcW w:w="120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430,916</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369,219</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316,204</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312,463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Subsidies</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118,229</w:t>
            </w:r>
          </w:p>
        </w:tc>
        <w:tc>
          <w:tcPr>
            <w:tcW w:w="120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113,366</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100,756</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81,572</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59,386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Grants</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2,543,708</w:t>
            </w:r>
          </w:p>
        </w:tc>
        <w:tc>
          <w:tcPr>
            <w:tcW w:w="120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2,802,281</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2,378,203</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2,342,664</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2,323,605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Personal benefits</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129,688,417</w:t>
            </w:r>
          </w:p>
        </w:tc>
        <w:tc>
          <w:tcPr>
            <w:tcW w:w="120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153,372,812</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125,098,428</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123,851,009</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126,198,175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Finance costs</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20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108,953</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115,051</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121,391</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127,731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Payments to corporate entities</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8,482,457</w:t>
            </w:r>
          </w:p>
        </w:tc>
        <w:tc>
          <w:tcPr>
            <w:tcW w:w="120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12,371,968</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13,988,732</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13,843,030</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13,463,998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w:t>
            </w:r>
          </w:p>
        </w:tc>
        <w:tc>
          <w:tcPr>
            <w:tcW w:w="120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8,546</w:t>
            </w:r>
          </w:p>
        </w:tc>
        <w:tc>
          <w:tcPr>
            <w:tcW w:w="120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43,405</w:t>
            </w:r>
          </w:p>
        </w:tc>
        <w:tc>
          <w:tcPr>
            <w:tcW w:w="120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32,995</w:t>
            </w:r>
          </w:p>
        </w:tc>
        <w:tc>
          <w:tcPr>
            <w:tcW w:w="120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20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Total expenses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administered on behalf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of Government</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140,969,513</w:t>
            </w:r>
          </w:p>
        </w:tc>
        <w:tc>
          <w:tcPr>
            <w:tcW w:w="120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169,243,701</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142,083,384</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140,555,870</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142,485,358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LESS:</w:t>
            </w:r>
          </w:p>
        </w:tc>
        <w:tc>
          <w:tcPr>
            <w:tcW w:w="120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20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20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OWN-SOURCE INCOME</w:t>
            </w: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Own-source revenue</w:t>
            </w: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Non-taxation revenue</w:t>
            </w: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Interest</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53,454</w:t>
            </w:r>
          </w:p>
        </w:tc>
        <w:tc>
          <w:tcPr>
            <w:tcW w:w="120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82,158</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77,344</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77,528</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84,131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Dividends</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3,775</w:t>
            </w:r>
          </w:p>
        </w:tc>
        <w:tc>
          <w:tcPr>
            <w:tcW w:w="120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1,007</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1,010</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1,007</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1,007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Sales of Goods and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rendering of Services</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255,058</w:t>
            </w:r>
          </w:p>
        </w:tc>
        <w:tc>
          <w:tcPr>
            <w:tcW w:w="120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344,434</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366,151</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377,914</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394,243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sources of</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non­taxation revenues</w:t>
            </w:r>
          </w:p>
        </w:tc>
        <w:tc>
          <w:tcPr>
            <w:tcW w:w="120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43,569</w:t>
            </w:r>
          </w:p>
        </w:tc>
        <w:tc>
          <w:tcPr>
            <w:tcW w:w="120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43,251</w:t>
            </w:r>
          </w:p>
        </w:tc>
        <w:tc>
          <w:tcPr>
            <w:tcW w:w="120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35,895</w:t>
            </w:r>
          </w:p>
        </w:tc>
        <w:tc>
          <w:tcPr>
            <w:tcW w:w="120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26,512</w:t>
            </w:r>
          </w:p>
        </w:tc>
        <w:tc>
          <w:tcPr>
            <w:tcW w:w="120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21,879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non-taxation revenue</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355,856</w:t>
            </w:r>
          </w:p>
        </w:tc>
        <w:tc>
          <w:tcPr>
            <w:tcW w:w="120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470,850</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480,400</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482,961</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501,260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Total own-source revenue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administered on behalf</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of Government</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355,856</w:t>
            </w:r>
          </w:p>
        </w:tc>
        <w:tc>
          <w:tcPr>
            <w:tcW w:w="120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470,850</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480,400</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482,961</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501,260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Gains</w:t>
            </w:r>
          </w:p>
        </w:tc>
        <w:tc>
          <w:tcPr>
            <w:tcW w:w="120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gains</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220,670</w:t>
            </w:r>
          </w:p>
        </w:tc>
        <w:tc>
          <w:tcPr>
            <w:tcW w:w="120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gains administered</w:t>
            </w: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on behalf of government</w:t>
            </w:r>
          </w:p>
        </w:tc>
        <w:tc>
          <w:tcPr>
            <w:tcW w:w="120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220,670</w:t>
            </w:r>
          </w:p>
        </w:tc>
        <w:tc>
          <w:tcPr>
            <w:tcW w:w="120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20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20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20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own-source income</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administered on behalf</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of Government</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576,526</w:t>
            </w:r>
          </w:p>
        </w:tc>
        <w:tc>
          <w:tcPr>
            <w:tcW w:w="120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470,850</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480,400</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482,961</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501,260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cost of services</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140,392,987</w:t>
            </w:r>
          </w:p>
        </w:tc>
        <w:tc>
          <w:tcPr>
            <w:tcW w:w="120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168,772,851</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141,602,984</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140,072,909</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141,984,098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Surplus/(deficit)</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(140,392,987)</w:t>
            </w:r>
          </w:p>
        </w:tc>
        <w:tc>
          <w:tcPr>
            <w:tcW w:w="120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(168,772,851)</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(141,602,984)</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(140,072,909)</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(141,984,098)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9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comprehensive</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income/(loss)</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(140,392,987)</w:t>
            </w:r>
          </w:p>
        </w:tc>
        <w:tc>
          <w:tcPr>
            <w:tcW w:w="120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(168,772,851)</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(141,602,984)</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(140,072,909)</w:t>
            </w:r>
          </w:p>
        </w:tc>
        <w:tc>
          <w:tcPr>
            <w:tcW w:w="120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(141,984,098)</w:t>
            </w:r>
          </w:p>
        </w:tc>
      </w:tr>
    </w:tbl>
    <w:p w:rsidR="00587C31" w:rsidRPr="00507327" w:rsidRDefault="00D5482E" w:rsidP="001D3B27">
      <w:pPr>
        <w:keepLines/>
        <w:pBdr>
          <w:top w:val="nil"/>
          <w:left w:val="nil"/>
          <w:bottom w:val="nil"/>
          <w:right w:val="nil"/>
          <w:between w:val="nil"/>
          <w:bar w:val="nil"/>
        </w:pBdr>
        <w:spacing w:after="0" w:line="240" w:lineRule="auto"/>
        <w:jc w:val="both"/>
        <w:rPr>
          <w:rFonts w:ascii="Arial" w:hAnsi="Arial" w:cs="Arial"/>
          <w:sz w:val="16"/>
          <w:szCs w:val="18"/>
          <w:bdr w:val="nil"/>
          <w:lang w:val="en-AU"/>
        </w:rPr>
      </w:pPr>
      <w:r w:rsidRPr="00507327">
        <w:rPr>
          <w:rFonts w:ascii="Arial" w:eastAsia="Times New Roman" w:hAnsi="Arial" w:cs="Arial"/>
          <w:sz w:val="16"/>
          <w:szCs w:val="18"/>
          <w:bdr w:val="nil"/>
          <w:lang w:val="en-AU"/>
        </w:rPr>
        <w:t>Prepared on Australian Accounting Standard basis.</w:t>
      </w:r>
    </w:p>
    <w:p w:rsidR="007B0256" w:rsidRDefault="00D5482E" w:rsidP="00B94650">
      <w:pPr>
        <w:pStyle w:val="TableHeading"/>
        <w:keepLines/>
        <w:pageBreakBefore/>
        <w:pBdr>
          <w:top w:val="nil"/>
          <w:left w:val="nil"/>
          <w:bottom w:val="nil"/>
          <w:right w:val="nil"/>
          <w:between w:val="nil"/>
          <w:bar w:val="nil"/>
        </w:pBdr>
        <w:spacing w:before="0" w:after="0"/>
        <w:rPr>
          <w:rFonts w:eastAsia="Calibri"/>
          <w:bdr w:val="nil"/>
        </w:rPr>
      </w:pPr>
      <w:r>
        <w:rPr>
          <w:rFonts w:eastAsia="Calibri" w:cs="Arial"/>
          <w:szCs w:val="22"/>
          <w:bdr w:val="nil"/>
          <w:lang w:eastAsia="en-US"/>
        </w:rPr>
        <w:lastRenderedPageBreak/>
        <w:t>Table 3.9</w:t>
      </w:r>
      <w:r w:rsidRPr="00803533">
        <w:rPr>
          <w:rFonts w:eastAsia="Calibri" w:cs="Arial"/>
          <w:szCs w:val="22"/>
          <w:bdr w:val="nil"/>
          <w:lang w:eastAsia="en-US"/>
        </w:rPr>
        <w:t xml:space="preserve">: </w:t>
      </w:r>
      <w:r>
        <w:rPr>
          <w:rFonts w:eastAsia="Calibri" w:cs="Arial"/>
          <w:szCs w:val="22"/>
          <w:bdr w:val="nil"/>
          <w:lang w:eastAsia="en-US"/>
        </w:rPr>
        <w:t>Schedule of budgeted assets and liabilities administered on behalf of Government (as at 30 June</w:t>
      </w:r>
      <w:r w:rsidRPr="00803533">
        <w:rPr>
          <w:rFonts w:eastAsia="Calibri" w:cs="Arial"/>
          <w:szCs w:val="22"/>
          <w:bdr w:val="nil"/>
          <w:lang w:eastAsia="en-US"/>
        </w:rPr>
        <w:t>)</w:t>
      </w:r>
    </w:p>
    <w:tbl>
      <w:tblPr>
        <w:tblStyle w:val="CDMRange1"/>
        <w:tblW w:w="7890" w:type="dxa"/>
        <w:tblLayout w:type="fixed"/>
        <w:tblCellMar>
          <w:top w:w="11" w:type="dxa"/>
          <w:bottom w:w="11" w:type="dxa"/>
        </w:tblCellMar>
        <w:tblLook w:val="0600" w:firstRow="0" w:lastRow="0" w:firstColumn="0" w:lastColumn="0" w:noHBand="1" w:noVBand="1"/>
        <w:tblCaption w:val="Table 3.9: Schedule of budgeted assets and liabilities administered on behalf of Government (as at 30 June)"/>
      </w:tblPr>
      <w:tblGrid>
        <w:gridCol w:w="2490"/>
        <w:gridCol w:w="1080"/>
        <w:gridCol w:w="1080"/>
        <w:gridCol w:w="1080"/>
        <w:gridCol w:w="1080"/>
        <w:gridCol w:w="1080"/>
      </w:tblGrid>
      <w:tr w:rsidR="00010972" w:rsidTr="00C5172A">
        <w:trPr>
          <w:tblHeader/>
        </w:trPr>
        <w:tc>
          <w:tcPr>
            <w:tcW w:w="2490"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1080" w:type="dxa"/>
            <w:tcBorders>
              <w:top w:val="dotted" w:sz="2" w:space="0" w:color="000000"/>
              <w:left w:val="nil"/>
              <w:bottom w:val="nil"/>
              <w:right w:val="nil"/>
              <w:tl2br w:val="nil"/>
              <w:tr2bl w:val="nil"/>
            </w:tcBorders>
            <w:shd w:val="clear" w:color="FFFFFF" w:fill="EAEAEA"/>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108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108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108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1080" w:type="dxa"/>
            <w:tcBorders>
              <w:top w:val="nil"/>
              <w:left w:val="nil"/>
              <w:bottom w:val="nil"/>
              <w:right w:val="nil"/>
              <w:tl2br w:val="nil"/>
              <w:tr2bl w:val="nil"/>
            </w:tcBorders>
            <w:shd w:val="clear" w:color="FFFFFF" w:fill="EAEAEA"/>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FFFFFF" w:fill="EAEAEA"/>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10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lang w:val="en-AU"/>
              </w:rPr>
            </w:pP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FFFFFF" w:fill="EAEAEA"/>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ASSETS</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Financial assets</w:t>
            </w:r>
          </w:p>
        </w:tc>
        <w:tc>
          <w:tcPr>
            <w:tcW w:w="108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FFFFFF" w:fill="EAEAEA"/>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Cash and cash equivalents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518,528</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11,685</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15,680</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15,680</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15,680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Receivables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4,706,346</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3,906,112</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3,966,496</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3,906,638</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3,884,944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Investments</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1,173,527</w:t>
            </w:r>
          </w:p>
        </w:tc>
        <w:tc>
          <w:tcPr>
            <w:tcW w:w="108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878,813</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642,845</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560,843</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556,360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financial assets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6,398,401</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4,796,610</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4,625,021</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4,483,161</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4,456,984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assets administered on</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behalf of Government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6,398,401</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4,796,610</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4,625,021</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4,483,161</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4,456,984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LIABILITIES</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Payables</w:t>
            </w: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Suppliers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98,706</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98,670</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98,637</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98,637</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98,637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Subsidies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88,621</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87,831</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81,182</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71,067</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59,369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Personal benefits payable</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3,886,824</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2,514,541</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2,366,523</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2,265,299</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2,884,729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Grants</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53,174</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53,174</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53,174</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53,174</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53,174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payables</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6,000</w:t>
            </w:r>
          </w:p>
        </w:tc>
        <w:tc>
          <w:tcPr>
            <w:tcW w:w="108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6,000</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6,000</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6,000</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payables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4,133,325</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2,760,216</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2,605,516</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2,494,177</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3,101,909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Provisions</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Personal benefits provision</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4,732,782</w:t>
            </w:r>
          </w:p>
        </w:tc>
        <w:tc>
          <w:tcPr>
            <w:tcW w:w="108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4,761,669</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4,693,666</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4,684,193</w:t>
            </w:r>
          </w:p>
        </w:tc>
        <w:tc>
          <w:tcPr>
            <w:tcW w:w="10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4,687,097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provisions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4,732,782</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4,761,669</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4,693,666</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4,684,193</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4,687,097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liabilities administered</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on behalf of Government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8,866,107</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7,521,885</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7,299,182</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7,178,370</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7,789,006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assets/(liabilities)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(2,467,706)</w:t>
            </w:r>
          </w:p>
        </w:tc>
        <w:tc>
          <w:tcPr>
            <w:tcW w:w="108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(2,725,275)</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(2,674,161)</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(2,695,209)</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(3,332,022)</w:t>
            </w:r>
          </w:p>
        </w:tc>
      </w:tr>
    </w:tbl>
    <w:p w:rsidR="00F5114A" w:rsidRPr="00F5114A" w:rsidRDefault="00D5482E" w:rsidP="00B94650">
      <w:pPr>
        <w:keepLines/>
        <w:pBdr>
          <w:top w:val="nil"/>
          <w:left w:val="nil"/>
          <w:bottom w:val="nil"/>
          <w:right w:val="nil"/>
          <w:between w:val="nil"/>
          <w:bar w:val="nil"/>
        </w:pBdr>
        <w:spacing w:after="0" w:line="240" w:lineRule="auto"/>
        <w:jc w:val="both"/>
        <w:rPr>
          <w:rFonts w:ascii="Arial" w:hAnsi="Arial" w:cs="Arial"/>
          <w:sz w:val="16"/>
          <w:bdr w:val="nil"/>
          <w:lang w:val="en-AU"/>
        </w:rPr>
      </w:pPr>
      <w:r w:rsidRPr="00F5114A">
        <w:rPr>
          <w:rFonts w:ascii="Arial" w:eastAsia="Times New Roman" w:hAnsi="Arial" w:cs="Arial"/>
          <w:sz w:val="16"/>
          <w:szCs w:val="20"/>
          <w:bdr w:val="nil"/>
          <w:lang w:val="en-AU"/>
        </w:rPr>
        <w:t>Prepared on Australian Accounting Standard basis.</w:t>
      </w:r>
    </w:p>
    <w:p w:rsidR="007B0256" w:rsidRDefault="00D5482E" w:rsidP="00BB19FC">
      <w:pPr>
        <w:pStyle w:val="TableHeading"/>
        <w:keepLines/>
        <w:pageBreakBefore/>
        <w:pBdr>
          <w:top w:val="nil"/>
          <w:left w:val="nil"/>
          <w:bottom w:val="nil"/>
          <w:right w:val="nil"/>
          <w:between w:val="nil"/>
          <w:bar w:val="nil"/>
        </w:pBdr>
        <w:spacing w:before="0" w:after="0"/>
        <w:rPr>
          <w:rFonts w:eastAsia="Calibri"/>
          <w:bdr w:val="nil"/>
        </w:rPr>
      </w:pPr>
      <w:r>
        <w:rPr>
          <w:rFonts w:eastAsia="Calibri" w:cs="Arial"/>
          <w:szCs w:val="22"/>
          <w:bdr w:val="nil"/>
          <w:lang w:eastAsia="en-US"/>
        </w:rPr>
        <w:lastRenderedPageBreak/>
        <w:t>Table 3.10</w:t>
      </w:r>
      <w:r w:rsidRPr="00803533">
        <w:rPr>
          <w:rFonts w:eastAsia="Calibri" w:cs="Arial"/>
          <w:szCs w:val="22"/>
          <w:bdr w:val="nil"/>
          <w:lang w:eastAsia="en-US"/>
        </w:rPr>
        <w:t xml:space="preserve">: </w:t>
      </w:r>
      <w:r>
        <w:rPr>
          <w:rFonts w:eastAsia="Calibri" w:cs="Arial"/>
          <w:szCs w:val="22"/>
          <w:bdr w:val="nil"/>
          <w:lang w:eastAsia="en-US"/>
        </w:rPr>
        <w:t>Schedule of budgeted administered cash flows (for the period ended 30 June</w:t>
      </w:r>
      <w:r w:rsidRPr="00803533">
        <w:rPr>
          <w:rFonts w:eastAsia="Calibri" w:cs="Arial"/>
          <w:szCs w:val="22"/>
          <w:bdr w:val="nil"/>
          <w:lang w:eastAsia="en-US"/>
        </w:rPr>
        <w:t>)</w:t>
      </w:r>
    </w:p>
    <w:tbl>
      <w:tblPr>
        <w:tblStyle w:val="CDMRange1"/>
        <w:tblW w:w="8145" w:type="dxa"/>
        <w:tblLayout w:type="fixed"/>
        <w:tblCellMar>
          <w:top w:w="11" w:type="dxa"/>
          <w:bottom w:w="11" w:type="dxa"/>
        </w:tblCellMar>
        <w:tblLook w:val="0600" w:firstRow="0" w:lastRow="0" w:firstColumn="0" w:lastColumn="0" w:noHBand="1" w:noVBand="1"/>
        <w:tblCaption w:val="Table 3.10: Schedule of budgeted administered cash flows (for the period ended 30 June)"/>
      </w:tblPr>
      <w:tblGrid>
        <w:gridCol w:w="2295"/>
        <w:gridCol w:w="1170"/>
        <w:gridCol w:w="1170"/>
        <w:gridCol w:w="1170"/>
        <w:gridCol w:w="1170"/>
        <w:gridCol w:w="1170"/>
      </w:tblGrid>
      <w:tr w:rsidR="00010972" w:rsidTr="00C5172A">
        <w:trPr>
          <w:tblHeader/>
        </w:trPr>
        <w:tc>
          <w:tcPr>
            <w:tcW w:w="2295" w:type="dxa"/>
            <w:vMerge w:val="restart"/>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1170" w:type="dxa"/>
            <w:tcBorders>
              <w:top w:val="dotted" w:sz="2" w:space="0" w:color="000000"/>
              <w:left w:val="nil"/>
              <w:bottom w:val="nil"/>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117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117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117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1170" w:type="dxa"/>
            <w:tcBorders>
              <w:top w:val="nil"/>
              <w:left w:val="nil"/>
              <w:bottom w:val="nil"/>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117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117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117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117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117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117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vMerge/>
            <w:tcBorders>
              <w:top w:val="nil"/>
              <w:left w:val="nil"/>
              <w:bottom w:val="nil"/>
              <w:right w:val="nil"/>
              <w:tl2br w:val="nil"/>
              <w:tr2bl w:val="nil"/>
            </w:tcBorders>
            <w:shd w:val="clear" w:color="auto" w:fill="auto"/>
            <w:noWrap/>
            <w:tcMar>
              <w:left w:w="0" w:type="dxa"/>
              <w:right w:w="0" w:type="dxa"/>
            </w:tcMar>
            <w:vAlign w:val="center"/>
          </w:tcPr>
          <w:p w:rsidR="00010972" w:rsidRDefault="00010972">
            <w:pPr>
              <w:spacing w:after="0" w:line="240" w:lineRule="auto"/>
              <w:jc w:val="center"/>
              <w:rPr>
                <w:rFonts w:ascii="Arial" w:eastAsia="Arial" w:hAnsi="Arial" w:cs="Arial"/>
                <w:color w:val="000000"/>
                <w:sz w:val="16"/>
                <w:bdr w:val="nil"/>
                <w:lang w:val="en-AU"/>
              </w:rPr>
            </w:pPr>
          </w:p>
        </w:tc>
        <w:tc>
          <w:tcPr>
            <w:tcW w:w="117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170" w:type="dxa"/>
            <w:tcBorders>
              <w:top w:val="nil"/>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17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17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17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OPERATING ACTIVITIES</w:t>
            </w:r>
          </w:p>
        </w:tc>
        <w:tc>
          <w:tcPr>
            <w:tcW w:w="117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EAEAEA"/>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received</w:t>
            </w:r>
          </w:p>
        </w:tc>
        <w:tc>
          <w:tcPr>
            <w:tcW w:w="117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EAEAEA"/>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Goods and services</w:t>
            </w:r>
          </w:p>
        </w:tc>
        <w:tc>
          <w:tcPr>
            <w:tcW w:w="117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121,372</w:t>
            </w:r>
          </w:p>
        </w:tc>
        <w:tc>
          <w:tcPr>
            <w:tcW w:w="1170" w:type="dxa"/>
            <w:tcBorders>
              <w:top w:val="nil"/>
              <w:left w:val="nil"/>
              <w:bottom w:val="nil"/>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337,067</w:t>
            </w:r>
          </w:p>
        </w:tc>
        <w:tc>
          <w:tcPr>
            <w:tcW w:w="1170"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373,959</w:t>
            </w:r>
          </w:p>
        </w:tc>
        <w:tc>
          <w:tcPr>
            <w:tcW w:w="117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378,974</w:t>
            </w:r>
          </w:p>
        </w:tc>
        <w:tc>
          <w:tcPr>
            <w:tcW w:w="117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395,638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Interest</w:t>
            </w:r>
          </w:p>
        </w:tc>
        <w:tc>
          <w:tcPr>
            <w:tcW w:w="117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2,562</w:t>
            </w:r>
          </w:p>
        </w:tc>
        <w:tc>
          <w:tcPr>
            <w:tcW w:w="1170" w:type="dxa"/>
            <w:tcBorders>
              <w:top w:val="nil"/>
              <w:left w:val="nil"/>
              <w:bottom w:val="nil"/>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92,169</w:t>
            </w:r>
          </w:p>
        </w:tc>
        <w:tc>
          <w:tcPr>
            <w:tcW w:w="1170"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81,043</w:t>
            </w:r>
          </w:p>
        </w:tc>
        <w:tc>
          <w:tcPr>
            <w:tcW w:w="117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44,891</w:t>
            </w:r>
          </w:p>
        </w:tc>
        <w:tc>
          <w:tcPr>
            <w:tcW w:w="117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44,891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Dividends</w:t>
            </w:r>
          </w:p>
        </w:tc>
        <w:tc>
          <w:tcPr>
            <w:tcW w:w="117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3,775</w:t>
            </w:r>
          </w:p>
        </w:tc>
        <w:tc>
          <w:tcPr>
            <w:tcW w:w="1170" w:type="dxa"/>
            <w:tcBorders>
              <w:top w:val="nil"/>
              <w:left w:val="nil"/>
              <w:bottom w:val="nil"/>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1,009</w:t>
            </w:r>
          </w:p>
        </w:tc>
        <w:tc>
          <w:tcPr>
            <w:tcW w:w="1170"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1,009</w:t>
            </w:r>
          </w:p>
        </w:tc>
        <w:tc>
          <w:tcPr>
            <w:tcW w:w="117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1,008</w:t>
            </w:r>
          </w:p>
        </w:tc>
        <w:tc>
          <w:tcPr>
            <w:tcW w:w="117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1,007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Net GST received</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237,231</w:t>
            </w:r>
          </w:p>
        </w:tc>
        <w:tc>
          <w:tcPr>
            <w:tcW w:w="1170" w:type="dxa"/>
            <w:tcBorders>
              <w:top w:val="nil"/>
              <w:left w:val="nil"/>
              <w:bottom w:val="nil"/>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199,472</w:t>
            </w:r>
          </w:p>
        </w:tc>
        <w:tc>
          <w:tcPr>
            <w:tcW w:w="117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184,706</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182,480</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183,431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w:t>
            </w:r>
          </w:p>
        </w:tc>
        <w:tc>
          <w:tcPr>
            <w:tcW w:w="117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738,442</w:t>
            </w:r>
          </w:p>
        </w:tc>
        <w:tc>
          <w:tcPr>
            <w:tcW w:w="1170" w:type="dxa"/>
            <w:tcBorders>
              <w:top w:val="nil"/>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516,449</w:t>
            </w:r>
          </w:p>
        </w:tc>
        <w:tc>
          <w:tcPr>
            <w:tcW w:w="1170"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664,554</w:t>
            </w:r>
          </w:p>
        </w:tc>
        <w:tc>
          <w:tcPr>
            <w:tcW w:w="117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795,383</w:t>
            </w:r>
          </w:p>
        </w:tc>
        <w:tc>
          <w:tcPr>
            <w:tcW w:w="117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806,118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received</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1,103,382</w:t>
            </w:r>
          </w:p>
        </w:tc>
        <w:tc>
          <w:tcPr>
            <w:tcW w:w="117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1,146,166</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1,305,271</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1,402,736</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1,431,085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used</w:t>
            </w: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EAEAEA"/>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Grant payments</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2,932,726</w:t>
            </w:r>
          </w:p>
        </w:tc>
        <w:tc>
          <w:tcPr>
            <w:tcW w:w="117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2,932,534</w:t>
            </w:r>
          </w:p>
        </w:tc>
        <w:tc>
          <w:tcPr>
            <w:tcW w:w="117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2,560,381</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2,524,830</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2,506,699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Subsidies paid</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116,120</w:t>
            </w:r>
          </w:p>
        </w:tc>
        <w:tc>
          <w:tcPr>
            <w:tcW w:w="117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114,156</w:t>
            </w:r>
          </w:p>
        </w:tc>
        <w:tc>
          <w:tcPr>
            <w:tcW w:w="1170"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107,405</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91,687</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71,084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Personal benefits</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127,825,558</w:t>
            </w:r>
          </w:p>
        </w:tc>
        <w:tc>
          <w:tcPr>
            <w:tcW w:w="117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154,370,602</w:t>
            </w:r>
          </w:p>
        </w:tc>
        <w:tc>
          <w:tcPr>
            <w:tcW w:w="1170"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125,876,831</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124,597,400</w:t>
            </w:r>
          </w:p>
        </w:tc>
        <w:tc>
          <w:tcPr>
            <w:tcW w:w="117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126,250,634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Supplier</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146,968</w:t>
            </w:r>
          </w:p>
        </w:tc>
        <w:tc>
          <w:tcPr>
            <w:tcW w:w="117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443,718</w:t>
            </w:r>
          </w:p>
        </w:tc>
        <w:tc>
          <w:tcPr>
            <w:tcW w:w="117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379,630</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324,367</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320,688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Payments to corporate</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entities</w:t>
            </w:r>
          </w:p>
        </w:tc>
        <w:tc>
          <w:tcPr>
            <w:tcW w:w="117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8,381,805</w:t>
            </w:r>
          </w:p>
        </w:tc>
        <w:tc>
          <w:tcPr>
            <w:tcW w:w="117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12,371,968</w:t>
            </w:r>
          </w:p>
        </w:tc>
        <w:tc>
          <w:tcPr>
            <w:tcW w:w="117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13,988,732</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13,843,030</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13,463,998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w:t>
            </w:r>
          </w:p>
        </w:tc>
        <w:tc>
          <w:tcPr>
            <w:tcW w:w="1170"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8,542</w:t>
            </w:r>
          </w:p>
        </w:tc>
        <w:tc>
          <w:tcPr>
            <w:tcW w:w="117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43,405</w:t>
            </w:r>
          </w:p>
        </w:tc>
        <w:tc>
          <w:tcPr>
            <w:tcW w:w="1170"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32,995</w:t>
            </w:r>
          </w:p>
        </w:tc>
        <w:tc>
          <w:tcPr>
            <w:tcW w:w="117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17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used</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139,411,719</w:t>
            </w:r>
          </w:p>
        </w:tc>
        <w:tc>
          <w:tcPr>
            <w:tcW w:w="117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170,276,383</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142,945,974</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141,381,314</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142,613,103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cash from/(used by)</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operating activities</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(138,308,337)</w:t>
            </w:r>
          </w:p>
        </w:tc>
        <w:tc>
          <w:tcPr>
            <w:tcW w:w="117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(169,130,217)</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(141,640,703)</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(139,978,578)</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(141,182,018)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INVESTING ACTIVITIES</w:t>
            </w: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received</w:t>
            </w:r>
          </w:p>
        </w:tc>
        <w:tc>
          <w:tcPr>
            <w:tcW w:w="1170"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Repayments of loans and</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advances</w:t>
            </w:r>
          </w:p>
        </w:tc>
        <w:tc>
          <w:tcPr>
            <w:tcW w:w="117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67,252</w:t>
            </w:r>
          </w:p>
        </w:tc>
        <w:tc>
          <w:tcPr>
            <w:tcW w:w="117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34,800</w:t>
            </w:r>
          </w:p>
        </w:tc>
        <w:tc>
          <w:tcPr>
            <w:tcW w:w="1170"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30,700</w:t>
            </w:r>
          </w:p>
        </w:tc>
        <w:tc>
          <w:tcPr>
            <w:tcW w:w="117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29,200</w:t>
            </w:r>
          </w:p>
        </w:tc>
        <w:tc>
          <w:tcPr>
            <w:tcW w:w="117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26,900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received</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67,252</w:t>
            </w:r>
          </w:p>
        </w:tc>
        <w:tc>
          <w:tcPr>
            <w:tcW w:w="117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34,800</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30,700</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29,200</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26,900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used</w:t>
            </w: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Advances and loans made</w:t>
            </w:r>
          </w:p>
        </w:tc>
        <w:tc>
          <w:tcPr>
            <w:tcW w:w="117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210,956</w:t>
            </w:r>
          </w:p>
        </w:tc>
        <w:tc>
          <w:tcPr>
            <w:tcW w:w="117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252,135</w:t>
            </w:r>
          </w:p>
        </w:tc>
        <w:tc>
          <w:tcPr>
            <w:tcW w:w="1170"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321,933</w:t>
            </w:r>
          </w:p>
        </w:tc>
        <w:tc>
          <w:tcPr>
            <w:tcW w:w="117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217,139</w:t>
            </w:r>
          </w:p>
        </w:tc>
        <w:tc>
          <w:tcPr>
            <w:tcW w:w="117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224,039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used</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210,956</w:t>
            </w:r>
          </w:p>
        </w:tc>
        <w:tc>
          <w:tcPr>
            <w:tcW w:w="117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252,135</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321,933</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217,139</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224,039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cash from/(used by)</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investing activities</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(143,704)</w:t>
            </w:r>
          </w:p>
        </w:tc>
        <w:tc>
          <w:tcPr>
            <w:tcW w:w="117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(217,335)</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(291,233)</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(187,939)</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(197,139)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 xml:space="preserve">Net increase/(decrease) </w:t>
            </w:r>
          </w:p>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 xml:space="preserve">  in cash held</w:t>
            </w:r>
          </w:p>
        </w:tc>
        <w:tc>
          <w:tcPr>
            <w:tcW w:w="1170"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(138,452,041)</w:t>
            </w:r>
          </w:p>
        </w:tc>
        <w:tc>
          <w:tcPr>
            <w:tcW w:w="1170" w:type="dxa"/>
            <w:tcBorders>
              <w:top w:val="dotted" w:sz="2" w:space="0" w:color="000000"/>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(169,347,552)</w:t>
            </w:r>
          </w:p>
        </w:tc>
        <w:tc>
          <w:tcPr>
            <w:tcW w:w="1170" w:type="dxa"/>
            <w:tcBorders>
              <w:top w:val="dotted" w:sz="2" w:space="0" w:color="000000"/>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(141,931,936)</w:t>
            </w:r>
          </w:p>
        </w:tc>
        <w:tc>
          <w:tcPr>
            <w:tcW w:w="1170"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(140,166,517)</w:t>
            </w:r>
          </w:p>
        </w:tc>
        <w:tc>
          <w:tcPr>
            <w:tcW w:w="1170"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(141,379,157)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Cash and cash equivalents at</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beginning of reporting period</w:t>
            </w:r>
          </w:p>
        </w:tc>
        <w:tc>
          <w:tcPr>
            <w:tcW w:w="117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412,483</w:t>
            </w:r>
          </w:p>
        </w:tc>
        <w:tc>
          <w:tcPr>
            <w:tcW w:w="1170" w:type="dxa"/>
            <w:tcBorders>
              <w:top w:val="dotted" w:sz="2" w:space="0" w:color="000000"/>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518,528</w:t>
            </w:r>
          </w:p>
        </w:tc>
        <w:tc>
          <w:tcPr>
            <w:tcW w:w="117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11,685</w:t>
            </w:r>
          </w:p>
        </w:tc>
        <w:tc>
          <w:tcPr>
            <w:tcW w:w="117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15,680</w:t>
            </w:r>
          </w:p>
        </w:tc>
        <w:tc>
          <w:tcPr>
            <w:tcW w:w="117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15,730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Cash from Official Public</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Account for:</w:t>
            </w:r>
          </w:p>
        </w:tc>
        <w:tc>
          <w:tcPr>
            <w:tcW w:w="1170"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FFFFFF" w:fill="FFFFFF"/>
            <w:noWrap/>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Appropriations</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139,021,894</w:t>
            </w:r>
          </w:p>
        </w:tc>
        <w:tc>
          <w:tcPr>
            <w:tcW w:w="1170" w:type="dxa"/>
            <w:tcBorders>
              <w:top w:val="nil"/>
              <w:left w:val="nil"/>
              <w:bottom w:val="nil"/>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170,347,126</w:t>
            </w:r>
          </w:p>
        </w:tc>
        <w:tc>
          <w:tcPr>
            <w:tcW w:w="1170"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143,072,375</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141,410,513</w:t>
            </w:r>
          </w:p>
        </w:tc>
        <w:tc>
          <w:tcPr>
            <w:tcW w:w="117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142,644,330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Cash to Official Public</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Account for:</w:t>
            </w:r>
          </w:p>
        </w:tc>
        <w:tc>
          <w:tcPr>
            <w:tcW w:w="1170"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EAEAEA"/>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170"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nil"/>
              <w:right w:val="nil"/>
              <w:tl2br w:val="nil"/>
              <w:tr2bl w:val="nil"/>
            </w:tcBorders>
            <w:shd w:val="clear" w:color="FFFFFF" w:fill="FFFFFF"/>
            <w:noWrap/>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Appropriations</w:t>
            </w:r>
          </w:p>
        </w:tc>
        <w:tc>
          <w:tcPr>
            <w:tcW w:w="117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463,808</w:t>
            </w:r>
          </w:p>
        </w:tc>
        <w:tc>
          <w:tcPr>
            <w:tcW w:w="1170" w:type="dxa"/>
            <w:tcBorders>
              <w:top w:val="nil"/>
              <w:left w:val="nil"/>
              <w:bottom w:val="dotted" w:sz="2" w:space="0" w:color="000000"/>
              <w:right w:val="nil"/>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(1,506,417)</w:t>
            </w:r>
          </w:p>
        </w:tc>
        <w:tc>
          <w:tcPr>
            <w:tcW w:w="1170"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(1,136,444)</w:t>
            </w:r>
          </w:p>
        </w:tc>
        <w:tc>
          <w:tcPr>
            <w:tcW w:w="117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(1,243,996)</w:t>
            </w:r>
          </w:p>
        </w:tc>
        <w:tc>
          <w:tcPr>
            <w:tcW w:w="117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(1,265,223)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9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and cash equivalents</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at end of reporting period</w:t>
            </w:r>
          </w:p>
        </w:tc>
        <w:tc>
          <w:tcPr>
            <w:tcW w:w="1170" w:type="dxa"/>
            <w:tcBorders>
              <w:top w:val="dotted" w:sz="2" w:space="0" w:color="000000"/>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518,528</w:t>
            </w:r>
          </w:p>
        </w:tc>
        <w:tc>
          <w:tcPr>
            <w:tcW w:w="1170" w:type="dxa"/>
            <w:tcBorders>
              <w:top w:val="dotted" w:sz="2" w:space="0" w:color="000000"/>
              <w:left w:val="nil"/>
              <w:bottom w:val="dotted" w:sz="2" w:space="0" w:color="000000"/>
              <w:right w:val="dotted" w:sz="2" w:space="0" w:color="FFFFFF"/>
              <w:tl2br w:val="nil"/>
              <w:tr2bl w:val="nil"/>
            </w:tcBorders>
            <w:shd w:val="clear" w:color="FFFFFF" w:fill="EAEAEA"/>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11,685</w:t>
            </w:r>
          </w:p>
        </w:tc>
        <w:tc>
          <w:tcPr>
            <w:tcW w:w="1170" w:type="dxa"/>
            <w:tcBorders>
              <w:top w:val="dotted" w:sz="2" w:space="0" w:color="000000"/>
              <w:left w:val="dotted" w:sz="2" w:space="0" w:color="FFFFFF"/>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15,680</w:t>
            </w:r>
          </w:p>
        </w:tc>
        <w:tc>
          <w:tcPr>
            <w:tcW w:w="1170" w:type="dxa"/>
            <w:tcBorders>
              <w:top w:val="dotted" w:sz="2" w:space="0" w:color="000000"/>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15,680</w:t>
            </w:r>
          </w:p>
        </w:tc>
        <w:tc>
          <w:tcPr>
            <w:tcW w:w="1170" w:type="dxa"/>
            <w:tcBorders>
              <w:top w:val="dotted" w:sz="2" w:space="0" w:color="000000"/>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15,680</w:t>
            </w:r>
          </w:p>
        </w:tc>
      </w:tr>
    </w:tbl>
    <w:p w:rsidR="00155303" w:rsidRPr="00155303" w:rsidRDefault="00D5482E" w:rsidP="00BB19FC">
      <w:pPr>
        <w:keepLines/>
        <w:pBdr>
          <w:top w:val="nil"/>
          <w:left w:val="nil"/>
          <w:bottom w:val="nil"/>
          <w:right w:val="nil"/>
          <w:between w:val="nil"/>
          <w:bar w:val="nil"/>
        </w:pBdr>
        <w:spacing w:after="0" w:line="240" w:lineRule="auto"/>
        <w:rPr>
          <w:rFonts w:ascii="Arial" w:hAnsi="Arial" w:cs="Arial"/>
          <w:sz w:val="16"/>
          <w:bdr w:val="nil"/>
          <w:lang w:val="en-AU"/>
        </w:rPr>
        <w:sectPr w:rsidR="00155303" w:rsidRPr="00155303" w:rsidSect="001C56C9">
          <w:headerReference w:type="even" r:id="rId114"/>
          <w:headerReference w:type="default" r:id="rId115"/>
          <w:footerReference w:type="even" r:id="rId116"/>
          <w:footerReference w:type="default" r:id="rId117"/>
          <w:headerReference w:type="first" r:id="rId118"/>
          <w:footerReference w:type="first" r:id="rId119"/>
          <w:type w:val="continuous"/>
          <w:pgSz w:w="11906" w:h="16838"/>
          <w:pgMar w:top="2466" w:right="2098" w:bottom="2466" w:left="2098" w:header="1899" w:footer="1899" w:gutter="0"/>
          <w:pgBorders>
            <w:top w:val="nil"/>
            <w:left w:val="nil"/>
            <w:bottom w:val="nil"/>
            <w:right w:val="nil"/>
          </w:pgBorders>
          <w:cols w:space="720"/>
          <w:docGrid w:linePitch="360"/>
        </w:sectPr>
      </w:pPr>
      <w:r w:rsidRPr="00155303">
        <w:rPr>
          <w:rFonts w:ascii="Arial" w:eastAsia="Times New Roman" w:hAnsi="Arial" w:cs="Arial"/>
          <w:sz w:val="16"/>
          <w:szCs w:val="20"/>
          <w:bdr w:val="nil"/>
          <w:lang w:val="en-AU"/>
        </w:rPr>
        <w:t>Prepared on Australian Accounting Standard basis.</w:t>
      </w:r>
    </w:p>
    <w:p w:rsidR="00B90967" w:rsidRDefault="00D5482E" w:rsidP="00B90967">
      <w:pPr>
        <w:pageBreakBefore/>
        <w:pBdr>
          <w:top w:val="nil"/>
          <w:left w:val="nil"/>
          <w:bottom w:val="nil"/>
          <w:right w:val="nil"/>
          <w:between w:val="nil"/>
          <w:bar w:val="nil"/>
        </w:pBdr>
        <w:rPr>
          <w:rFonts w:ascii="Calibri" w:eastAsia="Calibri" w:hAnsi="Calibri" w:cs="Arial"/>
          <w:color w:val="FFFFFF"/>
          <w:bdr w:val="nil"/>
        </w:rPr>
      </w:pPr>
      <w:r>
        <w:rPr>
          <w:rFonts w:ascii="Calibri" w:eastAsia="Calibri" w:hAnsi="Calibri" w:cs="Arial"/>
          <w:color w:val="FFFFFF"/>
          <w:bdr w:val="nil"/>
        </w:rPr>
        <w:lastRenderedPageBreak/>
        <w:t>This page is intentionally blank</w:t>
      </w:r>
    </w:p>
    <w:p w:rsidR="00DE34D5" w:rsidRDefault="00DE34D5">
      <w:pPr>
        <w:pBdr>
          <w:top w:val="nil"/>
          <w:left w:val="nil"/>
          <w:bottom w:val="nil"/>
          <w:right w:val="nil"/>
          <w:between w:val="nil"/>
          <w:bar w:val="nil"/>
        </w:pBdr>
        <w:rPr>
          <w:rFonts w:ascii="Calibri" w:eastAsia="Calibri" w:hAnsi="Calibri" w:cs="Arial"/>
          <w:bdr w:val="nil"/>
        </w:rPr>
        <w:sectPr w:rsidR="00DE34D5" w:rsidSect="00D86095">
          <w:headerReference w:type="even" r:id="rId120"/>
          <w:headerReference w:type="default" r:id="rId121"/>
          <w:footerReference w:type="even" r:id="rId122"/>
          <w:footerReference w:type="default" r:id="rId123"/>
          <w:headerReference w:type="first" r:id="rId124"/>
          <w:footerReference w:type="first" r:id="rId125"/>
          <w:type w:val="continuous"/>
          <w:pgSz w:w="11906" w:h="16838"/>
          <w:pgMar w:top="2466" w:right="2098" w:bottom="2466" w:left="2098" w:header="1899" w:footer="1899" w:gutter="0"/>
          <w:pgBorders>
            <w:top w:val="nil"/>
            <w:left w:val="nil"/>
            <w:bottom w:val="nil"/>
            <w:right w:val="nil"/>
          </w:pgBorders>
          <w:cols w:space="720"/>
          <w:docGrid w:linePitch="360"/>
        </w:sectPr>
      </w:pPr>
    </w:p>
    <w:p w:rsidR="00FA15D4" w:rsidRDefault="00D5482E" w:rsidP="00FE00F7">
      <w:pPr>
        <w:pStyle w:val="Department"/>
        <w:pageBreakBefore/>
        <w:pBdr>
          <w:top w:val="nil"/>
          <w:left w:val="nil"/>
          <w:bottom w:val="nil"/>
          <w:right w:val="nil"/>
          <w:between w:val="nil"/>
          <w:bar w:val="nil"/>
        </w:pBdr>
        <w:jc w:val="left"/>
        <w:rPr>
          <w:smallCaps/>
          <w:color w:val="FFFFFF"/>
          <w:sz w:val="24"/>
          <w:szCs w:val="24"/>
          <w:bdr w:val="nil"/>
        </w:rPr>
      </w:pPr>
      <w:r w:rsidRPr="00FE00F7">
        <w:rPr>
          <w:smallCaps/>
          <w:color w:val="FFFFFF"/>
          <w:sz w:val="24"/>
          <w:szCs w:val="24"/>
          <w:bdr w:val="nil"/>
        </w:rPr>
        <w:lastRenderedPageBreak/>
        <w:t>Department o</w:t>
      </w:r>
    </w:p>
    <w:p w:rsidR="00FA15D4" w:rsidRDefault="00FA15D4" w:rsidP="002E6B3D">
      <w:pPr>
        <w:pStyle w:val="Department"/>
        <w:pBdr>
          <w:top w:val="nil"/>
          <w:left w:val="nil"/>
          <w:bottom w:val="nil"/>
          <w:right w:val="nil"/>
          <w:between w:val="nil"/>
          <w:bar w:val="nil"/>
        </w:pBdr>
        <w:spacing w:before="1320"/>
        <w:rPr>
          <w:smallCaps/>
          <w:bdr w:val="nil"/>
        </w:rPr>
      </w:pPr>
    </w:p>
    <w:p w:rsidR="00FA15D4" w:rsidRDefault="00FA15D4" w:rsidP="00FA15D4">
      <w:pPr>
        <w:pStyle w:val="PartHeading"/>
        <w:pBdr>
          <w:top w:val="nil"/>
          <w:left w:val="nil"/>
          <w:bottom w:val="nil"/>
          <w:right w:val="nil"/>
          <w:between w:val="nil"/>
          <w:bar w:val="nil"/>
        </w:pBdr>
        <w:rPr>
          <w:bCs/>
          <w:bdr w:val="nil"/>
        </w:rPr>
      </w:pPr>
    </w:p>
    <w:p w:rsidR="00FA15D4" w:rsidRDefault="00D5482E" w:rsidP="00FA15D4">
      <w:pPr>
        <w:pStyle w:val="PartHeading"/>
        <w:pBdr>
          <w:top w:val="nil"/>
          <w:left w:val="nil"/>
          <w:bottom w:val="nil"/>
          <w:right w:val="nil"/>
          <w:between w:val="nil"/>
          <w:bar w:val="nil"/>
        </w:pBdr>
        <w:rPr>
          <w:bdr w:val="nil"/>
        </w:rPr>
      </w:pPr>
      <w:r>
        <w:rPr>
          <w:rFonts w:ascii="Arial" w:hAnsi="Arial"/>
          <w:bdr w:val="nil"/>
        </w:rPr>
        <w:t>Services Australia</w:t>
      </w:r>
    </w:p>
    <w:p w:rsidR="00FA15D4" w:rsidRDefault="00FA15D4" w:rsidP="00FA15D4">
      <w:pPr>
        <w:pStyle w:val="PartHeading"/>
        <w:pBdr>
          <w:top w:val="nil"/>
          <w:left w:val="nil"/>
          <w:bottom w:val="nil"/>
          <w:right w:val="nil"/>
          <w:between w:val="nil"/>
          <w:bar w:val="nil"/>
        </w:pBdr>
        <w:rPr>
          <w:sz w:val="48"/>
          <w:szCs w:val="48"/>
          <w:bdr w:val="nil"/>
        </w:rPr>
      </w:pPr>
    </w:p>
    <w:p w:rsidR="00FA15D4" w:rsidRDefault="00FA15D4" w:rsidP="00FA15D4">
      <w:pPr>
        <w:pStyle w:val="PartHeading"/>
        <w:pBdr>
          <w:top w:val="nil"/>
          <w:left w:val="nil"/>
          <w:bottom w:val="nil"/>
          <w:right w:val="nil"/>
          <w:between w:val="nil"/>
          <w:bar w:val="nil"/>
        </w:pBdr>
        <w:rPr>
          <w:bCs/>
          <w:sz w:val="48"/>
          <w:szCs w:val="48"/>
          <w:bdr w:val="nil"/>
        </w:rPr>
      </w:pPr>
    </w:p>
    <w:p w:rsidR="00CD4580" w:rsidRDefault="00D5482E" w:rsidP="00CD4580">
      <w:pPr>
        <w:pStyle w:val="PartHeading"/>
        <w:pBdr>
          <w:top w:val="nil"/>
          <w:left w:val="nil"/>
          <w:bottom w:val="nil"/>
          <w:right w:val="nil"/>
          <w:between w:val="nil"/>
          <w:bar w:val="nil"/>
        </w:pBdr>
        <w:rPr>
          <w:bdr w:val="nil"/>
        </w:rPr>
      </w:pPr>
      <w:bookmarkStart w:id="84" w:name="_Toc531095261"/>
      <w:r>
        <w:rPr>
          <w:rFonts w:ascii="Arial" w:hAnsi="Arial"/>
          <w:bdr w:val="nil"/>
        </w:rPr>
        <w:t>Entity additional estimates statements</w:t>
      </w:r>
      <w:bookmarkEnd w:id="84"/>
    </w:p>
    <w:p w:rsidR="00FA15D4" w:rsidRDefault="00FA15D4" w:rsidP="00CD4580">
      <w:pPr>
        <w:pStyle w:val="PartHeading-TOC"/>
        <w:pBdr>
          <w:top w:val="nil"/>
          <w:left w:val="nil"/>
          <w:bottom w:val="nil"/>
          <w:right w:val="nil"/>
          <w:between w:val="nil"/>
          <w:bar w:val="nil"/>
        </w:pBdr>
        <w:rPr>
          <w:vanish/>
          <w:bdr w:val="nil"/>
        </w:rPr>
        <w:sectPr w:rsidR="00FA15D4" w:rsidSect="00FA15D4">
          <w:headerReference w:type="even" r:id="rId126"/>
          <w:headerReference w:type="default" r:id="rId127"/>
          <w:footerReference w:type="even" r:id="rId128"/>
          <w:footerReference w:type="default" r:id="rId129"/>
          <w:headerReference w:type="first" r:id="rId130"/>
          <w:footerReference w:type="first" r:id="rId131"/>
          <w:type w:val="continuous"/>
          <w:pgSz w:w="11906" w:h="16838"/>
          <w:pgMar w:top="2466" w:right="2098" w:bottom="2466" w:left="2098" w:header="1899" w:footer="1899" w:gutter="0"/>
          <w:pgBorders>
            <w:top w:val="nil"/>
            <w:left w:val="nil"/>
            <w:bottom w:val="nil"/>
            <w:right w:val="nil"/>
          </w:pgBorders>
          <w:cols w:space="720"/>
          <w:docGrid w:linePitch="360"/>
        </w:sectPr>
      </w:pPr>
    </w:p>
    <w:p w:rsidR="00DE34D5" w:rsidRDefault="00D5482E">
      <w:pPr>
        <w:pageBreakBefore/>
        <w:pBdr>
          <w:top w:val="nil"/>
          <w:left w:val="nil"/>
          <w:bottom w:val="nil"/>
          <w:right w:val="nil"/>
          <w:between w:val="nil"/>
          <w:bar w:val="nil"/>
        </w:pBdr>
        <w:rPr>
          <w:rFonts w:ascii="Calibri" w:eastAsia="Calibri" w:hAnsi="Calibri" w:cs="Arial"/>
          <w:color w:val="FFFFFF"/>
          <w:bdr w:val="nil"/>
        </w:rPr>
      </w:pPr>
      <w:r w:rsidRPr="00324DED">
        <w:rPr>
          <w:rFonts w:ascii="Calibri" w:eastAsia="Calibri" w:hAnsi="Calibri" w:cs="Arial"/>
          <w:color w:val="FFFFFF"/>
          <w:bdr w:val="nil"/>
        </w:rPr>
        <w:lastRenderedPageBreak/>
        <w:t>This page is intentionally blank</w:t>
      </w:r>
    </w:p>
    <w:p w:rsidR="00324DED" w:rsidRPr="00324DED" w:rsidRDefault="00324DED">
      <w:pPr>
        <w:pBdr>
          <w:top w:val="nil"/>
          <w:left w:val="nil"/>
          <w:bottom w:val="nil"/>
          <w:right w:val="nil"/>
          <w:between w:val="nil"/>
          <w:bar w:val="nil"/>
        </w:pBdr>
        <w:rPr>
          <w:rFonts w:ascii="Calibri" w:eastAsia="Calibri" w:hAnsi="Calibri" w:cs="Arial"/>
          <w:color w:val="FFFFFF"/>
          <w:bdr w:val="nil"/>
        </w:rPr>
        <w:sectPr w:rsidR="00324DED" w:rsidRPr="00324DED" w:rsidSect="00D86095">
          <w:headerReference w:type="even" r:id="rId132"/>
          <w:headerReference w:type="default" r:id="rId133"/>
          <w:footerReference w:type="even" r:id="rId134"/>
          <w:footerReference w:type="default" r:id="rId135"/>
          <w:headerReference w:type="first" r:id="rId136"/>
          <w:footerReference w:type="first" r:id="rId137"/>
          <w:type w:val="continuous"/>
          <w:pgSz w:w="11906" w:h="16838"/>
          <w:pgMar w:top="2466" w:right="2098" w:bottom="2466" w:left="2098" w:header="1899" w:footer="1899" w:gutter="0"/>
          <w:pgBorders>
            <w:top w:val="nil"/>
            <w:left w:val="nil"/>
            <w:bottom w:val="nil"/>
            <w:right w:val="nil"/>
          </w:pgBorders>
          <w:cols w:space="720"/>
          <w:docGrid w:linePitch="360"/>
        </w:sectPr>
      </w:pPr>
    </w:p>
    <w:p w:rsidR="004D0F5B" w:rsidRDefault="00D5482E" w:rsidP="009420CE">
      <w:pPr>
        <w:pStyle w:val="ContentsHeading"/>
        <w:pageBreakBefore/>
        <w:pBdr>
          <w:top w:val="nil"/>
          <w:left w:val="nil"/>
          <w:bottom w:val="nil"/>
          <w:right w:val="nil"/>
          <w:between w:val="nil"/>
          <w:bar w:val="nil"/>
        </w:pBdr>
        <w:spacing w:after="600"/>
        <w:rPr>
          <w:bdr w:val="nil"/>
        </w:rPr>
      </w:pPr>
      <w:r>
        <w:rPr>
          <w:bdr w:val="nil"/>
        </w:rPr>
        <w:lastRenderedPageBreak/>
        <w:t>Services Australia</w:t>
      </w:r>
    </w:p>
    <w:p w:rsidR="004D0F5B" w:rsidRPr="00846FBC" w:rsidRDefault="00D5482E" w:rsidP="00846FBC">
      <w:pPr>
        <w:pStyle w:val="TOC1"/>
        <w:pBdr>
          <w:top w:val="nil"/>
          <w:left w:val="nil"/>
          <w:bottom w:val="nil"/>
          <w:right w:val="nil"/>
          <w:between w:val="nil"/>
          <w:bar w:val="nil"/>
        </w:pBdr>
        <w:rPr>
          <w:bdr w:val="nil"/>
        </w:rPr>
      </w:pPr>
      <w:r w:rsidRPr="00342BA2">
        <w:rPr>
          <w:bdr w:val="nil"/>
        </w:rPr>
        <w:t>Section 1: Entity overview and resources</w:t>
      </w:r>
      <w:r w:rsidRPr="00846FBC">
        <w:rPr>
          <w:caps/>
          <w:bdr w:val="nil"/>
        </w:rPr>
        <w:tab/>
        <w:t>105</w:t>
      </w:r>
    </w:p>
    <w:p w:rsidR="004D0F5B" w:rsidRDefault="00D5482E" w:rsidP="004D0F5B">
      <w:pPr>
        <w:pStyle w:val="TOC2"/>
        <w:pBdr>
          <w:top w:val="nil"/>
          <w:left w:val="nil"/>
          <w:bottom w:val="nil"/>
          <w:right w:val="nil"/>
          <w:between w:val="nil"/>
          <w:bar w:val="nil"/>
        </w:pBdr>
        <w:rPr>
          <w:bdr w:val="nil"/>
        </w:rPr>
      </w:pPr>
      <w:r>
        <w:rPr>
          <w:bdr w:val="nil"/>
        </w:rPr>
        <w:t>1.1    Strategic direction statement</w:t>
      </w:r>
      <w:r>
        <w:rPr>
          <w:bdr w:val="nil"/>
        </w:rPr>
        <w:tab/>
      </w:r>
      <w:r w:rsidRPr="00B75654">
        <w:rPr>
          <w:bdr w:val="nil"/>
        </w:rPr>
        <w:t>105</w:t>
      </w:r>
    </w:p>
    <w:p w:rsidR="004D0F5B" w:rsidRDefault="00D5482E" w:rsidP="004D0F5B">
      <w:pPr>
        <w:pStyle w:val="TOC2"/>
        <w:pBdr>
          <w:top w:val="nil"/>
          <w:left w:val="nil"/>
          <w:bottom w:val="nil"/>
          <w:right w:val="nil"/>
          <w:between w:val="nil"/>
          <w:bar w:val="nil"/>
        </w:pBdr>
        <w:rPr>
          <w:bdr w:val="nil"/>
        </w:rPr>
      </w:pPr>
      <w:r>
        <w:rPr>
          <w:bdr w:val="nil"/>
        </w:rPr>
        <w:t>1.2    Entity resource statement</w:t>
      </w:r>
      <w:r>
        <w:rPr>
          <w:bdr w:val="nil"/>
        </w:rPr>
        <w:tab/>
      </w:r>
      <w:r w:rsidRPr="00B75654">
        <w:rPr>
          <w:bdr w:val="nil"/>
        </w:rPr>
        <w:t>106</w:t>
      </w:r>
    </w:p>
    <w:p w:rsidR="00371743" w:rsidRDefault="00D5482E" w:rsidP="00371743">
      <w:pPr>
        <w:pStyle w:val="TOC2"/>
        <w:pBdr>
          <w:top w:val="nil"/>
          <w:left w:val="nil"/>
          <w:bottom w:val="nil"/>
          <w:right w:val="nil"/>
          <w:between w:val="nil"/>
          <w:bar w:val="nil"/>
        </w:pBdr>
        <w:rPr>
          <w:bdr w:val="nil"/>
        </w:rPr>
      </w:pPr>
      <w:r>
        <w:rPr>
          <w:bdr w:val="nil"/>
        </w:rPr>
        <w:t>1.3    Entity measures</w:t>
      </w:r>
      <w:r>
        <w:rPr>
          <w:bdr w:val="nil"/>
        </w:rPr>
        <w:tab/>
      </w:r>
      <w:r w:rsidRPr="00371743">
        <w:rPr>
          <w:bdr w:val="nil"/>
        </w:rPr>
        <w:t>112</w:t>
      </w:r>
    </w:p>
    <w:p w:rsidR="003052E5" w:rsidRDefault="00D5482E" w:rsidP="003052E5">
      <w:pPr>
        <w:pStyle w:val="TOC2"/>
        <w:pBdr>
          <w:top w:val="nil"/>
          <w:left w:val="nil"/>
          <w:bottom w:val="nil"/>
          <w:right w:val="nil"/>
          <w:between w:val="nil"/>
          <w:bar w:val="nil"/>
        </w:pBdr>
        <w:rPr>
          <w:bdr w:val="nil"/>
        </w:rPr>
      </w:pPr>
      <w:r>
        <w:rPr>
          <w:bdr w:val="nil"/>
        </w:rPr>
        <w:t>1.4    Additional estimates, resourcing and variations to outcomes</w:t>
      </w:r>
      <w:r>
        <w:rPr>
          <w:bdr w:val="nil"/>
        </w:rPr>
        <w:tab/>
        <w:t>114</w:t>
      </w:r>
    </w:p>
    <w:p w:rsidR="003052E5" w:rsidRPr="00785215" w:rsidRDefault="00D5482E" w:rsidP="00785215">
      <w:pPr>
        <w:pStyle w:val="TOC2"/>
        <w:pBdr>
          <w:top w:val="nil"/>
          <w:left w:val="nil"/>
          <w:bottom w:val="nil"/>
          <w:right w:val="nil"/>
          <w:between w:val="nil"/>
          <w:bar w:val="nil"/>
        </w:pBdr>
        <w:rPr>
          <w:bdr w:val="nil"/>
        </w:rPr>
      </w:pPr>
      <w:r>
        <w:rPr>
          <w:bdr w:val="nil"/>
        </w:rPr>
        <w:t>1.5    Breakdown of additional estimates by appropriation bill</w:t>
      </w:r>
      <w:r>
        <w:rPr>
          <w:bdr w:val="nil"/>
        </w:rPr>
        <w:tab/>
        <w:t>116</w:t>
      </w:r>
    </w:p>
    <w:p w:rsidR="004D0F5B" w:rsidRDefault="00D5482E" w:rsidP="00846FBC">
      <w:pPr>
        <w:pStyle w:val="TOC1"/>
        <w:pBdr>
          <w:top w:val="nil"/>
          <w:left w:val="nil"/>
          <w:bottom w:val="nil"/>
          <w:right w:val="nil"/>
          <w:between w:val="nil"/>
          <w:bar w:val="nil"/>
        </w:pBdr>
        <w:rPr>
          <w:bdr w:val="nil"/>
        </w:rPr>
      </w:pPr>
      <w:r w:rsidRPr="00342BA2">
        <w:rPr>
          <w:bdr w:val="nil"/>
        </w:rPr>
        <w:t xml:space="preserve">Section 2: </w:t>
      </w:r>
      <w:r>
        <w:rPr>
          <w:bdr w:val="nil"/>
        </w:rPr>
        <w:t>Revisions to outcomes and planned performance</w:t>
      </w:r>
      <w:r>
        <w:rPr>
          <w:caps/>
          <w:bdr w:val="nil"/>
        </w:rPr>
        <w:tab/>
        <w:t>117</w:t>
      </w:r>
    </w:p>
    <w:p w:rsidR="004D0F5B" w:rsidRDefault="00D5482E" w:rsidP="004D0F5B">
      <w:pPr>
        <w:pStyle w:val="TOC2"/>
        <w:pBdr>
          <w:top w:val="nil"/>
          <w:left w:val="nil"/>
          <w:bottom w:val="nil"/>
          <w:right w:val="nil"/>
          <w:between w:val="nil"/>
          <w:bar w:val="nil"/>
        </w:pBdr>
        <w:rPr>
          <w:bdr w:val="nil"/>
        </w:rPr>
      </w:pPr>
      <w:r>
        <w:rPr>
          <w:bdr w:val="nil"/>
        </w:rPr>
        <w:t>2.1    Budgeted expenses and performance for Outcome 1</w:t>
      </w:r>
      <w:r>
        <w:rPr>
          <w:bdr w:val="nil"/>
        </w:rPr>
        <w:tab/>
        <w:t>1</w:t>
      </w:r>
      <w:r w:rsidR="00315A9E">
        <w:rPr>
          <w:bdr w:val="nil"/>
        </w:rPr>
        <w:t>17</w:t>
      </w:r>
    </w:p>
    <w:p w:rsidR="004D0F5B" w:rsidRDefault="00D5482E" w:rsidP="00846FBC">
      <w:pPr>
        <w:pStyle w:val="TOC1"/>
        <w:pBdr>
          <w:top w:val="nil"/>
          <w:left w:val="nil"/>
          <w:bottom w:val="nil"/>
          <w:right w:val="nil"/>
          <w:between w:val="nil"/>
          <w:bar w:val="nil"/>
        </w:pBdr>
        <w:rPr>
          <w:bdr w:val="nil"/>
        </w:rPr>
      </w:pPr>
      <w:r>
        <w:rPr>
          <w:bdr w:val="nil"/>
        </w:rPr>
        <w:t>Section 3: Special a</w:t>
      </w:r>
      <w:r w:rsidRPr="00342BA2">
        <w:rPr>
          <w:bdr w:val="nil"/>
        </w:rPr>
        <w:t xml:space="preserve">ccount flows and </w:t>
      </w:r>
      <w:r>
        <w:rPr>
          <w:bdr w:val="nil"/>
        </w:rPr>
        <w:t>b</w:t>
      </w:r>
      <w:r w:rsidRPr="00342BA2">
        <w:rPr>
          <w:bdr w:val="nil"/>
        </w:rPr>
        <w:t>udgeted financial statements</w:t>
      </w:r>
      <w:r>
        <w:rPr>
          <w:caps/>
          <w:bdr w:val="nil"/>
        </w:rPr>
        <w:tab/>
      </w:r>
      <w:r w:rsidRPr="004F6A3E">
        <w:rPr>
          <w:caps/>
          <w:bdr w:val="nil"/>
        </w:rPr>
        <w:t>128</w:t>
      </w:r>
    </w:p>
    <w:p w:rsidR="00C06332" w:rsidRDefault="00D5482E" w:rsidP="00C06332">
      <w:pPr>
        <w:pStyle w:val="TOC2"/>
        <w:pBdr>
          <w:top w:val="nil"/>
          <w:left w:val="nil"/>
          <w:bottom w:val="nil"/>
          <w:right w:val="nil"/>
          <w:between w:val="nil"/>
          <w:bar w:val="nil"/>
        </w:pBdr>
        <w:rPr>
          <w:bdr w:val="nil"/>
        </w:rPr>
      </w:pPr>
      <w:r>
        <w:rPr>
          <w:bdr w:val="nil"/>
        </w:rPr>
        <w:t>3.1    Special account flows</w:t>
      </w:r>
      <w:r>
        <w:rPr>
          <w:bdr w:val="nil"/>
        </w:rPr>
        <w:tab/>
        <w:t>128</w:t>
      </w:r>
    </w:p>
    <w:p w:rsidR="004D0F5B" w:rsidRDefault="00D5482E" w:rsidP="004D0F5B">
      <w:pPr>
        <w:pStyle w:val="TOC2"/>
        <w:pBdr>
          <w:top w:val="nil"/>
          <w:left w:val="nil"/>
          <w:bottom w:val="nil"/>
          <w:right w:val="nil"/>
          <w:between w:val="nil"/>
          <w:bar w:val="nil"/>
        </w:pBdr>
        <w:rPr>
          <w:bdr w:val="nil"/>
        </w:rPr>
      </w:pPr>
      <w:r>
        <w:rPr>
          <w:bdr w:val="nil"/>
        </w:rPr>
        <w:t>3.2    Budgeted financial statements</w:t>
      </w:r>
      <w:r>
        <w:rPr>
          <w:bdr w:val="nil"/>
        </w:rPr>
        <w:tab/>
        <w:t>129</w:t>
      </w:r>
    </w:p>
    <w:p w:rsidR="009C5242" w:rsidRPr="009C5242" w:rsidRDefault="009C5242" w:rsidP="009C5242">
      <w:pPr>
        <w:keepLines/>
        <w:pBdr>
          <w:top w:val="nil"/>
          <w:left w:val="nil"/>
          <w:bottom w:val="nil"/>
          <w:right w:val="nil"/>
          <w:between w:val="nil"/>
          <w:bar w:val="nil"/>
        </w:pBdr>
        <w:spacing w:after="240" w:line="260" w:lineRule="exact"/>
        <w:jc w:val="both"/>
        <w:rPr>
          <w:bdr w:val="nil"/>
        </w:rPr>
        <w:sectPr w:rsidR="009C5242" w:rsidRPr="009C5242" w:rsidSect="00D86095">
          <w:headerReference w:type="even" r:id="rId138"/>
          <w:headerReference w:type="default" r:id="rId139"/>
          <w:footerReference w:type="even" r:id="rId140"/>
          <w:footerReference w:type="default" r:id="rId141"/>
          <w:headerReference w:type="first" r:id="rId142"/>
          <w:footerReference w:type="first" r:id="rId143"/>
          <w:type w:val="continuous"/>
          <w:pgSz w:w="11906" w:h="16838"/>
          <w:pgMar w:top="2466" w:right="2098" w:bottom="2466" w:left="2098" w:header="1899" w:footer="1899" w:gutter="0"/>
          <w:pgBorders>
            <w:top w:val="nil"/>
            <w:left w:val="nil"/>
            <w:bottom w:val="nil"/>
            <w:right w:val="nil"/>
          </w:pgBorders>
          <w:cols w:space="720"/>
          <w:docGrid w:linePitch="360"/>
        </w:sectPr>
      </w:pPr>
    </w:p>
    <w:p w:rsidR="001A3A41" w:rsidRDefault="00D5482E" w:rsidP="001A3A41">
      <w:pPr>
        <w:pageBreakBefore/>
        <w:pBdr>
          <w:top w:val="nil"/>
          <w:left w:val="nil"/>
          <w:bottom w:val="nil"/>
          <w:right w:val="nil"/>
          <w:between w:val="nil"/>
          <w:bar w:val="nil"/>
        </w:pBdr>
        <w:rPr>
          <w:rFonts w:ascii="Calibri" w:eastAsia="Calibri" w:hAnsi="Calibri" w:cs="Arial"/>
          <w:color w:val="FFFFFF"/>
          <w:bdr w:val="nil"/>
        </w:rPr>
      </w:pPr>
      <w:r w:rsidRPr="001A3A41">
        <w:rPr>
          <w:rFonts w:ascii="Calibri" w:eastAsia="Calibri" w:hAnsi="Calibri" w:cs="Arial"/>
          <w:color w:val="FFFFFF"/>
          <w:bdr w:val="nil"/>
        </w:rPr>
        <w:lastRenderedPageBreak/>
        <w:t>This page is intentionally blank</w:t>
      </w:r>
    </w:p>
    <w:p w:rsidR="001A3A41" w:rsidRPr="001A3A41" w:rsidRDefault="001A3A41" w:rsidP="001A3A41">
      <w:pPr>
        <w:pBdr>
          <w:top w:val="nil"/>
          <w:left w:val="nil"/>
          <w:bottom w:val="nil"/>
          <w:right w:val="nil"/>
          <w:between w:val="nil"/>
          <w:bar w:val="nil"/>
        </w:pBdr>
        <w:rPr>
          <w:rFonts w:ascii="Calibri" w:eastAsia="Calibri" w:hAnsi="Calibri" w:cs="Arial"/>
          <w:color w:val="FFFFFF"/>
          <w:bdr w:val="nil"/>
        </w:rPr>
      </w:pPr>
    </w:p>
    <w:p w:rsidR="00DE34D5" w:rsidRDefault="00DE34D5">
      <w:pPr>
        <w:pBdr>
          <w:top w:val="nil"/>
          <w:left w:val="nil"/>
          <w:bottom w:val="nil"/>
          <w:right w:val="nil"/>
          <w:between w:val="nil"/>
          <w:bar w:val="nil"/>
        </w:pBdr>
        <w:rPr>
          <w:rFonts w:ascii="Calibri" w:eastAsia="Calibri" w:hAnsi="Calibri" w:cs="Arial"/>
          <w:bdr w:val="nil"/>
        </w:rPr>
        <w:sectPr w:rsidR="00DE34D5" w:rsidSect="00D86095">
          <w:headerReference w:type="even" r:id="rId144"/>
          <w:headerReference w:type="default" r:id="rId145"/>
          <w:footerReference w:type="even" r:id="rId146"/>
          <w:footerReference w:type="default" r:id="rId147"/>
          <w:headerReference w:type="first" r:id="rId148"/>
          <w:footerReference w:type="first" r:id="rId149"/>
          <w:type w:val="continuous"/>
          <w:pgSz w:w="11906" w:h="16838"/>
          <w:pgMar w:top="2466" w:right="2098" w:bottom="2466" w:left="2098" w:header="1899" w:footer="1899" w:gutter="0"/>
          <w:pgBorders>
            <w:top w:val="nil"/>
            <w:left w:val="nil"/>
            <w:bottom w:val="nil"/>
            <w:right w:val="nil"/>
          </w:pgBorders>
          <w:cols w:space="720"/>
          <w:docGrid w:linePitch="360"/>
        </w:sectPr>
      </w:pPr>
    </w:p>
    <w:p w:rsidR="00A85152" w:rsidRDefault="00D5482E" w:rsidP="00A85152">
      <w:pPr>
        <w:pStyle w:val="Heading1"/>
        <w:pageBreakBefore/>
        <w:pBdr>
          <w:top w:val="nil"/>
          <w:left w:val="nil"/>
          <w:bottom w:val="nil"/>
          <w:right w:val="nil"/>
          <w:between w:val="nil"/>
          <w:bar w:val="nil"/>
        </w:pBdr>
        <w:rPr>
          <w:bdr w:val="nil"/>
        </w:rPr>
      </w:pPr>
      <w:r>
        <w:rPr>
          <w:bdr w:val="nil"/>
        </w:rPr>
        <w:lastRenderedPageBreak/>
        <w:t>Services Australia</w:t>
      </w:r>
    </w:p>
    <w:p w:rsidR="00A85152" w:rsidRPr="007E2384" w:rsidRDefault="00D5482E" w:rsidP="00A31A84">
      <w:pPr>
        <w:pStyle w:val="Heading2"/>
        <w:pBdr>
          <w:top w:val="nil"/>
          <w:left w:val="nil"/>
          <w:bottom w:val="nil"/>
          <w:right w:val="nil"/>
          <w:between w:val="nil"/>
          <w:bar w:val="nil"/>
        </w:pBdr>
        <w:spacing w:before="0" w:after="480"/>
        <w:rPr>
          <w:b/>
          <w:bdr w:val="nil"/>
        </w:rPr>
      </w:pPr>
      <w:r w:rsidRPr="007E2384">
        <w:rPr>
          <w:b/>
          <w:bdr w:val="nil"/>
        </w:rPr>
        <w:t>Section 1</w:t>
      </w:r>
      <w:bookmarkStart w:id="85" w:name="_Toc449255758_0"/>
      <w:bookmarkStart w:id="86" w:name="_Toc446237031_0"/>
      <w:r w:rsidRPr="007E2384">
        <w:rPr>
          <w:b/>
          <w:bdr w:val="nil"/>
        </w:rPr>
        <w:t>: Entity overview and resources</w:t>
      </w:r>
      <w:bookmarkEnd w:id="85"/>
      <w:bookmarkEnd w:id="86"/>
    </w:p>
    <w:p w:rsidR="00A85152" w:rsidRDefault="00D5482E" w:rsidP="00A31A84">
      <w:pPr>
        <w:pStyle w:val="Heading3"/>
        <w:numPr>
          <w:ilvl w:val="1"/>
          <w:numId w:val="38"/>
        </w:numPr>
        <w:pBdr>
          <w:top w:val="nil"/>
          <w:left w:val="nil"/>
          <w:bottom w:val="nil"/>
          <w:right w:val="nil"/>
          <w:between w:val="nil"/>
          <w:bar w:val="nil"/>
        </w:pBdr>
        <w:spacing w:line="260" w:lineRule="exact"/>
        <w:ind w:left="703" w:hanging="703"/>
        <w:rPr>
          <w:bdr w:val="nil"/>
        </w:rPr>
      </w:pPr>
      <w:bookmarkStart w:id="87" w:name="_Toc210698428_0"/>
      <w:bookmarkStart w:id="88" w:name="_Toc210646449_0"/>
      <w:bookmarkStart w:id="89" w:name="_Toc210703209_0"/>
      <w:r>
        <w:rPr>
          <w:bdr w:val="nil"/>
        </w:rPr>
        <w:t>Strategic direction</w:t>
      </w:r>
      <w:bookmarkEnd w:id="87"/>
      <w:bookmarkEnd w:id="88"/>
      <w:bookmarkEnd w:id="89"/>
      <w:r>
        <w:rPr>
          <w:bdr w:val="nil"/>
        </w:rPr>
        <w:t xml:space="preserve"> statement</w:t>
      </w:r>
    </w:p>
    <w:p w:rsidR="00C91D52" w:rsidRPr="00C91D52" w:rsidRDefault="00D5482E" w:rsidP="00AE6B33">
      <w:pPr>
        <w:keepLines/>
        <w:pBdr>
          <w:top w:val="nil"/>
          <w:left w:val="nil"/>
          <w:bottom w:val="nil"/>
          <w:right w:val="nil"/>
          <w:between w:val="nil"/>
          <w:bar w:val="nil"/>
        </w:pBdr>
        <w:spacing w:after="240" w:line="240" w:lineRule="auto"/>
        <w:jc w:val="both"/>
        <w:rPr>
          <w:bdr w:val="nil"/>
          <w:lang w:eastAsia="x-none"/>
        </w:rPr>
      </w:pPr>
      <w:r w:rsidRPr="00C91D52">
        <w:rPr>
          <w:rFonts w:ascii="Book Antiqua" w:eastAsia="Times New Roman" w:hAnsi="Book Antiqua" w:cs="Times New Roman"/>
          <w:sz w:val="20"/>
          <w:szCs w:val="20"/>
          <w:bdr w:val="nil"/>
          <w:lang w:val="en-AU" w:eastAsia="x-none"/>
        </w:rPr>
        <w:t>There have been no significant changes to Services Australia</w:t>
      </w:r>
      <w:r>
        <w:rPr>
          <w:rFonts w:ascii="Book Antiqua" w:eastAsia="Times New Roman" w:hAnsi="Book Antiqua" w:cs="Times New Roman"/>
          <w:sz w:val="20"/>
          <w:szCs w:val="20"/>
          <w:bdr w:val="nil"/>
          <w:lang w:val="en-AU" w:eastAsia="x-none"/>
        </w:rPr>
        <w:t>’s</w:t>
      </w:r>
      <w:r w:rsidRPr="00C91D52">
        <w:rPr>
          <w:rFonts w:ascii="Book Antiqua" w:eastAsia="Times New Roman" w:hAnsi="Book Antiqua" w:cs="Times New Roman"/>
          <w:sz w:val="20"/>
          <w:szCs w:val="20"/>
          <w:bdr w:val="nil"/>
          <w:lang w:val="en-AU" w:eastAsia="x-none"/>
        </w:rPr>
        <w:t xml:space="preserve"> strategic direction since the </w:t>
      </w:r>
      <w:r>
        <w:rPr>
          <w:rFonts w:ascii="Book Antiqua" w:eastAsia="Times New Roman" w:hAnsi="Book Antiqua" w:cs="Times New Roman"/>
          <w:sz w:val="20"/>
          <w:szCs w:val="20"/>
          <w:bdr w:val="nil"/>
          <w:lang w:val="en-AU" w:eastAsia="x-none"/>
        </w:rPr>
        <w:t>2020-21 Budget</w:t>
      </w:r>
      <w:r w:rsidRPr="00C91D52">
        <w:rPr>
          <w:rFonts w:ascii="Book Antiqua" w:eastAsia="Times New Roman" w:hAnsi="Book Antiqua" w:cs="Times New Roman"/>
          <w:sz w:val="20"/>
          <w:szCs w:val="20"/>
          <w:bdr w:val="nil"/>
          <w:lang w:val="en-AU" w:eastAsia="x-none"/>
        </w:rPr>
        <w:t>.</w:t>
      </w:r>
    </w:p>
    <w:p w:rsidR="00A16E9F" w:rsidRPr="00A16E9F" w:rsidRDefault="00D5482E" w:rsidP="00A16E9F">
      <w:pPr>
        <w:keepLines/>
        <w:pBdr>
          <w:top w:val="nil"/>
          <w:left w:val="nil"/>
          <w:bottom w:val="nil"/>
          <w:right w:val="nil"/>
          <w:between w:val="nil"/>
          <w:bar w:val="nil"/>
        </w:pBdr>
        <w:spacing w:after="240" w:line="240" w:lineRule="auto"/>
        <w:jc w:val="both"/>
        <w:rPr>
          <w:bdr w:val="nil"/>
          <w:lang w:eastAsia="x-none"/>
        </w:rPr>
      </w:pPr>
      <w:r w:rsidRPr="00A16E9F">
        <w:rPr>
          <w:rFonts w:ascii="Book Antiqua" w:eastAsia="Times New Roman" w:hAnsi="Book Antiqua" w:cs="Times New Roman"/>
          <w:sz w:val="20"/>
          <w:szCs w:val="20"/>
          <w:bdr w:val="nil"/>
          <w:lang w:val="en-AU" w:eastAsia="x-none"/>
        </w:rPr>
        <w:t>The urgency and scale of the COVID-19 response has reaffirmed the importance of the Services Australia vision to make government services simple so people can get on with their lives.</w:t>
      </w:r>
    </w:p>
    <w:p w:rsidR="00A16E9F" w:rsidRPr="00A16E9F" w:rsidRDefault="00D5482E" w:rsidP="00A16E9F">
      <w:pPr>
        <w:keepLines/>
        <w:pBdr>
          <w:top w:val="nil"/>
          <w:left w:val="nil"/>
          <w:bottom w:val="nil"/>
          <w:right w:val="nil"/>
          <w:between w:val="nil"/>
          <w:bar w:val="nil"/>
        </w:pBdr>
        <w:spacing w:after="240" w:line="240" w:lineRule="auto"/>
        <w:jc w:val="both"/>
        <w:rPr>
          <w:bdr w:val="nil"/>
          <w:lang w:eastAsia="x-none"/>
        </w:rPr>
      </w:pPr>
      <w:r w:rsidRPr="00A16E9F">
        <w:rPr>
          <w:rFonts w:ascii="Book Antiqua" w:eastAsia="Times New Roman" w:hAnsi="Book Antiqua" w:cs="Times New Roman"/>
          <w:sz w:val="20"/>
          <w:szCs w:val="20"/>
          <w:bdr w:val="nil"/>
          <w:lang w:val="en-AU" w:eastAsia="x-none"/>
        </w:rPr>
        <w:t>As outlined in the Services Australia 2020-21 Corporate Plan, Services Australia will continue to build on its modernisation journey to become a leading, customer-focused service delivery agency. Services Australia’s transformation will be guided by four principles: Simple, Helpful, Respectful and Transparent.</w:t>
      </w:r>
    </w:p>
    <w:p w:rsidR="00386906" w:rsidRDefault="00D5482E" w:rsidP="00A16E9F">
      <w:pPr>
        <w:keepLines/>
        <w:pBdr>
          <w:top w:val="nil"/>
          <w:left w:val="nil"/>
          <w:bottom w:val="nil"/>
          <w:right w:val="nil"/>
          <w:between w:val="nil"/>
          <w:bar w:val="nil"/>
        </w:pBdr>
        <w:spacing w:after="240" w:line="240" w:lineRule="auto"/>
        <w:jc w:val="both"/>
        <w:rPr>
          <w:bdr w:val="nil"/>
          <w:lang w:eastAsia="x-none"/>
        </w:rPr>
      </w:pPr>
      <w:r w:rsidRPr="00A16E9F">
        <w:rPr>
          <w:rFonts w:ascii="Book Antiqua" w:eastAsia="Times New Roman" w:hAnsi="Book Antiqua" w:cs="Times New Roman"/>
          <w:sz w:val="20"/>
          <w:szCs w:val="20"/>
          <w:bdr w:val="nil"/>
          <w:lang w:val="en-AU" w:eastAsia="x-none"/>
        </w:rPr>
        <w:t>Services Australia will make changes across every aspect of its business, working in close collaboration with policy agencies, the community and third parties to improve the digital and face to face systems that support Australians, while continuing to provide its extensive services and payments for Australians.</w:t>
      </w:r>
    </w:p>
    <w:p w:rsidR="004D3107" w:rsidRPr="00BA0209" w:rsidRDefault="004D3107" w:rsidP="00C91D52">
      <w:pPr>
        <w:keepLines/>
        <w:pBdr>
          <w:top w:val="nil"/>
          <w:left w:val="nil"/>
          <w:bottom w:val="nil"/>
          <w:right w:val="nil"/>
          <w:between w:val="nil"/>
          <w:bar w:val="nil"/>
        </w:pBdr>
        <w:spacing w:after="120" w:line="240" w:lineRule="auto"/>
        <w:jc w:val="both"/>
        <w:rPr>
          <w:b/>
          <w:vanish/>
          <w:bdr w:val="nil"/>
        </w:rPr>
        <w:sectPr w:rsidR="004D3107" w:rsidRPr="00BA0209" w:rsidSect="00A31A84">
          <w:headerReference w:type="even" r:id="rId150"/>
          <w:headerReference w:type="default" r:id="rId151"/>
          <w:footerReference w:type="even" r:id="rId152"/>
          <w:footerReference w:type="default" r:id="rId153"/>
          <w:headerReference w:type="first" r:id="rId154"/>
          <w:footerReference w:type="first" r:id="rId155"/>
          <w:type w:val="continuous"/>
          <w:pgSz w:w="11906" w:h="16838"/>
          <w:pgMar w:top="2466" w:right="2098" w:bottom="2466" w:left="2098" w:header="1899" w:footer="1899" w:gutter="0"/>
          <w:pgBorders>
            <w:top w:val="nil"/>
            <w:left w:val="nil"/>
            <w:bottom w:val="nil"/>
            <w:right w:val="nil"/>
          </w:pgBorders>
          <w:cols w:space="720"/>
          <w:docGrid w:linePitch="360"/>
        </w:sectPr>
      </w:pPr>
    </w:p>
    <w:p w:rsidR="004C2526" w:rsidRDefault="00D5482E" w:rsidP="001472B7">
      <w:pPr>
        <w:pStyle w:val="Heading3"/>
        <w:pageBreakBefore/>
        <w:pBdr>
          <w:top w:val="nil"/>
          <w:left w:val="nil"/>
          <w:bottom w:val="nil"/>
          <w:right w:val="nil"/>
          <w:between w:val="nil"/>
          <w:bar w:val="nil"/>
        </w:pBdr>
        <w:spacing w:before="0"/>
        <w:rPr>
          <w:bdr w:val="nil"/>
        </w:rPr>
      </w:pPr>
      <w:r>
        <w:rPr>
          <w:bdr w:val="nil"/>
        </w:rPr>
        <w:lastRenderedPageBreak/>
        <w:t>1.2</w:t>
      </w:r>
      <w:r>
        <w:rPr>
          <w:bdr w:val="nil"/>
        </w:rPr>
        <w:tab/>
        <w:t>Entity resource statement</w:t>
      </w:r>
    </w:p>
    <w:p w:rsidR="00D974C5" w:rsidRDefault="00D5482E" w:rsidP="004A5203">
      <w:pPr>
        <w:pBdr>
          <w:top w:val="nil"/>
          <w:left w:val="nil"/>
          <w:bottom w:val="nil"/>
          <w:right w:val="nil"/>
          <w:between w:val="nil"/>
          <w:bar w:val="nil"/>
        </w:pBdr>
        <w:spacing w:after="240" w:line="240" w:lineRule="auto"/>
        <w:jc w:val="both"/>
        <w:rPr>
          <w:rFonts w:ascii="Arial" w:hAnsi="Arial"/>
          <w:b/>
          <w:bdr w:val="nil"/>
        </w:rPr>
      </w:pPr>
      <w:r w:rsidRPr="00356495">
        <w:rPr>
          <w:rFonts w:ascii="Book Antiqua" w:eastAsia="Times New Roman" w:hAnsi="Book Antiqua" w:cs="Times New Roman"/>
          <w:sz w:val="20"/>
          <w:szCs w:val="20"/>
          <w:bdr w:val="nil"/>
          <w:lang w:val="en-AU" w:eastAsia="en-AU"/>
        </w:rPr>
        <w:t>The Entity Resource Statement details the resourcing for Services Australia at Additional Estimates. Table 1.1 outlines the total resourcing available from all sources for the 2020</w:t>
      </w:r>
      <w:r w:rsidR="006B3A48">
        <w:rPr>
          <w:rFonts w:ascii="Book Antiqua" w:eastAsia="Times New Roman" w:hAnsi="Book Antiqua" w:cs="Times New Roman"/>
          <w:sz w:val="20"/>
          <w:szCs w:val="20"/>
          <w:bdr w:val="nil"/>
          <w:lang w:val="en-AU" w:eastAsia="en-AU"/>
        </w:rPr>
        <w:t>-</w:t>
      </w:r>
      <w:r w:rsidRPr="00356495">
        <w:rPr>
          <w:rFonts w:ascii="Book Antiqua" w:eastAsia="Times New Roman" w:hAnsi="Book Antiqua" w:cs="Times New Roman"/>
          <w:sz w:val="20"/>
          <w:szCs w:val="20"/>
          <w:bdr w:val="nil"/>
          <w:lang w:val="en-AU" w:eastAsia="en-AU"/>
        </w:rPr>
        <w:t>21 Budget year, including variations through Appropriation Bills No. 3 and No. 4, Special Appro</w:t>
      </w:r>
      <w:r>
        <w:rPr>
          <w:rFonts w:ascii="Book Antiqua" w:eastAsia="Times New Roman" w:hAnsi="Book Antiqua" w:cs="Times New Roman"/>
          <w:sz w:val="20"/>
          <w:szCs w:val="20"/>
          <w:bdr w:val="nil"/>
          <w:lang w:val="en-AU" w:eastAsia="en-AU"/>
        </w:rPr>
        <w:t>priations and Special Accounts.</w:t>
      </w:r>
    </w:p>
    <w:p w:rsidR="004C2526" w:rsidRDefault="00D5482E" w:rsidP="004A5203">
      <w:pPr>
        <w:pStyle w:val="TableHeading"/>
        <w:keepLines/>
        <w:pBdr>
          <w:top w:val="nil"/>
          <w:left w:val="nil"/>
          <w:bottom w:val="nil"/>
          <w:right w:val="nil"/>
          <w:between w:val="nil"/>
          <w:bar w:val="nil"/>
        </w:pBdr>
        <w:spacing w:before="0" w:after="0"/>
        <w:rPr>
          <w:bdr w:val="nil"/>
        </w:rPr>
      </w:pPr>
      <w:r w:rsidRPr="004C2526">
        <w:rPr>
          <w:bdr w:val="nil"/>
        </w:rPr>
        <w:t xml:space="preserve">Table 1.1: </w:t>
      </w:r>
      <w:r>
        <w:rPr>
          <w:snapToGrid w:val="0"/>
          <w:bdr w:val="nil"/>
        </w:rPr>
        <w:t xml:space="preserve">Services Australia </w:t>
      </w:r>
      <w:r w:rsidR="0092574C">
        <w:rPr>
          <w:bdr w:val="nil"/>
        </w:rPr>
        <w:t>r</w:t>
      </w:r>
      <w:r>
        <w:rPr>
          <w:bdr w:val="nil"/>
        </w:rPr>
        <w:t xml:space="preserve">esource </w:t>
      </w:r>
      <w:r w:rsidR="0092574C">
        <w:rPr>
          <w:bdr w:val="nil"/>
        </w:rPr>
        <w:t>s</w:t>
      </w:r>
      <w:r>
        <w:rPr>
          <w:bdr w:val="nil"/>
        </w:rPr>
        <w:t xml:space="preserve">tatement – Additional Estimates for </w:t>
      </w:r>
      <w:r>
        <w:rPr>
          <w:bdr w:val="nil"/>
        </w:rPr>
        <w:br/>
        <w:t>2020-21 as at February 2021</w:t>
      </w:r>
    </w:p>
    <w:tbl>
      <w:tblPr>
        <w:tblStyle w:val="CDMRange1"/>
        <w:tblW w:w="7725" w:type="dxa"/>
        <w:tblLayout w:type="fixed"/>
        <w:tblCellMar>
          <w:top w:w="11" w:type="dxa"/>
          <w:bottom w:w="11" w:type="dxa"/>
        </w:tblCellMar>
        <w:tblLook w:val="0600" w:firstRow="0" w:lastRow="0" w:firstColumn="0" w:lastColumn="0" w:noHBand="1" w:noVBand="1"/>
        <w:tblCaption w:val="Table 1.1: Services Australia resource statement – Additional Estimates for "/>
      </w:tblPr>
      <w:tblGrid>
        <w:gridCol w:w="3645"/>
        <w:gridCol w:w="1020"/>
        <w:gridCol w:w="1020"/>
        <w:gridCol w:w="1020"/>
        <w:gridCol w:w="1020"/>
      </w:tblGrid>
      <w:tr w:rsidR="00010972" w:rsidTr="00C5172A">
        <w:trPr>
          <w:tblHeader/>
        </w:trPr>
        <w:tc>
          <w:tcPr>
            <w:tcW w:w="364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dotted" w:sz="2" w:space="0" w:color="000000"/>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Actual</w:t>
            </w:r>
          </w:p>
        </w:tc>
        <w:tc>
          <w:tcPr>
            <w:tcW w:w="102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102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Proposed</w:t>
            </w:r>
          </w:p>
        </w:tc>
        <w:tc>
          <w:tcPr>
            <w:tcW w:w="1020" w:type="dxa"/>
            <w:tcBorders>
              <w:top w:val="dotted" w:sz="2" w:space="0" w:color="000000"/>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Total</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available</w:t>
            </w:r>
          </w:p>
        </w:tc>
        <w:tc>
          <w:tcPr>
            <w:tcW w:w="102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as at</w:t>
            </w:r>
          </w:p>
        </w:tc>
        <w:tc>
          <w:tcPr>
            <w:tcW w:w="102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Additional</w:t>
            </w:r>
          </w:p>
        </w:tc>
        <w:tc>
          <w:tcPr>
            <w:tcW w:w="1020"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 at</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appropriation</w:t>
            </w:r>
          </w:p>
        </w:tc>
        <w:tc>
          <w:tcPr>
            <w:tcW w:w="102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Budget</w:t>
            </w:r>
          </w:p>
        </w:tc>
        <w:tc>
          <w:tcPr>
            <w:tcW w:w="102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Estimates</w:t>
            </w:r>
          </w:p>
        </w:tc>
        <w:tc>
          <w:tcPr>
            <w:tcW w:w="1020"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Additional</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20"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Estimates</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2019-20</w:t>
            </w:r>
          </w:p>
        </w:tc>
        <w:tc>
          <w:tcPr>
            <w:tcW w:w="102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2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20"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$'000</w:t>
            </w:r>
          </w:p>
        </w:tc>
        <w:tc>
          <w:tcPr>
            <w:tcW w:w="1020"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20"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20"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Departmental</w:t>
            </w:r>
          </w:p>
        </w:tc>
        <w:tc>
          <w:tcPr>
            <w:tcW w:w="1020"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20" w:type="dxa"/>
            <w:tcBorders>
              <w:top w:val="dotted" w:sz="2" w:space="0" w:color="000000"/>
              <w:left w:val="nil"/>
              <w:bottom w:val="nil"/>
              <w:right w:val="nil"/>
              <w:tl2br w:val="nil"/>
              <w:tr2bl w:val="nil"/>
            </w:tcBorders>
            <w:shd w:val="clear" w:color="FFFFFF" w:fill="E6E6E6"/>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Prior year appropriations available (a)</w:t>
            </w:r>
          </w:p>
        </w:tc>
        <w:tc>
          <w:tcPr>
            <w:tcW w:w="1020"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1,096,111</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1,274,280</w:t>
            </w:r>
          </w:p>
        </w:tc>
        <w:tc>
          <w:tcPr>
            <w:tcW w:w="102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(175,795)</w:t>
            </w:r>
          </w:p>
        </w:tc>
        <w:tc>
          <w:tcPr>
            <w:tcW w:w="1020" w:type="dxa"/>
            <w:tcBorders>
              <w:top w:val="nil"/>
              <w:left w:val="nil"/>
              <w:bottom w:val="nil"/>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1,098,485</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Annual appropriations – ordinary annual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services (</w:t>
            </w:r>
            <w:proofErr w:type="spellStart"/>
            <w:r>
              <w:rPr>
                <w:rFonts w:ascii="Arial" w:eastAsia="Arial" w:hAnsi="Arial" w:cs="Arial"/>
                <w:color w:val="000000"/>
                <w:sz w:val="16"/>
                <w:szCs w:val="20"/>
                <w:bdr w:val="nil"/>
                <w:lang w:val="en-AU" w:eastAsia="en-AU"/>
              </w:rPr>
              <w:t>b,c</w:t>
            </w:r>
            <w:proofErr w:type="spellEnd"/>
            <w:r>
              <w:rPr>
                <w:rFonts w:ascii="Arial" w:eastAsia="Arial" w:hAnsi="Arial" w:cs="Arial"/>
                <w:color w:val="000000"/>
                <w:sz w:val="16"/>
                <w:szCs w:val="20"/>
                <w:bdr w:val="nil"/>
                <w:lang w:val="en-AU" w:eastAsia="en-AU"/>
              </w:rPr>
              <w:t>)</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nil"/>
              <w:left w:val="nil"/>
              <w:bottom w:val="nil"/>
              <w:right w:val="nil"/>
              <w:tl2br w:val="nil"/>
              <w:tr2bl w:val="nil"/>
            </w:tcBorders>
            <w:shd w:val="clear" w:color="FFFFFF" w:fill="E6E6E6"/>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appropriation</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5,063,501</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4,970,572</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139,385</w:t>
            </w:r>
          </w:p>
        </w:tc>
        <w:tc>
          <w:tcPr>
            <w:tcW w:w="1020" w:type="dxa"/>
            <w:tcBorders>
              <w:top w:val="nil"/>
              <w:left w:val="nil"/>
              <w:bottom w:val="nil"/>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5,109,957</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s74 External Revenue (d)</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235,797</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233,735</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12,729</w:t>
            </w:r>
          </w:p>
        </w:tc>
        <w:tc>
          <w:tcPr>
            <w:tcW w:w="1020" w:type="dxa"/>
            <w:tcBorders>
              <w:top w:val="nil"/>
              <w:left w:val="nil"/>
              <w:bottom w:val="nil"/>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246,464</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w:t>
            </w:r>
            <w:r w:rsidR="00163885">
              <w:rPr>
                <w:rFonts w:ascii="Arial" w:eastAsia="Arial" w:hAnsi="Arial" w:cs="Arial"/>
                <w:color w:val="000000"/>
                <w:sz w:val="16"/>
                <w:szCs w:val="20"/>
                <w:bdr w:val="nil"/>
                <w:lang w:val="en-AU" w:eastAsia="en-AU"/>
              </w:rPr>
              <w:t>epartmental capital budget</w:t>
            </w:r>
            <w:r>
              <w:rPr>
                <w:rFonts w:ascii="Arial" w:eastAsia="Arial" w:hAnsi="Arial" w:cs="Arial"/>
                <w:color w:val="000000"/>
                <w:sz w:val="16"/>
                <w:szCs w:val="20"/>
                <w:bdr w:val="nil"/>
                <w:lang w:val="en-AU" w:eastAsia="en-AU"/>
              </w:rPr>
              <w:t xml:space="preserve"> (</w:t>
            </w:r>
            <w:proofErr w:type="spellStart"/>
            <w:r>
              <w:rPr>
                <w:rFonts w:ascii="Arial" w:eastAsia="Arial" w:hAnsi="Arial" w:cs="Arial"/>
                <w:color w:val="000000"/>
                <w:sz w:val="16"/>
                <w:szCs w:val="20"/>
                <w:bdr w:val="nil"/>
                <w:lang w:val="en-AU" w:eastAsia="en-AU"/>
              </w:rPr>
              <w:t>e,f</w:t>
            </w:r>
            <w:proofErr w:type="spellEnd"/>
            <w:r>
              <w:rPr>
                <w:rFonts w:ascii="Arial" w:eastAsia="Arial" w:hAnsi="Arial" w:cs="Arial"/>
                <w:color w:val="000000"/>
                <w:sz w:val="16"/>
                <w:szCs w:val="20"/>
                <w:bdr w:val="nil"/>
                <w:lang w:val="en-AU" w:eastAsia="en-AU"/>
              </w:rPr>
              <w:t>)</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196,936</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195,567</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20" w:type="dxa"/>
            <w:tcBorders>
              <w:top w:val="nil"/>
              <w:left w:val="nil"/>
              <w:bottom w:val="nil"/>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195,567</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Annual appropriations – other services –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non-operating (g)</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nil"/>
              <w:left w:val="nil"/>
              <w:bottom w:val="nil"/>
              <w:right w:val="nil"/>
              <w:tl2br w:val="nil"/>
              <w:tr2bl w:val="nil"/>
            </w:tcBorders>
            <w:shd w:val="clear" w:color="FFFFFF" w:fill="E6E6E6"/>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Equity injection (f)</w:t>
            </w:r>
          </w:p>
        </w:tc>
        <w:tc>
          <w:tcPr>
            <w:tcW w:w="102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155,137</w:t>
            </w:r>
          </w:p>
        </w:tc>
        <w:tc>
          <w:tcPr>
            <w:tcW w:w="102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197,956</w:t>
            </w:r>
          </w:p>
        </w:tc>
        <w:tc>
          <w:tcPr>
            <w:tcW w:w="102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21,620</w:t>
            </w:r>
          </w:p>
        </w:tc>
        <w:tc>
          <w:tcPr>
            <w:tcW w:w="1020" w:type="dxa"/>
            <w:tcBorders>
              <w:top w:val="nil"/>
              <w:left w:val="nil"/>
              <w:bottom w:val="dotted" w:sz="2" w:space="0" w:color="000000"/>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219,576</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Total departmental annual appropriations</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B778D7">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sidRPr="00B778D7">
              <w:rPr>
                <w:rFonts w:ascii="Arial" w:eastAsia="Arial" w:hAnsi="Arial" w:cs="Arial"/>
                <w:i/>
                <w:color w:val="000000"/>
                <w:sz w:val="16"/>
                <w:szCs w:val="20"/>
                <w:bdr w:val="nil"/>
                <w:lang w:val="en-AU" w:eastAsia="en-AU"/>
              </w:rPr>
              <w:t>5</w:t>
            </w:r>
            <w:r>
              <w:rPr>
                <w:rFonts w:ascii="Arial" w:eastAsia="Arial" w:hAnsi="Arial" w:cs="Arial"/>
                <w:i/>
                <w:color w:val="000000"/>
                <w:sz w:val="16"/>
                <w:szCs w:val="20"/>
                <w:bdr w:val="nil"/>
                <w:lang w:val="en-AU" w:eastAsia="en-AU"/>
              </w:rPr>
              <w:t>,</w:t>
            </w:r>
            <w:r w:rsidRPr="00B778D7">
              <w:rPr>
                <w:rFonts w:ascii="Arial" w:eastAsia="Arial" w:hAnsi="Arial" w:cs="Arial"/>
                <w:i/>
                <w:color w:val="000000"/>
                <w:sz w:val="16"/>
                <w:szCs w:val="20"/>
                <w:bdr w:val="nil"/>
                <w:lang w:val="en-AU" w:eastAsia="en-AU"/>
              </w:rPr>
              <w:t>651</w:t>
            </w:r>
            <w:r>
              <w:rPr>
                <w:rFonts w:ascii="Arial" w:eastAsia="Arial" w:hAnsi="Arial" w:cs="Arial"/>
                <w:i/>
                <w:color w:val="000000"/>
                <w:sz w:val="16"/>
                <w:szCs w:val="20"/>
                <w:bdr w:val="nil"/>
                <w:lang w:val="en-AU" w:eastAsia="en-AU"/>
              </w:rPr>
              <w:t>,</w:t>
            </w:r>
            <w:r w:rsidRPr="00B778D7">
              <w:rPr>
                <w:rFonts w:ascii="Arial" w:eastAsia="Arial" w:hAnsi="Arial" w:cs="Arial"/>
                <w:i/>
                <w:color w:val="000000"/>
                <w:sz w:val="16"/>
                <w:szCs w:val="20"/>
                <w:bdr w:val="nil"/>
                <w:lang w:val="en-AU" w:eastAsia="en-AU"/>
              </w:rPr>
              <w:t>371</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B778D7">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sidRPr="00B778D7">
              <w:rPr>
                <w:rFonts w:ascii="Arial" w:eastAsia="Arial" w:hAnsi="Arial" w:cs="Arial"/>
                <w:i/>
                <w:color w:val="000000"/>
                <w:sz w:val="16"/>
                <w:szCs w:val="20"/>
                <w:bdr w:val="nil"/>
                <w:lang w:val="en-AU" w:eastAsia="en-AU"/>
              </w:rPr>
              <w:t>5</w:t>
            </w:r>
            <w:r>
              <w:rPr>
                <w:rFonts w:ascii="Arial" w:eastAsia="Arial" w:hAnsi="Arial" w:cs="Arial"/>
                <w:i/>
                <w:color w:val="000000"/>
                <w:sz w:val="16"/>
                <w:szCs w:val="20"/>
                <w:bdr w:val="nil"/>
                <w:lang w:val="en-AU" w:eastAsia="en-AU"/>
              </w:rPr>
              <w:t>,</w:t>
            </w:r>
            <w:r w:rsidRPr="00B778D7">
              <w:rPr>
                <w:rFonts w:ascii="Arial" w:eastAsia="Arial" w:hAnsi="Arial" w:cs="Arial"/>
                <w:i/>
                <w:color w:val="000000"/>
                <w:sz w:val="16"/>
                <w:szCs w:val="20"/>
                <w:bdr w:val="nil"/>
                <w:lang w:val="en-AU" w:eastAsia="en-AU"/>
              </w:rPr>
              <w:t>597</w:t>
            </w:r>
            <w:r>
              <w:rPr>
                <w:rFonts w:ascii="Arial" w:eastAsia="Arial" w:hAnsi="Arial" w:cs="Arial"/>
                <w:i/>
                <w:color w:val="000000"/>
                <w:sz w:val="16"/>
                <w:szCs w:val="20"/>
                <w:bdr w:val="nil"/>
                <w:lang w:val="en-AU" w:eastAsia="en-AU"/>
              </w:rPr>
              <w:t>,</w:t>
            </w:r>
            <w:r w:rsidRPr="00B778D7">
              <w:rPr>
                <w:rFonts w:ascii="Arial" w:eastAsia="Arial" w:hAnsi="Arial" w:cs="Arial"/>
                <w:i/>
                <w:color w:val="000000"/>
                <w:sz w:val="16"/>
                <w:szCs w:val="20"/>
                <w:bdr w:val="nil"/>
                <w:lang w:val="en-AU" w:eastAsia="en-AU"/>
              </w:rPr>
              <w:t>830</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Pr="00B778D7" w:rsidRDefault="00B778D7" w:rsidP="009A756E">
            <w:pPr>
              <w:keepLines/>
              <w:pBdr>
                <w:top w:val="nil"/>
                <w:left w:val="nil"/>
                <w:bottom w:val="nil"/>
                <w:right w:val="nil"/>
                <w:between w:val="nil"/>
                <w:bar w:val="nil"/>
              </w:pBdr>
              <w:spacing w:after="0" w:line="240" w:lineRule="auto"/>
              <w:ind w:right="57"/>
              <w:jc w:val="right"/>
              <w:rPr>
                <w:rFonts w:ascii="Arial" w:eastAsia="Arial" w:hAnsi="Arial" w:cs="Arial"/>
                <w:i/>
                <w:color w:val="000000"/>
                <w:sz w:val="16"/>
                <w:szCs w:val="20"/>
                <w:bdr w:val="nil"/>
                <w:lang w:val="en-AU" w:eastAsia="en-AU"/>
              </w:rPr>
            </w:pPr>
            <w:r w:rsidRPr="00B778D7">
              <w:rPr>
                <w:rFonts w:ascii="Arial" w:eastAsia="Arial" w:hAnsi="Arial" w:cs="Arial"/>
                <w:i/>
                <w:color w:val="000000"/>
                <w:sz w:val="16"/>
                <w:szCs w:val="20"/>
                <w:bdr w:val="nil"/>
                <w:lang w:val="en-AU" w:eastAsia="en-AU"/>
              </w:rPr>
              <w:t>173</w:t>
            </w:r>
            <w:r>
              <w:rPr>
                <w:rFonts w:ascii="Arial" w:eastAsia="Arial" w:hAnsi="Arial" w:cs="Arial"/>
                <w:i/>
                <w:color w:val="000000"/>
                <w:sz w:val="16"/>
                <w:szCs w:val="20"/>
                <w:bdr w:val="nil"/>
                <w:lang w:val="en-AU" w:eastAsia="en-AU"/>
              </w:rPr>
              <w:t>,</w:t>
            </w:r>
            <w:r w:rsidRPr="00B778D7">
              <w:rPr>
                <w:rFonts w:ascii="Arial" w:eastAsia="Arial" w:hAnsi="Arial" w:cs="Arial"/>
                <w:i/>
                <w:color w:val="000000"/>
                <w:sz w:val="16"/>
                <w:szCs w:val="20"/>
                <w:bdr w:val="nil"/>
                <w:lang w:val="en-AU" w:eastAsia="en-AU"/>
              </w:rPr>
              <w:t>734</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rsidR="00010972" w:rsidRDefault="00B778D7">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sidRPr="00B778D7">
              <w:rPr>
                <w:rFonts w:ascii="Arial" w:eastAsia="Arial" w:hAnsi="Arial" w:cs="Arial"/>
                <w:i/>
                <w:color w:val="000000"/>
                <w:sz w:val="16"/>
                <w:szCs w:val="20"/>
                <w:bdr w:val="nil"/>
                <w:lang w:val="en-AU" w:eastAsia="en-AU"/>
              </w:rPr>
              <w:t>5</w:t>
            </w:r>
            <w:r>
              <w:rPr>
                <w:rFonts w:ascii="Arial" w:eastAsia="Arial" w:hAnsi="Arial" w:cs="Arial"/>
                <w:i/>
                <w:color w:val="000000"/>
                <w:sz w:val="16"/>
                <w:szCs w:val="20"/>
                <w:bdr w:val="nil"/>
                <w:lang w:val="en-AU" w:eastAsia="en-AU"/>
              </w:rPr>
              <w:t>,</w:t>
            </w:r>
            <w:r w:rsidRPr="00B778D7">
              <w:rPr>
                <w:rFonts w:ascii="Arial" w:eastAsia="Arial" w:hAnsi="Arial" w:cs="Arial"/>
                <w:i/>
                <w:color w:val="000000"/>
                <w:sz w:val="16"/>
                <w:szCs w:val="20"/>
                <w:bdr w:val="nil"/>
                <w:lang w:val="en-AU" w:eastAsia="en-AU"/>
              </w:rPr>
              <w:t>771</w:t>
            </w:r>
            <w:r>
              <w:rPr>
                <w:rFonts w:ascii="Arial" w:eastAsia="Arial" w:hAnsi="Arial" w:cs="Arial"/>
                <w:i/>
                <w:color w:val="000000"/>
                <w:sz w:val="16"/>
                <w:szCs w:val="20"/>
                <w:bdr w:val="nil"/>
                <w:lang w:val="en-AU" w:eastAsia="en-AU"/>
              </w:rPr>
              <w:t>,</w:t>
            </w:r>
            <w:r w:rsidRPr="00B778D7">
              <w:rPr>
                <w:rFonts w:ascii="Arial" w:eastAsia="Arial" w:hAnsi="Arial" w:cs="Arial"/>
                <w:i/>
                <w:color w:val="000000"/>
                <w:sz w:val="16"/>
                <w:szCs w:val="20"/>
                <w:bdr w:val="nil"/>
                <w:lang w:val="en-AU" w:eastAsia="en-AU"/>
              </w:rPr>
              <w:t>564</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Total departmental resourcing</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6,747,482</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6,872,110</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9A756E">
            <w:pPr>
              <w:keepLines/>
              <w:pBdr>
                <w:top w:val="nil"/>
                <w:left w:val="nil"/>
                <w:bottom w:val="nil"/>
                <w:right w:val="nil"/>
                <w:between w:val="nil"/>
                <w:bar w:val="nil"/>
              </w:pBdr>
              <w:spacing w:after="0" w:line="240" w:lineRule="auto"/>
              <w:ind w:right="57"/>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(2,061)</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6,870,049</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Administered</w:t>
            </w:r>
          </w:p>
        </w:tc>
        <w:tc>
          <w:tcPr>
            <w:tcW w:w="10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dotted" w:sz="2" w:space="0" w:color="000000"/>
              <w:left w:val="nil"/>
              <w:bottom w:val="nil"/>
              <w:right w:val="nil"/>
              <w:tl2br w:val="nil"/>
              <w:tr2bl w:val="nil"/>
            </w:tcBorders>
            <w:shd w:val="clear" w:color="FFFFFF" w:fill="E6E6E6"/>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appropriations – ordinary annual</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services (</w:t>
            </w:r>
            <w:proofErr w:type="spellStart"/>
            <w:r>
              <w:rPr>
                <w:rFonts w:ascii="Arial" w:eastAsia="Arial" w:hAnsi="Arial" w:cs="Arial"/>
                <w:color w:val="000000"/>
                <w:sz w:val="16"/>
                <w:szCs w:val="20"/>
                <w:bdr w:val="nil"/>
                <w:lang w:val="en-AU" w:eastAsia="en-AU"/>
              </w:rPr>
              <w:t>b,c</w:t>
            </w:r>
            <w:proofErr w:type="spellEnd"/>
            <w:r>
              <w:rPr>
                <w:rFonts w:ascii="Arial" w:eastAsia="Arial" w:hAnsi="Arial" w:cs="Arial"/>
                <w:color w:val="000000"/>
                <w:sz w:val="16"/>
                <w:szCs w:val="20"/>
                <w:bdr w:val="nil"/>
                <w:lang w:val="en-AU" w:eastAsia="en-AU"/>
              </w:rPr>
              <w:t>)</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Prior year appropriations available</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3,056</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4,699</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20" w:type="dxa"/>
            <w:tcBorders>
              <w:top w:val="nil"/>
              <w:left w:val="nil"/>
              <w:bottom w:val="nil"/>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4,699</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Outcome 1</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1,643</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1,686</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w:t>
            </w:r>
          </w:p>
        </w:tc>
        <w:tc>
          <w:tcPr>
            <w:tcW w:w="1020" w:type="dxa"/>
            <w:tcBorders>
              <w:top w:val="nil"/>
              <w:left w:val="nil"/>
              <w:bottom w:val="nil"/>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1,691</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s74 Retained Receipts (h)</w:t>
            </w:r>
          </w:p>
        </w:tc>
        <w:tc>
          <w:tcPr>
            <w:tcW w:w="102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1,251</w:t>
            </w:r>
          </w:p>
        </w:tc>
        <w:tc>
          <w:tcPr>
            <w:tcW w:w="102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1,686</w:t>
            </w:r>
          </w:p>
        </w:tc>
        <w:tc>
          <w:tcPr>
            <w:tcW w:w="102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w:t>
            </w:r>
          </w:p>
        </w:tc>
        <w:tc>
          <w:tcPr>
            <w:tcW w:w="1020" w:type="dxa"/>
            <w:tcBorders>
              <w:top w:val="nil"/>
              <w:left w:val="nil"/>
              <w:bottom w:val="dotted" w:sz="2" w:space="0" w:color="000000"/>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1,691</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Total administered annual appropriations</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5,950</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8,071</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10</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8,081</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Total administered special appropriations</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600</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600</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(50)</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550</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accounts</w:t>
            </w:r>
          </w:p>
        </w:tc>
        <w:tc>
          <w:tcPr>
            <w:tcW w:w="10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dotted" w:sz="2" w:space="0" w:color="000000"/>
              <w:left w:val="nil"/>
              <w:bottom w:val="nil"/>
              <w:right w:val="nil"/>
              <w:tl2br w:val="nil"/>
              <w:tr2bl w:val="nil"/>
            </w:tcBorders>
            <w:shd w:val="clear" w:color="FFFFFF" w:fill="E6E6E6"/>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Opening balance</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120,021</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159,979</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20" w:type="dxa"/>
            <w:tcBorders>
              <w:top w:val="nil"/>
              <w:left w:val="nil"/>
              <w:bottom w:val="nil"/>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159,979</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Appropriation receipts (i)</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1,101</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1,686</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w:t>
            </w:r>
          </w:p>
        </w:tc>
        <w:tc>
          <w:tcPr>
            <w:tcW w:w="1020" w:type="dxa"/>
            <w:tcBorders>
              <w:top w:val="nil"/>
              <w:left w:val="nil"/>
              <w:bottom w:val="nil"/>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1,691</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Non-appropriation receipts (j)</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1,980,225</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1,965,479</w:t>
            </w:r>
          </w:p>
        </w:tc>
        <w:tc>
          <w:tcPr>
            <w:tcW w:w="102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49,361</w:t>
            </w:r>
          </w:p>
        </w:tc>
        <w:tc>
          <w:tcPr>
            <w:tcW w:w="1020" w:type="dxa"/>
            <w:tcBorders>
              <w:top w:val="nil"/>
              <w:left w:val="nil"/>
              <w:bottom w:val="nil"/>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2,014,840</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31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Adjustments (k)</w:t>
            </w:r>
          </w:p>
        </w:tc>
        <w:tc>
          <w:tcPr>
            <w:tcW w:w="102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40,621</w:t>
            </w:r>
          </w:p>
        </w:tc>
        <w:tc>
          <w:tcPr>
            <w:tcW w:w="102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48,593</w:t>
            </w:r>
          </w:p>
        </w:tc>
        <w:tc>
          <w:tcPr>
            <w:tcW w:w="102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150</w:t>
            </w:r>
          </w:p>
        </w:tc>
        <w:tc>
          <w:tcPr>
            <w:tcW w:w="1020" w:type="dxa"/>
            <w:tcBorders>
              <w:top w:val="nil"/>
              <w:left w:val="nil"/>
              <w:bottom w:val="dotted" w:sz="2" w:space="0" w:color="000000"/>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48,743</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Total special account receipts</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2,141,968</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2,175,737</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49,516</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2,225,253</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less administered appropriations drawn</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from annual/special appropriations and</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credited to special accounts </w:t>
            </w:r>
            <w:r>
              <w:rPr>
                <w:rFonts w:ascii="Arial" w:eastAsia="Arial" w:hAnsi="Arial" w:cs="Arial"/>
                <w:color w:val="000000"/>
                <w:sz w:val="16"/>
                <w:szCs w:val="20"/>
                <w:bdr w:val="nil"/>
                <w:lang w:val="en-AU" w:eastAsia="en-AU"/>
              </w:rPr>
              <w:t>(i)</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1,101</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1,686</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5</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1,691</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Total administered resourcing</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2,147,417</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2,182,722</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49,471</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2,232,193</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resourcing for Services Australia</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8,894,899</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9,054,832</w:t>
            </w: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47,410</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9,102,242</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dotted" w:sz="2" w:space="0" w:color="000000"/>
              <w:left w:val="nil"/>
              <w:bottom w:val="dotted" w:sz="2" w:space="0" w:color="000000"/>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dotted" w:sz="2" w:space="0" w:color="000000"/>
              <w:left w:val="nil"/>
              <w:bottom w:val="dotted" w:sz="2" w:space="0" w:color="000000"/>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20" w:type="dxa"/>
            <w:tcBorders>
              <w:top w:val="dotted" w:sz="2" w:space="0" w:color="000000"/>
              <w:left w:val="nil"/>
              <w:bottom w:val="dotted" w:sz="2" w:space="0" w:color="000000"/>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20" w:type="dxa"/>
            <w:tcBorders>
              <w:top w:val="dotted" w:sz="2" w:space="0" w:color="000000"/>
              <w:left w:val="nil"/>
              <w:bottom w:val="dotted" w:sz="2" w:space="0" w:color="000000"/>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20" w:type="dxa"/>
            <w:tcBorders>
              <w:top w:val="dotted" w:sz="2" w:space="0" w:color="000000"/>
              <w:left w:val="nil"/>
              <w:bottom w:val="dotted" w:sz="2" w:space="0" w:color="000000"/>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dotted" w:sz="2" w:space="0" w:color="000000"/>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dotted" w:sz="2" w:space="0" w:color="000000"/>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dotted" w:sz="2" w:space="0" w:color="000000"/>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Actual </w:t>
            </w:r>
          </w:p>
        </w:tc>
        <w:tc>
          <w:tcPr>
            <w:tcW w:w="102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2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2019-20</w:t>
            </w:r>
          </w:p>
        </w:tc>
        <w:tc>
          <w:tcPr>
            <w:tcW w:w="1020"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r>
      <w:tr w:rsidR="00010972" w:rsidTr="009A7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Average staffing level (number)</w:t>
            </w:r>
          </w:p>
        </w:tc>
        <w:tc>
          <w:tcPr>
            <w:tcW w:w="1020" w:type="dxa"/>
            <w:tcBorders>
              <w:top w:val="nil"/>
              <w:left w:val="nil"/>
              <w:bottom w:val="dotted" w:sz="2" w:space="0" w:color="000000"/>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20" w:type="dxa"/>
            <w:tcBorders>
              <w:top w:val="nil"/>
              <w:left w:val="nil"/>
              <w:bottom w:val="dotted" w:sz="2" w:space="0" w:color="000000"/>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2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26,703</w:t>
            </w:r>
          </w:p>
        </w:tc>
        <w:tc>
          <w:tcPr>
            <w:tcW w:w="102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27,650</w:t>
            </w:r>
          </w:p>
        </w:tc>
      </w:tr>
    </w:tbl>
    <w:p w:rsidR="001472B7" w:rsidRDefault="00D5482E" w:rsidP="001472B7">
      <w:pPr>
        <w:pStyle w:val="Source"/>
        <w:pBdr>
          <w:top w:val="nil"/>
          <w:left w:val="nil"/>
          <w:bottom w:val="nil"/>
          <w:right w:val="nil"/>
          <w:between w:val="nil"/>
          <w:bar w:val="nil"/>
        </w:pBdr>
        <w:rPr>
          <w:bdr w:val="nil"/>
        </w:rPr>
      </w:pPr>
      <w:r>
        <w:rPr>
          <w:bdr w:val="nil"/>
        </w:rPr>
        <w:t>Prepared on a resourcing (i.e. appropriations available) basis.</w:t>
      </w:r>
    </w:p>
    <w:p w:rsidR="001472B7" w:rsidRDefault="001472B7" w:rsidP="001472B7">
      <w:pPr>
        <w:pStyle w:val="Source"/>
        <w:pBdr>
          <w:top w:val="nil"/>
          <w:left w:val="nil"/>
          <w:bottom w:val="nil"/>
          <w:right w:val="nil"/>
          <w:between w:val="nil"/>
          <w:bar w:val="nil"/>
        </w:pBdr>
        <w:rPr>
          <w:bdr w:val="nil"/>
        </w:rPr>
      </w:pPr>
    </w:p>
    <w:p w:rsidR="00926402" w:rsidRPr="00926402" w:rsidRDefault="00926402" w:rsidP="00A870C6">
      <w:pPr>
        <w:pStyle w:val="ChartandTableFootnoteAlpha"/>
        <w:numPr>
          <w:ilvl w:val="0"/>
          <w:numId w:val="0"/>
        </w:numPr>
        <w:pBdr>
          <w:top w:val="nil"/>
          <w:left w:val="nil"/>
          <w:bottom w:val="nil"/>
          <w:right w:val="nil"/>
          <w:between w:val="nil"/>
          <w:bar w:val="nil"/>
        </w:pBdr>
        <w:rPr>
          <w:rFonts w:cs="Arial"/>
          <w:szCs w:val="16"/>
          <w:bdr w:val="nil"/>
        </w:rPr>
      </w:pPr>
    </w:p>
    <w:p w:rsidR="00AB116D" w:rsidRDefault="00D5482E">
      <w:pPr>
        <w:pBdr>
          <w:top w:val="nil"/>
          <w:left w:val="nil"/>
          <w:bottom w:val="nil"/>
          <w:right w:val="nil"/>
          <w:between w:val="nil"/>
          <w:bar w:val="nil"/>
        </w:pBdr>
        <w:rPr>
          <w:rFonts w:ascii="Arial" w:hAnsi="Arial" w:cs="Arial"/>
          <w:sz w:val="16"/>
          <w:szCs w:val="16"/>
          <w:bdr w:val="nil"/>
        </w:rPr>
      </w:pPr>
      <w:r>
        <w:rPr>
          <w:rFonts w:ascii="Book Antiqua" w:eastAsia="Times New Roman" w:hAnsi="Book Antiqua" w:cs="Arial"/>
          <w:sz w:val="20"/>
          <w:szCs w:val="16"/>
          <w:bdr w:val="nil"/>
          <w:lang w:val="en-AU" w:eastAsia="en-AU"/>
        </w:rPr>
        <w:br w:type="page"/>
      </w:r>
    </w:p>
    <w:p w:rsidR="00241B17" w:rsidRPr="00241B17" w:rsidRDefault="00D5482E" w:rsidP="00241B17">
      <w:pPr>
        <w:pStyle w:val="TableHeading"/>
        <w:keepLines/>
        <w:pBdr>
          <w:bottom w:val="dotted" w:sz="4" w:space="1" w:color="auto"/>
        </w:pBdr>
        <w:spacing w:before="0" w:after="0"/>
      </w:pPr>
      <w:r w:rsidRPr="004C2526">
        <w:rPr>
          <w:bdr w:val="nil"/>
        </w:rPr>
        <w:lastRenderedPageBreak/>
        <w:t xml:space="preserve">Table 1.1: </w:t>
      </w:r>
      <w:r>
        <w:rPr>
          <w:snapToGrid w:val="0"/>
          <w:bdr w:val="nil"/>
        </w:rPr>
        <w:t xml:space="preserve">Services Australia </w:t>
      </w:r>
      <w:r>
        <w:rPr>
          <w:bdr w:val="nil"/>
        </w:rPr>
        <w:t xml:space="preserve">resource statement – Additional Estimates for </w:t>
      </w:r>
      <w:r>
        <w:rPr>
          <w:bdr w:val="nil"/>
        </w:rPr>
        <w:br/>
        <w:t>2020</w:t>
      </w:r>
      <w:r>
        <w:rPr>
          <w:bdr w:val="nil"/>
        </w:rPr>
        <w:noBreakHyphen/>
        <w:t>21 as at February 2021 (continued)</w:t>
      </w:r>
    </w:p>
    <w:p w:rsidR="00D91095" w:rsidRDefault="00D5482E" w:rsidP="008A3DAD">
      <w:pPr>
        <w:pStyle w:val="Source"/>
        <w:pBdr>
          <w:top w:val="nil"/>
          <w:left w:val="nil"/>
          <w:bottom w:val="nil"/>
          <w:right w:val="nil"/>
          <w:between w:val="nil"/>
          <w:bar w:val="nil"/>
        </w:pBdr>
        <w:rPr>
          <w:bdr w:val="nil"/>
        </w:rPr>
      </w:pPr>
      <w:r>
        <w:rPr>
          <w:bdr w:val="nil"/>
        </w:rPr>
        <w:t>All figures shown above are GST exclusive – these may not match figures in the cash flow statement.</w:t>
      </w:r>
    </w:p>
    <w:p w:rsidR="00D91095" w:rsidRDefault="00D5482E" w:rsidP="008A3DAD">
      <w:pPr>
        <w:pStyle w:val="ChartandTableFootnoteAlpha"/>
        <w:numPr>
          <w:ilvl w:val="0"/>
          <w:numId w:val="0"/>
        </w:numPr>
        <w:pBdr>
          <w:top w:val="nil"/>
          <w:left w:val="nil"/>
          <w:bottom w:val="nil"/>
          <w:right w:val="nil"/>
          <w:between w:val="nil"/>
          <w:bar w:val="nil"/>
        </w:pBdr>
        <w:ind w:left="360" w:hanging="360"/>
        <w:rPr>
          <w:rFonts w:cs="Arial"/>
          <w:szCs w:val="16"/>
          <w:bdr w:val="nil"/>
        </w:rPr>
      </w:pPr>
      <w:r>
        <w:rPr>
          <w:bdr w:val="nil"/>
        </w:rPr>
        <w:t>Entity resourcing excludes cash at bank of $20.795 million.</w:t>
      </w:r>
    </w:p>
    <w:p w:rsidR="00AB0E7B" w:rsidRDefault="00D5482E" w:rsidP="008A3DAD">
      <w:pPr>
        <w:pStyle w:val="ChartandTableFootnoteAlpha"/>
        <w:numPr>
          <w:ilvl w:val="0"/>
          <w:numId w:val="39"/>
        </w:numPr>
        <w:pBdr>
          <w:top w:val="nil"/>
          <w:left w:val="nil"/>
          <w:bottom w:val="nil"/>
          <w:right w:val="nil"/>
          <w:between w:val="nil"/>
          <w:bar w:val="nil"/>
        </w:pBdr>
        <w:spacing w:after="0"/>
        <w:ind w:left="284" w:hanging="284"/>
        <w:rPr>
          <w:bdr w:val="nil"/>
        </w:rPr>
      </w:pPr>
      <w:r>
        <w:rPr>
          <w:bdr w:val="nil"/>
        </w:rPr>
        <w:t xml:space="preserve">The prior year appropriations available in 2020-21 has been reduced by $175.795 million, due to the quarantine of unspent annual appropriations under </w:t>
      </w:r>
      <w:r>
        <w:rPr>
          <w:i/>
          <w:bdr w:val="nil"/>
        </w:rPr>
        <w:t>Appropriation Act (No. 5) 2019-2020</w:t>
      </w:r>
      <w:r>
        <w:rPr>
          <w:bdr w:val="nil"/>
        </w:rPr>
        <w:t xml:space="preserve">. The prior year appropriations available in 2019-20 has been reduced by $6.297 million due to the quarantine of unspent annual appropriations under </w:t>
      </w:r>
      <w:r>
        <w:rPr>
          <w:i/>
          <w:bdr w:val="nil"/>
        </w:rPr>
        <w:t>Appropriation Act (No. 2) 2018-2019</w:t>
      </w:r>
      <w:r>
        <w:rPr>
          <w:bdr w:val="nil"/>
        </w:rPr>
        <w:t>.</w:t>
      </w:r>
    </w:p>
    <w:p w:rsidR="00AB0E7B" w:rsidRDefault="00D5482E" w:rsidP="008A3DAD">
      <w:pPr>
        <w:pStyle w:val="ChartandTableFootnoteAlpha"/>
        <w:numPr>
          <w:ilvl w:val="0"/>
          <w:numId w:val="39"/>
        </w:numPr>
        <w:pBdr>
          <w:top w:val="nil"/>
          <w:left w:val="nil"/>
          <w:bottom w:val="nil"/>
          <w:right w:val="nil"/>
          <w:between w:val="nil"/>
          <w:bar w:val="nil"/>
        </w:pBdr>
        <w:spacing w:after="0"/>
        <w:ind w:left="284" w:hanging="284"/>
        <w:contextualSpacing/>
        <w:rPr>
          <w:bdr w:val="nil"/>
        </w:rPr>
      </w:pPr>
      <w:r>
        <w:rPr>
          <w:bdr w:val="nil"/>
        </w:rPr>
        <w:t xml:space="preserve">2019-20 Actual available appropriation includes </w:t>
      </w:r>
      <w:r>
        <w:rPr>
          <w:i/>
          <w:bdr w:val="nil"/>
        </w:rPr>
        <w:t>Supply Act (No. 1) 2019-2020, Appropriation Act (No. 1) 2019-2020</w:t>
      </w:r>
      <w:r>
        <w:rPr>
          <w:bdr w:val="nil"/>
        </w:rPr>
        <w:t xml:space="preserve">, </w:t>
      </w:r>
      <w:r>
        <w:rPr>
          <w:i/>
          <w:bdr w:val="nil"/>
        </w:rPr>
        <w:t xml:space="preserve">Appropriation Act (No. 3) 2019-2020, Appropriation Act (No. 5) 2019-2020 </w:t>
      </w:r>
      <w:r>
        <w:rPr>
          <w:bdr w:val="nil"/>
        </w:rPr>
        <w:t>and</w:t>
      </w:r>
      <w:r>
        <w:rPr>
          <w:i/>
          <w:bdr w:val="nil"/>
        </w:rPr>
        <w:t xml:space="preserve"> Appropriation (Coronavirus Economic Response Package) Act (No. 1) 2019-2020</w:t>
      </w:r>
      <w:r>
        <w:rPr>
          <w:bdr w:val="nil"/>
        </w:rPr>
        <w:t>.</w:t>
      </w:r>
    </w:p>
    <w:p w:rsidR="00AB0E7B" w:rsidRDefault="00D5482E" w:rsidP="008A3DAD">
      <w:pPr>
        <w:pStyle w:val="ChartandTableFootnoteAlpha"/>
        <w:numPr>
          <w:ilvl w:val="0"/>
          <w:numId w:val="39"/>
        </w:numPr>
        <w:pBdr>
          <w:top w:val="nil"/>
          <w:left w:val="nil"/>
          <w:bottom w:val="nil"/>
          <w:right w:val="nil"/>
          <w:between w:val="nil"/>
          <w:bar w:val="nil"/>
        </w:pBdr>
        <w:spacing w:after="0"/>
        <w:ind w:left="284" w:hanging="284"/>
        <w:contextualSpacing/>
        <w:rPr>
          <w:bdr w:val="nil"/>
        </w:rPr>
      </w:pPr>
      <w:r>
        <w:rPr>
          <w:i/>
          <w:bdr w:val="nil"/>
        </w:rPr>
        <w:t>Supply Act (No 1) 2020-2021, Appropriation Act (No. 1) 2020-2021</w:t>
      </w:r>
      <w:r>
        <w:rPr>
          <w:bdr w:val="nil"/>
        </w:rPr>
        <w:t xml:space="preserve"> and Appropriation Bill (No. 3) </w:t>
      </w:r>
      <w:r>
        <w:rPr>
          <w:bdr w:val="nil"/>
        </w:rPr>
        <w:br/>
        <w:t>2020-2021.</w:t>
      </w:r>
    </w:p>
    <w:p w:rsidR="00AB0E7B" w:rsidRDefault="00D5482E" w:rsidP="008A3DAD">
      <w:pPr>
        <w:pStyle w:val="ChartandTableFootnoteAlpha"/>
        <w:numPr>
          <w:ilvl w:val="0"/>
          <w:numId w:val="39"/>
        </w:numPr>
        <w:pBdr>
          <w:top w:val="nil"/>
          <w:left w:val="nil"/>
          <w:bottom w:val="nil"/>
          <w:right w:val="nil"/>
          <w:between w:val="nil"/>
          <w:bar w:val="nil"/>
        </w:pBdr>
        <w:spacing w:after="0"/>
        <w:ind w:left="284" w:hanging="284"/>
        <w:contextualSpacing/>
        <w:rPr>
          <w:bdr w:val="nil"/>
        </w:rPr>
      </w:pPr>
      <w:r>
        <w:rPr>
          <w:bdr w:val="nil"/>
        </w:rPr>
        <w:t>Estimated or actual External Revenue receipts under section 74 of the PGPA Act.</w:t>
      </w:r>
    </w:p>
    <w:p w:rsidR="00AB0E7B" w:rsidRPr="00AB0E7B" w:rsidRDefault="00D5482E" w:rsidP="008A3DAD">
      <w:pPr>
        <w:pStyle w:val="ChartandTableFootnoteAlpha"/>
        <w:numPr>
          <w:ilvl w:val="0"/>
          <w:numId w:val="39"/>
        </w:numPr>
        <w:pBdr>
          <w:top w:val="nil"/>
          <w:left w:val="nil"/>
          <w:bottom w:val="nil"/>
          <w:right w:val="nil"/>
          <w:between w:val="nil"/>
          <w:bar w:val="nil"/>
        </w:pBdr>
        <w:spacing w:after="0"/>
        <w:ind w:left="284" w:hanging="284"/>
        <w:contextualSpacing/>
        <w:rPr>
          <w:rFonts w:cs="Arial"/>
          <w:szCs w:val="16"/>
          <w:bdr w:val="nil"/>
        </w:rPr>
      </w:pPr>
      <w:r>
        <w:rPr>
          <w:rFonts w:cs="Arial"/>
          <w:szCs w:val="16"/>
          <w:bdr w:val="nil"/>
        </w:rPr>
        <w:t xml:space="preserve">Departmental </w:t>
      </w:r>
      <w:r w:rsidR="00163885">
        <w:rPr>
          <w:rFonts w:cs="Arial"/>
          <w:szCs w:val="16"/>
          <w:bdr w:val="nil"/>
        </w:rPr>
        <w:t>c</w:t>
      </w:r>
      <w:r>
        <w:rPr>
          <w:rFonts w:cs="Arial"/>
          <w:szCs w:val="16"/>
          <w:bdr w:val="nil"/>
        </w:rPr>
        <w:t xml:space="preserve">apital </w:t>
      </w:r>
      <w:r w:rsidR="00163885">
        <w:rPr>
          <w:rFonts w:cs="Arial"/>
          <w:szCs w:val="16"/>
          <w:bdr w:val="nil"/>
        </w:rPr>
        <w:t>b</w:t>
      </w:r>
      <w:r>
        <w:rPr>
          <w:rFonts w:cs="Arial"/>
          <w:szCs w:val="16"/>
          <w:bdr w:val="nil"/>
        </w:rPr>
        <w:t>udget</w:t>
      </w:r>
      <w:r w:rsidR="00163885">
        <w:rPr>
          <w:rFonts w:cs="Arial"/>
          <w:szCs w:val="16"/>
          <w:bdr w:val="nil"/>
        </w:rPr>
        <w:t>s</w:t>
      </w:r>
      <w:r>
        <w:rPr>
          <w:rFonts w:cs="Arial"/>
          <w:szCs w:val="16"/>
          <w:bdr w:val="nil"/>
        </w:rPr>
        <w:t xml:space="preserve"> (</w:t>
      </w:r>
      <w:r w:rsidRPr="00AB0E7B">
        <w:rPr>
          <w:rFonts w:cs="Arial"/>
          <w:szCs w:val="16"/>
          <w:bdr w:val="nil"/>
        </w:rPr>
        <w:t>DCB</w:t>
      </w:r>
      <w:r>
        <w:rPr>
          <w:rFonts w:cs="Arial"/>
          <w:szCs w:val="16"/>
          <w:bdr w:val="nil"/>
        </w:rPr>
        <w:t>)</w:t>
      </w:r>
      <w:r w:rsidRPr="00AB0E7B">
        <w:rPr>
          <w:rFonts w:cs="Arial"/>
          <w:szCs w:val="16"/>
          <w:bdr w:val="nil"/>
        </w:rPr>
        <w:t xml:space="preserve"> </w:t>
      </w:r>
      <w:r w:rsidR="00163885">
        <w:rPr>
          <w:rFonts w:cs="Arial"/>
          <w:szCs w:val="16"/>
          <w:bdr w:val="nil"/>
        </w:rPr>
        <w:t>are</w:t>
      </w:r>
      <w:r w:rsidRPr="00370421">
        <w:rPr>
          <w:rFonts w:cs="Arial"/>
          <w:szCs w:val="16"/>
          <w:bdr w:val="nil"/>
        </w:rPr>
        <w:t xml:space="preserve"> not separately identified in Appropriation Act (No.1) and Appropriation Bill (No.1) and forms part of ordinary annual service items.</w:t>
      </w:r>
      <w:r w:rsidRPr="00AB0E7B">
        <w:rPr>
          <w:rFonts w:cs="Arial"/>
          <w:szCs w:val="16"/>
          <w:bdr w:val="nil"/>
        </w:rPr>
        <w:t xml:space="preserve"> </w:t>
      </w:r>
    </w:p>
    <w:p w:rsidR="00AB0E7B" w:rsidRPr="00AB0E7B" w:rsidRDefault="00D5482E" w:rsidP="008A3DAD">
      <w:pPr>
        <w:pStyle w:val="ChartandTableFootnoteAlpha"/>
        <w:numPr>
          <w:ilvl w:val="0"/>
          <w:numId w:val="39"/>
        </w:numPr>
        <w:pBdr>
          <w:top w:val="nil"/>
          <w:left w:val="nil"/>
          <w:bottom w:val="nil"/>
          <w:right w:val="nil"/>
          <w:between w:val="nil"/>
          <w:bar w:val="nil"/>
        </w:pBdr>
        <w:spacing w:after="0"/>
        <w:ind w:left="284" w:hanging="284"/>
        <w:contextualSpacing/>
        <w:rPr>
          <w:rFonts w:cs="Arial"/>
          <w:szCs w:val="16"/>
          <w:bdr w:val="nil"/>
        </w:rPr>
      </w:pPr>
      <w:r w:rsidRPr="00AB0E7B">
        <w:rPr>
          <w:rFonts w:cs="Arial"/>
          <w:szCs w:val="16"/>
          <w:bdr w:val="nil"/>
        </w:rPr>
        <w:t>The DCB and Equity injection 2019-20 Actual available appropriation includes $19.260 million received as a result of machinery of government changes.</w:t>
      </w:r>
    </w:p>
    <w:p w:rsidR="00AB0E7B" w:rsidRPr="00AB0E7B" w:rsidRDefault="00D5482E" w:rsidP="008A3DAD">
      <w:pPr>
        <w:pStyle w:val="ChartandTableFootnoteAlpha"/>
        <w:numPr>
          <w:ilvl w:val="0"/>
          <w:numId w:val="39"/>
        </w:numPr>
        <w:pBdr>
          <w:top w:val="nil"/>
          <w:left w:val="nil"/>
          <w:bottom w:val="nil"/>
          <w:right w:val="nil"/>
          <w:between w:val="nil"/>
          <w:bar w:val="nil"/>
        </w:pBdr>
        <w:spacing w:after="0"/>
        <w:ind w:left="284" w:hanging="284"/>
        <w:contextualSpacing/>
        <w:rPr>
          <w:rFonts w:cs="Arial"/>
          <w:szCs w:val="16"/>
          <w:bdr w:val="nil"/>
        </w:rPr>
      </w:pPr>
      <w:r w:rsidRPr="00AB0E7B">
        <w:rPr>
          <w:rFonts w:cs="Arial"/>
          <w:i/>
          <w:szCs w:val="16"/>
          <w:bdr w:val="nil"/>
        </w:rPr>
        <w:t>Supply Act (No. 2) 2020-2021, Appropriation Act (No. 2) 2020-2021</w:t>
      </w:r>
      <w:r w:rsidRPr="00AB0E7B">
        <w:rPr>
          <w:rFonts w:cs="Arial"/>
          <w:szCs w:val="16"/>
          <w:bdr w:val="nil"/>
        </w:rPr>
        <w:t xml:space="preserve"> and Appropriation Bill (No. 4) </w:t>
      </w:r>
      <w:r w:rsidRPr="00AB0E7B">
        <w:rPr>
          <w:rFonts w:cs="Arial"/>
          <w:szCs w:val="16"/>
          <w:bdr w:val="nil"/>
        </w:rPr>
        <w:br/>
        <w:t>2020-</w:t>
      </w:r>
      <w:r>
        <w:rPr>
          <w:rFonts w:cs="Arial"/>
          <w:szCs w:val="16"/>
          <w:bdr w:val="nil"/>
        </w:rPr>
        <w:t>20</w:t>
      </w:r>
      <w:r w:rsidRPr="00AB0E7B">
        <w:rPr>
          <w:rFonts w:cs="Arial"/>
          <w:szCs w:val="16"/>
          <w:bdr w:val="nil"/>
        </w:rPr>
        <w:t>21.</w:t>
      </w:r>
    </w:p>
    <w:p w:rsidR="00AB0E7B" w:rsidRPr="00AB0E7B" w:rsidRDefault="00D5482E" w:rsidP="008A3DAD">
      <w:pPr>
        <w:pStyle w:val="ChartandTableFootnoteAlpha"/>
        <w:numPr>
          <w:ilvl w:val="0"/>
          <w:numId w:val="39"/>
        </w:numPr>
        <w:pBdr>
          <w:top w:val="nil"/>
          <w:left w:val="nil"/>
          <w:bottom w:val="nil"/>
          <w:right w:val="nil"/>
          <w:between w:val="nil"/>
          <w:bar w:val="nil"/>
        </w:pBdr>
        <w:spacing w:after="0"/>
        <w:ind w:left="284" w:hanging="284"/>
        <w:contextualSpacing/>
        <w:rPr>
          <w:rFonts w:cs="Arial"/>
          <w:szCs w:val="16"/>
          <w:bdr w:val="nil"/>
        </w:rPr>
      </w:pPr>
      <w:r w:rsidRPr="00AB0E7B">
        <w:rPr>
          <w:rFonts w:cs="Arial"/>
          <w:szCs w:val="16"/>
          <w:bdr w:val="nil"/>
        </w:rPr>
        <w:t xml:space="preserve">Administered repayments received by </w:t>
      </w:r>
      <w:r>
        <w:rPr>
          <w:rFonts w:cs="Arial"/>
          <w:szCs w:val="16"/>
          <w:bdr w:val="nil"/>
        </w:rPr>
        <w:t>Services Australia</w:t>
      </w:r>
      <w:r w:rsidRPr="00AB0E7B">
        <w:rPr>
          <w:rFonts w:cs="Arial"/>
          <w:szCs w:val="16"/>
          <w:bdr w:val="nil"/>
        </w:rPr>
        <w:t>.</w:t>
      </w:r>
    </w:p>
    <w:p w:rsidR="00AB0E7B" w:rsidRPr="00AB0E7B" w:rsidRDefault="00D5482E" w:rsidP="008A3DAD">
      <w:pPr>
        <w:pStyle w:val="ChartandTableFootnoteAlpha"/>
        <w:numPr>
          <w:ilvl w:val="0"/>
          <w:numId w:val="39"/>
        </w:numPr>
        <w:pBdr>
          <w:top w:val="nil"/>
          <w:left w:val="nil"/>
          <w:bottom w:val="nil"/>
          <w:right w:val="nil"/>
          <w:between w:val="nil"/>
          <w:bar w:val="nil"/>
        </w:pBdr>
        <w:spacing w:after="0"/>
        <w:ind w:left="284" w:hanging="284"/>
        <w:contextualSpacing/>
        <w:rPr>
          <w:rFonts w:cs="Arial"/>
          <w:szCs w:val="16"/>
          <w:bdr w:val="nil"/>
        </w:rPr>
      </w:pPr>
      <w:r w:rsidRPr="00AB0E7B">
        <w:rPr>
          <w:rFonts w:cs="Arial"/>
          <w:szCs w:val="16"/>
          <w:bdr w:val="nil"/>
        </w:rPr>
        <w:t>Amounts credited to special accounts from annual administered appropriations relating to Child Support.</w:t>
      </w:r>
    </w:p>
    <w:p w:rsidR="00AB0E7B" w:rsidRPr="00AB0E7B" w:rsidRDefault="00D5482E" w:rsidP="008A3DAD">
      <w:pPr>
        <w:pStyle w:val="ChartandTableFootnoteAlpha"/>
        <w:numPr>
          <w:ilvl w:val="0"/>
          <w:numId w:val="39"/>
        </w:numPr>
        <w:pBdr>
          <w:top w:val="nil"/>
          <w:left w:val="nil"/>
          <w:bottom w:val="nil"/>
          <w:right w:val="nil"/>
          <w:between w:val="nil"/>
          <w:bar w:val="nil"/>
        </w:pBdr>
        <w:spacing w:after="0"/>
        <w:ind w:left="284" w:hanging="284"/>
        <w:contextualSpacing/>
        <w:rPr>
          <w:rFonts w:cs="Arial"/>
          <w:szCs w:val="16"/>
          <w:bdr w:val="nil"/>
        </w:rPr>
      </w:pPr>
      <w:r w:rsidRPr="00AB0E7B">
        <w:rPr>
          <w:rFonts w:cs="Arial"/>
          <w:szCs w:val="16"/>
          <w:bdr w:val="nil"/>
        </w:rPr>
        <w:t>Non-appropriation receipts comprise: receipts from non-custodial parents through the Child Support special account; deposits for recovery of compensation; and Departure Prohibition Order receipts.</w:t>
      </w:r>
    </w:p>
    <w:p w:rsidR="00932ADA" w:rsidRPr="001B4943" w:rsidRDefault="00D5482E" w:rsidP="008A3DAD">
      <w:pPr>
        <w:numPr>
          <w:ilvl w:val="0"/>
          <w:numId w:val="39"/>
        </w:numPr>
        <w:pBdr>
          <w:top w:val="nil"/>
          <w:left w:val="nil"/>
          <w:bottom w:val="nil"/>
          <w:right w:val="nil"/>
          <w:between w:val="nil"/>
          <w:bar w:val="nil"/>
        </w:pBdr>
        <w:spacing w:after="0" w:line="240" w:lineRule="auto"/>
        <w:ind w:left="284" w:hanging="284"/>
        <w:contextualSpacing/>
        <w:jc w:val="both"/>
        <w:rPr>
          <w:rFonts w:ascii="Arial" w:hAnsi="Arial" w:cs="Arial"/>
          <w:sz w:val="16"/>
          <w:szCs w:val="16"/>
          <w:bdr w:val="nil"/>
        </w:rPr>
      </w:pPr>
      <w:r w:rsidRPr="00AB0E7B">
        <w:rPr>
          <w:rFonts w:ascii="Arial" w:eastAsia="Times New Roman" w:hAnsi="Arial" w:cs="Arial"/>
          <w:sz w:val="16"/>
          <w:szCs w:val="16"/>
          <w:bdr w:val="nil"/>
          <w:lang w:val="en-AU" w:eastAsia="en-AU"/>
        </w:rPr>
        <w:t xml:space="preserve">The available balance of the Child Support special account is adjusted under section 77 of the </w:t>
      </w:r>
      <w:r w:rsidRPr="00AB0E7B">
        <w:rPr>
          <w:rFonts w:ascii="Arial" w:eastAsia="Times New Roman" w:hAnsi="Arial" w:cs="Arial"/>
          <w:i/>
          <w:sz w:val="16"/>
          <w:szCs w:val="16"/>
          <w:bdr w:val="nil"/>
          <w:lang w:val="en-AU" w:eastAsia="en-AU"/>
        </w:rPr>
        <w:t>Child Support (Registration and Collection) Act 1988</w:t>
      </w:r>
      <w:r w:rsidRPr="00AB0E7B">
        <w:rPr>
          <w:rFonts w:ascii="Arial" w:eastAsia="Times New Roman" w:hAnsi="Arial" w:cs="Arial"/>
          <w:sz w:val="16"/>
          <w:szCs w:val="16"/>
          <w:bdr w:val="nil"/>
          <w:lang w:val="en-AU" w:eastAsia="en-AU"/>
        </w:rPr>
        <w:t xml:space="preserve"> (Child Support Act) for deductions made by employers but not yet received; and under section 78 of the Child Support Act for unexplained remittances not yet credited.</w:t>
      </w:r>
      <w:r>
        <w:rPr>
          <w:rFonts w:ascii="Book Antiqua" w:eastAsia="Times New Roman" w:hAnsi="Book Antiqua" w:cs="Times New Roman"/>
          <w:sz w:val="20"/>
          <w:szCs w:val="20"/>
          <w:bdr w:val="nil"/>
          <w:lang w:val="en-AU" w:eastAsia="en-AU"/>
        </w:rPr>
        <w:t xml:space="preserve">  </w:t>
      </w:r>
      <w:r w:rsidR="00484E6D" w:rsidRPr="001B4943">
        <w:rPr>
          <w:rFonts w:ascii="Arial" w:eastAsia="Times New Roman" w:hAnsi="Arial" w:cs="Arial"/>
          <w:color w:val="000000"/>
          <w:sz w:val="16"/>
          <w:szCs w:val="16"/>
          <w:bdr w:val="nil"/>
          <w:lang w:val="en-AU" w:eastAsia="en-AU"/>
        </w:rPr>
        <w:br w:type="page"/>
      </w:r>
    </w:p>
    <w:p w:rsidR="00932ADA" w:rsidRDefault="00D5482E" w:rsidP="00B33BD8">
      <w:pPr>
        <w:pStyle w:val="TableHeading"/>
        <w:keepLines/>
        <w:pBdr>
          <w:top w:val="nil"/>
          <w:left w:val="nil"/>
          <w:bottom w:val="nil"/>
          <w:right w:val="nil"/>
          <w:between w:val="nil"/>
          <w:bar w:val="nil"/>
        </w:pBdr>
        <w:spacing w:before="0" w:after="0"/>
        <w:rPr>
          <w:bdr w:val="nil"/>
        </w:rPr>
      </w:pPr>
      <w:r w:rsidRPr="004C2526">
        <w:rPr>
          <w:bdr w:val="nil"/>
        </w:rPr>
        <w:lastRenderedPageBreak/>
        <w:t xml:space="preserve">Table 1.1: </w:t>
      </w:r>
      <w:r>
        <w:rPr>
          <w:snapToGrid w:val="0"/>
          <w:bdr w:val="nil"/>
        </w:rPr>
        <w:t>Services Australia</w:t>
      </w:r>
      <w:r w:rsidRPr="004C2526">
        <w:rPr>
          <w:bdr w:val="nil"/>
        </w:rPr>
        <w:t xml:space="preserve"> </w:t>
      </w:r>
      <w:r>
        <w:rPr>
          <w:bdr w:val="nil"/>
        </w:rPr>
        <w:t xml:space="preserve">resource statement – Additional Estimates for </w:t>
      </w:r>
      <w:r>
        <w:rPr>
          <w:bdr w:val="nil"/>
        </w:rPr>
        <w:br/>
        <w:t>2020</w:t>
      </w:r>
      <w:r>
        <w:rPr>
          <w:bdr w:val="nil"/>
        </w:rPr>
        <w:noBreakHyphen/>
        <w:t>21 as at February 2021 (continued)</w:t>
      </w:r>
    </w:p>
    <w:p w:rsidR="00932ADA" w:rsidRDefault="00D5482E" w:rsidP="00980672">
      <w:pPr>
        <w:pStyle w:val="TableHeading"/>
        <w:keepLines/>
        <w:pBdr>
          <w:top w:val="nil"/>
          <w:left w:val="nil"/>
          <w:bottom w:val="nil"/>
          <w:right w:val="nil"/>
          <w:between w:val="nil"/>
          <w:bar w:val="nil"/>
        </w:pBdr>
        <w:spacing w:before="240" w:after="0"/>
        <w:rPr>
          <w:bdr w:val="nil"/>
        </w:rPr>
      </w:pPr>
      <w:r>
        <w:rPr>
          <w:rFonts w:cs="Arial"/>
          <w:bdr w:val="nil"/>
        </w:rPr>
        <w:t>Third-party payments from and on behalf of other entities</w:t>
      </w:r>
    </w:p>
    <w:tbl>
      <w:tblPr>
        <w:tblStyle w:val="CDMRange2"/>
        <w:tblW w:w="7740" w:type="dxa"/>
        <w:tblLayout w:type="fixed"/>
        <w:tblCellMar>
          <w:top w:w="11" w:type="dxa"/>
          <w:bottom w:w="11" w:type="dxa"/>
        </w:tblCellMar>
        <w:tblLook w:val="0600" w:firstRow="0" w:lastRow="0" w:firstColumn="0" w:lastColumn="0" w:noHBand="1" w:noVBand="1"/>
        <w:tblCaption w:val="Table 1.1: Services Australia resource statement – Additional Estimates for "/>
        <w:tblDescription w:val="Third-party payments from and on behalf of other entities"/>
      </w:tblPr>
      <w:tblGrid>
        <w:gridCol w:w="3480"/>
        <w:gridCol w:w="1065"/>
        <w:gridCol w:w="1065"/>
        <w:gridCol w:w="1065"/>
        <w:gridCol w:w="1065"/>
      </w:tblGrid>
      <w:tr w:rsidR="00010972" w:rsidTr="00C5172A">
        <w:trPr>
          <w:tblHeader/>
        </w:trPr>
        <w:tc>
          <w:tcPr>
            <w:tcW w:w="3480"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dotted" w:sz="2" w:space="0" w:color="000000"/>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Actual</w:t>
            </w:r>
          </w:p>
        </w:tc>
        <w:tc>
          <w:tcPr>
            <w:tcW w:w="1065"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1065"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Proposed</w:t>
            </w:r>
          </w:p>
        </w:tc>
        <w:tc>
          <w:tcPr>
            <w:tcW w:w="1065" w:type="dxa"/>
            <w:tcBorders>
              <w:top w:val="dotted" w:sz="2" w:space="0" w:color="000000"/>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Total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available</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as at</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Additional</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 at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appropriation</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Budget</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Estimates</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Additional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2019-20</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Australian Trade and Investment</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  Commission (Austrade)</w:t>
            </w:r>
          </w:p>
        </w:tc>
        <w:tc>
          <w:tcPr>
            <w:tcW w:w="106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Programs to promote Australia's exports and</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other international economic interests –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COVID-19 Consumer Travel Support Payment</w:t>
            </w:r>
          </w:p>
        </w:tc>
        <w:tc>
          <w:tcPr>
            <w:tcW w:w="106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w:t>
            </w:r>
          </w:p>
        </w:tc>
        <w:tc>
          <w:tcPr>
            <w:tcW w:w="106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127,876</w:t>
            </w:r>
          </w:p>
        </w:tc>
        <w:tc>
          <w:tcPr>
            <w:tcW w:w="106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127,876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127,876</w:t>
            </w:r>
          </w:p>
        </w:tc>
        <w:tc>
          <w:tcPr>
            <w:tcW w:w="106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127,876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Department of Agriculture, Water and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  the Environment</w:t>
            </w:r>
          </w:p>
        </w:tc>
        <w:tc>
          <w:tcPr>
            <w:tcW w:w="106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Farm Household</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Support Act 2014 </w:t>
            </w:r>
            <w:r>
              <w:rPr>
                <w:rFonts w:ascii="Arial" w:eastAsia="Arial" w:hAnsi="Arial" w:cs="Arial"/>
                <w:color w:val="000000"/>
                <w:sz w:val="16"/>
                <w:szCs w:val="20"/>
                <w:bdr w:val="nil"/>
                <w:lang w:val="en-AU" w:eastAsia="en-AU"/>
              </w:rPr>
              <w:t>s105</w:t>
            </w:r>
            <w:r>
              <w:rPr>
                <w:rFonts w:ascii="Arial" w:eastAsia="Arial" w:hAnsi="Arial" w:cs="Arial"/>
                <w:i/>
                <w:color w:val="000000"/>
                <w:sz w:val="16"/>
                <w:szCs w:val="20"/>
                <w:bdr w:val="nil"/>
                <w:lang w:val="en-AU" w:eastAsia="en-AU"/>
              </w:rPr>
              <w:t xml:space="preserve"> – </w:t>
            </w:r>
            <w:r>
              <w:rPr>
                <w:rFonts w:ascii="Arial" w:eastAsia="Arial" w:hAnsi="Arial" w:cs="Arial"/>
                <w:color w:val="000000"/>
                <w:sz w:val="16"/>
                <w:szCs w:val="20"/>
                <w:bdr w:val="nil"/>
                <w:lang w:val="en-AU" w:eastAsia="en-AU"/>
              </w:rPr>
              <w:t xml:space="preserve">payments for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Farm Household Allowance and Exceptional</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circumstances relief payments</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134,377</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155,038</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45,596</w:t>
            </w:r>
          </w:p>
        </w:tc>
        <w:tc>
          <w:tcPr>
            <w:tcW w:w="106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200,634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134,377</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155,038</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45,596</w:t>
            </w:r>
          </w:p>
        </w:tc>
        <w:tc>
          <w:tcPr>
            <w:tcW w:w="106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200,634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Department of Education, Skills and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  Employment</w:t>
            </w: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 xml:space="preserve">A New Tax System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(Family Assistance)(Administration)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Act 1999</w:t>
            </w: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Child Care Subsidy</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8,524,809</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8,435,152</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(3,283)</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8,431,869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Additional Child Care Subsidy</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850</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122,798</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16</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122,814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Community Child Care Fund - Special</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Circumstances</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948,916</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948,916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appropriation</w:t>
            </w: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Additional Child Care Subsidy</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61,775</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proofErr w:type="spellStart"/>
            <w:r>
              <w:rPr>
                <w:rFonts w:ascii="Arial" w:eastAsia="Arial" w:hAnsi="Arial" w:cs="Arial"/>
                <w:color w:val="000000"/>
                <w:sz w:val="16"/>
                <w:szCs w:val="20"/>
                <w:bdr w:val="nil"/>
                <w:lang w:val="en-AU" w:eastAsia="en-AU"/>
              </w:rPr>
              <w:t>PaTH</w:t>
            </w:r>
            <w:proofErr w:type="spellEnd"/>
            <w:r>
              <w:rPr>
                <w:rFonts w:ascii="Arial" w:eastAsia="Arial" w:hAnsi="Arial" w:cs="Arial"/>
                <w:color w:val="000000"/>
                <w:sz w:val="16"/>
                <w:szCs w:val="20"/>
                <w:bdr w:val="nil"/>
                <w:lang w:val="en-AU" w:eastAsia="en-AU"/>
              </w:rPr>
              <w:t xml:space="preserve"> Internship Supplement</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1,633</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10,000</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8,589,067</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8,567,950</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945,649</w:t>
            </w:r>
          </w:p>
        </w:tc>
        <w:tc>
          <w:tcPr>
            <w:tcW w:w="106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9,513,599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 of Foreign Affairs and Trade</w:t>
            </w: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106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Annual Appropriation </w:t>
            </w: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MH17 Family Support Package</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304</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304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304</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w:t>
            </w:r>
          </w:p>
        </w:tc>
        <w:tc>
          <w:tcPr>
            <w:tcW w:w="106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304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 of Health</w:t>
            </w: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account – Medicare Guarantee Fund</w:t>
            </w: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Medical Benefits</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24,736,376</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28,018,481</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113,421</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28,131,902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Pharmaceutical Benefits</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12,681,802</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13,005,571</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81,990</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13,087,561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Private Health</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Insurance Act 2007</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6,053,667</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6,373,483</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(8,522)</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6,364,961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 –</w:t>
            </w:r>
            <w:r>
              <w:rPr>
                <w:rFonts w:ascii="Arial" w:eastAsia="Arial" w:hAnsi="Arial" w:cs="Arial"/>
                <w:i/>
                <w:color w:val="000000"/>
                <w:sz w:val="16"/>
                <w:szCs w:val="20"/>
                <w:bdr w:val="nil"/>
                <w:lang w:val="en-AU" w:eastAsia="en-AU"/>
              </w:rPr>
              <w:t xml:space="preserve"> Dental Benefits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Act 2008</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283,501</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341,208</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(4,900)</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336,308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National Health</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Act 1953 – </w:t>
            </w:r>
            <w:r>
              <w:rPr>
                <w:rFonts w:ascii="Arial" w:eastAsia="Arial" w:hAnsi="Arial" w:cs="Arial"/>
                <w:color w:val="000000"/>
                <w:sz w:val="16"/>
                <w:szCs w:val="20"/>
                <w:bdr w:val="nil"/>
                <w:lang w:val="en-AU" w:eastAsia="en-AU"/>
              </w:rPr>
              <w:t>Aids and Appliances</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102,107</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91,077</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91,078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Medical Indemnity</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Agreement Act 2002</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94,443</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80,703</w:t>
            </w:r>
          </w:p>
        </w:tc>
        <w:tc>
          <w:tcPr>
            <w:tcW w:w="106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(3,956)</w:t>
            </w:r>
          </w:p>
        </w:tc>
        <w:tc>
          <w:tcPr>
            <w:tcW w:w="106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76,747</w:t>
            </w:r>
          </w:p>
        </w:tc>
      </w:tr>
    </w:tbl>
    <w:p w:rsidR="00BA33F7" w:rsidRDefault="00D5482E" w:rsidP="00BA33F7">
      <w:pPr>
        <w:pBdr>
          <w:top w:val="nil"/>
          <w:left w:val="nil"/>
          <w:bottom w:val="nil"/>
          <w:right w:val="nil"/>
          <w:between w:val="nil"/>
          <w:bar w:val="nil"/>
        </w:pBdr>
        <w:rPr>
          <w:rFonts w:ascii="Arial" w:hAnsi="Arial" w:cs="Arial"/>
          <w:color w:val="000000"/>
          <w:sz w:val="16"/>
          <w:szCs w:val="16"/>
          <w:bdr w:val="nil"/>
        </w:rPr>
      </w:pPr>
      <w:r>
        <w:rPr>
          <w:rFonts w:ascii="Arial" w:eastAsia="Times New Roman" w:hAnsi="Arial" w:cs="Arial"/>
          <w:color w:val="000000"/>
          <w:sz w:val="16"/>
          <w:szCs w:val="16"/>
          <w:bdr w:val="nil"/>
          <w:lang w:val="en-AU" w:eastAsia="en-AU"/>
        </w:rPr>
        <w:br w:type="page"/>
      </w:r>
    </w:p>
    <w:p w:rsidR="00932ADA" w:rsidRDefault="00D5482E" w:rsidP="00B33BD8">
      <w:pPr>
        <w:pStyle w:val="TableHeading"/>
        <w:keepLines/>
        <w:pBdr>
          <w:top w:val="nil"/>
          <w:left w:val="nil"/>
          <w:bottom w:val="nil"/>
          <w:right w:val="nil"/>
          <w:between w:val="nil"/>
          <w:bar w:val="nil"/>
        </w:pBdr>
        <w:spacing w:before="0" w:after="0"/>
        <w:rPr>
          <w:bdr w:val="nil"/>
        </w:rPr>
      </w:pPr>
      <w:r w:rsidRPr="004C2526">
        <w:rPr>
          <w:bdr w:val="nil"/>
        </w:rPr>
        <w:lastRenderedPageBreak/>
        <w:t xml:space="preserve">Table 1.1: </w:t>
      </w:r>
      <w:r>
        <w:rPr>
          <w:snapToGrid w:val="0"/>
          <w:bdr w:val="nil"/>
        </w:rPr>
        <w:t>Services Australia</w:t>
      </w:r>
      <w:r w:rsidRPr="004C2526">
        <w:rPr>
          <w:bdr w:val="nil"/>
        </w:rPr>
        <w:t xml:space="preserve"> </w:t>
      </w:r>
      <w:r>
        <w:rPr>
          <w:bdr w:val="nil"/>
        </w:rPr>
        <w:t xml:space="preserve">resource statement – Additional Estimates for </w:t>
      </w:r>
      <w:r>
        <w:rPr>
          <w:bdr w:val="nil"/>
        </w:rPr>
        <w:br/>
        <w:t>2020</w:t>
      </w:r>
      <w:r>
        <w:rPr>
          <w:bdr w:val="nil"/>
        </w:rPr>
        <w:noBreakHyphen/>
        <w:t>21 as at February 2021 (continued)</w:t>
      </w:r>
    </w:p>
    <w:p w:rsidR="00932ADA" w:rsidRPr="00A76132" w:rsidRDefault="00D5482E" w:rsidP="00980672">
      <w:pPr>
        <w:pStyle w:val="TableHeading"/>
        <w:keepLines/>
        <w:pBdr>
          <w:top w:val="nil"/>
          <w:left w:val="nil"/>
          <w:bottom w:val="nil"/>
          <w:right w:val="nil"/>
          <w:between w:val="nil"/>
          <w:bar w:val="nil"/>
        </w:pBdr>
        <w:spacing w:before="240" w:after="0"/>
        <w:rPr>
          <w:bdr w:val="nil"/>
        </w:rPr>
      </w:pPr>
      <w:r>
        <w:rPr>
          <w:rFonts w:cs="Arial"/>
          <w:bdr w:val="nil"/>
        </w:rPr>
        <w:t>Third-party payments from and on behalf of other entities (continued)</w:t>
      </w:r>
    </w:p>
    <w:tbl>
      <w:tblPr>
        <w:tblStyle w:val="CDMRange1"/>
        <w:tblW w:w="7740" w:type="dxa"/>
        <w:tblLayout w:type="fixed"/>
        <w:tblCellMar>
          <w:top w:w="11" w:type="dxa"/>
          <w:bottom w:w="11" w:type="dxa"/>
        </w:tblCellMar>
        <w:tblLook w:val="0600" w:firstRow="0" w:lastRow="0" w:firstColumn="0" w:lastColumn="0" w:noHBand="1" w:noVBand="1"/>
        <w:tblCaption w:val="Table 1.1: Services Australia resource statement – Additional Estimates for "/>
        <w:tblDescription w:val="Third-party payments from and on behalf of other entities (continued)"/>
      </w:tblPr>
      <w:tblGrid>
        <w:gridCol w:w="3480"/>
        <w:gridCol w:w="1065"/>
        <w:gridCol w:w="1065"/>
        <w:gridCol w:w="1065"/>
        <w:gridCol w:w="1065"/>
      </w:tblGrid>
      <w:tr w:rsidR="00010972" w:rsidTr="00C5172A">
        <w:trPr>
          <w:tblHeader/>
        </w:trPr>
        <w:tc>
          <w:tcPr>
            <w:tcW w:w="3480"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dotted" w:sz="2" w:space="0" w:color="000000"/>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Actual</w:t>
            </w:r>
          </w:p>
        </w:tc>
        <w:tc>
          <w:tcPr>
            <w:tcW w:w="1065"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1065"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Proposed</w:t>
            </w:r>
          </w:p>
        </w:tc>
        <w:tc>
          <w:tcPr>
            <w:tcW w:w="1065" w:type="dxa"/>
            <w:tcBorders>
              <w:top w:val="dotted" w:sz="2" w:space="0" w:color="000000"/>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Total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available</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as at</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Additional</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 at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appropriation</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Budget</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Estimates</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Additional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2019-20</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 of Health (continued)</w:t>
            </w:r>
          </w:p>
        </w:tc>
        <w:tc>
          <w:tcPr>
            <w:tcW w:w="106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dotted" w:sz="2" w:space="0" w:color="000000"/>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account – Australian Immunisation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Register</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9,478</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3,853</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5,967</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9,820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Midwife Professional</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Indemnity (Commonwealth Contribution)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Scheme Act 2010</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2,956</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(53)</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2,903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Aged Care Act 1997</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16,523,172</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17,818,591</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120,057</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17,938,648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National Health Act</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1953 – </w:t>
            </w:r>
            <w:r>
              <w:rPr>
                <w:rFonts w:ascii="Arial" w:eastAsia="Arial" w:hAnsi="Arial" w:cs="Arial"/>
                <w:color w:val="000000"/>
                <w:sz w:val="16"/>
                <w:szCs w:val="20"/>
                <w:bdr w:val="nil"/>
                <w:lang w:val="en-AU" w:eastAsia="en-AU"/>
              </w:rPr>
              <w:t>Continence Aids Assistance Scheme</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89,016</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90,900</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90,900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Public Governance,</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Performance and Accountability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Act 2013</w:t>
            </w:r>
            <w:r>
              <w:rPr>
                <w:rFonts w:ascii="Arial" w:eastAsia="Arial" w:hAnsi="Arial" w:cs="Arial"/>
                <w:color w:val="000000"/>
                <w:sz w:val="16"/>
                <w:szCs w:val="20"/>
                <w:bdr w:val="nil"/>
                <w:lang w:val="en-AU" w:eastAsia="en-AU"/>
              </w:rPr>
              <w:t xml:space="preserve"> s77</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677</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2,000</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appropriation</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 xml:space="preserve"> </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w:t>
            </w:r>
          </w:p>
        </w:tc>
        <w:tc>
          <w:tcPr>
            <w:tcW w:w="1065"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Pharmaceutical Benefits</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5,700</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12,494</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18,194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Health Workforce</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520,216</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514,573</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1,253</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515,826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Medical Benefits </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5,848</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89,755</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89,755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Medical Indemnity</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229</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242</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242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Primary Care Practice Incentives </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424,947</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413,418</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52,288</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465,706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Primary Health Care Quality</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and Coordination</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12,935</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853,493</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853,493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Preventative Health and Chronic Disease </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515</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500</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Hearing Services</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451,344</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586,158</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7,171</w:t>
            </w:r>
          </w:p>
        </w:tc>
        <w:tc>
          <w:tcPr>
            <w:tcW w:w="106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593,329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61,990,273</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67,439,169</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1,230,704</w:t>
            </w:r>
          </w:p>
        </w:tc>
        <w:tc>
          <w:tcPr>
            <w:tcW w:w="106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68,669,873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Department of Home Affairs </w:t>
            </w: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Australian Victim of Terrorism Overseas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Payment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1,226</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375</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525</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Disaster Recovery Allowance</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15,620</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3,620</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3,620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Disaster Recovery Payment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233,539</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8,557</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8,557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appropriation</w:t>
            </w: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Ex gratia assistance – New Zealand citizens</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639</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Asylum Seeker Support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39,486</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19,596</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15,558</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35,154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Back to School Payment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34,558</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482</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482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Pandemic Leave Disaster Payment</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34,346</w:t>
            </w:r>
          </w:p>
        </w:tc>
        <w:tc>
          <w:tcPr>
            <w:tcW w:w="106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34,346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325,068</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32,148</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50,943</w:t>
            </w:r>
          </w:p>
        </w:tc>
        <w:tc>
          <w:tcPr>
            <w:tcW w:w="106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83,091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Department of Infrastructure, Transport,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  Regional Development and</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  Communications</w:t>
            </w: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appropriation</w:t>
            </w: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Bass Strait Passenger Vehicle Equalisation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Scheme</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40,775</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52,254</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52,254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Tasmanian Freight Equalisation Scheme</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161,167</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174,759</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w:t>
            </w:r>
          </w:p>
        </w:tc>
        <w:tc>
          <w:tcPr>
            <w:tcW w:w="106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174,759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201,942</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227,013</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w:t>
            </w:r>
          </w:p>
        </w:tc>
        <w:tc>
          <w:tcPr>
            <w:tcW w:w="106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227,013</w:t>
            </w:r>
          </w:p>
        </w:tc>
      </w:tr>
    </w:tbl>
    <w:p w:rsidR="00BA33F7" w:rsidRPr="005823B9" w:rsidRDefault="00D5482E" w:rsidP="00317B3E">
      <w:pPr>
        <w:pStyle w:val="ListParagraph"/>
        <w:numPr>
          <w:ilvl w:val="0"/>
          <w:numId w:val="40"/>
        </w:numPr>
        <w:pBdr>
          <w:top w:val="nil"/>
          <w:left w:val="nil"/>
          <w:bottom w:val="nil"/>
          <w:right w:val="nil"/>
          <w:between w:val="nil"/>
          <w:bar w:val="nil"/>
        </w:pBdr>
        <w:spacing w:line="240" w:lineRule="auto"/>
        <w:ind w:left="284" w:hanging="284"/>
        <w:jc w:val="both"/>
        <w:rPr>
          <w:rFonts w:eastAsia="Times New Roman" w:cs="Arial"/>
          <w:color w:val="000000"/>
          <w:sz w:val="16"/>
          <w:szCs w:val="16"/>
          <w:bdr w:val="nil"/>
          <w:lang w:val="en-AU"/>
        </w:rPr>
      </w:pPr>
      <w:r w:rsidRPr="005823B9">
        <w:rPr>
          <w:rFonts w:ascii="Arial" w:eastAsia="Times New Roman" w:hAnsi="Arial" w:cs="Arial"/>
          <w:color w:val="000000"/>
          <w:sz w:val="16"/>
          <w:szCs w:val="16"/>
          <w:bdr w:val="nil"/>
          <w:lang w:val="en-AU"/>
        </w:rPr>
        <w:br w:type="page"/>
      </w:r>
    </w:p>
    <w:p w:rsidR="00932ADA" w:rsidRDefault="00D5482E" w:rsidP="00DC7D49">
      <w:pPr>
        <w:pStyle w:val="TableHeading"/>
        <w:keepLines/>
        <w:pBdr>
          <w:top w:val="nil"/>
          <w:left w:val="nil"/>
          <w:bottom w:val="nil"/>
          <w:right w:val="nil"/>
          <w:between w:val="nil"/>
          <w:bar w:val="nil"/>
        </w:pBdr>
        <w:spacing w:before="0" w:after="240"/>
        <w:rPr>
          <w:bdr w:val="nil"/>
        </w:rPr>
      </w:pPr>
      <w:r w:rsidRPr="004C2526">
        <w:rPr>
          <w:bdr w:val="nil"/>
        </w:rPr>
        <w:lastRenderedPageBreak/>
        <w:t xml:space="preserve">Table 1.1: </w:t>
      </w:r>
      <w:r>
        <w:rPr>
          <w:snapToGrid w:val="0"/>
          <w:bdr w:val="nil"/>
        </w:rPr>
        <w:t>Services Australia</w:t>
      </w:r>
      <w:r w:rsidRPr="004C2526">
        <w:rPr>
          <w:bdr w:val="nil"/>
        </w:rPr>
        <w:t xml:space="preserve"> </w:t>
      </w:r>
      <w:r>
        <w:rPr>
          <w:bdr w:val="nil"/>
        </w:rPr>
        <w:t xml:space="preserve">resource statement – Additional Estimates for </w:t>
      </w:r>
      <w:r>
        <w:rPr>
          <w:bdr w:val="nil"/>
        </w:rPr>
        <w:br/>
        <w:t>2020</w:t>
      </w:r>
      <w:r>
        <w:rPr>
          <w:bdr w:val="nil"/>
        </w:rPr>
        <w:noBreakHyphen/>
        <w:t>21 as at February 2021 (continued)</w:t>
      </w:r>
    </w:p>
    <w:p w:rsidR="00DC7D49" w:rsidRDefault="00D5482E" w:rsidP="00DC7D49">
      <w:pPr>
        <w:pStyle w:val="TableHeading"/>
        <w:keepLines/>
        <w:pBdr>
          <w:top w:val="nil"/>
          <w:left w:val="nil"/>
          <w:bottom w:val="nil"/>
          <w:right w:val="nil"/>
          <w:between w:val="nil"/>
          <w:bar w:val="nil"/>
        </w:pBdr>
        <w:spacing w:before="0" w:after="0"/>
        <w:rPr>
          <w:rFonts w:cs="Arial"/>
          <w:bdr w:val="nil"/>
        </w:rPr>
      </w:pPr>
      <w:r>
        <w:rPr>
          <w:rFonts w:cs="Arial"/>
          <w:bdr w:val="nil"/>
        </w:rPr>
        <w:t>Third-party payments from and on behalf of other entities (continued)</w:t>
      </w:r>
    </w:p>
    <w:tbl>
      <w:tblPr>
        <w:tblStyle w:val="CDMRange2"/>
        <w:tblW w:w="7740" w:type="dxa"/>
        <w:tblLayout w:type="fixed"/>
        <w:tblCellMar>
          <w:top w:w="11" w:type="dxa"/>
          <w:bottom w:w="11" w:type="dxa"/>
        </w:tblCellMar>
        <w:tblLook w:val="0600" w:firstRow="0" w:lastRow="0" w:firstColumn="0" w:lastColumn="0" w:noHBand="1" w:noVBand="1"/>
        <w:tblCaption w:val="Table 1.1: Services Australia resource statement – Additional Estimates for "/>
        <w:tblDescription w:val="Third-party payments from and on behalf of other entities (continued)"/>
      </w:tblPr>
      <w:tblGrid>
        <w:gridCol w:w="3480"/>
        <w:gridCol w:w="1065"/>
        <w:gridCol w:w="1065"/>
        <w:gridCol w:w="1065"/>
        <w:gridCol w:w="1065"/>
      </w:tblGrid>
      <w:tr w:rsidR="00010972" w:rsidTr="00C5172A">
        <w:trPr>
          <w:tblHeader/>
        </w:trPr>
        <w:tc>
          <w:tcPr>
            <w:tcW w:w="3480"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dotted" w:sz="2" w:space="0" w:color="000000"/>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Actual</w:t>
            </w:r>
          </w:p>
        </w:tc>
        <w:tc>
          <w:tcPr>
            <w:tcW w:w="1065"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1065"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Proposed</w:t>
            </w:r>
          </w:p>
        </w:tc>
        <w:tc>
          <w:tcPr>
            <w:tcW w:w="1065" w:type="dxa"/>
            <w:tcBorders>
              <w:top w:val="dotted" w:sz="2" w:space="0" w:color="000000"/>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Total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available</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as at</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Additional</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 at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appropriation</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Budget</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Estimates</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Additional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2019-20</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 of Social Services</w:t>
            </w: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Social Security</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(Administration) Act 1999</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106,585,802</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128,309,148</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3,561,329</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131,870,477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A New Tax System</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(Family Assistance)(Administration)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Act 1999</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18,325,592</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19,481,901</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CC2F55">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(4,960)</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19,476,941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 xml:space="preserve">Paid Parental Leave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Act 2010</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2,421,693</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2,271,068</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2,271,068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 xml:space="preserve">Student Assistance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Act 1973</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423,167</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405,676</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9,480</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415,156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National Redress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Scheme for Institutional Child Sexual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Abuse Act 2018 </w:t>
            </w:r>
            <w:r>
              <w:rPr>
                <w:rFonts w:ascii="Arial" w:eastAsia="Arial" w:hAnsi="Arial" w:cs="Arial"/>
                <w:color w:val="000000"/>
                <w:sz w:val="16"/>
                <w:szCs w:val="20"/>
                <w:bdr w:val="nil"/>
                <w:lang w:val="en-AU" w:eastAsia="en-AU"/>
              </w:rPr>
              <w:t>(a)</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205,251</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CC2F55">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nfp </w:t>
            </w:r>
          </w:p>
        </w:tc>
        <w:tc>
          <w:tcPr>
            <w:tcW w:w="106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CC2F55">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nfp </w:t>
            </w:r>
          </w:p>
        </w:tc>
        <w:tc>
          <w:tcPr>
            <w:tcW w:w="1065"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rsidP="00CC2F55">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nfp  </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Annual administered appropriation</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3,335</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7,363</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7,363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127,964,840</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150,475,156</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3,565,849</w:t>
            </w:r>
          </w:p>
        </w:tc>
        <w:tc>
          <w:tcPr>
            <w:tcW w:w="106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154,041,005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 of Veterans' Affairs</w:t>
            </w: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Veterans’ Entitlements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Act 1986 </w:t>
            </w:r>
            <w:r>
              <w:rPr>
                <w:rFonts w:ascii="Arial" w:eastAsia="Arial" w:hAnsi="Arial" w:cs="Arial"/>
                <w:color w:val="000000"/>
                <w:sz w:val="16"/>
                <w:szCs w:val="20"/>
                <w:bdr w:val="nil"/>
                <w:lang w:val="en-AU" w:eastAsia="en-AU"/>
              </w:rPr>
              <w:t>and related Acts</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3,217,923</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2,861,695</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51,039</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2,912,734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 xml:space="preserve">Military Rehabilitation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and Compensation Act 2004</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118,530</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141,371</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141,371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Special appropriation – </w:t>
            </w:r>
            <w:r>
              <w:rPr>
                <w:rFonts w:ascii="Arial" w:eastAsia="Arial" w:hAnsi="Arial" w:cs="Arial"/>
                <w:i/>
                <w:color w:val="000000"/>
                <w:sz w:val="16"/>
                <w:szCs w:val="20"/>
                <w:bdr w:val="nil"/>
                <w:lang w:val="en-AU" w:eastAsia="en-AU"/>
              </w:rPr>
              <w:t xml:space="preserve">Safety, Rehabilitation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and Compensation Act 1988</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9,141</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7,036</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1,158</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8,194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Special appropriation –</w:t>
            </w:r>
            <w:r>
              <w:rPr>
                <w:rFonts w:ascii="Arial" w:eastAsia="Arial" w:hAnsi="Arial" w:cs="Arial"/>
                <w:i/>
                <w:color w:val="000000"/>
                <w:sz w:val="16"/>
                <w:szCs w:val="20"/>
                <w:bdr w:val="nil"/>
                <w:lang w:val="en-AU" w:eastAsia="en-AU"/>
              </w:rPr>
              <w:t xml:space="preserve"> Australian Participants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i/>
                <w:color w:val="000000"/>
                <w:sz w:val="16"/>
                <w:szCs w:val="20"/>
                <w:bdr w:val="nil"/>
                <w:lang w:val="en-AU" w:eastAsia="en-AU"/>
              </w:rPr>
              <w:t xml:space="preserve">  in British Nuclear Tests (Treatment) Act 2006</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12,853</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11,240</w:t>
            </w:r>
          </w:p>
        </w:tc>
        <w:tc>
          <w:tcPr>
            <w:tcW w:w="106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CC2F55">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(45)</w:t>
            </w:r>
          </w:p>
        </w:tc>
        <w:tc>
          <w:tcPr>
            <w:tcW w:w="106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11,195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3,358,447</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3,021,342</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52,152</w:t>
            </w:r>
          </w:p>
        </w:tc>
        <w:tc>
          <w:tcPr>
            <w:tcW w:w="106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3,073,494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Total payments made on behalf of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  other entities</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202,564,014</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229,918,120</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6,018,769</w:t>
            </w:r>
          </w:p>
        </w:tc>
        <w:tc>
          <w:tcPr>
            <w:tcW w:w="106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235,936,889</w:t>
            </w:r>
          </w:p>
        </w:tc>
      </w:tr>
    </w:tbl>
    <w:p w:rsidR="00132695" w:rsidRPr="00132695" w:rsidRDefault="00D5482E" w:rsidP="00132695">
      <w:pPr>
        <w:pStyle w:val="TableGraphic"/>
        <w:keepLines/>
        <w:pBdr>
          <w:top w:val="nil"/>
          <w:left w:val="nil"/>
          <w:bottom w:val="nil"/>
          <w:right w:val="nil"/>
          <w:between w:val="nil"/>
          <w:bar w:val="nil"/>
        </w:pBdr>
        <w:spacing w:before="20"/>
        <w:rPr>
          <w:rFonts w:ascii="Arial" w:hAnsi="Arial" w:cs="Arial"/>
          <w:i w:val="0"/>
          <w:color w:val="auto"/>
          <w:sz w:val="16"/>
          <w:szCs w:val="16"/>
          <w:bdr w:val="nil"/>
          <w:lang w:eastAsia="x-none"/>
        </w:rPr>
      </w:pPr>
      <w:r w:rsidRPr="00132695">
        <w:rPr>
          <w:rFonts w:ascii="Arial" w:hAnsi="Arial" w:cs="Arial"/>
          <w:i w:val="0"/>
          <w:color w:val="auto"/>
          <w:sz w:val="16"/>
          <w:szCs w:val="16"/>
          <w:bdr w:val="nil"/>
          <w:lang w:eastAsia="x-none"/>
        </w:rPr>
        <w:t>This table has been prepared on a resourcing (i.e. appropriation available) basis.</w:t>
      </w:r>
    </w:p>
    <w:p w:rsidR="00132695" w:rsidRPr="00132695" w:rsidRDefault="00D5482E" w:rsidP="00132695">
      <w:pPr>
        <w:pStyle w:val="ListParagraph"/>
        <w:numPr>
          <w:ilvl w:val="0"/>
          <w:numId w:val="41"/>
        </w:numPr>
        <w:pBdr>
          <w:top w:val="nil"/>
          <w:left w:val="nil"/>
          <w:bottom w:val="nil"/>
          <w:right w:val="nil"/>
          <w:between w:val="nil"/>
          <w:bar w:val="nil"/>
        </w:pBdr>
        <w:spacing w:after="0" w:line="240" w:lineRule="auto"/>
        <w:ind w:left="284" w:hanging="284"/>
        <w:rPr>
          <w:rStyle w:val="Hyperlink"/>
          <w:rFonts w:eastAsia="Times New Roman" w:cs="Arial"/>
          <w:bdr w:val="nil"/>
          <w:lang w:val="en-AU"/>
        </w:rPr>
      </w:pPr>
      <w:r w:rsidRPr="00132695">
        <w:rPr>
          <w:rFonts w:ascii="Arial" w:eastAsia="Times New Roman" w:hAnsi="Arial" w:cs="Arial"/>
          <w:sz w:val="16"/>
          <w:szCs w:val="16"/>
          <w:bdr w:val="nil"/>
          <w:lang w:val="en-AU"/>
        </w:rPr>
        <w:t xml:space="preserve">The payments relating to </w:t>
      </w:r>
      <w:r>
        <w:rPr>
          <w:rFonts w:ascii="Arial" w:eastAsia="Times New Roman" w:hAnsi="Arial" w:cs="Arial"/>
          <w:sz w:val="16"/>
          <w:szCs w:val="16"/>
          <w:bdr w:val="nil"/>
          <w:lang w:val="en-AU"/>
        </w:rPr>
        <w:t xml:space="preserve">the </w:t>
      </w:r>
      <w:r w:rsidRPr="00132695">
        <w:rPr>
          <w:rFonts w:ascii="Arial" w:eastAsia="Times New Roman" w:hAnsi="Arial" w:cs="Arial"/>
          <w:sz w:val="16"/>
          <w:szCs w:val="16"/>
          <w:bdr w:val="nil"/>
          <w:lang w:val="en-AU"/>
        </w:rPr>
        <w:t>National Redress Scheme for Survivors of Institutional Child Sexual Abuse are not for publication due to ongoing negotiations with other organisations.</w:t>
      </w:r>
    </w:p>
    <w:p w:rsidR="00AE5F3D" w:rsidRDefault="00D5482E" w:rsidP="00AE5F3D">
      <w:pPr>
        <w:keepLines/>
        <w:pBdr>
          <w:top w:val="nil"/>
          <w:left w:val="nil"/>
          <w:bottom w:val="nil"/>
          <w:right w:val="nil"/>
          <w:between w:val="nil"/>
          <w:bar w:val="nil"/>
        </w:pBdr>
        <w:spacing w:after="240" w:line="260" w:lineRule="exact"/>
        <w:jc w:val="both"/>
        <w:rPr>
          <w:rStyle w:val="Hyperlink"/>
          <w:bdr w:val="nil"/>
        </w:rPr>
      </w:pPr>
      <w:r>
        <w:rPr>
          <w:rStyle w:val="Hyperlink"/>
          <w:rFonts w:eastAsia="Times New Roman" w:cs="Times New Roman"/>
          <w:szCs w:val="20"/>
          <w:bdr w:val="nil"/>
          <w:lang w:val="en-AU" w:eastAsia="en-AU"/>
        </w:rPr>
        <w:br w:type="page"/>
      </w:r>
    </w:p>
    <w:p w:rsidR="009C1B49" w:rsidRPr="009C1B49" w:rsidRDefault="00D5482E" w:rsidP="00B33BD8">
      <w:pPr>
        <w:pStyle w:val="TableHeading"/>
        <w:keepLines/>
        <w:pBdr>
          <w:top w:val="nil"/>
          <w:left w:val="nil"/>
          <w:bottom w:val="nil"/>
          <w:right w:val="nil"/>
          <w:between w:val="nil"/>
          <w:bar w:val="nil"/>
        </w:pBdr>
        <w:spacing w:before="0" w:after="0"/>
        <w:rPr>
          <w:bdr w:val="nil"/>
        </w:rPr>
      </w:pPr>
      <w:r w:rsidRPr="004C2526">
        <w:rPr>
          <w:bdr w:val="nil"/>
        </w:rPr>
        <w:lastRenderedPageBreak/>
        <w:t xml:space="preserve">Table 1.1: </w:t>
      </w:r>
      <w:r>
        <w:rPr>
          <w:snapToGrid w:val="0"/>
          <w:bdr w:val="nil"/>
        </w:rPr>
        <w:t>Services Australia</w:t>
      </w:r>
      <w:r w:rsidRPr="004C2526">
        <w:rPr>
          <w:bdr w:val="nil"/>
        </w:rPr>
        <w:t xml:space="preserve"> </w:t>
      </w:r>
      <w:r>
        <w:rPr>
          <w:bdr w:val="nil"/>
        </w:rPr>
        <w:t xml:space="preserve">resource statement – Additional Estimates for </w:t>
      </w:r>
      <w:r>
        <w:rPr>
          <w:bdr w:val="nil"/>
        </w:rPr>
        <w:br/>
        <w:t>2020</w:t>
      </w:r>
      <w:r>
        <w:rPr>
          <w:bdr w:val="nil"/>
        </w:rPr>
        <w:noBreakHyphen/>
        <w:t>21 as at February 2021 (continued)</w:t>
      </w:r>
    </w:p>
    <w:p w:rsidR="00F826CB" w:rsidRDefault="00D5482E" w:rsidP="00F826CB">
      <w:pPr>
        <w:pStyle w:val="TableHeading"/>
        <w:keepLines/>
        <w:pBdr>
          <w:top w:val="nil"/>
          <w:left w:val="nil"/>
          <w:bottom w:val="nil"/>
          <w:right w:val="nil"/>
          <w:between w:val="nil"/>
          <w:bar w:val="nil"/>
        </w:pBdr>
        <w:spacing w:before="240" w:after="0"/>
        <w:rPr>
          <w:rFonts w:cs="Arial"/>
          <w:bdr w:val="nil"/>
        </w:rPr>
      </w:pPr>
      <w:r>
        <w:rPr>
          <w:rFonts w:cs="Arial"/>
          <w:bdr w:val="nil"/>
        </w:rPr>
        <w:t>Payments made to related entities for the provision of services</w:t>
      </w:r>
    </w:p>
    <w:tbl>
      <w:tblPr>
        <w:tblStyle w:val="CDMRange1"/>
        <w:tblW w:w="7740" w:type="dxa"/>
        <w:tblLayout w:type="fixed"/>
        <w:tblCellMar>
          <w:top w:w="11" w:type="dxa"/>
          <w:bottom w:w="11" w:type="dxa"/>
        </w:tblCellMar>
        <w:tblLook w:val="0600" w:firstRow="0" w:lastRow="0" w:firstColumn="0" w:lastColumn="0" w:noHBand="1" w:noVBand="1"/>
        <w:tblCaption w:val="Table 1.1: Services Australia resource statement – Additional Estimates for "/>
        <w:tblDescription w:val="Payments made to related entities for the provision of services"/>
      </w:tblPr>
      <w:tblGrid>
        <w:gridCol w:w="3480"/>
        <w:gridCol w:w="1065"/>
        <w:gridCol w:w="1065"/>
        <w:gridCol w:w="1065"/>
        <w:gridCol w:w="1065"/>
      </w:tblGrid>
      <w:tr w:rsidR="00010972" w:rsidTr="00C5172A">
        <w:trPr>
          <w:tblHeader/>
        </w:trPr>
        <w:tc>
          <w:tcPr>
            <w:tcW w:w="34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65" w:type="dxa"/>
            <w:tcBorders>
              <w:top w:val="dotted" w:sz="2" w:space="0" w:color="000000"/>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Actual</w:t>
            </w:r>
          </w:p>
        </w:tc>
        <w:tc>
          <w:tcPr>
            <w:tcW w:w="1065"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1065"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Proposed</w:t>
            </w:r>
          </w:p>
        </w:tc>
        <w:tc>
          <w:tcPr>
            <w:tcW w:w="1065" w:type="dxa"/>
            <w:tcBorders>
              <w:top w:val="dotted" w:sz="2" w:space="0" w:color="000000"/>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Total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available</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as at</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Additional</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 at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appropriation</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Budget</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Estimates</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Additional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65"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2019-20</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Australian Federal Police</w:t>
            </w:r>
          </w:p>
        </w:tc>
        <w:tc>
          <w:tcPr>
            <w:tcW w:w="1065" w:type="dxa"/>
            <w:tcBorders>
              <w:top w:val="dotted" w:sz="2" w:space="0" w:color="000000"/>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3,628</w:t>
            </w:r>
          </w:p>
        </w:tc>
        <w:tc>
          <w:tcPr>
            <w:tcW w:w="1065" w:type="dxa"/>
            <w:tcBorders>
              <w:top w:val="dotted" w:sz="2" w:space="0" w:color="000000"/>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2,000</w:t>
            </w:r>
          </w:p>
        </w:tc>
        <w:tc>
          <w:tcPr>
            <w:tcW w:w="1065"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dotted" w:sz="2" w:space="0" w:color="000000"/>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Australian Postal Corporation</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61,329</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70,473</w:t>
            </w:r>
          </w:p>
        </w:tc>
        <w:tc>
          <w:tcPr>
            <w:tcW w:w="106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rsidP="00722D28">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(17,139)</w:t>
            </w:r>
          </w:p>
        </w:tc>
        <w:tc>
          <w:tcPr>
            <w:tcW w:w="106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53,334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proofErr w:type="spellStart"/>
            <w:r>
              <w:rPr>
                <w:rFonts w:ascii="Arial" w:eastAsia="Arial" w:hAnsi="Arial" w:cs="Arial"/>
                <w:color w:val="000000"/>
                <w:sz w:val="16"/>
                <w:szCs w:val="20"/>
                <w:bdr w:val="nil"/>
                <w:lang w:val="en-AU" w:eastAsia="en-AU"/>
              </w:rPr>
              <w:t>Comcare</w:t>
            </w:r>
            <w:proofErr w:type="spellEnd"/>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21,505</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20,087</w:t>
            </w:r>
          </w:p>
        </w:tc>
        <w:tc>
          <w:tcPr>
            <w:tcW w:w="106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rsidP="00722D28">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(5,282)</w:t>
            </w:r>
          </w:p>
        </w:tc>
        <w:tc>
          <w:tcPr>
            <w:tcW w:w="106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14,805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Commonwealth Superannuation Corporation</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5,292</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5,285</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5,285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Department of Education, Skills and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Employment</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11,015</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9,900</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9,900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 of Finance</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12,578</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10,110</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10,110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 of Home Affairs</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2,130</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1,727</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1,727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Digital Transformation Agency</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87,570</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19,318</w:t>
            </w:r>
          </w:p>
        </w:tc>
        <w:tc>
          <w:tcPr>
            <w:tcW w:w="106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rsidP="00722D28">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58,580</w:t>
            </w:r>
          </w:p>
        </w:tc>
        <w:tc>
          <w:tcPr>
            <w:tcW w:w="106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77,898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Reserve Bank of Australia</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12,724</w:t>
            </w:r>
          </w:p>
        </w:tc>
        <w:tc>
          <w:tcPr>
            <w:tcW w:w="106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13,966</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13,966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Other</w:t>
            </w:r>
          </w:p>
        </w:tc>
        <w:tc>
          <w:tcPr>
            <w:tcW w:w="106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16,484</w:t>
            </w:r>
          </w:p>
        </w:tc>
        <w:tc>
          <w:tcPr>
            <w:tcW w:w="106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849</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849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Total payments to related entities for the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  provision of services</w:t>
            </w:r>
          </w:p>
        </w:tc>
        <w:tc>
          <w:tcPr>
            <w:tcW w:w="106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234,255</w:t>
            </w:r>
          </w:p>
        </w:tc>
        <w:tc>
          <w:tcPr>
            <w:tcW w:w="106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153,715</w:t>
            </w:r>
          </w:p>
        </w:tc>
        <w:tc>
          <w:tcPr>
            <w:tcW w:w="106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36,159</w:t>
            </w:r>
          </w:p>
        </w:tc>
        <w:tc>
          <w:tcPr>
            <w:tcW w:w="106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189,874</w:t>
            </w:r>
          </w:p>
        </w:tc>
      </w:tr>
    </w:tbl>
    <w:p w:rsidR="00932ADA" w:rsidRDefault="00D5482E" w:rsidP="00B33BD8">
      <w:pPr>
        <w:pStyle w:val="TableHeading"/>
        <w:keepLines/>
        <w:pBdr>
          <w:top w:val="nil"/>
          <w:left w:val="nil"/>
          <w:bottom w:val="nil"/>
          <w:right w:val="nil"/>
          <w:between w:val="nil"/>
          <w:bar w:val="nil"/>
        </w:pBdr>
        <w:spacing w:before="240" w:after="0"/>
        <w:rPr>
          <w:rFonts w:cs="Arial"/>
          <w:bdr w:val="nil"/>
        </w:rPr>
      </w:pPr>
      <w:r>
        <w:rPr>
          <w:rFonts w:cs="Arial"/>
          <w:bdr w:val="nil"/>
        </w:rPr>
        <w:t>Revenue received from related entities for the provision of services (s74 Revenue)</w:t>
      </w:r>
    </w:p>
    <w:tbl>
      <w:tblPr>
        <w:tblStyle w:val="CDMRange2"/>
        <w:tblW w:w="7740" w:type="dxa"/>
        <w:tblLayout w:type="fixed"/>
        <w:tblCellMar>
          <w:top w:w="11" w:type="dxa"/>
          <w:bottom w:w="11" w:type="dxa"/>
        </w:tblCellMar>
        <w:tblLook w:val="0600" w:firstRow="0" w:lastRow="0" w:firstColumn="0" w:lastColumn="0" w:noHBand="1" w:noVBand="1"/>
        <w:tblDescription w:val="Revenue received from related entities for the provision of services (s74 Revenue)"/>
      </w:tblPr>
      <w:tblGrid>
        <w:gridCol w:w="3480"/>
        <w:gridCol w:w="1065"/>
        <w:gridCol w:w="1065"/>
        <w:gridCol w:w="1065"/>
        <w:gridCol w:w="1065"/>
      </w:tblGrid>
      <w:tr w:rsidR="00010972" w:rsidTr="00C5172A">
        <w:trPr>
          <w:tblHeader/>
        </w:trPr>
        <w:tc>
          <w:tcPr>
            <w:tcW w:w="34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65" w:type="dxa"/>
            <w:tcBorders>
              <w:top w:val="dotted" w:sz="2" w:space="0" w:color="000000"/>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Actual</w:t>
            </w:r>
          </w:p>
        </w:tc>
        <w:tc>
          <w:tcPr>
            <w:tcW w:w="1065"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w:t>
            </w:r>
          </w:p>
        </w:tc>
        <w:tc>
          <w:tcPr>
            <w:tcW w:w="1065" w:type="dxa"/>
            <w:tcBorders>
              <w:top w:val="dotted" w:sz="2" w:space="0" w:color="000000"/>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Proposed</w:t>
            </w:r>
          </w:p>
        </w:tc>
        <w:tc>
          <w:tcPr>
            <w:tcW w:w="1065" w:type="dxa"/>
            <w:tcBorders>
              <w:top w:val="dotted" w:sz="2" w:space="0" w:color="000000"/>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Total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available</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as at</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Additional</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 at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appropriation</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Budget</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Estimates</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Additional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65" w:type="dxa"/>
            <w:tcBorders>
              <w:top w:val="nil"/>
              <w:left w:val="nil"/>
              <w:bottom w:val="nil"/>
              <w:right w:val="nil"/>
              <w:tl2br w:val="nil"/>
              <w:tr2bl w:val="nil"/>
            </w:tcBorders>
            <w:shd w:val="clear" w:color="FFFFFF" w:fill="FFFFFF"/>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Estimates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6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2019-20</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6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106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106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Australian Bureau of Statistics</w:t>
            </w:r>
          </w:p>
        </w:tc>
        <w:tc>
          <w:tcPr>
            <w:tcW w:w="1065" w:type="dxa"/>
            <w:tcBorders>
              <w:top w:val="dotted" w:sz="2" w:space="0" w:color="000000"/>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61</w:t>
            </w:r>
          </w:p>
        </w:tc>
        <w:tc>
          <w:tcPr>
            <w:tcW w:w="1065" w:type="dxa"/>
            <w:tcBorders>
              <w:top w:val="dotted" w:sz="2" w:space="0" w:color="000000"/>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142</w:t>
            </w:r>
          </w:p>
        </w:tc>
        <w:tc>
          <w:tcPr>
            <w:tcW w:w="1065" w:type="dxa"/>
            <w:tcBorders>
              <w:top w:val="dotted" w:sz="2" w:space="0" w:color="000000"/>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787</w:t>
            </w:r>
          </w:p>
        </w:tc>
        <w:tc>
          <w:tcPr>
            <w:tcW w:w="1065" w:type="dxa"/>
            <w:tcBorders>
              <w:top w:val="dotted" w:sz="2" w:space="0" w:color="000000"/>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929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Australian Digital Health Agency</w:t>
            </w:r>
          </w:p>
        </w:tc>
        <w:tc>
          <w:tcPr>
            <w:tcW w:w="106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12,078</w:t>
            </w:r>
          </w:p>
        </w:tc>
        <w:tc>
          <w:tcPr>
            <w:tcW w:w="106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25,346</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25,346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Australian Electoral Commission</w:t>
            </w:r>
          </w:p>
        </w:tc>
        <w:tc>
          <w:tcPr>
            <w:tcW w:w="106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8,046</w:t>
            </w:r>
          </w:p>
        </w:tc>
        <w:tc>
          <w:tcPr>
            <w:tcW w:w="106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189</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189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Australian Taxation Office</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10,643</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10,448</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10,448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Department of Education, Skills and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Employment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8,628</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7,404</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3,422</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10,826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 of Foreign Affairs and Trade</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4,997</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177</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 of Health</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24,365</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4,268</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4,268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 of Home Affairs</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1,849</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712</w:t>
            </w:r>
          </w:p>
        </w:tc>
        <w:tc>
          <w:tcPr>
            <w:tcW w:w="106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1,076</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1,788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 of the Prime Minister and Cabinet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1,436</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256</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256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 of Social Services</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4,057</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10,624</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10,624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 of Veterans' Affairs</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37,864</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68,048</w:t>
            </w:r>
          </w:p>
        </w:tc>
        <w:tc>
          <w:tcPr>
            <w:tcW w:w="106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rsidP="00722D28">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(507)</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67,541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National Disability Insurance Agency</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90,284</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75,474</w:t>
            </w:r>
          </w:p>
        </w:tc>
        <w:tc>
          <w:tcPr>
            <w:tcW w:w="106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28</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75,502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NDIS Quality and Safeguards Commission</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2,000</w:t>
            </w:r>
          </w:p>
        </w:tc>
        <w:tc>
          <w:tcPr>
            <w:tcW w:w="106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8,000</w:t>
            </w:r>
          </w:p>
        </w:tc>
        <w:tc>
          <w:tcPr>
            <w:tcW w:w="106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10,000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Other</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szCs w:val="20"/>
                <w:bdr w:val="nil"/>
                <w:lang w:val="en-AU" w:eastAsia="en-AU"/>
              </w:rPr>
              <w:t>11,538</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106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8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Total revenue received from related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 xml:space="preserve">  entities for the provision of services</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szCs w:val="20"/>
                <w:bdr w:val="nil"/>
                <w:lang w:val="en-AU" w:eastAsia="en-AU"/>
              </w:rPr>
              <w:t>215,846</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205,088</w:t>
            </w:r>
          </w:p>
        </w:tc>
        <w:tc>
          <w:tcPr>
            <w:tcW w:w="106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12,806</w:t>
            </w:r>
          </w:p>
        </w:tc>
        <w:tc>
          <w:tcPr>
            <w:tcW w:w="106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217,894</w:t>
            </w:r>
          </w:p>
        </w:tc>
      </w:tr>
    </w:tbl>
    <w:p w:rsidR="003E027B" w:rsidRDefault="00D5482E" w:rsidP="008A07CA">
      <w:pPr>
        <w:pStyle w:val="Heading3"/>
        <w:pageBreakBefore/>
        <w:pBdr>
          <w:top w:val="nil"/>
          <w:left w:val="nil"/>
          <w:bottom w:val="nil"/>
          <w:right w:val="nil"/>
          <w:between w:val="nil"/>
          <w:bar w:val="nil"/>
        </w:pBdr>
        <w:spacing w:before="0"/>
        <w:rPr>
          <w:bdr w:val="nil"/>
        </w:rPr>
      </w:pPr>
      <w:r>
        <w:rPr>
          <w:bdr w:val="nil"/>
        </w:rPr>
        <w:lastRenderedPageBreak/>
        <w:t>1.3</w:t>
      </w:r>
      <w:r>
        <w:rPr>
          <w:bdr w:val="nil"/>
        </w:rPr>
        <w:tab/>
        <w:t>Entity measures</w:t>
      </w:r>
    </w:p>
    <w:p w:rsidR="009D175B" w:rsidRPr="00B13691" w:rsidRDefault="00D5482E" w:rsidP="00F80C65">
      <w:pPr>
        <w:keepLines/>
        <w:pBdr>
          <w:top w:val="nil"/>
          <w:left w:val="nil"/>
          <w:bottom w:val="nil"/>
          <w:right w:val="nil"/>
          <w:between w:val="nil"/>
          <w:bar w:val="nil"/>
        </w:pBdr>
        <w:spacing w:after="240" w:line="240" w:lineRule="auto"/>
        <w:jc w:val="both"/>
        <w:rPr>
          <w:bdr w:val="nil"/>
        </w:rPr>
      </w:pPr>
      <w:r>
        <w:rPr>
          <w:rFonts w:ascii="Book Antiqua" w:eastAsia="Times New Roman" w:hAnsi="Book Antiqua" w:cs="Times New Roman"/>
          <w:sz w:val="20"/>
          <w:szCs w:val="20"/>
          <w:bdr w:val="nil"/>
          <w:lang w:val="en-AU" w:eastAsia="en-AU"/>
        </w:rPr>
        <w:t>Table 1.2 summarises new Government measures taken since the 2020-21 Budget. The table is split into receipt and payment measures, with the affected program identified.</w:t>
      </w:r>
    </w:p>
    <w:p w:rsidR="009D175B" w:rsidRDefault="00D5482E" w:rsidP="008A07CA">
      <w:pPr>
        <w:pStyle w:val="TableHeading"/>
        <w:keepLines/>
        <w:pBdr>
          <w:top w:val="nil"/>
          <w:left w:val="nil"/>
          <w:bottom w:val="nil"/>
          <w:right w:val="nil"/>
          <w:between w:val="nil"/>
          <w:bar w:val="nil"/>
        </w:pBdr>
        <w:spacing w:before="0" w:after="0"/>
        <w:rPr>
          <w:bdr w:val="nil"/>
        </w:rPr>
      </w:pPr>
      <w:r w:rsidRPr="003E027B">
        <w:rPr>
          <w:bdr w:val="nil"/>
        </w:rPr>
        <w:t xml:space="preserve">Table 1.2: </w:t>
      </w:r>
      <w:r>
        <w:rPr>
          <w:snapToGrid w:val="0"/>
          <w:bdr w:val="nil"/>
        </w:rPr>
        <w:t>Services Australia</w:t>
      </w:r>
      <w:r w:rsidRPr="003E027B">
        <w:rPr>
          <w:bdr w:val="nil"/>
        </w:rPr>
        <w:t xml:space="preserve"> </w:t>
      </w:r>
      <w:r>
        <w:rPr>
          <w:bdr w:val="nil"/>
        </w:rPr>
        <w:t>2020-21 m</w:t>
      </w:r>
      <w:r w:rsidRPr="009D175B">
        <w:rPr>
          <w:bdr w:val="nil"/>
        </w:rPr>
        <w:t xml:space="preserve">easures </w:t>
      </w:r>
      <w:r>
        <w:rPr>
          <w:bdr w:val="nil"/>
        </w:rPr>
        <w:t>since Budget (a)</w:t>
      </w:r>
    </w:p>
    <w:tbl>
      <w:tblPr>
        <w:tblStyle w:val="CDMRange1"/>
        <w:tblW w:w="8070" w:type="dxa"/>
        <w:tblLayout w:type="fixed"/>
        <w:tblCellMar>
          <w:top w:w="11" w:type="dxa"/>
          <w:bottom w:w="11" w:type="dxa"/>
        </w:tblCellMar>
        <w:tblLook w:val="0600" w:firstRow="0" w:lastRow="0" w:firstColumn="0" w:lastColumn="0" w:noHBand="1" w:noVBand="1"/>
        <w:tblCaption w:val="Table 1.2: Services Australia 2020-21 measures since Budget - refer to footnote A"/>
      </w:tblPr>
      <w:tblGrid>
        <w:gridCol w:w="4185"/>
        <w:gridCol w:w="765"/>
        <w:gridCol w:w="780"/>
        <w:gridCol w:w="780"/>
        <w:gridCol w:w="780"/>
        <w:gridCol w:w="780"/>
      </w:tblGrid>
      <w:tr w:rsidR="00010972" w:rsidTr="00C5172A">
        <w:trPr>
          <w:tblHeader/>
        </w:trPr>
        <w:tc>
          <w:tcPr>
            <w:tcW w:w="418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65" w:type="dxa"/>
            <w:tcBorders>
              <w:top w:val="dotted" w:sz="2" w:space="0" w:color="000000"/>
              <w:left w:val="nil"/>
              <w:bottom w:val="nil"/>
              <w:right w:val="nil"/>
              <w:tl2br w:val="nil"/>
              <w:tr2bl w:val="nil"/>
            </w:tcBorders>
            <w:shd w:val="clear" w:color="auto" w:fill="auto"/>
            <w:noWrap/>
            <w:tcMar>
              <w:left w:w="40" w:type="dxa"/>
              <w:right w:w="40" w:type="dxa"/>
            </w:tcMa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Program</w:t>
            </w:r>
          </w:p>
        </w:tc>
        <w:tc>
          <w:tcPr>
            <w:tcW w:w="780"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780"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780"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780"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65" w:type="dxa"/>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78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780"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78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Payment measures</w:t>
            </w:r>
          </w:p>
        </w:tc>
        <w:tc>
          <w:tcPr>
            <w:tcW w:w="76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Services Australia</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Income Compliance Program Settlement</w:t>
            </w:r>
          </w:p>
        </w:tc>
        <w:tc>
          <w:tcPr>
            <w:tcW w:w="765" w:type="dxa"/>
            <w:tcBorders>
              <w:top w:val="nil"/>
              <w:left w:val="nil"/>
              <w:bottom w:val="nil"/>
              <w:right w:val="nil"/>
              <w:tl2br w:val="nil"/>
              <w:tr2bl w:val="nil"/>
            </w:tcBorders>
            <w:shd w:val="clear" w:color="auto" w:fill="auto"/>
            <w:noWrap/>
            <w:tcMar>
              <w:left w:w="40" w:type="dxa"/>
              <w:right w:w="40" w:type="dxa"/>
            </w:tcMar>
          </w:tcPr>
          <w:p w:rsidR="00010972" w:rsidRDefault="00D5482E">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szCs w:val="20"/>
                <w:bdr w:val="nil"/>
                <w:lang w:val="en-AU" w:eastAsia="en-AU"/>
              </w:rPr>
              <w:t>1.1</w:t>
            </w: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23,500</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 of Education, Skills and Employment</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COVID-19 Response Package – Child Care Subsidy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changes to families' income reporting requirements</w:t>
            </w:r>
          </w:p>
        </w:tc>
        <w:tc>
          <w:tcPr>
            <w:tcW w:w="765" w:type="dxa"/>
            <w:tcBorders>
              <w:top w:val="nil"/>
              <w:left w:val="nil"/>
              <w:bottom w:val="nil"/>
              <w:right w:val="nil"/>
              <w:tl2br w:val="nil"/>
              <w:tr2bl w:val="nil"/>
            </w:tcBorders>
            <w:shd w:val="clear" w:color="auto" w:fill="auto"/>
            <w:noWrap/>
            <w:tcMar>
              <w:left w:w="40" w:type="dxa"/>
              <w:right w:w="40" w:type="dxa"/>
            </w:tcMar>
          </w:tcPr>
          <w:p w:rsidR="00010972" w:rsidRDefault="00D5482E">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szCs w:val="20"/>
                <w:bdr w:val="nil"/>
                <w:lang w:val="en-AU" w:eastAsia="en-AU"/>
              </w:rPr>
              <w:t>1.1</w:t>
            </w: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5,784</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4,847</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COVID-19 Response Package – Targeted Compliance</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Framework – changes to income support payment</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suspension arrangements</w:t>
            </w:r>
          </w:p>
        </w:tc>
        <w:tc>
          <w:tcPr>
            <w:tcW w:w="765" w:type="dxa"/>
            <w:tcBorders>
              <w:top w:val="nil"/>
              <w:left w:val="nil"/>
              <w:bottom w:val="nil"/>
              <w:right w:val="nil"/>
              <w:tl2br w:val="nil"/>
              <w:tr2bl w:val="nil"/>
            </w:tcBorders>
            <w:shd w:val="clear" w:color="auto" w:fill="auto"/>
            <w:noWrap/>
            <w:tcMar>
              <w:left w:w="40" w:type="dxa"/>
              <w:right w:w="40" w:type="dxa"/>
            </w:tcMar>
          </w:tcPr>
          <w:p w:rsidR="00010972" w:rsidRDefault="00D5482E">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szCs w:val="20"/>
                <w:bdr w:val="nil"/>
                <w:lang w:val="en-AU" w:eastAsia="en-AU"/>
              </w:rPr>
              <w:t>1.1</w:t>
            </w: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(45)</w:t>
            </w:r>
          </w:p>
        </w:tc>
        <w:tc>
          <w:tcPr>
            <w:tcW w:w="7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(80)</w:t>
            </w:r>
          </w:p>
        </w:tc>
        <w:tc>
          <w:tcPr>
            <w:tcW w:w="78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(80)</w:t>
            </w:r>
          </w:p>
        </w:tc>
        <w:tc>
          <w:tcPr>
            <w:tcW w:w="7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 of Foreign Affairs and Trade</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COVID-19 Response Package – Consumer Travel</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Support Program (b) </w:t>
            </w:r>
          </w:p>
        </w:tc>
        <w:tc>
          <w:tcPr>
            <w:tcW w:w="765" w:type="dxa"/>
            <w:tcBorders>
              <w:top w:val="nil"/>
              <w:left w:val="nil"/>
              <w:bottom w:val="nil"/>
              <w:right w:val="nil"/>
              <w:tl2br w:val="nil"/>
              <w:tr2bl w:val="nil"/>
            </w:tcBorders>
            <w:shd w:val="clear" w:color="auto" w:fill="auto"/>
            <w:noWrap/>
            <w:tcMar>
              <w:left w:w="40" w:type="dxa"/>
              <w:right w:w="40" w:type="dxa"/>
            </w:tcMar>
          </w:tcPr>
          <w:p w:rsidR="00010972" w:rsidRDefault="00D5482E">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szCs w:val="20"/>
                <w:bdr w:val="nil"/>
                <w:lang w:val="en-AU" w:eastAsia="en-AU"/>
              </w:rPr>
              <w:t>1.1</w:t>
            </w: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 of Health</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COVID-19 Response Package – ageing and aged care</w:t>
            </w:r>
          </w:p>
        </w:tc>
        <w:tc>
          <w:tcPr>
            <w:tcW w:w="765" w:type="dxa"/>
            <w:tcBorders>
              <w:top w:val="nil"/>
              <w:left w:val="nil"/>
              <w:bottom w:val="nil"/>
              <w:right w:val="nil"/>
              <w:tl2br w:val="nil"/>
              <w:tr2bl w:val="nil"/>
            </w:tcBorders>
            <w:shd w:val="clear" w:color="auto" w:fill="auto"/>
            <w:noWrap/>
            <w:tcMar>
              <w:left w:w="40" w:type="dxa"/>
              <w:right w:w="40" w:type="dxa"/>
            </w:tcMar>
          </w:tcPr>
          <w:p w:rsidR="00010972" w:rsidRDefault="00D5482E">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szCs w:val="20"/>
                <w:bdr w:val="nil"/>
                <w:lang w:val="en-AU" w:eastAsia="en-AU"/>
              </w:rPr>
              <w:t>1.2</w:t>
            </w: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148</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316</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COVID-19 Response Package – vaccination and</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treatment</w:t>
            </w:r>
          </w:p>
        </w:tc>
        <w:tc>
          <w:tcPr>
            <w:tcW w:w="765" w:type="dxa"/>
            <w:tcBorders>
              <w:top w:val="nil"/>
              <w:left w:val="nil"/>
              <w:bottom w:val="nil"/>
              <w:right w:val="nil"/>
              <w:tl2br w:val="nil"/>
              <w:tr2bl w:val="nil"/>
            </w:tcBorders>
            <w:shd w:val="clear" w:color="auto" w:fill="auto"/>
            <w:noWrap/>
            <w:tcMar>
              <w:left w:w="40" w:type="dxa"/>
              <w:right w:w="40" w:type="dxa"/>
            </w:tcMar>
          </w:tcPr>
          <w:p w:rsidR="00010972" w:rsidRDefault="00D5482E">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szCs w:val="20"/>
                <w:bdr w:val="nil"/>
                <w:lang w:val="en-AU" w:eastAsia="en-AU"/>
              </w:rPr>
              <w:t>1.2</w:t>
            </w: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35,198</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4,202</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Improving Access to Medicines – Pharmaceutical</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Benefits Scheme – new and amended listings</w:t>
            </w:r>
          </w:p>
        </w:tc>
        <w:tc>
          <w:tcPr>
            <w:tcW w:w="765" w:type="dxa"/>
            <w:tcBorders>
              <w:top w:val="nil"/>
              <w:left w:val="nil"/>
              <w:bottom w:val="nil"/>
              <w:right w:val="nil"/>
              <w:tl2br w:val="nil"/>
              <w:tr2bl w:val="nil"/>
            </w:tcBorders>
            <w:shd w:val="clear" w:color="auto" w:fill="auto"/>
            <w:noWrap/>
            <w:tcMar>
              <w:left w:w="40" w:type="dxa"/>
              <w:right w:w="40" w:type="dxa"/>
            </w:tcMar>
          </w:tcPr>
          <w:p w:rsidR="00010972" w:rsidRDefault="00D5482E">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szCs w:val="20"/>
                <w:bdr w:val="nil"/>
                <w:lang w:val="en-AU" w:eastAsia="en-AU"/>
              </w:rPr>
              <w:t>1.2</w:t>
            </w: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231</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w:t>
            </w:r>
          </w:p>
        </w:tc>
        <w:tc>
          <w:tcPr>
            <w:tcW w:w="780"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w:t>
            </w:r>
          </w:p>
        </w:tc>
        <w:tc>
          <w:tcPr>
            <w:tcW w:w="78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COVID-19 Vaccine Implementation and Rollout (c) </w:t>
            </w:r>
          </w:p>
        </w:tc>
        <w:tc>
          <w:tcPr>
            <w:tcW w:w="765" w:type="dxa"/>
            <w:tcBorders>
              <w:top w:val="nil"/>
              <w:left w:val="nil"/>
              <w:bottom w:val="nil"/>
              <w:right w:val="nil"/>
              <w:tl2br w:val="nil"/>
              <w:tr2bl w:val="nil"/>
            </w:tcBorders>
            <w:shd w:val="clear" w:color="auto" w:fill="auto"/>
            <w:noWrap/>
            <w:tcMar>
              <w:left w:w="40" w:type="dxa"/>
              <w:right w:w="40" w:type="dxa"/>
            </w:tcMar>
          </w:tcPr>
          <w:p w:rsidR="00010972" w:rsidRDefault="00D5482E">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szCs w:val="20"/>
                <w:bdr w:val="nil"/>
                <w:lang w:val="en-AU" w:eastAsia="en-AU"/>
              </w:rPr>
              <w:t>1.2</w:t>
            </w: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24,634</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63,060</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8,254</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5,581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 of Social Services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COVID-19 Response Package – Extend Coronavirus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 xml:space="preserve">  Supplement and Temporary Access and Eligibility</w:t>
            </w:r>
          </w:p>
        </w:tc>
        <w:tc>
          <w:tcPr>
            <w:tcW w:w="765" w:type="dxa"/>
            <w:tcBorders>
              <w:top w:val="nil"/>
              <w:left w:val="nil"/>
              <w:bottom w:val="nil"/>
              <w:right w:val="nil"/>
              <w:tl2br w:val="nil"/>
              <w:tr2bl w:val="nil"/>
            </w:tcBorders>
            <w:shd w:val="clear" w:color="auto" w:fill="auto"/>
            <w:noWrap/>
            <w:tcMar>
              <w:left w:w="40" w:type="dxa"/>
              <w:right w:w="40" w:type="dxa"/>
            </w:tcMar>
          </w:tcPr>
          <w:p w:rsidR="00010972" w:rsidRDefault="00D5482E">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szCs w:val="20"/>
                <w:bdr w:val="nil"/>
                <w:lang w:val="en-AU" w:eastAsia="en-AU"/>
              </w:rPr>
              <w:t>1.1</w:t>
            </w: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dotted" w:sz="2" w:space="0" w:color="000000"/>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payments</w:t>
            </w:r>
          </w:p>
        </w:tc>
        <w:tc>
          <w:tcPr>
            <w:tcW w:w="765" w:type="dxa"/>
            <w:tcBorders>
              <w:top w:val="nil"/>
              <w:left w:val="nil"/>
              <w:bottom w:val="dotted" w:sz="2" w:space="0" w:color="000000"/>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42,251</w:t>
            </w:r>
          </w:p>
        </w:tc>
        <w:tc>
          <w:tcPr>
            <w:tcW w:w="78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bl>
    <w:p w:rsidR="005556E7" w:rsidRDefault="00D5482E" w:rsidP="004E3232">
      <w:pPr>
        <w:pStyle w:val="TableGraphic"/>
        <w:keepLines/>
        <w:pBdr>
          <w:top w:val="nil"/>
          <w:left w:val="nil"/>
          <w:bottom w:val="nil"/>
          <w:right w:val="nil"/>
          <w:between w:val="nil"/>
          <w:bar w:val="nil"/>
        </w:pBdr>
        <w:rPr>
          <w:rStyle w:val="Hyperlink"/>
          <w:bdr w:val="nil"/>
        </w:rPr>
      </w:pPr>
      <w:r>
        <w:rPr>
          <w:rStyle w:val="Hyperlink"/>
          <w:bdr w:val="nil"/>
        </w:rPr>
        <w:br w:type="page"/>
      </w:r>
    </w:p>
    <w:p w:rsidR="005556E7" w:rsidRDefault="00D5482E" w:rsidP="005556E7">
      <w:pPr>
        <w:pStyle w:val="TableHeading"/>
        <w:keepLines/>
        <w:pBdr>
          <w:top w:val="nil"/>
          <w:left w:val="nil"/>
          <w:bottom w:val="nil"/>
          <w:right w:val="nil"/>
          <w:between w:val="nil"/>
          <w:bar w:val="nil"/>
        </w:pBdr>
        <w:spacing w:before="0" w:after="0"/>
        <w:rPr>
          <w:bdr w:val="nil"/>
        </w:rPr>
      </w:pPr>
      <w:r w:rsidRPr="003E027B">
        <w:rPr>
          <w:bdr w:val="nil"/>
        </w:rPr>
        <w:lastRenderedPageBreak/>
        <w:t xml:space="preserve">Table 1.2: </w:t>
      </w:r>
      <w:r>
        <w:rPr>
          <w:snapToGrid w:val="0"/>
          <w:bdr w:val="nil"/>
        </w:rPr>
        <w:t>Services Australia</w:t>
      </w:r>
      <w:r w:rsidRPr="003E027B">
        <w:rPr>
          <w:bdr w:val="nil"/>
        </w:rPr>
        <w:t xml:space="preserve"> </w:t>
      </w:r>
      <w:r>
        <w:rPr>
          <w:bdr w:val="nil"/>
        </w:rPr>
        <w:t>2020-21 m</w:t>
      </w:r>
      <w:r w:rsidRPr="009D175B">
        <w:rPr>
          <w:bdr w:val="nil"/>
        </w:rPr>
        <w:t xml:space="preserve">easures </w:t>
      </w:r>
      <w:r>
        <w:rPr>
          <w:bdr w:val="nil"/>
        </w:rPr>
        <w:t>since Budget (continued) (a)</w:t>
      </w:r>
    </w:p>
    <w:tbl>
      <w:tblPr>
        <w:tblStyle w:val="CDMRange2"/>
        <w:tblW w:w="8070" w:type="dxa"/>
        <w:tblLayout w:type="fixed"/>
        <w:tblCellMar>
          <w:top w:w="11" w:type="dxa"/>
          <w:bottom w:w="11" w:type="dxa"/>
        </w:tblCellMar>
        <w:tblLook w:val="0600" w:firstRow="0" w:lastRow="0" w:firstColumn="0" w:lastColumn="0" w:noHBand="1" w:noVBand="1"/>
        <w:tblCaption w:val="Table 1.2: Services Australia 2020-21 measures since Budget (continued) - refer to footnote A"/>
      </w:tblPr>
      <w:tblGrid>
        <w:gridCol w:w="4185"/>
        <w:gridCol w:w="765"/>
        <w:gridCol w:w="780"/>
        <w:gridCol w:w="780"/>
        <w:gridCol w:w="780"/>
        <w:gridCol w:w="780"/>
      </w:tblGrid>
      <w:tr w:rsidR="00010972" w:rsidTr="00C5172A">
        <w:trPr>
          <w:tblHeader/>
        </w:trPr>
        <w:tc>
          <w:tcPr>
            <w:tcW w:w="4185"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65" w:type="dxa"/>
            <w:tcBorders>
              <w:top w:val="dotted" w:sz="2" w:space="0" w:color="000000"/>
              <w:left w:val="nil"/>
              <w:bottom w:val="nil"/>
              <w:right w:val="nil"/>
              <w:tl2br w:val="nil"/>
              <w:tr2bl w:val="nil"/>
            </w:tcBorders>
            <w:shd w:val="clear" w:color="auto" w:fill="auto"/>
            <w:noWrap/>
            <w:tcMar>
              <w:left w:w="40" w:type="dxa"/>
              <w:right w:w="40" w:type="dxa"/>
            </w:tcMa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Program</w:t>
            </w:r>
          </w:p>
        </w:tc>
        <w:tc>
          <w:tcPr>
            <w:tcW w:w="780"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2020-21</w:t>
            </w:r>
          </w:p>
        </w:tc>
        <w:tc>
          <w:tcPr>
            <w:tcW w:w="780"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2021-22</w:t>
            </w:r>
          </w:p>
        </w:tc>
        <w:tc>
          <w:tcPr>
            <w:tcW w:w="780"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2022-23</w:t>
            </w:r>
          </w:p>
        </w:tc>
        <w:tc>
          <w:tcPr>
            <w:tcW w:w="780"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65" w:type="dxa"/>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78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780"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c>
          <w:tcPr>
            <w:tcW w:w="78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Department of Social Services (continued)</w:t>
            </w:r>
          </w:p>
        </w:tc>
        <w:tc>
          <w:tcPr>
            <w:tcW w:w="76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dotted" w:sz="2" w:space="0" w:color="000000"/>
              <w:left w:val="nil"/>
              <w:bottom w:val="nil"/>
              <w:right w:val="nil"/>
              <w:tl2br w:val="nil"/>
              <w:tr2bl w:val="nil"/>
            </w:tcBorders>
            <w:shd w:val="clear" w:color="FFFFFF" w:fill="E6E6E6"/>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dotted" w:sz="2" w:space="0" w:color="000000"/>
              <w:left w:val="nil"/>
              <w:bottom w:val="nil"/>
              <w:right w:val="nil"/>
              <w:tl2br w:val="nil"/>
              <w:tr2bl w:val="nil"/>
            </w:tcBorders>
            <w:shd w:val="clear" w:color="FFFFFF" w:fill="E6E6E6"/>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Mobility Allowance Program – extension</w:t>
            </w:r>
          </w:p>
        </w:tc>
        <w:tc>
          <w:tcPr>
            <w:tcW w:w="765" w:type="dxa"/>
            <w:tcBorders>
              <w:top w:val="nil"/>
              <w:left w:val="nil"/>
              <w:bottom w:val="nil"/>
              <w:right w:val="nil"/>
              <w:tl2br w:val="nil"/>
              <w:tr2bl w:val="nil"/>
            </w:tcBorders>
            <w:shd w:val="clear" w:color="auto" w:fill="auto"/>
            <w:noWrap/>
            <w:tcMar>
              <w:left w:w="40" w:type="dxa"/>
              <w:right w:w="40" w:type="dxa"/>
            </w:tcMar>
          </w:tcPr>
          <w:p w:rsidR="00010972" w:rsidRDefault="00D5482E">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szCs w:val="20"/>
                <w:bdr w:val="nil"/>
                <w:lang w:val="en-AU" w:eastAsia="en-AU"/>
              </w:rPr>
              <w:t>1.1</w:t>
            </w: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 payments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291</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 payment measures</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Administered</w:t>
            </w:r>
          </w:p>
        </w:tc>
        <w:tc>
          <w:tcPr>
            <w:tcW w:w="765" w:type="dxa"/>
            <w:tcBorders>
              <w:top w:val="nil"/>
              <w:left w:val="nil"/>
              <w:bottom w:val="nil"/>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c>
          <w:tcPr>
            <w:tcW w:w="7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szCs w:val="20"/>
                <w:bdr w:val="nil"/>
                <w:lang w:val="en-AU" w:eastAsia="en-AU"/>
              </w:rPr>
              <w:t>Departmental</w:t>
            </w:r>
          </w:p>
        </w:tc>
        <w:tc>
          <w:tcPr>
            <w:tcW w:w="765" w:type="dxa"/>
            <w:tcBorders>
              <w:top w:val="nil"/>
              <w:left w:val="nil"/>
              <w:bottom w:val="dotted" w:sz="2" w:space="0" w:color="000000"/>
              <w:right w:val="nil"/>
              <w:tl2br w:val="nil"/>
              <w:tr2bl w:val="nil"/>
            </w:tcBorders>
            <w:shd w:val="clear" w:color="auto" w:fill="auto"/>
            <w:noWrap/>
            <w:tcMar>
              <w:left w:w="0" w:type="dxa"/>
              <w:right w:w="0" w:type="dxa"/>
            </w:tcMa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rPr>
            </w:pPr>
          </w:p>
        </w:tc>
        <w:tc>
          <w:tcPr>
            <w:tcW w:w="78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131,992</w:t>
            </w:r>
          </w:p>
        </w:tc>
        <w:tc>
          <w:tcPr>
            <w:tcW w:w="78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72,352</w:t>
            </w:r>
          </w:p>
        </w:tc>
        <w:tc>
          <w:tcPr>
            <w:tcW w:w="780"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8,172</w:t>
            </w:r>
          </w:p>
        </w:tc>
        <w:tc>
          <w:tcPr>
            <w:tcW w:w="78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szCs w:val="20"/>
                <w:bdr w:val="nil"/>
                <w:lang w:val="en-AU" w:eastAsia="en-AU"/>
              </w:rPr>
              <w:t>5,492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8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szCs w:val="20"/>
                <w:bdr w:val="nil"/>
                <w:lang w:val="en-AU" w:eastAsia="en-AU"/>
              </w:rPr>
              <w:t>Total</w:t>
            </w:r>
          </w:p>
        </w:tc>
        <w:tc>
          <w:tcPr>
            <w:tcW w:w="765" w:type="dxa"/>
            <w:tcBorders>
              <w:top w:val="dotted" w:sz="2" w:space="0" w:color="000000"/>
              <w:left w:val="nil"/>
              <w:bottom w:val="dotted" w:sz="2" w:space="0" w:color="000000"/>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78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131,992</w:t>
            </w:r>
          </w:p>
        </w:tc>
        <w:tc>
          <w:tcPr>
            <w:tcW w:w="78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72,352</w:t>
            </w:r>
          </w:p>
        </w:tc>
        <w:tc>
          <w:tcPr>
            <w:tcW w:w="780"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8,172</w:t>
            </w:r>
          </w:p>
        </w:tc>
        <w:tc>
          <w:tcPr>
            <w:tcW w:w="78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szCs w:val="20"/>
                <w:bdr w:val="nil"/>
                <w:lang w:val="en-AU" w:eastAsia="en-AU"/>
              </w:rPr>
              <w:t>5,492</w:t>
            </w:r>
          </w:p>
        </w:tc>
      </w:tr>
    </w:tbl>
    <w:p w:rsidR="00181150" w:rsidRDefault="00D5482E" w:rsidP="005A6D20">
      <w:pPr>
        <w:pStyle w:val="Source"/>
        <w:pBdr>
          <w:top w:val="nil"/>
          <w:left w:val="nil"/>
          <w:bottom w:val="nil"/>
          <w:right w:val="nil"/>
          <w:between w:val="nil"/>
          <w:bar w:val="nil"/>
        </w:pBdr>
        <w:contextualSpacing/>
        <w:rPr>
          <w:bdr w:val="nil"/>
        </w:rPr>
      </w:pPr>
      <w:bookmarkStart w:id="90" w:name="OLE_LINK2"/>
      <w:r>
        <w:rPr>
          <w:bdr w:val="nil"/>
        </w:rPr>
        <w:t>Prepared on a Government Financial Statistics (Underlying Cash) basis. Figures displayed as a negative (-) represent a decrease in funds and a positive (+) represent an increase in funds</w:t>
      </w:r>
      <w:bookmarkEnd w:id="90"/>
      <w:r>
        <w:rPr>
          <w:bdr w:val="nil"/>
        </w:rPr>
        <w:t>.</w:t>
      </w:r>
    </w:p>
    <w:p w:rsidR="005A6D20" w:rsidRDefault="00D5482E" w:rsidP="005A6D20">
      <w:pPr>
        <w:pStyle w:val="ChartandTableFootnoteAlpha"/>
        <w:numPr>
          <w:ilvl w:val="0"/>
          <w:numId w:val="42"/>
        </w:numPr>
        <w:pBdr>
          <w:top w:val="nil"/>
          <w:left w:val="nil"/>
          <w:bottom w:val="nil"/>
          <w:right w:val="nil"/>
          <w:between w:val="nil"/>
          <w:bar w:val="nil"/>
        </w:pBdr>
        <w:tabs>
          <w:tab w:val="clear" w:pos="397"/>
          <w:tab w:val="num" w:pos="284"/>
        </w:tabs>
        <w:spacing w:after="0"/>
        <w:ind w:left="284" w:hanging="284"/>
        <w:contextualSpacing/>
        <w:rPr>
          <w:bdr w:val="nil"/>
        </w:rPr>
      </w:pPr>
      <w:r>
        <w:rPr>
          <w:bdr w:val="nil"/>
        </w:rPr>
        <w:t>Unless otherwise noted, measures are listed by lead entity and the full measure descriptions appear in the 2020-21 MYEFO under the relevant portfolio.</w:t>
      </w:r>
    </w:p>
    <w:p w:rsidR="00D90F85" w:rsidRDefault="00D5482E" w:rsidP="005A6D20">
      <w:pPr>
        <w:pStyle w:val="ChartandTableFootnoteAlpha"/>
        <w:numPr>
          <w:ilvl w:val="0"/>
          <w:numId w:val="42"/>
        </w:numPr>
        <w:pBdr>
          <w:top w:val="nil"/>
          <w:left w:val="nil"/>
          <w:bottom w:val="nil"/>
          <w:right w:val="nil"/>
          <w:between w:val="nil"/>
          <w:bar w:val="nil"/>
        </w:pBdr>
        <w:tabs>
          <w:tab w:val="clear" w:pos="397"/>
          <w:tab w:val="num" w:pos="284"/>
        </w:tabs>
        <w:spacing w:after="0"/>
        <w:ind w:left="284" w:hanging="284"/>
        <w:contextualSpacing/>
        <w:rPr>
          <w:bdr w:val="nil"/>
        </w:rPr>
      </w:pPr>
      <w:r>
        <w:rPr>
          <w:bdr w:val="nil"/>
        </w:rPr>
        <w:t>Services Australia will absorb the costs for this measure.</w:t>
      </w:r>
    </w:p>
    <w:p w:rsidR="00F80C65" w:rsidRPr="00F80C65" w:rsidRDefault="00BD23D2" w:rsidP="005A6D20">
      <w:pPr>
        <w:pStyle w:val="ListParagraph"/>
        <w:keepLines/>
        <w:numPr>
          <w:ilvl w:val="0"/>
          <w:numId w:val="42"/>
        </w:numPr>
        <w:pBdr>
          <w:top w:val="nil"/>
          <w:left w:val="nil"/>
          <w:bottom w:val="nil"/>
          <w:right w:val="nil"/>
          <w:between w:val="nil"/>
          <w:bar w:val="nil"/>
        </w:pBdr>
        <w:tabs>
          <w:tab w:val="clear" w:pos="397"/>
          <w:tab w:val="num" w:pos="284"/>
        </w:tabs>
        <w:spacing w:after="0"/>
        <w:ind w:left="284" w:hanging="284"/>
        <w:jc w:val="both"/>
        <w:rPr>
          <w:rFonts w:eastAsia="Times New Roman" w:cs="Times New Roman"/>
          <w:sz w:val="16"/>
          <w:bdr w:val="nil"/>
          <w:lang w:val="en-AU"/>
        </w:rPr>
      </w:pPr>
      <w:r>
        <w:rPr>
          <w:rFonts w:ascii="Arial" w:eastAsia="Times New Roman" w:hAnsi="Arial" w:cs="Times New Roman"/>
          <w:sz w:val="16"/>
          <w:bdr w:val="nil"/>
          <w:lang w:val="en-AU"/>
        </w:rPr>
        <w:t>Measure</w:t>
      </w:r>
      <w:r w:rsidR="00D5482E" w:rsidRPr="00F80C65">
        <w:rPr>
          <w:rFonts w:ascii="Arial" w:eastAsia="Times New Roman" w:hAnsi="Arial" w:cs="Times New Roman"/>
          <w:sz w:val="16"/>
          <w:bdr w:val="nil"/>
          <w:lang w:val="en-AU"/>
        </w:rPr>
        <w:t xml:space="preserve"> relates to decisions post 2020-21 MYEFO.</w:t>
      </w:r>
    </w:p>
    <w:p w:rsidR="0026077D" w:rsidRDefault="00D5482E" w:rsidP="00074598">
      <w:pPr>
        <w:pStyle w:val="Heading3"/>
        <w:pageBreakBefore/>
        <w:pBdr>
          <w:top w:val="nil"/>
          <w:left w:val="nil"/>
          <w:bottom w:val="nil"/>
          <w:right w:val="nil"/>
          <w:between w:val="nil"/>
          <w:bar w:val="nil"/>
        </w:pBdr>
        <w:spacing w:before="0"/>
        <w:rPr>
          <w:bdr w:val="nil"/>
          <w:lang w:val="en-GB"/>
        </w:rPr>
      </w:pPr>
      <w:r>
        <w:rPr>
          <w:bdr w:val="nil"/>
          <w:lang w:val="en-GB"/>
        </w:rPr>
        <w:lastRenderedPageBreak/>
        <w:t>1.</w:t>
      </w:r>
      <w:r w:rsidRPr="0026077D">
        <w:rPr>
          <w:bdr w:val="nil"/>
          <w:lang w:val="en-GB"/>
        </w:rPr>
        <w:t>4</w:t>
      </w:r>
      <w:r>
        <w:rPr>
          <w:bdr w:val="nil"/>
          <w:lang w:val="en-GB"/>
        </w:rPr>
        <w:tab/>
        <w:t>Additional estimates, resourcing and variations to outcomes</w:t>
      </w:r>
    </w:p>
    <w:p w:rsidR="00ED4C2C" w:rsidRDefault="00D5482E" w:rsidP="00074598">
      <w:pPr>
        <w:pStyle w:val="TableHeading"/>
        <w:keepLines/>
        <w:pBdr>
          <w:top w:val="nil"/>
          <w:left w:val="nil"/>
          <w:bottom w:val="nil"/>
          <w:right w:val="nil"/>
          <w:between w:val="nil"/>
          <w:bar w:val="nil"/>
        </w:pBdr>
        <w:spacing w:before="0" w:after="240"/>
        <w:jc w:val="both"/>
        <w:rPr>
          <w:rFonts w:ascii="Book Antiqua" w:eastAsia="Calibri" w:hAnsi="Book Antiqua"/>
          <w:b w:val="0"/>
          <w:szCs w:val="22"/>
          <w:bdr w:val="nil"/>
          <w:lang w:val="en-GB" w:eastAsia="en-US"/>
        </w:rPr>
      </w:pPr>
      <w:r w:rsidRPr="00ED4C2C">
        <w:rPr>
          <w:rFonts w:ascii="Book Antiqua" w:eastAsia="Calibri" w:hAnsi="Book Antiqua" w:cs="Arial"/>
          <w:b w:val="0"/>
          <w:szCs w:val="22"/>
          <w:bdr w:val="nil"/>
          <w:lang w:val="en-GB" w:eastAsia="en-US"/>
        </w:rPr>
        <w:t xml:space="preserve">The following tables detail the changes to the resourcing for Services Australia at Additional Estimates, by outcome. Table 1.3 details the Additional Estimates resulting from new measures and other variations since the 2020-21 Budget in </w:t>
      </w:r>
      <w:r w:rsidRPr="0032326C">
        <w:rPr>
          <w:rFonts w:ascii="Book Antiqua" w:eastAsia="Calibri" w:hAnsi="Book Antiqua" w:cs="Arial"/>
          <w:b w:val="0"/>
          <w:szCs w:val="22"/>
          <w:bdr w:val="nil"/>
          <w:lang w:val="en-GB" w:eastAsia="en-US"/>
        </w:rPr>
        <w:t>Appropriation Bills Nos. 3 and 4.</w:t>
      </w:r>
    </w:p>
    <w:p w:rsidR="00D86095" w:rsidRDefault="00D5482E" w:rsidP="00074598">
      <w:pPr>
        <w:pStyle w:val="TableHeading"/>
        <w:keepLines/>
        <w:pBdr>
          <w:top w:val="nil"/>
          <w:left w:val="nil"/>
          <w:bottom w:val="nil"/>
          <w:right w:val="nil"/>
          <w:between w:val="nil"/>
          <w:bar w:val="nil"/>
        </w:pBdr>
        <w:spacing w:before="0" w:after="0"/>
        <w:rPr>
          <w:rFonts w:eastAsia="Calibri"/>
          <w:szCs w:val="22"/>
          <w:bdr w:val="nil"/>
          <w:lang w:val="en-GB" w:eastAsia="en-US"/>
        </w:rPr>
      </w:pPr>
      <w:r w:rsidRPr="0026077D">
        <w:rPr>
          <w:rFonts w:eastAsia="Calibri" w:cs="Arial"/>
          <w:szCs w:val="22"/>
          <w:bdr w:val="nil"/>
          <w:lang w:val="en-GB" w:eastAsia="en-US"/>
        </w:rPr>
        <w:t xml:space="preserve">Table 1.3: Additional estimates and </w:t>
      </w:r>
      <w:r>
        <w:rPr>
          <w:rFonts w:eastAsia="Calibri" w:cs="Arial"/>
          <w:szCs w:val="22"/>
          <w:bdr w:val="nil"/>
          <w:lang w:val="en-GB" w:eastAsia="en-US"/>
        </w:rPr>
        <w:t xml:space="preserve">other </w:t>
      </w:r>
      <w:r w:rsidRPr="0026077D">
        <w:rPr>
          <w:rFonts w:eastAsia="Calibri" w:cs="Arial"/>
          <w:szCs w:val="22"/>
          <w:bdr w:val="nil"/>
          <w:lang w:val="en-GB" w:eastAsia="en-US"/>
        </w:rPr>
        <w:t xml:space="preserve">variations to outcomes </w:t>
      </w:r>
      <w:r>
        <w:rPr>
          <w:rFonts w:eastAsia="Calibri" w:cs="Arial"/>
          <w:szCs w:val="22"/>
          <w:bdr w:val="nil"/>
          <w:lang w:val="en-GB" w:eastAsia="en-US"/>
        </w:rPr>
        <w:t xml:space="preserve">since </w:t>
      </w:r>
      <w:r w:rsidRPr="0026077D">
        <w:rPr>
          <w:rFonts w:eastAsia="Calibri" w:cs="Arial"/>
          <w:szCs w:val="22"/>
          <w:bdr w:val="nil"/>
          <w:lang w:val="en-GB" w:eastAsia="en-US"/>
        </w:rPr>
        <w:t xml:space="preserve"> </w:t>
      </w:r>
      <w:r>
        <w:rPr>
          <w:rFonts w:eastAsia="Calibri" w:cs="Arial"/>
          <w:szCs w:val="22"/>
          <w:bdr w:val="nil"/>
          <w:lang w:val="en-GB" w:eastAsia="en-US"/>
        </w:rPr>
        <w:t>2020</w:t>
      </w:r>
      <w:r>
        <w:rPr>
          <w:rFonts w:eastAsia="Calibri" w:cs="Arial"/>
          <w:szCs w:val="22"/>
          <w:bdr w:val="nil"/>
          <w:lang w:val="en-GB" w:eastAsia="en-US"/>
        </w:rPr>
        <w:noBreakHyphen/>
        <w:t>21 </w:t>
      </w:r>
      <w:r w:rsidRPr="0026077D">
        <w:rPr>
          <w:rFonts w:eastAsia="Calibri" w:cs="Arial"/>
          <w:szCs w:val="22"/>
          <w:bdr w:val="nil"/>
          <w:lang w:val="en-GB" w:eastAsia="en-US"/>
        </w:rPr>
        <w:t>Budget</w:t>
      </w:r>
      <w:r>
        <w:rPr>
          <w:rFonts w:eastAsia="Calibri" w:cs="Arial"/>
          <w:szCs w:val="22"/>
          <w:bdr w:val="nil"/>
          <w:lang w:val="en-GB" w:eastAsia="en-US"/>
        </w:rPr>
        <w:t xml:space="preserve"> (a)</w:t>
      </w:r>
    </w:p>
    <w:tbl>
      <w:tblPr>
        <w:tblStyle w:val="CDMRange1"/>
        <w:tblW w:w="7800" w:type="dxa"/>
        <w:tblLayout w:type="fixed"/>
        <w:tblCellMar>
          <w:top w:w="11" w:type="dxa"/>
          <w:bottom w:w="11" w:type="dxa"/>
        </w:tblCellMar>
        <w:tblLook w:val="0600" w:firstRow="0" w:lastRow="0" w:firstColumn="0" w:lastColumn="0" w:noHBand="1" w:noVBand="1"/>
        <w:tblCaption w:val="Table 1.3: Additional estimates and other variations to outcomes since 2020 21 Budget - refer to footnote A"/>
      </w:tblPr>
      <w:tblGrid>
        <w:gridCol w:w="3540"/>
        <w:gridCol w:w="840"/>
        <w:gridCol w:w="855"/>
        <w:gridCol w:w="855"/>
        <w:gridCol w:w="855"/>
        <w:gridCol w:w="855"/>
      </w:tblGrid>
      <w:tr w:rsidR="00010972" w:rsidTr="00C5172A">
        <w:trPr>
          <w:tblHeader/>
        </w:trPr>
        <w:tc>
          <w:tcPr>
            <w:tcW w:w="3540" w:type="dxa"/>
            <w:tcBorders>
              <w:top w:val="dotted" w:sz="2" w:space="0" w:color="000000"/>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840" w:type="dxa"/>
            <w:tcBorders>
              <w:top w:val="dotted" w:sz="2" w:space="0" w:color="000000"/>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Program impacted</w:t>
            </w:r>
          </w:p>
        </w:tc>
        <w:tc>
          <w:tcPr>
            <w:tcW w:w="85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2020-21 $'000</w:t>
            </w:r>
          </w:p>
        </w:tc>
        <w:tc>
          <w:tcPr>
            <w:tcW w:w="855" w:type="dxa"/>
            <w:tcBorders>
              <w:top w:val="dotted" w:sz="2" w:space="0" w:color="000000"/>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2021-22 $'000</w:t>
            </w:r>
          </w:p>
        </w:tc>
        <w:tc>
          <w:tcPr>
            <w:tcW w:w="855" w:type="dxa"/>
            <w:tcBorders>
              <w:top w:val="dotted" w:sz="2" w:space="0" w:color="000000"/>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2022-23 $'000</w:t>
            </w:r>
          </w:p>
        </w:tc>
        <w:tc>
          <w:tcPr>
            <w:tcW w:w="855" w:type="dxa"/>
            <w:tcBorders>
              <w:top w:val="dotted" w:sz="2" w:space="0" w:color="000000"/>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2023-24 $'000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auto" w:fill="auto"/>
            <w:tcMar>
              <w:left w:w="40"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Outcome 1</w:t>
            </w:r>
          </w:p>
        </w:tc>
        <w:tc>
          <w:tcPr>
            <w:tcW w:w="840"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855" w:type="dxa"/>
            <w:tcBorders>
              <w:top w:val="dotted" w:sz="2" w:space="0" w:color="000000"/>
              <w:left w:val="nil"/>
              <w:bottom w:val="nil"/>
              <w:right w:val="nil"/>
              <w:tl2br w:val="nil"/>
              <w:tr2bl w:val="nil"/>
            </w:tcBorders>
            <w:shd w:val="clear" w:color="FFFFFF" w:fill="E6E6E6"/>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855" w:type="dxa"/>
            <w:tcBorders>
              <w:top w:val="dotted" w:sz="2" w:space="0" w:color="000000"/>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dotted" w:sz="2" w:space="0" w:color="000000"/>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dotted" w:sz="2" w:space="0" w:color="000000"/>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auto" w:fill="auto"/>
            <w:tcMar>
              <w:left w:w="40"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Administered </w:t>
            </w:r>
          </w:p>
        </w:tc>
        <w:tc>
          <w:tcPr>
            <w:tcW w:w="8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855" w:type="dxa"/>
            <w:tcBorders>
              <w:top w:val="nil"/>
              <w:left w:val="nil"/>
              <w:bottom w:val="nil"/>
              <w:right w:val="nil"/>
              <w:tl2br w:val="nil"/>
              <w:tr2bl w:val="nil"/>
            </w:tcBorders>
            <w:shd w:val="clear" w:color="FFFFFF" w:fill="E6E6E6"/>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auto" w:fill="auto"/>
            <w:tcMar>
              <w:left w:w="175"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Annual appropriations</w:t>
            </w:r>
          </w:p>
        </w:tc>
        <w:tc>
          <w:tcPr>
            <w:tcW w:w="8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FFFFFF" w:fill="E6E6E6"/>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auto" w:fill="auto"/>
            <w:tcMar>
              <w:left w:w="175"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increase)</w:t>
            </w:r>
          </w:p>
        </w:tc>
        <w:tc>
          <w:tcPr>
            <w:tcW w:w="84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1.3</w:t>
            </w:r>
          </w:p>
        </w:tc>
        <w:tc>
          <w:tcPr>
            <w:tcW w:w="855" w:type="dxa"/>
            <w:tcBorders>
              <w:top w:val="nil"/>
              <w:left w:val="nil"/>
              <w:bottom w:val="dotted" w:sz="2" w:space="0" w:color="000000"/>
              <w:right w:val="nil"/>
              <w:tl2br w:val="nil"/>
              <w:tr2bl w:val="nil"/>
            </w:tcBorders>
            <w:shd w:val="clear" w:color="FFFFFF" w:fill="E6E6E6"/>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w:t>
            </w:r>
          </w:p>
        </w:tc>
        <w:tc>
          <w:tcPr>
            <w:tcW w:w="855" w:type="dxa"/>
            <w:tcBorders>
              <w:top w:val="nil"/>
              <w:left w:val="nil"/>
              <w:bottom w:val="dotted" w:sz="2" w:space="0" w:color="000000"/>
              <w:right w:val="nil"/>
              <w:tl2br w:val="nil"/>
              <w:tr2bl w:val="nil"/>
            </w:tcBorders>
            <w:shd w:val="clear" w:color="FFFFFF" w:fill="FFFFFF"/>
            <w:tcMar>
              <w:left w:w="40" w:type="dxa"/>
              <w:right w:w="10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7</w:t>
            </w:r>
          </w:p>
        </w:tc>
        <w:tc>
          <w:tcPr>
            <w:tcW w:w="855" w:type="dxa"/>
            <w:tcBorders>
              <w:top w:val="nil"/>
              <w:left w:val="nil"/>
              <w:bottom w:val="dotted" w:sz="2" w:space="0" w:color="000000"/>
              <w:right w:val="nil"/>
              <w:tl2br w:val="nil"/>
              <w:tr2bl w:val="nil"/>
            </w:tcBorders>
            <w:shd w:val="clear" w:color="FFFFFF" w:fill="FFFFFF"/>
            <w:tcMar>
              <w:left w:w="40" w:type="dxa"/>
              <w:right w:w="10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10</w:t>
            </w:r>
          </w:p>
        </w:tc>
        <w:tc>
          <w:tcPr>
            <w:tcW w:w="855" w:type="dxa"/>
            <w:tcBorders>
              <w:top w:val="nil"/>
              <w:left w:val="nil"/>
              <w:bottom w:val="dotted" w:sz="2" w:space="0" w:color="000000"/>
              <w:right w:val="nil"/>
              <w:tl2br w:val="nil"/>
              <w:tr2bl w:val="nil"/>
            </w:tcBorders>
            <w:shd w:val="clear" w:color="FFFFFF" w:fill="FFFFFF"/>
            <w:tcMar>
              <w:left w:w="40" w:type="dxa"/>
              <w:right w:w="10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auto" w:fill="auto"/>
            <w:tcMar>
              <w:left w:w="40"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Net impact on appropriations for</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Outcome 1 (administered)</w:t>
            </w:r>
          </w:p>
        </w:tc>
        <w:tc>
          <w:tcPr>
            <w:tcW w:w="8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855" w:type="dxa"/>
            <w:tcBorders>
              <w:top w:val="nil"/>
              <w:left w:val="nil"/>
              <w:bottom w:val="dotted" w:sz="2" w:space="0" w:color="000000"/>
              <w:right w:val="nil"/>
              <w:tl2br w:val="nil"/>
              <w:tr2bl w:val="nil"/>
            </w:tcBorders>
            <w:shd w:val="clear" w:color="FFFFFF" w:fill="E6E6E6"/>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w:t>
            </w:r>
          </w:p>
        </w:tc>
        <w:tc>
          <w:tcPr>
            <w:tcW w:w="855" w:type="dxa"/>
            <w:tcBorders>
              <w:top w:val="nil"/>
              <w:left w:val="nil"/>
              <w:bottom w:val="dotted" w:sz="2" w:space="0" w:color="000000"/>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7</w:t>
            </w:r>
          </w:p>
        </w:tc>
        <w:tc>
          <w:tcPr>
            <w:tcW w:w="855" w:type="dxa"/>
            <w:tcBorders>
              <w:top w:val="nil"/>
              <w:left w:val="nil"/>
              <w:bottom w:val="dotted" w:sz="2" w:space="0" w:color="000000"/>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10</w:t>
            </w:r>
          </w:p>
        </w:tc>
        <w:tc>
          <w:tcPr>
            <w:tcW w:w="855" w:type="dxa"/>
            <w:tcBorders>
              <w:top w:val="nil"/>
              <w:left w:val="nil"/>
              <w:bottom w:val="dotted" w:sz="2" w:space="0" w:color="000000"/>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auto" w:fill="auto"/>
            <w:tcMar>
              <w:left w:w="40"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Departmental </w:t>
            </w:r>
          </w:p>
        </w:tc>
        <w:tc>
          <w:tcPr>
            <w:tcW w:w="8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FFFFFF" w:fill="E6E6E6"/>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auto" w:fill="auto"/>
            <w:tcMar>
              <w:left w:w="175"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Annual appropriations</w:t>
            </w:r>
          </w:p>
        </w:tc>
        <w:tc>
          <w:tcPr>
            <w:tcW w:w="8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FFFFFF" w:fill="E6E6E6"/>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175"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Measures</w:t>
            </w:r>
          </w:p>
        </w:tc>
        <w:tc>
          <w:tcPr>
            <w:tcW w:w="84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FFFFFF" w:fill="E6E6E6"/>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175"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Income Compliance Program Settlement </w:t>
            </w:r>
          </w:p>
        </w:tc>
        <w:tc>
          <w:tcPr>
            <w:tcW w:w="84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1.1</w:t>
            </w:r>
          </w:p>
        </w:tc>
        <w:tc>
          <w:tcPr>
            <w:tcW w:w="855" w:type="dxa"/>
            <w:tcBorders>
              <w:top w:val="nil"/>
              <w:left w:val="nil"/>
              <w:bottom w:val="nil"/>
              <w:right w:val="nil"/>
              <w:tl2br w:val="nil"/>
              <w:tr2bl w:val="nil"/>
            </w:tcBorders>
            <w:shd w:val="clear" w:color="FFFFFF" w:fill="E6E6E6"/>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23,500</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175"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COVID-19 Response Package – Child Care</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Subsidy – Changes to families' income</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reporting requirements</w:t>
            </w:r>
          </w:p>
        </w:tc>
        <w:tc>
          <w:tcPr>
            <w:tcW w:w="84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1.1</w:t>
            </w:r>
          </w:p>
        </w:tc>
        <w:tc>
          <w:tcPr>
            <w:tcW w:w="855" w:type="dxa"/>
            <w:tcBorders>
              <w:top w:val="nil"/>
              <w:left w:val="nil"/>
              <w:bottom w:val="nil"/>
              <w:right w:val="nil"/>
              <w:tl2br w:val="nil"/>
              <w:tr2bl w:val="nil"/>
            </w:tcBorders>
            <w:shd w:val="clear" w:color="FFFFFF" w:fill="E6E6E6"/>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5,784</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4,847</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175"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COVID-19 Response Package – Targeted</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Compliance Framework – changes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to income support payment suspension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arrangements</w:t>
            </w:r>
          </w:p>
        </w:tc>
        <w:tc>
          <w:tcPr>
            <w:tcW w:w="84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1.1</w:t>
            </w:r>
          </w:p>
        </w:tc>
        <w:tc>
          <w:tcPr>
            <w:tcW w:w="85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(45)</w:t>
            </w:r>
          </w:p>
        </w:tc>
        <w:tc>
          <w:tcPr>
            <w:tcW w:w="85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rsidP="00E838F8">
            <w:pPr>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bdr w:val="nil"/>
              </w:rPr>
              <w:t>(80)</w:t>
            </w:r>
          </w:p>
        </w:tc>
        <w:tc>
          <w:tcPr>
            <w:tcW w:w="85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(80)</w:t>
            </w:r>
          </w:p>
        </w:tc>
        <w:tc>
          <w:tcPr>
            <w:tcW w:w="85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175"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COVID-19 Response Package – ageing and</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aged care</w:t>
            </w:r>
          </w:p>
        </w:tc>
        <w:tc>
          <w:tcPr>
            <w:tcW w:w="84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1.2</w:t>
            </w:r>
          </w:p>
        </w:tc>
        <w:tc>
          <w:tcPr>
            <w:tcW w:w="855" w:type="dxa"/>
            <w:tcBorders>
              <w:top w:val="nil"/>
              <w:left w:val="nil"/>
              <w:bottom w:val="nil"/>
              <w:right w:val="nil"/>
              <w:tl2br w:val="nil"/>
              <w:tr2bl w:val="nil"/>
            </w:tcBorders>
            <w:shd w:val="clear" w:color="FFFFFF" w:fill="E6E6E6"/>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148</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316</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175"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COVID-19 Response Package – vaccination</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and treatment</w:t>
            </w:r>
          </w:p>
        </w:tc>
        <w:tc>
          <w:tcPr>
            <w:tcW w:w="84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1.2</w:t>
            </w:r>
          </w:p>
        </w:tc>
        <w:tc>
          <w:tcPr>
            <w:tcW w:w="855" w:type="dxa"/>
            <w:tcBorders>
              <w:top w:val="nil"/>
              <w:left w:val="nil"/>
              <w:bottom w:val="nil"/>
              <w:right w:val="nil"/>
              <w:tl2br w:val="nil"/>
              <w:tr2bl w:val="nil"/>
            </w:tcBorders>
            <w:shd w:val="clear" w:color="FFFFFF" w:fill="E6E6E6"/>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35,198</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4,202</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175"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Improving Access to Medicines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Pharmaceutical Benefits Scheme – new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and amended listings</w:t>
            </w:r>
          </w:p>
        </w:tc>
        <w:tc>
          <w:tcPr>
            <w:tcW w:w="84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1.2</w:t>
            </w:r>
          </w:p>
        </w:tc>
        <w:tc>
          <w:tcPr>
            <w:tcW w:w="855" w:type="dxa"/>
            <w:tcBorders>
              <w:top w:val="nil"/>
              <w:left w:val="nil"/>
              <w:bottom w:val="nil"/>
              <w:right w:val="nil"/>
              <w:tl2br w:val="nil"/>
              <w:tr2bl w:val="nil"/>
            </w:tcBorders>
            <w:shd w:val="clear" w:color="FFFFFF" w:fill="E6E6E6"/>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231</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7</w:t>
            </w:r>
          </w:p>
        </w:tc>
        <w:tc>
          <w:tcPr>
            <w:tcW w:w="85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w:t>
            </w:r>
          </w:p>
        </w:tc>
        <w:tc>
          <w:tcPr>
            <w:tcW w:w="85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175"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COVID-19 Vaccine Implementation and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Rollout (b)</w:t>
            </w:r>
          </w:p>
        </w:tc>
        <w:tc>
          <w:tcPr>
            <w:tcW w:w="84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1.2</w:t>
            </w:r>
          </w:p>
        </w:tc>
        <w:tc>
          <w:tcPr>
            <w:tcW w:w="855" w:type="dxa"/>
            <w:tcBorders>
              <w:top w:val="nil"/>
              <w:left w:val="nil"/>
              <w:bottom w:val="nil"/>
              <w:right w:val="nil"/>
              <w:tl2br w:val="nil"/>
              <w:tr2bl w:val="nil"/>
            </w:tcBorders>
            <w:shd w:val="clear" w:color="FFFFFF" w:fill="E6E6E6"/>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24,634</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63,060</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8,254</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5,581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175"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COVID-19 Response Package – Extend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Coronavirus Supplement Temporary Access</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and Eligibility</w:t>
            </w:r>
          </w:p>
        </w:tc>
        <w:tc>
          <w:tcPr>
            <w:tcW w:w="84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1.1</w:t>
            </w:r>
          </w:p>
        </w:tc>
        <w:tc>
          <w:tcPr>
            <w:tcW w:w="855" w:type="dxa"/>
            <w:tcBorders>
              <w:top w:val="nil"/>
              <w:left w:val="nil"/>
              <w:bottom w:val="nil"/>
              <w:right w:val="nil"/>
              <w:tl2br w:val="nil"/>
              <w:tr2bl w:val="nil"/>
            </w:tcBorders>
            <w:shd w:val="clear" w:color="FFFFFF" w:fill="E6E6E6"/>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42,251</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855" w:type="dxa"/>
            <w:tcBorders>
              <w:top w:val="nil"/>
              <w:left w:val="nil"/>
              <w:bottom w:val="nil"/>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dotted" w:sz="2" w:space="0" w:color="000000"/>
              <w:right w:val="nil"/>
              <w:tl2br w:val="nil"/>
              <w:tr2bl w:val="nil"/>
            </w:tcBorders>
            <w:shd w:val="clear" w:color="FFFFFF" w:fill="FFFFFF"/>
            <w:tcMar>
              <w:left w:w="175"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Mobility Allowance Program – extension</w:t>
            </w:r>
          </w:p>
        </w:tc>
        <w:tc>
          <w:tcPr>
            <w:tcW w:w="840" w:type="dxa"/>
            <w:tcBorders>
              <w:top w:val="nil"/>
              <w:left w:val="nil"/>
              <w:bottom w:val="dotted" w:sz="2" w:space="0" w:color="000000"/>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1.1</w:t>
            </w:r>
          </w:p>
        </w:tc>
        <w:tc>
          <w:tcPr>
            <w:tcW w:w="855" w:type="dxa"/>
            <w:tcBorders>
              <w:top w:val="nil"/>
              <w:left w:val="nil"/>
              <w:bottom w:val="dotted" w:sz="2" w:space="0" w:color="000000"/>
              <w:right w:val="nil"/>
              <w:tl2br w:val="nil"/>
              <w:tr2bl w:val="nil"/>
            </w:tcBorders>
            <w:shd w:val="clear" w:color="FFFFFF" w:fill="E6E6E6"/>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291</w:t>
            </w:r>
          </w:p>
        </w:tc>
        <w:tc>
          <w:tcPr>
            <w:tcW w:w="855" w:type="dxa"/>
            <w:tcBorders>
              <w:top w:val="nil"/>
              <w:left w:val="nil"/>
              <w:bottom w:val="dotted" w:sz="2" w:space="0" w:color="000000"/>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855" w:type="dxa"/>
            <w:tcBorders>
              <w:top w:val="nil"/>
              <w:left w:val="nil"/>
              <w:bottom w:val="dotted" w:sz="2" w:space="0" w:color="000000"/>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855" w:type="dxa"/>
            <w:tcBorders>
              <w:top w:val="nil"/>
              <w:left w:val="nil"/>
              <w:bottom w:val="dotted" w:sz="2" w:space="0" w:color="000000"/>
              <w:right w:val="nil"/>
              <w:tl2br w:val="nil"/>
              <w:tr2bl w:val="nil"/>
            </w:tcBorders>
            <w:shd w:val="clear" w:color="FFFFFF" w:fill="FFFFFF"/>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dotted" w:sz="2" w:space="0" w:color="000000"/>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840" w:type="dxa"/>
            <w:tcBorders>
              <w:top w:val="dotted" w:sz="2" w:space="0" w:color="000000"/>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855" w:type="dxa"/>
            <w:tcBorders>
              <w:top w:val="dotted" w:sz="2" w:space="0" w:color="000000"/>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dotted" w:sz="2" w:space="0" w:color="000000"/>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dotted" w:sz="2" w:space="0" w:color="000000"/>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dotted" w:sz="2" w:space="0" w:color="000000"/>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840"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840"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bl>
    <w:p w:rsidR="00587D48" w:rsidRDefault="00D5482E">
      <w:pPr>
        <w:pBdr>
          <w:top w:val="nil"/>
          <w:left w:val="nil"/>
          <w:bottom w:val="nil"/>
          <w:right w:val="nil"/>
          <w:between w:val="nil"/>
          <w:bar w:val="nil"/>
        </w:pBdr>
        <w:rPr>
          <w:rFonts w:ascii="Calibri" w:eastAsia="Calibri" w:hAnsi="Calibri" w:cs="Arial"/>
          <w:b/>
          <w:color w:val="FF0000"/>
          <w:bdr w:val="nil"/>
          <w:lang w:val="en-GB"/>
        </w:rPr>
      </w:pPr>
      <w:r>
        <w:rPr>
          <w:rFonts w:ascii="Calibri" w:eastAsia="Calibri" w:hAnsi="Calibri" w:cs="Arial"/>
          <w:b/>
          <w:color w:val="FF0000"/>
          <w:bdr w:val="nil"/>
          <w:lang w:val="en-GB"/>
        </w:rPr>
        <w:br w:type="page"/>
      </w:r>
    </w:p>
    <w:p w:rsidR="00587D48" w:rsidRDefault="00D5482E" w:rsidP="005E0A0F">
      <w:pPr>
        <w:pStyle w:val="TableHeading"/>
        <w:keepLines/>
        <w:pBdr>
          <w:top w:val="nil"/>
          <w:left w:val="nil"/>
          <w:bottom w:val="nil"/>
          <w:right w:val="nil"/>
          <w:between w:val="nil"/>
          <w:bar w:val="nil"/>
        </w:pBdr>
        <w:spacing w:before="0" w:after="0"/>
        <w:rPr>
          <w:rFonts w:eastAsia="Calibri"/>
          <w:szCs w:val="22"/>
          <w:bdr w:val="nil"/>
          <w:lang w:val="en-GB" w:eastAsia="en-US"/>
        </w:rPr>
      </w:pPr>
      <w:r w:rsidRPr="0026077D">
        <w:rPr>
          <w:rFonts w:eastAsia="Calibri" w:cs="Arial"/>
          <w:szCs w:val="22"/>
          <w:bdr w:val="nil"/>
          <w:lang w:val="en-GB" w:eastAsia="en-US"/>
        </w:rPr>
        <w:lastRenderedPageBreak/>
        <w:t xml:space="preserve">Table 1.3: Additional estimates and </w:t>
      </w:r>
      <w:r>
        <w:rPr>
          <w:rFonts w:eastAsia="Calibri" w:cs="Arial"/>
          <w:szCs w:val="22"/>
          <w:bdr w:val="nil"/>
          <w:lang w:val="en-GB" w:eastAsia="en-US"/>
        </w:rPr>
        <w:t xml:space="preserve">other </w:t>
      </w:r>
      <w:r w:rsidRPr="0026077D">
        <w:rPr>
          <w:rFonts w:eastAsia="Calibri" w:cs="Arial"/>
          <w:szCs w:val="22"/>
          <w:bdr w:val="nil"/>
          <w:lang w:val="en-GB" w:eastAsia="en-US"/>
        </w:rPr>
        <w:t xml:space="preserve">variations to outcomes </w:t>
      </w:r>
      <w:r>
        <w:rPr>
          <w:rFonts w:eastAsia="Calibri" w:cs="Arial"/>
          <w:szCs w:val="22"/>
          <w:bdr w:val="nil"/>
          <w:lang w:val="en-GB" w:eastAsia="en-US"/>
        </w:rPr>
        <w:t>since 2020</w:t>
      </w:r>
      <w:r>
        <w:rPr>
          <w:rFonts w:eastAsia="Calibri" w:cs="Arial"/>
          <w:szCs w:val="22"/>
          <w:bdr w:val="nil"/>
          <w:lang w:val="en-GB" w:eastAsia="en-US"/>
        </w:rPr>
        <w:noBreakHyphen/>
        <w:t>21 </w:t>
      </w:r>
      <w:r w:rsidRPr="0026077D">
        <w:rPr>
          <w:rFonts w:eastAsia="Calibri" w:cs="Arial"/>
          <w:szCs w:val="22"/>
          <w:bdr w:val="nil"/>
          <w:lang w:val="en-GB" w:eastAsia="en-US"/>
        </w:rPr>
        <w:t>Budget</w:t>
      </w:r>
      <w:r>
        <w:rPr>
          <w:rFonts w:eastAsia="Calibri" w:cs="Arial"/>
          <w:szCs w:val="22"/>
          <w:bdr w:val="nil"/>
          <w:lang w:val="en-GB" w:eastAsia="en-US"/>
        </w:rPr>
        <w:t xml:space="preserve"> (a) (continued) </w:t>
      </w:r>
    </w:p>
    <w:tbl>
      <w:tblPr>
        <w:tblStyle w:val="CDMRange2"/>
        <w:tblW w:w="7800" w:type="dxa"/>
        <w:tblLayout w:type="fixed"/>
        <w:tblCellMar>
          <w:top w:w="11" w:type="dxa"/>
          <w:bottom w:w="11" w:type="dxa"/>
        </w:tblCellMar>
        <w:tblLook w:val="0600" w:firstRow="0" w:lastRow="0" w:firstColumn="0" w:lastColumn="0" w:noHBand="1" w:noVBand="1"/>
        <w:tblCaption w:val="Table 1.3: Additional estimates and other variations to outcomes since 2020 21 Budget - refer to footnote A"/>
      </w:tblPr>
      <w:tblGrid>
        <w:gridCol w:w="3540"/>
        <w:gridCol w:w="840"/>
        <w:gridCol w:w="855"/>
        <w:gridCol w:w="855"/>
        <w:gridCol w:w="855"/>
        <w:gridCol w:w="855"/>
      </w:tblGrid>
      <w:tr w:rsidR="00010972" w:rsidTr="00C5172A">
        <w:trPr>
          <w:tblHeader/>
        </w:trPr>
        <w:tc>
          <w:tcPr>
            <w:tcW w:w="3540" w:type="dxa"/>
            <w:tcBorders>
              <w:top w:val="dotted" w:sz="2" w:space="0" w:color="000000"/>
              <w:left w:val="nil"/>
              <w:bottom w:val="nil"/>
              <w:right w:val="nil"/>
              <w:tl2br w:val="nil"/>
              <w:tr2bl w:val="nil"/>
            </w:tcBorders>
            <w:shd w:val="clear" w:color="auto" w:fill="auto"/>
            <w:tcMar>
              <w:left w:w="0" w:type="dxa"/>
              <w:right w:w="0" w:type="dxa"/>
            </w:tcMa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840" w:type="dxa"/>
            <w:tcBorders>
              <w:top w:val="dotted" w:sz="2" w:space="0" w:color="000000"/>
              <w:left w:val="nil"/>
              <w:bottom w:val="dotted" w:sz="2" w:space="0" w:color="000000"/>
              <w:right w:val="nil"/>
              <w:tl2br w:val="nil"/>
              <w:tr2bl w:val="nil"/>
            </w:tcBorders>
            <w:shd w:val="clear" w:color="auto" w:fill="auto"/>
            <w:tcMar>
              <w:left w:w="40" w:type="dxa"/>
              <w:right w:w="40" w:type="dxa"/>
            </w:tcMar>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Program impacted</w:t>
            </w:r>
          </w:p>
        </w:tc>
        <w:tc>
          <w:tcPr>
            <w:tcW w:w="855" w:type="dxa"/>
            <w:tcBorders>
              <w:top w:val="dotted" w:sz="2" w:space="0" w:color="000000"/>
              <w:left w:val="nil"/>
              <w:bottom w:val="dotted" w:sz="2" w:space="0" w:color="000000"/>
              <w:right w:val="nil"/>
              <w:tl2br w:val="nil"/>
              <w:tr2bl w:val="nil"/>
            </w:tcBorders>
            <w:shd w:val="clear" w:color="FFFFFF" w:fill="E6E6E6"/>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2020-21 $'000</w:t>
            </w:r>
          </w:p>
        </w:tc>
        <w:tc>
          <w:tcPr>
            <w:tcW w:w="855" w:type="dxa"/>
            <w:tcBorders>
              <w:top w:val="dotted" w:sz="2" w:space="0" w:color="000000"/>
              <w:left w:val="nil"/>
              <w:bottom w:val="dotted" w:sz="2" w:space="0" w:color="000000"/>
              <w:right w:val="nil"/>
              <w:tl2br w:val="nil"/>
              <w:tr2bl w:val="nil"/>
            </w:tcBorders>
            <w:shd w:val="clear" w:color="auto" w:fill="auto"/>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2021-22 $'000</w:t>
            </w:r>
          </w:p>
        </w:tc>
        <w:tc>
          <w:tcPr>
            <w:tcW w:w="855" w:type="dxa"/>
            <w:tcBorders>
              <w:top w:val="dotted" w:sz="2" w:space="0" w:color="000000"/>
              <w:left w:val="nil"/>
              <w:bottom w:val="dotted" w:sz="2" w:space="0" w:color="000000"/>
              <w:right w:val="nil"/>
              <w:tl2br w:val="nil"/>
              <w:tr2bl w:val="nil"/>
            </w:tcBorders>
            <w:shd w:val="clear" w:color="auto" w:fill="auto"/>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2022-23 $'000</w:t>
            </w:r>
          </w:p>
        </w:tc>
        <w:tc>
          <w:tcPr>
            <w:tcW w:w="855" w:type="dxa"/>
            <w:tcBorders>
              <w:top w:val="dotted" w:sz="2" w:space="0" w:color="000000"/>
              <w:left w:val="nil"/>
              <w:bottom w:val="dotted" w:sz="2" w:space="0" w:color="000000"/>
              <w:right w:val="nil"/>
              <w:tl2br w:val="nil"/>
              <w:tr2bl w:val="nil"/>
            </w:tcBorders>
            <w:shd w:val="clear" w:color="auto" w:fill="auto"/>
            <w:tcMar>
              <w:left w:w="40" w:type="dxa"/>
              <w:right w:w="40" w:type="dxa"/>
            </w:tcMa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2023-24 $'000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40"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Outcome 1</w:t>
            </w:r>
          </w:p>
        </w:tc>
        <w:tc>
          <w:tcPr>
            <w:tcW w:w="840" w:type="dxa"/>
            <w:tcBorders>
              <w:top w:val="dotted" w:sz="2" w:space="0" w:color="000000"/>
              <w:left w:val="nil"/>
              <w:bottom w:val="nil"/>
              <w:right w:val="nil"/>
              <w:tl2br w:val="nil"/>
              <w:tr2bl w:val="nil"/>
            </w:tcBorders>
            <w:shd w:val="clear" w:color="FFFFFF" w:fill="FFFFFF"/>
            <w:noWrap/>
            <w:tcMar>
              <w:left w:w="0" w:type="dxa"/>
              <w:right w:w="0" w:type="dxa"/>
            </w:tcMar>
          </w:tcPr>
          <w:p w:rsidR="00010972" w:rsidRDefault="00010972">
            <w:pPr>
              <w:pBdr>
                <w:top w:val="nil"/>
                <w:left w:val="nil"/>
                <w:bottom w:val="nil"/>
                <w:right w:val="nil"/>
                <w:between w:val="nil"/>
                <w:bar w:val="nil"/>
              </w:pBdr>
              <w:spacing w:after="0" w:line="240" w:lineRule="auto"/>
              <w:jc w:val="center"/>
              <w:rPr>
                <w:rFonts w:ascii="Arial" w:eastAsia="Arial" w:hAnsi="Arial" w:cs="Arial"/>
                <w:b/>
                <w:color w:val="000000"/>
                <w:sz w:val="16"/>
                <w:bdr w:val="nil"/>
              </w:rPr>
            </w:pPr>
          </w:p>
        </w:tc>
        <w:tc>
          <w:tcPr>
            <w:tcW w:w="85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855" w:type="dxa"/>
            <w:tcBorders>
              <w:top w:val="dotted" w:sz="2" w:space="0" w:color="000000"/>
              <w:left w:val="nil"/>
              <w:bottom w:val="nil"/>
              <w:right w:val="nil"/>
              <w:tl2br w:val="nil"/>
              <w:tr2bl w:val="nil"/>
            </w:tcBorders>
            <w:shd w:val="clear" w:color="FFFFFF" w:fill="FFFFFF"/>
            <w:noWrap/>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dotted" w:sz="2" w:space="0" w:color="000000"/>
              <w:left w:val="nil"/>
              <w:bottom w:val="nil"/>
              <w:right w:val="nil"/>
              <w:tl2br w:val="nil"/>
              <w:tr2bl w:val="nil"/>
            </w:tcBorders>
            <w:shd w:val="clear" w:color="FFFFFF" w:fill="FFFFFF"/>
            <w:noWrap/>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dotted" w:sz="2" w:space="0" w:color="000000"/>
              <w:left w:val="nil"/>
              <w:bottom w:val="nil"/>
              <w:right w:val="nil"/>
              <w:tl2br w:val="nil"/>
              <w:tr2bl w:val="nil"/>
            </w:tcBorders>
            <w:shd w:val="clear" w:color="FFFFFF" w:fill="FFFFFF"/>
            <w:noWrap/>
            <w:tcMar>
              <w:left w:w="0" w:type="dxa"/>
              <w:right w:w="0" w:type="dxa"/>
            </w:tcMar>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175"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Annual appropriations</w:t>
            </w:r>
          </w:p>
        </w:tc>
        <w:tc>
          <w:tcPr>
            <w:tcW w:w="840"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310"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Changes in Parameters</w:t>
            </w:r>
          </w:p>
        </w:tc>
        <w:tc>
          <w:tcPr>
            <w:tcW w:w="840"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85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85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310"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840"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1.1, 1.2, 1.3</w:t>
            </w:r>
          </w:p>
        </w:tc>
        <w:tc>
          <w:tcPr>
            <w:tcW w:w="85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85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85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rsidP="00F61904">
            <w:pPr>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bdr w:val="nil"/>
              </w:rPr>
              <w:t>(3,796)</w:t>
            </w:r>
          </w:p>
        </w:tc>
        <w:tc>
          <w:tcPr>
            <w:tcW w:w="855"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rsidP="00F61904">
            <w:pPr>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bdr w:val="nil"/>
              </w:rPr>
              <w:t>(15)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310"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Other Variations </w:t>
            </w:r>
            <w:r>
              <w:rPr>
                <w:rFonts w:ascii="Arial" w:eastAsia="Arial" w:hAnsi="Arial" w:cs="Arial"/>
                <w:color w:val="000000"/>
                <w:sz w:val="16"/>
                <w:bdr w:val="nil"/>
              </w:rPr>
              <w:t>(c)</w:t>
            </w:r>
          </w:p>
        </w:tc>
        <w:tc>
          <w:tcPr>
            <w:tcW w:w="840"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855" w:type="dxa"/>
            <w:tcBorders>
              <w:top w:val="nil"/>
              <w:left w:val="nil"/>
              <w:bottom w:val="nil"/>
              <w:right w:val="nil"/>
              <w:tl2br w:val="nil"/>
              <w:tr2bl w:val="nil"/>
            </w:tcBorders>
            <w:shd w:val="clear" w:color="FFFFFF" w:fill="FFFFFF"/>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increase)</w:t>
            </w:r>
          </w:p>
        </w:tc>
        <w:tc>
          <w:tcPr>
            <w:tcW w:w="84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1.1, 1.2</w:t>
            </w:r>
          </w:p>
        </w:tc>
        <w:tc>
          <w:tcPr>
            <w:tcW w:w="855"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 xml:space="preserve"> 120,725 </w:t>
            </w:r>
          </w:p>
        </w:tc>
        <w:tc>
          <w:tcPr>
            <w:tcW w:w="85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49,568</w:t>
            </w:r>
          </w:p>
        </w:tc>
        <w:tc>
          <w:tcPr>
            <w:tcW w:w="85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24,615</w:t>
            </w:r>
          </w:p>
        </w:tc>
        <w:tc>
          <w:tcPr>
            <w:tcW w:w="85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20,717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310"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(net decrease)</w:t>
            </w:r>
          </w:p>
        </w:tc>
        <w:tc>
          <w:tcPr>
            <w:tcW w:w="840" w:type="dxa"/>
            <w:tcBorders>
              <w:top w:val="nil"/>
              <w:left w:val="nil"/>
              <w:bottom w:val="nil"/>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1.1, 1.2</w:t>
            </w:r>
          </w:p>
        </w:tc>
        <w:tc>
          <w:tcPr>
            <w:tcW w:w="855" w:type="dxa"/>
            <w:tcBorders>
              <w:top w:val="nil"/>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 xml:space="preserve"> (91,712)</w:t>
            </w:r>
          </w:p>
        </w:tc>
        <w:tc>
          <w:tcPr>
            <w:tcW w:w="85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rsidP="00F61904">
            <w:pPr>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bdr w:val="nil"/>
              </w:rPr>
              <w:t>(26,927)</w:t>
            </w:r>
          </w:p>
        </w:tc>
        <w:tc>
          <w:tcPr>
            <w:tcW w:w="85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rsidP="00F61904">
            <w:pPr>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bdr w:val="nil"/>
              </w:rPr>
              <w:t>(19,410)</w:t>
            </w:r>
          </w:p>
        </w:tc>
        <w:tc>
          <w:tcPr>
            <w:tcW w:w="855" w:type="dxa"/>
            <w:tcBorders>
              <w:top w:val="nil"/>
              <w:left w:val="nil"/>
              <w:bottom w:val="dotted" w:sz="2" w:space="0" w:color="000000"/>
              <w:right w:val="nil"/>
              <w:tl2br w:val="nil"/>
              <w:tr2bl w:val="nil"/>
            </w:tcBorders>
            <w:shd w:val="clear" w:color="FFFFFF" w:fill="FFFFFF"/>
            <w:noWrap/>
            <w:tcMar>
              <w:left w:w="40" w:type="dxa"/>
              <w:right w:w="40" w:type="dxa"/>
            </w:tcMar>
            <w:vAlign w:val="bottom"/>
          </w:tcPr>
          <w:p w:rsidR="00010972" w:rsidRDefault="00D5482E" w:rsidP="00F61904">
            <w:pPr>
              <w:pBdr>
                <w:top w:val="nil"/>
                <w:left w:val="nil"/>
                <w:bottom w:val="nil"/>
                <w:right w:val="nil"/>
                <w:between w:val="nil"/>
                <w:bar w:val="nil"/>
              </w:pBdr>
              <w:spacing w:after="0" w:line="240" w:lineRule="auto"/>
              <w:ind w:right="57"/>
              <w:jc w:val="right"/>
              <w:rPr>
                <w:rFonts w:ascii="Arial" w:eastAsia="Arial" w:hAnsi="Arial" w:cs="Arial"/>
                <w:color w:val="000000"/>
                <w:sz w:val="16"/>
                <w:bdr w:val="nil"/>
              </w:rPr>
            </w:pPr>
            <w:r>
              <w:rPr>
                <w:rFonts w:ascii="Arial" w:eastAsia="Arial" w:hAnsi="Arial" w:cs="Arial"/>
                <w:color w:val="000000"/>
                <w:sz w:val="16"/>
                <w:bdr w:val="nil"/>
              </w:rPr>
              <w:t>(18,260)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nil"/>
              <w:right w:val="nil"/>
              <w:tl2br w:val="nil"/>
              <w:tr2bl w:val="nil"/>
            </w:tcBorders>
            <w:shd w:val="clear" w:color="FFFFFF" w:fill="FFFFFF"/>
            <w:tcMar>
              <w:left w:w="40"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Net impact on appropriations for</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Outcome 1 (departmental)</w:t>
            </w:r>
          </w:p>
        </w:tc>
        <w:tc>
          <w:tcPr>
            <w:tcW w:w="840" w:type="dxa"/>
            <w:tcBorders>
              <w:top w:val="nil"/>
              <w:left w:val="nil"/>
              <w:bottom w:val="nil"/>
              <w:right w:val="nil"/>
              <w:tl2br w:val="nil"/>
              <w:tr2bl w:val="nil"/>
            </w:tcBorders>
            <w:shd w:val="clear" w:color="FFFFFF" w:fill="FFFFFF"/>
            <w:noWrap/>
            <w:tcMar>
              <w:left w:w="0" w:type="dxa"/>
              <w:right w:w="0" w:type="dxa"/>
            </w:tcMar>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85"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4"/>
                <w:bdr w:val="nil"/>
              </w:rPr>
            </w:pPr>
            <w:r>
              <w:rPr>
                <w:rFonts w:ascii="Arial" w:eastAsia="Arial" w:hAnsi="Arial" w:cs="Arial"/>
                <w:b/>
                <w:color w:val="000000"/>
                <w:sz w:val="15"/>
                <w:bdr w:val="nil"/>
              </w:rPr>
              <w:t>161,005</w:t>
            </w:r>
          </w:p>
        </w:tc>
        <w:tc>
          <w:tcPr>
            <w:tcW w:w="85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94,993</w:t>
            </w:r>
          </w:p>
        </w:tc>
        <w:tc>
          <w:tcPr>
            <w:tcW w:w="85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9,581</w:t>
            </w:r>
          </w:p>
        </w:tc>
        <w:tc>
          <w:tcPr>
            <w:tcW w:w="85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7,934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40" w:type="dxa"/>
            <w:tcBorders>
              <w:top w:val="nil"/>
              <w:left w:val="nil"/>
              <w:bottom w:val="dotted" w:sz="2" w:space="0" w:color="000000"/>
              <w:right w:val="nil"/>
              <w:tl2br w:val="nil"/>
              <w:tr2bl w:val="nil"/>
            </w:tcBorders>
            <w:shd w:val="clear" w:color="FFFFFF" w:fill="FFFFFF"/>
            <w:tcMar>
              <w:left w:w="40"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net impact on appropriations</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for Outcome 1</w:t>
            </w:r>
          </w:p>
        </w:tc>
        <w:tc>
          <w:tcPr>
            <w:tcW w:w="840" w:type="dxa"/>
            <w:tcBorders>
              <w:top w:val="nil"/>
              <w:left w:val="nil"/>
              <w:bottom w:val="dotted" w:sz="2" w:space="0" w:color="000000"/>
              <w:right w:val="nil"/>
              <w:tl2br w:val="nil"/>
              <w:tr2bl w:val="nil"/>
            </w:tcBorders>
            <w:shd w:val="clear" w:color="FFFFFF" w:fill="FFFFFF"/>
            <w:noWrap/>
            <w:tcMar>
              <w:left w:w="0" w:type="dxa"/>
              <w:right w:w="0" w:type="dxa"/>
            </w:tcMar>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855" w:type="dxa"/>
            <w:tcBorders>
              <w:top w:val="dotted" w:sz="2" w:space="0" w:color="000000"/>
              <w:left w:val="nil"/>
              <w:bottom w:val="dotted" w:sz="2" w:space="0" w:color="000000"/>
              <w:right w:val="nil"/>
              <w:tl2br w:val="nil"/>
              <w:tr2bl w:val="nil"/>
            </w:tcBorders>
            <w:shd w:val="clear" w:color="FFFFFF" w:fill="E6E6E6"/>
            <w:noWrap/>
            <w:tcMar>
              <w:left w:w="40" w:type="dxa"/>
              <w:right w:w="85"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4"/>
                <w:bdr w:val="nil"/>
              </w:rPr>
            </w:pPr>
            <w:r>
              <w:rPr>
                <w:rFonts w:ascii="Arial" w:eastAsia="Arial" w:hAnsi="Arial" w:cs="Arial"/>
                <w:b/>
                <w:color w:val="000000"/>
                <w:sz w:val="15"/>
                <w:bdr w:val="nil"/>
              </w:rPr>
              <w:t>161,010</w:t>
            </w:r>
          </w:p>
        </w:tc>
        <w:tc>
          <w:tcPr>
            <w:tcW w:w="85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95,000</w:t>
            </w:r>
          </w:p>
        </w:tc>
        <w:tc>
          <w:tcPr>
            <w:tcW w:w="85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9,591</w:t>
            </w:r>
          </w:p>
        </w:tc>
        <w:tc>
          <w:tcPr>
            <w:tcW w:w="85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7,944</w:t>
            </w:r>
          </w:p>
        </w:tc>
      </w:tr>
    </w:tbl>
    <w:p w:rsidR="009E3FA2" w:rsidRDefault="00D5482E" w:rsidP="005E0A0F">
      <w:pPr>
        <w:pBdr>
          <w:top w:val="nil"/>
          <w:left w:val="nil"/>
          <w:bottom w:val="nil"/>
          <w:right w:val="nil"/>
          <w:between w:val="nil"/>
          <w:bar w:val="nil"/>
        </w:pBdr>
        <w:spacing w:after="0" w:line="240" w:lineRule="auto"/>
        <w:rPr>
          <w:rFonts w:ascii="Arial" w:eastAsia="Calibri" w:hAnsi="Arial" w:cs="Arial"/>
          <w:sz w:val="16"/>
          <w:bdr w:val="nil"/>
        </w:rPr>
      </w:pPr>
      <w:r>
        <w:rPr>
          <w:rFonts w:ascii="Arial" w:eastAsia="Calibri" w:hAnsi="Arial" w:cs="Arial"/>
          <w:sz w:val="16"/>
          <w:bdr w:val="nil"/>
        </w:rPr>
        <w:t>Prepared on a resourcing (i.e. appropriations available) basis.</w:t>
      </w:r>
    </w:p>
    <w:p w:rsidR="00485E05" w:rsidRDefault="00D5482E" w:rsidP="00DC76AC">
      <w:pPr>
        <w:pStyle w:val="ChartandTableFootnoteAlpha"/>
        <w:numPr>
          <w:ilvl w:val="0"/>
          <w:numId w:val="43"/>
        </w:numPr>
        <w:pBdr>
          <w:top w:val="nil"/>
          <w:left w:val="nil"/>
          <w:bottom w:val="nil"/>
          <w:right w:val="nil"/>
          <w:between w:val="nil"/>
          <w:bar w:val="nil"/>
        </w:pBdr>
        <w:tabs>
          <w:tab w:val="clear" w:pos="397"/>
          <w:tab w:val="num" w:pos="284"/>
        </w:tabs>
        <w:spacing w:after="0"/>
        <w:ind w:left="284" w:hanging="284"/>
        <w:rPr>
          <w:bdr w:val="nil"/>
        </w:rPr>
      </w:pPr>
      <w:r>
        <w:rPr>
          <w:bdr w:val="nil"/>
        </w:rPr>
        <w:t>Unless otherwise noted, the full measure descriptions appear in the 2020-21 MYEFO under the relevant portfolio, as detailed in Table 1.2.</w:t>
      </w:r>
    </w:p>
    <w:p w:rsidR="003049E9" w:rsidRPr="003049E9" w:rsidRDefault="00D5482E" w:rsidP="00DC76AC">
      <w:pPr>
        <w:pStyle w:val="ChartandTableFootnoteAlpha"/>
        <w:numPr>
          <w:ilvl w:val="0"/>
          <w:numId w:val="43"/>
        </w:numPr>
        <w:pBdr>
          <w:top w:val="nil"/>
          <w:left w:val="nil"/>
          <w:bottom w:val="nil"/>
          <w:right w:val="nil"/>
          <w:between w:val="nil"/>
          <w:bar w:val="nil"/>
        </w:pBdr>
        <w:tabs>
          <w:tab w:val="clear" w:pos="397"/>
          <w:tab w:val="num" w:pos="284"/>
        </w:tabs>
        <w:spacing w:after="0"/>
        <w:ind w:left="284" w:hanging="284"/>
        <w:rPr>
          <w:bdr w:val="nil"/>
        </w:rPr>
      </w:pPr>
      <w:r>
        <w:rPr>
          <w:bdr w:val="nil"/>
        </w:rPr>
        <w:t>Measure relates to decision post 2020-21 MYEFO.</w:t>
      </w:r>
    </w:p>
    <w:p w:rsidR="009E3FA2" w:rsidRDefault="00D5482E" w:rsidP="00957B32">
      <w:pPr>
        <w:pStyle w:val="ChartandTableFootnoteAlpha"/>
        <w:numPr>
          <w:ilvl w:val="0"/>
          <w:numId w:val="43"/>
        </w:numPr>
        <w:pBdr>
          <w:top w:val="nil"/>
          <w:left w:val="nil"/>
          <w:bottom w:val="nil"/>
          <w:right w:val="nil"/>
          <w:between w:val="nil"/>
          <w:bar w:val="nil"/>
        </w:pBdr>
        <w:tabs>
          <w:tab w:val="clear" w:pos="397"/>
          <w:tab w:val="num" w:pos="284"/>
        </w:tabs>
        <w:spacing w:after="0"/>
        <w:ind w:left="284" w:hanging="284"/>
        <w:rPr>
          <w:bdr w:val="nil"/>
        </w:rPr>
      </w:pPr>
      <w:r>
        <w:rPr>
          <w:bdr w:val="nil"/>
        </w:rPr>
        <w:t xml:space="preserve">Other Variations includes any changes to Agency resourcing which do not relate to Measures or Changes in Parameters, including any </w:t>
      </w:r>
      <w:proofErr w:type="spellStart"/>
      <w:r>
        <w:rPr>
          <w:bdr w:val="nil"/>
        </w:rPr>
        <w:t>reprofiling</w:t>
      </w:r>
      <w:proofErr w:type="spellEnd"/>
      <w:r>
        <w:rPr>
          <w:bdr w:val="nil"/>
        </w:rPr>
        <w:t xml:space="preserve"> of previously approved Measures.</w:t>
      </w:r>
    </w:p>
    <w:p w:rsidR="00587D48" w:rsidRPr="00C72DDE" w:rsidRDefault="00587D48" w:rsidP="00E05CDA">
      <w:pPr>
        <w:pBdr>
          <w:top w:val="nil"/>
          <w:left w:val="nil"/>
          <w:bottom w:val="nil"/>
          <w:right w:val="nil"/>
          <w:between w:val="nil"/>
          <w:bar w:val="nil"/>
        </w:pBdr>
        <w:rPr>
          <w:rFonts w:ascii="Calibri" w:eastAsia="Calibri" w:hAnsi="Calibri" w:cs="Arial"/>
          <w:b/>
          <w:vanish/>
          <w:color w:val="FF0000"/>
          <w:bdr w:val="nil"/>
          <w:lang w:val="en-GB"/>
        </w:rPr>
      </w:pPr>
    </w:p>
    <w:p w:rsidR="00E01CFA" w:rsidRDefault="00D5482E" w:rsidP="0029163A">
      <w:pPr>
        <w:pStyle w:val="Heading3"/>
        <w:pageBreakBefore/>
        <w:pBdr>
          <w:top w:val="nil"/>
          <w:left w:val="nil"/>
          <w:bottom w:val="nil"/>
          <w:right w:val="nil"/>
          <w:between w:val="nil"/>
          <w:bar w:val="nil"/>
        </w:pBdr>
        <w:spacing w:before="0"/>
        <w:ind w:left="709" w:hanging="709"/>
        <w:rPr>
          <w:bdr w:val="nil"/>
          <w:lang w:val="en-GB"/>
        </w:rPr>
      </w:pPr>
      <w:r>
        <w:rPr>
          <w:bdr w:val="nil"/>
          <w:lang w:val="en-GB"/>
        </w:rPr>
        <w:lastRenderedPageBreak/>
        <w:t>1.5</w:t>
      </w:r>
      <w:r>
        <w:rPr>
          <w:bdr w:val="nil"/>
          <w:lang w:val="en-GB"/>
        </w:rPr>
        <w:tab/>
        <w:t>Breakdown of additional estimates by appropriation bill</w:t>
      </w:r>
    </w:p>
    <w:p w:rsidR="00E01CFA" w:rsidRPr="005F6A6C" w:rsidRDefault="00D5482E" w:rsidP="00DF5E52">
      <w:pPr>
        <w:pBdr>
          <w:top w:val="nil"/>
          <w:left w:val="nil"/>
          <w:bottom w:val="nil"/>
          <w:right w:val="nil"/>
          <w:between w:val="nil"/>
          <w:bar w:val="nil"/>
        </w:pBdr>
        <w:spacing w:after="240" w:line="260" w:lineRule="exact"/>
        <w:jc w:val="both"/>
        <w:rPr>
          <w:rFonts w:ascii="Book Antiqua" w:eastAsia="Calibri" w:hAnsi="Book Antiqua" w:cs="Arial"/>
          <w:sz w:val="20"/>
          <w:bdr w:val="nil"/>
          <w:lang w:val="en-GB"/>
        </w:rPr>
      </w:pPr>
      <w:r w:rsidRPr="00E01CFA">
        <w:rPr>
          <w:rFonts w:ascii="Book Antiqua" w:eastAsia="Calibri" w:hAnsi="Book Antiqua" w:cs="Arial"/>
          <w:sz w:val="20"/>
          <w:bdr w:val="nil"/>
          <w:lang w:val="en-GB"/>
        </w:rPr>
        <w:t>The following table</w:t>
      </w:r>
      <w:r>
        <w:rPr>
          <w:rFonts w:ascii="Book Antiqua" w:eastAsia="Calibri" w:hAnsi="Book Antiqua" w:cs="Arial"/>
          <w:sz w:val="20"/>
          <w:bdr w:val="nil"/>
          <w:lang w:val="en-GB"/>
        </w:rPr>
        <w:t>s</w:t>
      </w:r>
      <w:r w:rsidRPr="00E01CFA">
        <w:rPr>
          <w:rFonts w:ascii="Book Antiqua" w:eastAsia="Calibri" w:hAnsi="Book Antiqua" w:cs="Arial"/>
          <w:sz w:val="20"/>
          <w:bdr w:val="nil"/>
          <w:lang w:val="en-GB"/>
        </w:rPr>
        <w:t xml:space="preserve"> detail the Additional Estimates sought for </w:t>
      </w:r>
      <w:r>
        <w:rPr>
          <w:rFonts w:ascii="Book Antiqua" w:eastAsia="Calibri" w:hAnsi="Book Antiqua" w:cs="Arial"/>
          <w:sz w:val="20"/>
          <w:bdr w:val="nil"/>
          <w:lang w:val="en-GB"/>
        </w:rPr>
        <w:t xml:space="preserve">the Services Australia </w:t>
      </w:r>
      <w:r w:rsidRPr="00E01CFA">
        <w:rPr>
          <w:rFonts w:ascii="Book Antiqua" w:eastAsia="Calibri" w:hAnsi="Book Antiqua" w:cs="Arial"/>
          <w:sz w:val="20"/>
          <w:bdr w:val="nil"/>
          <w:lang w:val="en-GB"/>
        </w:rPr>
        <w:t xml:space="preserve">through </w:t>
      </w:r>
      <w:r w:rsidRPr="00931ED1">
        <w:rPr>
          <w:rFonts w:ascii="Book Antiqua" w:eastAsia="Calibri" w:hAnsi="Book Antiqua" w:cs="Arial"/>
          <w:sz w:val="20"/>
          <w:bdr w:val="nil"/>
          <w:lang w:val="en-GB"/>
        </w:rPr>
        <w:t>Appropriation Bills No</w:t>
      </w:r>
      <w:r>
        <w:rPr>
          <w:rFonts w:ascii="Book Antiqua" w:eastAsia="Calibri" w:hAnsi="Book Antiqua" w:cs="Arial"/>
          <w:sz w:val="20"/>
          <w:bdr w:val="nil"/>
          <w:lang w:val="en-GB"/>
        </w:rPr>
        <w:t>s</w:t>
      </w:r>
      <w:r w:rsidRPr="00931ED1">
        <w:rPr>
          <w:rFonts w:ascii="Book Antiqua" w:eastAsia="Calibri" w:hAnsi="Book Antiqua" w:cs="Arial"/>
          <w:sz w:val="20"/>
          <w:bdr w:val="nil"/>
          <w:lang w:val="en-GB"/>
        </w:rPr>
        <w:t>. 3 and 4.</w:t>
      </w:r>
    </w:p>
    <w:p w:rsidR="00D86095" w:rsidRDefault="00D5482E" w:rsidP="0029163A">
      <w:pPr>
        <w:pStyle w:val="TableHeading"/>
        <w:keepLines/>
        <w:pBdr>
          <w:top w:val="nil"/>
          <w:left w:val="nil"/>
          <w:bottom w:val="nil"/>
          <w:right w:val="nil"/>
          <w:between w:val="nil"/>
          <w:bar w:val="nil"/>
        </w:pBdr>
        <w:spacing w:before="0" w:after="0"/>
        <w:rPr>
          <w:rFonts w:eastAsia="Calibri"/>
          <w:szCs w:val="22"/>
          <w:bdr w:val="nil"/>
          <w:lang w:val="en-GB" w:eastAsia="en-US"/>
        </w:rPr>
      </w:pPr>
      <w:r w:rsidRPr="00E01CFA">
        <w:rPr>
          <w:rFonts w:eastAsia="Calibri" w:cs="Arial"/>
          <w:szCs w:val="22"/>
          <w:bdr w:val="nil"/>
          <w:lang w:val="en-GB" w:eastAsia="en-US"/>
        </w:rPr>
        <w:t>Table 1.</w:t>
      </w:r>
      <w:r>
        <w:rPr>
          <w:rFonts w:eastAsia="Calibri" w:cs="Arial"/>
          <w:szCs w:val="22"/>
          <w:bdr w:val="nil"/>
          <w:lang w:val="en-GB" w:eastAsia="en-US"/>
        </w:rPr>
        <w:t>4</w:t>
      </w:r>
      <w:r w:rsidRPr="00E01CFA">
        <w:rPr>
          <w:rFonts w:eastAsia="Calibri" w:cs="Arial"/>
          <w:szCs w:val="22"/>
          <w:bdr w:val="nil"/>
          <w:lang w:val="en-GB" w:eastAsia="en-US"/>
        </w:rPr>
        <w:t>: Appropriation Bill (No. 3) 2020-21</w:t>
      </w:r>
    </w:p>
    <w:tbl>
      <w:tblPr>
        <w:tblStyle w:val="CDMRange1"/>
        <w:tblW w:w="7830" w:type="dxa"/>
        <w:tblLayout w:type="fixed"/>
        <w:tblCellMar>
          <w:top w:w="11" w:type="dxa"/>
          <w:bottom w:w="11" w:type="dxa"/>
        </w:tblCellMar>
        <w:tblLook w:val="0600" w:firstRow="0" w:lastRow="0" w:firstColumn="0" w:lastColumn="0" w:noHBand="1" w:noVBand="1"/>
        <w:tblCaption w:val="Table 1.4: Appropriation Bill (No. 3) 2020-21"/>
      </w:tblPr>
      <w:tblGrid>
        <w:gridCol w:w="2805"/>
        <w:gridCol w:w="1005"/>
        <w:gridCol w:w="1005"/>
        <w:gridCol w:w="1005"/>
        <w:gridCol w:w="1005"/>
        <w:gridCol w:w="1005"/>
      </w:tblGrid>
      <w:tr w:rsidR="00010972" w:rsidTr="00C5172A">
        <w:trPr>
          <w:tblHeader/>
        </w:trPr>
        <w:tc>
          <w:tcPr>
            <w:tcW w:w="280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 xml:space="preserve">2019-20 </w:t>
            </w:r>
          </w:p>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Available</w:t>
            </w:r>
          </w:p>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$'000</w:t>
            </w:r>
          </w:p>
        </w:tc>
        <w:tc>
          <w:tcPr>
            <w:tcW w:w="1005" w:type="dxa"/>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 xml:space="preserve">2020-21 </w:t>
            </w:r>
          </w:p>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Budget</w:t>
            </w:r>
          </w:p>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05" w:type="dxa"/>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 xml:space="preserve">2020-21 </w:t>
            </w:r>
          </w:p>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Revised</w:t>
            </w:r>
          </w:p>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0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Additional Estimates</w:t>
            </w:r>
          </w:p>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0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Reduced Estimates</w:t>
            </w:r>
          </w:p>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Administered items</w:t>
            </w:r>
          </w:p>
        </w:tc>
        <w:tc>
          <w:tcPr>
            <w:tcW w:w="100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Outcome 1</w:t>
            </w:r>
          </w:p>
        </w:tc>
        <w:tc>
          <w:tcPr>
            <w:tcW w:w="100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1,643</w:t>
            </w:r>
          </w:p>
        </w:tc>
        <w:tc>
          <w:tcPr>
            <w:tcW w:w="100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1,686</w:t>
            </w:r>
          </w:p>
        </w:tc>
        <w:tc>
          <w:tcPr>
            <w:tcW w:w="100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1,691</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administered</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1,643</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1,686</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1,691</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Departmental programs</w:t>
            </w:r>
          </w:p>
        </w:tc>
        <w:tc>
          <w:tcPr>
            <w:tcW w:w="100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i/>
                <w:color w:val="000000"/>
                <w:sz w:val="16"/>
                <w:bdr w:val="nil"/>
              </w:rPr>
            </w:pPr>
          </w:p>
        </w:tc>
        <w:tc>
          <w:tcPr>
            <w:tcW w:w="100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Outcome 1</w:t>
            </w:r>
          </w:p>
        </w:tc>
        <w:tc>
          <w:tcPr>
            <w:tcW w:w="100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5,084,642</w:t>
            </w:r>
          </w:p>
        </w:tc>
        <w:tc>
          <w:tcPr>
            <w:tcW w:w="100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5,166,418</w:t>
            </w:r>
          </w:p>
        </w:tc>
        <w:tc>
          <w:tcPr>
            <w:tcW w:w="100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5,305,803</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139,385</w:t>
            </w:r>
          </w:p>
        </w:tc>
        <w:tc>
          <w:tcPr>
            <w:tcW w:w="100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departmental</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5,084,642</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5,166,418</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5,305,803</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139,385</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administered</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and departmental</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5,086,285</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5,168,104</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5,307,494</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139,390</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w:t>
            </w:r>
          </w:p>
        </w:tc>
      </w:tr>
    </w:tbl>
    <w:p w:rsidR="008B69CF" w:rsidRDefault="00D5482E" w:rsidP="009C0E15">
      <w:pPr>
        <w:pStyle w:val="ChartandTableFootnoteAlpha"/>
        <w:numPr>
          <w:ilvl w:val="0"/>
          <w:numId w:val="44"/>
        </w:numPr>
        <w:pBdr>
          <w:top w:val="nil"/>
          <w:left w:val="nil"/>
          <w:bottom w:val="nil"/>
          <w:right w:val="nil"/>
          <w:between w:val="nil"/>
          <w:bar w:val="nil"/>
        </w:pBdr>
        <w:tabs>
          <w:tab w:val="clear" w:pos="397"/>
          <w:tab w:val="num" w:pos="284"/>
        </w:tabs>
        <w:spacing w:after="0"/>
        <w:ind w:left="284" w:hanging="284"/>
        <w:rPr>
          <w:bdr w:val="nil"/>
        </w:rPr>
      </w:pPr>
      <w:r>
        <w:rPr>
          <w:bdr w:val="nil"/>
        </w:rPr>
        <w:t xml:space="preserve">The available Departmental Appropriation for Outcome 1 has been reduced by $175.795 million, due to the quarantine of unspent annual appropriations under </w:t>
      </w:r>
      <w:r>
        <w:rPr>
          <w:i/>
          <w:bdr w:val="nil"/>
        </w:rPr>
        <w:t>Appropriation Act (No. 5) 2019-2020</w:t>
      </w:r>
      <w:r>
        <w:rPr>
          <w:bdr w:val="nil"/>
        </w:rPr>
        <w:t>.</w:t>
      </w:r>
    </w:p>
    <w:p w:rsidR="00286E43" w:rsidRDefault="00D5482E" w:rsidP="001C5D5F">
      <w:pPr>
        <w:pStyle w:val="TableHeading"/>
        <w:keepLines/>
        <w:pBdr>
          <w:top w:val="nil"/>
          <w:left w:val="nil"/>
          <w:bottom w:val="nil"/>
          <w:right w:val="nil"/>
          <w:between w:val="nil"/>
          <w:bar w:val="nil"/>
        </w:pBdr>
        <w:spacing w:before="360" w:after="0"/>
        <w:rPr>
          <w:rFonts w:eastAsia="Calibri"/>
          <w:szCs w:val="22"/>
          <w:bdr w:val="nil"/>
          <w:lang w:val="en-GB" w:eastAsia="en-US"/>
        </w:rPr>
      </w:pPr>
      <w:r w:rsidRPr="00E01CFA">
        <w:rPr>
          <w:rFonts w:eastAsia="Calibri" w:cs="Arial"/>
          <w:szCs w:val="22"/>
          <w:bdr w:val="nil"/>
          <w:lang w:val="en-GB" w:eastAsia="en-US"/>
        </w:rPr>
        <w:t>Table 1.</w:t>
      </w:r>
      <w:r>
        <w:rPr>
          <w:rFonts w:eastAsia="Calibri" w:cs="Arial"/>
          <w:szCs w:val="22"/>
          <w:bdr w:val="nil"/>
          <w:lang w:val="en-GB" w:eastAsia="en-US"/>
        </w:rPr>
        <w:t>5</w:t>
      </w:r>
      <w:r w:rsidRPr="00E01CFA">
        <w:rPr>
          <w:rFonts w:eastAsia="Calibri" w:cs="Arial"/>
          <w:szCs w:val="22"/>
          <w:bdr w:val="nil"/>
          <w:lang w:val="en-GB" w:eastAsia="en-US"/>
        </w:rPr>
        <w:t xml:space="preserve">: Appropriation Bill (No. </w:t>
      </w:r>
      <w:r>
        <w:rPr>
          <w:rFonts w:eastAsia="Calibri" w:cs="Arial"/>
          <w:szCs w:val="22"/>
          <w:bdr w:val="nil"/>
          <w:lang w:val="en-GB" w:eastAsia="en-US"/>
        </w:rPr>
        <w:t>4</w:t>
      </w:r>
      <w:r w:rsidRPr="00E01CFA">
        <w:rPr>
          <w:rFonts w:eastAsia="Calibri" w:cs="Arial"/>
          <w:szCs w:val="22"/>
          <w:bdr w:val="nil"/>
          <w:lang w:val="en-GB" w:eastAsia="en-US"/>
        </w:rPr>
        <w:t>) 2020-21</w:t>
      </w:r>
    </w:p>
    <w:tbl>
      <w:tblPr>
        <w:tblStyle w:val="CDMRange2"/>
        <w:tblW w:w="7830" w:type="dxa"/>
        <w:tblLayout w:type="fixed"/>
        <w:tblCellMar>
          <w:top w:w="11" w:type="dxa"/>
          <w:bottom w:w="11" w:type="dxa"/>
        </w:tblCellMar>
        <w:tblLook w:val="0600" w:firstRow="0" w:lastRow="0" w:firstColumn="0" w:lastColumn="0" w:noHBand="1" w:noVBand="1"/>
        <w:tblCaption w:val="Table 1.5: Appropriation Bill (No. 4) 2020-21"/>
      </w:tblPr>
      <w:tblGrid>
        <w:gridCol w:w="2805"/>
        <w:gridCol w:w="1005"/>
        <w:gridCol w:w="1005"/>
        <w:gridCol w:w="1005"/>
        <w:gridCol w:w="1005"/>
        <w:gridCol w:w="1005"/>
      </w:tblGrid>
      <w:tr w:rsidR="00010972" w:rsidTr="00C5172A">
        <w:trPr>
          <w:tblHeader/>
        </w:trPr>
        <w:tc>
          <w:tcPr>
            <w:tcW w:w="280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 xml:space="preserve">2019-20 </w:t>
            </w:r>
          </w:p>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Available</w:t>
            </w:r>
          </w:p>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$'000</w:t>
            </w:r>
          </w:p>
        </w:tc>
        <w:tc>
          <w:tcPr>
            <w:tcW w:w="1005" w:type="dxa"/>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 xml:space="preserve">2020-21 </w:t>
            </w:r>
          </w:p>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Budget</w:t>
            </w:r>
          </w:p>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05" w:type="dxa"/>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 xml:space="preserve">2020-21 </w:t>
            </w:r>
          </w:p>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Revised</w:t>
            </w:r>
          </w:p>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0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Additional Estimates</w:t>
            </w:r>
          </w:p>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1005" w:type="dxa"/>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Reduced Estimates</w:t>
            </w:r>
          </w:p>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Non-operating</w:t>
            </w:r>
          </w:p>
        </w:tc>
        <w:tc>
          <w:tcPr>
            <w:tcW w:w="100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Equity injections</w:t>
            </w:r>
          </w:p>
        </w:tc>
        <w:tc>
          <w:tcPr>
            <w:tcW w:w="100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155,137</w:t>
            </w:r>
          </w:p>
        </w:tc>
        <w:tc>
          <w:tcPr>
            <w:tcW w:w="100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197,956</w:t>
            </w:r>
          </w:p>
        </w:tc>
        <w:tc>
          <w:tcPr>
            <w:tcW w:w="100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219,576</w:t>
            </w:r>
          </w:p>
        </w:tc>
        <w:tc>
          <w:tcPr>
            <w:tcW w:w="100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21,620</w:t>
            </w:r>
          </w:p>
        </w:tc>
        <w:tc>
          <w:tcPr>
            <w:tcW w:w="100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non-operating</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155,137</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197,956</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219,576</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21,620</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other services</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r>
              <w:rPr>
                <w:rFonts w:ascii="Arial" w:eastAsia="Arial" w:hAnsi="Arial" w:cs="Arial"/>
                <w:b/>
                <w:i/>
                <w:color w:val="000000"/>
                <w:sz w:val="16"/>
                <w:bdr w:val="nil"/>
              </w:rPr>
              <w:t>155,137</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197,956</w:t>
            </w:r>
          </w:p>
        </w:tc>
        <w:tc>
          <w:tcPr>
            <w:tcW w:w="100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219,576</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21,620</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w:t>
            </w:r>
          </w:p>
        </w:tc>
      </w:tr>
    </w:tbl>
    <w:p w:rsidR="00C67DB8" w:rsidRPr="00286E43" w:rsidRDefault="00C67DB8" w:rsidP="00286E43">
      <w:pPr>
        <w:pBdr>
          <w:top w:val="nil"/>
          <w:left w:val="nil"/>
          <w:bottom w:val="nil"/>
          <w:right w:val="nil"/>
          <w:between w:val="nil"/>
          <w:bar w:val="nil"/>
        </w:pBdr>
        <w:rPr>
          <w:rFonts w:ascii="Calibri" w:eastAsia="Calibri" w:hAnsi="Calibri" w:cs="Arial"/>
          <w:vanish/>
          <w:bdr w:val="nil"/>
          <w:lang w:val="en-GB"/>
        </w:rPr>
      </w:pPr>
    </w:p>
    <w:p w:rsidR="00782AE7" w:rsidRPr="009E3851" w:rsidRDefault="00D5482E" w:rsidP="00EB7026">
      <w:pPr>
        <w:pStyle w:val="Heading2"/>
        <w:pageBreakBefore/>
        <w:pBdr>
          <w:top w:val="nil"/>
          <w:left w:val="nil"/>
          <w:bottom w:val="nil"/>
          <w:right w:val="nil"/>
          <w:between w:val="nil"/>
          <w:bar w:val="nil"/>
        </w:pBdr>
        <w:spacing w:before="0"/>
        <w:rPr>
          <w:b/>
          <w:bdr w:val="nil"/>
        </w:rPr>
      </w:pPr>
      <w:bookmarkStart w:id="91" w:name="_Toc449255764_0"/>
      <w:bookmarkStart w:id="92" w:name="_Toc446237032_0"/>
      <w:bookmarkStart w:id="93" w:name="_Toc436625444_0"/>
      <w:bookmarkStart w:id="94" w:name="_Toc436624143_0"/>
      <w:bookmarkStart w:id="95" w:name="_Toc210646453_0"/>
      <w:bookmarkStart w:id="96" w:name="_Toc112137900_0"/>
      <w:bookmarkStart w:id="97" w:name="_Toc112137878_0"/>
      <w:bookmarkStart w:id="98" w:name="_Toc112212060_0"/>
      <w:bookmarkStart w:id="99" w:name="_Toc112211966_0"/>
      <w:bookmarkStart w:id="100" w:name="_Toc79399717_0"/>
      <w:bookmarkStart w:id="101" w:name="_Toc77998688_0"/>
      <w:bookmarkStart w:id="102" w:name="_Toc23563436_0"/>
      <w:bookmarkStart w:id="103" w:name="_Toc23560142_0"/>
      <w:bookmarkStart w:id="104" w:name="_Toc23559674_0"/>
      <w:bookmarkStart w:id="105" w:name="_Toc23559387_0"/>
      <w:bookmarkStart w:id="106" w:name="_Toc23559353_0"/>
      <w:bookmarkStart w:id="107" w:name="_Toc491773295_0"/>
      <w:bookmarkStart w:id="108" w:name="_Toc491771720_0"/>
      <w:bookmarkStart w:id="109" w:name="_Toc491032328_0"/>
      <w:bookmarkStart w:id="110" w:name="_Toc491032221_0"/>
      <w:bookmarkStart w:id="111" w:name="_Toc491032113_0"/>
      <w:bookmarkStart w:id="112" w:name="_Toc491031940_0"/>
      <w:bookmarkStart w:id="113" w:name="_Toc491031353_0"/>
      <w:bookmarkStart w:id="114" w:name="_Toc491030790_0"/>
      <w:bookmarkStart w:id="115" w:name="_Toc491030331_0"/>
      <w:bookmarkStart w:id="116" w:name="_Toc491029242_0"/>
      <w:bookmarkStart w:id="117" w:name="_Toc491015098_0"/>
      <w:bookmarkStart w:id="118" w:name="_Toc491014951_0"/>
      <w:bookmarkStart w:id="119" w:name="_Toc491014771_0"/>
      <w:bookmarkStart w:id="120" w:name="_Toc491014629_0"/>
      <w:bookmarkStart w:id="121" w:name="_Toc490972409_0"/>
      <w:bookmarkStart w:id="122" w:name="_Toc210703214_0"/>
      <w:bookmarkStart w:id="123" w:name="_Toc210698432_0"/>
      <w:bookmarkStart w:id="124" w:name="_Toc436624145_6"/>
      <w:bookmarkStart w:id="125" w:name="_Toc436625446_6"/>
      <w:bookmarkStart w:id="126" w:name="_Toc449255766_6"/>
      <w:bookmarkStart w:id="127" w:name="_Toc490972410_6"/>
      <w:bookmarkStart w:id="128" w:name="_Toc491014630_6"/>
      <w:bookmarkStart w:id="129" w:name="_Toc491014772_6"/>
      <w:bookmarkStart w:id="130" w:name="_Toc491014952_6"/>
      <w:bookmarkStart w:id="131" w:name="_Toc491015099_6"/>
      <w:bookmarkStart w:id="132" w:name="_Toc491029243_6"/>
      <w:bookmarkStart w:id="133" w:name="_Toc491030332_6"/>
      <w:bookmarkStart w:id="134" w:name="_Toc491030791_6"/>
      <w:bookmarkStart w:id="135" w:name="_Toc491031354_6"/>
      <w:bookmarkStart w:id="136" w:name="_Toc491031941_6"/>
      <w:bookmarkStart w:id="137" w:name="_Toc491032114_6"/>
      <w:bookmarkStart w:id="138" w:name="_Toc491032222_6"/>
      <w:bookmarkStart w:id="139" w:name="_Toc491032329_6"/>
      <w:bookmarkStart w:id="140" w:name="_Toc491771721_6"/>
      <w:bookmarkStart w:id="141" w:name="_Toc491773296_6"/>
      <w:bookmarkStart w:id="142" w:name="_Toc23559354_6"/>
      <w:bookmarkStart w:id="143" w:name="_Toc23559388_6"/>
      <w:bookmarkStart w:id="144" w:name="_Toc23559675_6"/>
      <w:bookmarkStart w:id="145" w:name="_Toc23560143_6"/>
      <w:bookmarkStart w:id="146" w:name="_Toc23563437_6"/>
      <w:bookmarkStart w:id="147" w:name="_Toc77998689_6"/>
      <w:bookmarkStart w:id="148" w:name="_Toc79406118_6"/>
      <w:bookmarkStart w:id="149" w:name="_Toc79467820_6"/>
      <w:bookmarkStart w:id="150" w:name="_Toc112211967_6"/>
      <w:bookmarkStart w:id="151" w:name="_Toc112212061_6"/>
      <w:bookmarkStart w:id="152" w:name="_Toc112137879_6"/>
      <w:bookmarkStart w:id="153" w:name="_Toc112137901_6"/>
      <w:bookmarkStart w:id="154" w:name="_Toc210646454_6"/>
      <w:bookmarkStart w:id="155" w:name="_Toc210698433_6"/>
      <w:bookmarkStart w:id="156" w:name="_Toc210703215_6"/>
      <w:r w:rsidRPr="009E3851">
        <w:rPr>
          <w:b/>
          <w:bdr w:val="nil"/>
        </w:rPr>
        <w:lastRenderedPageBreak/>
        <w:t>Section 2</w:t>
      </w:r>
      <w:bookmarkEnd w:id="91"/>
      <w:bookmarkEnd w:id="92"/>
      <w:bookmarkEnd w:id="93"/>
      <w:bookmarkEnd w:id="94"/>
      <w:r w:rsidRPr="009E3851">
        <w:rPr>
          <w:b/>
          <w:bdr w:val="nil"/>
        </w:rPr>
        <w:t xml:space="preserve">: </w:t>
      </w:r>
      <w:bookmarkStart w:id="157" w:name="_Toc210703215_0"/>
      <w:bookmarkStart w:id="158" w:name="_Toc210698433_0"/>
      <w:bookmarkStart w:id="159" w:name="_Toc210646454_0"/>
      <w:bookmarkStart w:id="160" w:name="_Toc112137901_0"/>
      <w:bookmarkStart w:id="161" w:name="_Toc112137879_0"/>
      <w:bookmarkStart w:id="162" w:name="_Toc112212061_0"/>
      <w:bookmarkStart w:id="163" w:name="_Toc112211967_0"/>
      <w:bookmarkStart w:id="164" w:name="_Toc79467820_0"/>
      <w:bookmarkStart w:id="165" w:name="_Toc79406118_0"/>
      <w:bookmarkStart w:id="166" w:name="_Toc77998689_0"/>
      <w:bookmarkStart w:id="167" w:name="_Toc23563437_0"/>
      <w:bookmarkStart w:id="168" w:name="_Toc23560143_0"/>
      <w:bookmarkStart w:id="169" w:name="_Toc23559675_0"/>
      <w:bookmarkStart w:id="170" w:name="_Toc23559388_0"/>
      <w:bookmarkStart w:id="171" w:name="_Toc23559354_0"/>
      <w:bookmarkStart w:id="172" w:name="_Toc491773296_0"/>
      <w:bookmarkStart w:id="173" w:name="_Toc491771721_0"/>
      <w:bookmarkStart w:id="174" w:name="_Toc491032329_0"/>
      <w:bookmarkStart w:id="175" w:name="_Toc491032222_0"/>
      <w:bookmarkStart w:id="176" w:name="_Toc491032114_0"/>
      <w:bookmarkStart w:id="177" w:name="_Toc491031941_0"/>
      <w:bookmarkStart w:id="178" w:name="_Toc491031354_0"/>
      <w:bookmarkStart w:id="179" w:name="_Toc491030791_0"/>
      <w:bookmarkStart w:id="180" w:name="_Toc491030332_0"/>
      <w:bookmarkStart w:id="181" w:name="_Toc491029243_0"/>
      <w:bookmarkStart w:id="182" w:name="_Toc491015099_0"/>
      <w:bookmarkStart w:id="183" w:name="_Toc491014952_0"/>
      <w:bookmarkStart w:id="184" w:name="_Toc491014772_0"/>
      <w:bookmarkStart w:id="185" w:name="_Toc491014630_0"/>
      <w:bookmarkStart w:id="186" w:name="_Toc490972410_0"/>
      <w:bookmarkStart w:id="187" w:name="_Toc449255766_0"/>
      <w:bookmarkStart w:id="188" w:name="_Toc436625446_0"/>
      <w:bookmarkStart w:id="189" w:name="_Toc436624145_0"/>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9E3851">
        <w:rPr>
          <w:b/>
          <w:bdr w:val="nil"/>
        </w:rPr>
        <w:t>Revisions to outcomes and planned performance</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782AE7" w:rsidRDefault="00D5482E" w:rsidP="003D35E4">
      <w:pPr>
        <w:keepNext/>
        <w:keepLines/>
        <w:pBdr>
          <w:top w:val="nil"/>
          <w:left w:val="nil"/>
          <w:bottom w:val="nil"/>
          <w:right w:val="nil"/>
          <w:between w:val="nil"/>
          <w:bar w:val="nil"/>
        </w:pBdr>
        <w:tabs>
          <w:tab w:val="left" w:pos="709"/>
        </w:tabs>
        <w:spacing w:after="240" w:line="240" w:lineRule="auto"/>
        <w:ind w:right="28"/>
        <w:outlineLvl w:val="2"/>
        <w:rPr>
          <w:rFonts w:ascii="Arial" w:hAnsi="Arial"/>
          <w:b/>
          <w:smallCaps/>
          <w:sz w:val="26"/>
          <w:bdr w:val="nil"/>
        </w:rPr>
      </w:pPr>
      <w:r>
        <w:rPr>
          <w:rFonts w:ascii="Arial" w:eastAsia="Times New Roman" w:hAnsi="Arial" w:cs="Times New Roman"/>
          <w:b/>
          <w:smallCaps/>
          <w:sz w:val="26"/>
          <w:szCs w:val="20"/>
          <w:bdr w:val="nil"/>
          <w:lang w:val="en-AU" w:eastAsia="en-AU"/>
        </w:rPr>
        <w:t>2.1</w:t>
      </w:r>
      <w:r>
        <w:rPr>
          <w:rFonts w:ascii="Arial" w:eastAsia="Times New Roman" w:hAnsi="Arial" w:cs="Times New Roman"/>
          <w:b/>
          <w:smallCaps/>
          <w:sz w:val="26"/>
          <w:szCs w:val="20"/>
          <w:bdr w:val="nil"/>
          <w:lang w:val="en-AU" w:eastAsia="en-AU"/>
        </w:rPr>
        <w:tab/>
        <w:t>Budgeted expenses and performance for Outcome 1</w:t>
      </w:r>
    </w:p>
    <w:tbl>
      <w:tblPr>
        <w:tblStyle w:val="TableGrid"/>
        <w:tblW w:w="776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EAEAEA"/>
        <w:tblCellMar>
          <w:top w:w="11" w:type="dxa"/>
          <w:bottom w:w="11" w:type="dxa"/>
        </w:tblCellMar>
        <w:tblLook w:val="04A0" w:firstRow="1" w:lastRow="0" w:firstColumn="1" w:lastColumn="0" w:noHBand="0" w:noVBand="1"/>
        <w:tblCaption w:val="Outcome 1"/>
        <w:tblDescription w:val="Increased understanding of factors affecting how families function by conducting research and communicating findings to policy-makers, service providers and the broader community."/>
      </w:tblPr>
      <w:tblGrid>
        <w:gridCol w:w="7768"/>
      </w:tblGrid>
      <w:tr w:rsidR="00010972" w:rsidTr="00241B17">
        <w:trPr>
          <w:tblHeader/>
        </w:trPr>
        <w:tc>
          <w:tcPr>
            <w:tcW w:w="77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hideMark/>
          </w:tcPr>
          <w:p w:rsidR="0074173D" w:rsidRDefault="00D5482E" w:rsidP="00433854">
            <w:pPr>
              <w:keepLines/>
              <w:pBdr>
                <w:top w:val="nil"/>
                <w:left w:val="nil"/>
                <w:bottom w:val="nil"/>
                <w:right w:val="nil"/>
                <w:between w:val="nil"/>
                <w:bar w:val="nil"/>
              </w:pBdr>
              <w:spacing w:before="60" w:after="60"/>
              <w:jc w:val="both"/>
              <w:rPr>
                <w:rFonts w:ascii="Arial" w:hAnsi="Arial" w:cs="Arial"/>
                <w:b/>
                <w:bdr w:val="nil"/>
              </w:rPr>
            </w:pPr>
            <w:r>
              <w:rPr>
                <w:rFonts w:ascii="Arial" w:eastAsia="Times New Roman" w:hAnsi="Arial" w:cs="Arial"/>
                <w:b/>
                <w:bdr w:val="nil"/>
              </w:rPr>
              <w:t xml:space="preserve">Outcome 1: </w:t>
            </w:r>
          </w:p>
          <w:p w:rsidR="0074173D" w:rsidRDefault="00D5482E" w:rsidP="00433854">
            <w:pPr>
              <w:keepLines/>
              <w:pBdr>
                <w:top w:val="nil"/>
                <w:left w:val="nil"/>
                <w:bottom w:val="nil"/>
                <w:right w:val="nil"/>
                <w:between w:val="nil"/>
                <w:bar w:val="nil"/>
              </w:pBdr>
              <w:spacing w:before="60" w:after="60"/>
              <w:jc w:val="both"/>
              <w:rPr>
                <w:rFonts w:ascii="Arial" w:hAnsi="Arial" w:cs="Arial"/>
                <w:b/>
                <w:bdr w:val="nil"/>
              </w:rPr>
            </w:pPr>
            <w:r>
              <w:rPr>
                <w:rFonts w:ascii="Arial" w:eastAsia="Times New Roman" w:hAnsi="Arial" w:cs="Arial"/>
                <w:b/>
                <w:bdr w:val="nil"/>
              </w:rPr>
              <w:t>Support individuals, families and communities to achieve greater self</w:t>
            </w:r>
            <w:r>
              <w:rPr>
                <w:rFonts w:ascii="Arial" w:eastAsia="Times New Roman" w:hAnsi="Arial" w:cs="Arial"/>
                <w:b/>
                <w:bdr w:val="nil"/>
              </w:rPr>
              <w:noBreakHyphen/>
              <w:t>sufficiency; through the delivery of advice and high quality accessible social, health and child support services and other payments; and support providers and businesses through convenient and efficient service delivery.</w:t>
            </w:r>
          </w:p>
        </w:tc>
      </w:tr>
    </w:tbl>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rsidR="0074173D" w:rsidRDefault="00D5482E" w:rsidP="00210A85">
      <w:pPr>
        <w:pStyle w:val="Heading4"/>
        <w:pBdr>
          <w:top w:val="nil"/>
          <w:left w:val="nil"/>
          <w:bottom w:val="nil"/>
          <w:right w:val="nil"/>
          <w:between w:val="nil"/>
          <w:bar w:val="nil"/>
        </w:pBdr>
        <w:spacing w:before="240" w:after="0"/>
        <w:rPr>
          <w:rFonts w:cs="Arial"/>
          <w:bdr w:val="nil"/>
        </w:rPr>
      </w:pPr>
      <w:r>
        <w:rPr>
          <w:rFonts w:cs="Arial"/>
          <w:bdr w:val="nil"/>
        </w:rPr>
        <w:t>Linked programs</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768"/>
      </w:tblGrid>
      <w:tr w:rsidR="00010972" w:rsidTr="00241B17">
        <w:trPr>
          <w:cantSplit/>
        </w:trPr>
        <w:tc>
          <w:tcPr>
            <w:tcW w:w="7768" w:type="dxa"/>
            <w:tcBorders>
              <w:top w:val="single" w:sz="4" w:space="0" w:color="auto"/>
              <w:left w:val="single" w:sz="4" w:space="0" w:color="auto"/>
              <w:bottom w:val="nil"/>
              <w:right w:val="single" w:sz="4" w:space="0" w:color="auto"/>
            </w:tcBorders>
            <w:hideMark/>
          </w:tcPr>
          <w:p w:rsidR="0074173D" w:rsidRPr="00F6784D" w:rsidRDefault="00D5482E">
            <w:pPr>
              <w:pStyle w:val="ExampleText0"/>
              <w:pBdr>
                <w:top w:val="nil"/>
                <w:left w:val="nil"/>
                <w:bottom w:val="nil"/>
                <w:right w:val="nil"/>
                <w:between w:val="nil"/>
                <w:bar w:val="nil"/>
              </w:pBdr>
              <w:spacing w:before="60" w:after="60" w:line="240" w:lineRule="auto"/>
              <w:rPr>
                <w:rStyle w:val="ExampletextCharChar"/>
                <w:b/>
                <w:color w:val="auto"/>
                <w:bdr w:val="nil"/>
              </w:rPr>
            </w:pPr>
            <w:r w:rsidRPr="00F6784D">
              <w:rPr>
                <w:rStyle w:val="ExampletextCharChar"/>
                <w:b/>
                <w:color w:val="auto"/>
                <w:bdr w:val="nil"/>
              </w:rPr>
              <w:t>Australian Digital Health Agency</w:t>
            </w:r>
          </w:p>
        </w:tc>
      </w:tr>
      <w:tr w:rsidR="00010972" w:rsidTr="00241B17">
        <w:trPr>
          <w:cantSplit/>
        </w:trPr>
        <w:tc>
          <w:tcPr>
            <w:tcW w:w="7768" w:type="dxa"/>
            <w:tcBorders>
              <w:top w:val="single" w:sz="4" w:space="0" w:color="auto"/>
              <w:left w:val="single" w:sz="4" w:space="0" w:color="auto"/>
              <w:bottom w:val="nil"/>
              <w:right w:val="single" w:sz="4" w:space="0" w:color="auto"/>
            </w:tcBorders>
            <w:hideMark/>
          </w:tcPr>
          <w:p w:rsidR="0074173D" w:rsidRPr="00F6784D" w:rsidRDefault="00D5482E">
            <w:pPr>
              <w:keepLines/>
              <w:pBdr>
                <w:top w:val="nil"/>
                <w:left w:val="nil"/>
                <w:bottom w:val="nil"/>
                <w:right w:val="nil"/>
                <w:between w:val="nil"/>
                <w:bar w:val="nil"/>
              </w:pBdr>
              <w:spacing w:after="60" w:line="240" w:lineRule="auto"/>
              <w:jc w:val="both"/>
              <w:rPr>
                <w:bdr w:val="nil"/>
                <w:lang w:eastAsia="x-none"/>
              </w:rPr>
            </w:pPr>
            <w:r w:rsidRPr="00F6784D">
              <w:rPr>
                <w:rFonts w:ascii="Book Antiqua" w:eastAsia="Times New Roman" w:hAnsi="Book Antiqua" w:cs="Times New Roman"/>
                <w:b/>
                <w:sz w:val="20"/>
                <w:szCs w:val="20"/>
                <w:bdr w:val="nil"/>
                <w:lang w:val="x-none" w:eastAsia="x-none"/>
              </w:rPr>
              <w:t>Program</w:t>
            </w:r>
          </w:p>
          <w:p w:rsidR="0074173D" w:rsidRPr="00F6784D" w:rsidRDefault="00D5482E" w:rsidP="0074173D">
            <w:pPr>
              <w:pStyle w:val="ListParagraph"/>
              <w:keepLines/>
              <w:numPr>
                <w:ilvl w:val="0"/>
                <w:numId w:val="45"/>
              </w:numPr>
              <w:pBdr>
                <w:top w:val="nil"/>
                <w:left w:val="nil"/>
                <w:bottom w:val="nil"/>
                <w:right w:val="nil"/>
                <w:between w:val="nil"/>
                <w:bar w:val="nil"/>
              </w:pBdr>
              <w:spacing w:after="60" w:line="240" w:lineRule="auto"/>
              <w:rPr>
                <w:rStyle w:val="ExampletextCharChar"/>
                <w:rFonts w:eastAsia="Calibri"/>
                <w:i w:val="0"/>
                <w:bdr w:val="nil"/>
              </w:rPr>
            </w:pPr>
            <w:r w:rsidRPr="00F6784D">
              <w:rPr>
                <w:rFonts w:eastAsia="Times New Roman" w:cs="Times New Roman"/>
                <w:sz w:val="20"/>
                <w:szCs w:val="20"/>
                <w:bdr w:val="nil"/>
                <w:lang w:val="en-AU" w:eastAsia="x-none"/>
              </w:rPr>
              <w:t xml:space="preserve">Program </w:t>
            </w:r>
            <w:r w:rsidRPr="00F6784D">
              <w:rPr>
                <w:rFonts w:eastAsia="Times New Roman" w:cs="Times New Roman"/>
                <w:sz w:val="20"/>
                <w:szCs w:val="20"/>
                <w:bdr w:val="nil"/>
                <w:lang w:val="x-none" w:eastAsia="x-none"/>
              </w:rPr>
              <w:t xml:space="preserve">1.1 </w:t>
            </w:r>
            <w:r w:rsidRPr="00F6784D">
              <w:rPr>
                <w:rFonts w:eastAsia="Times New Roman" w:cs="Times New Roman"/>
                <w:sz w:val="20"/>
                <w:szCs w:val="20"/>
                <w:bdr w:val="nil"/>
                <w:lang w:val="en-AU" w:eastAsia="x-none"/>
              </w:rPr>
              <w:t xml:space="preserve">– </w:t>
            </w:r>
            <w:r w:rsidRPr="00F6784D">
              <w:rPr>
                <w:rFonts w:eastAsia="Times New Roman" w:cs="Times New Roman"/>
                <w:sz w:val="20"/>
                <w:szCs w:val="20"/>
                <w:bdr w:val="nil"/>
                <w:lang w:val="x-none" w:eastAsia="x-none"/>
              </w:rPr>
              <w:t>Digital Health</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hideMark/>
          </w:tcPr>
          <w:p w:rsidR="0074173D" w:rsidRPr="00F6784D" w:rsidRDefault="00D5482E">
            <w:pPr>
              <w:pStyle w:val="ExampleText0"/>
              <w:pBdr>
                <w:top w:val="nil"/>
                <w:left w:val="nil"/>
                <w:bottom w:val="nil"/>
                <w:right w:val="nil"/>
                <w:between w:val="nil"/>
                <w:bar w:val="nil"/>
              </w:pBdr>
              <w:spacing w:before="60" w:after="60" w:line="240" w:lineRule="auto"/>
              <w:rPr>
                <w:rStyle w:val="ExampletextCharChar"/>
                <w:b/>
                <w:color w:val="auto"/>
                <w:bdr w:val="nil"/>
              </w:rPr>
            </w:pPr>
            <w:r w:rsidRPr="00F6784D">
              <w:rPr>
                <w:rStyle w:val="ExampletextCharChar"/>
                <w:b/>
                <w:color w:val="auto"/>
                <w:bdr w:val="nil"/>
              </w:rPr>
              <w:t>Australian Taxation Office</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hideMark/>
          </w:tcPr>
          <w:p w:rsidR="0074173D" w:rsidRPr="00F6784D" w:rsidRDefault="00D5482E">
            <w:pPr>
              <w:keepLines/>
              <w:pBdr>
                <w:top w:val="nil"/>
                <w:left w:val="nil"/>
                <w:bottom w:val="nil"/>
                <w:right w:val="nil"/>
                <w:between w:val="nil"/>
                <w:bar w:val="nil"/>
              </w:pBdr>
              <w:spacing w:after="60" w:line="240" w:lineRule="auto"/>
              <w:rPr>
                <w:bdr w:val="nil"/>
                <w:lang w:eastAsia="x-none"/>
              </w:rPr>
            </w:pPr>
            <w:r w:rsidRPr="00F6784D">
              <w:rPr>
                <w:rFonts w:ascii="Book Antiqua" w:eastAsia="Times New Roman" w:hAnsi="Book Antiqua" w:cs="Times New Roman"/>
                <w:b/>
                <w:sz w:val="20"/>
                <w:szCs w:val="20"/>
                <w:bdr w:val="nil"/>
                <w:lang w:val="x-none" w:eastAsia="x-none"/>
              </w:rPr>
              <w:t>Program</w:t>
            </w:r>
            <w:r w:rsidRPr="00F6784D">
              <w:rPr>
                <w:rFonts w:ascii="Book Antiqua" w:eastAsia="Times New Roman" w:hAnsi="Book Antiqua" w:cs="Times New Roman"/>
                <w:b/>
                <w:sz w:val="20"/>
                <w:szCs w:val="20"/>
                <w:bdr w:val="nil"/>
                <w:lang w:eastAsia="x-none"/>
              </w:rPr>
              <w:t>s</w:t>
            </w:r>
          </w:p>
          <w:p w:rsidR="0074173D" w:rsidRPr="00F6784D" w:rsidRDefault="00D5482E" w:rsidP="0074173D">
            <w:pPr>
              <w:pStyle w:val="ListParagraph"/>
              <w:keepLines/>
              <w:numPr>
                <w:ilvl w:val="0"/>
                <w:numId w:val="45"/>
              </w:numPr>
              <w:pBdr>
                <w:top w:val="nil"/>
                <w:left w:val="nil"/>
                <w:bottom w:val="nil"/>
                <w:right w:val="nil"/>
                <w:between w:val="nil"/>
                <w:bar w:val="nil"/>
              </w:pBdr>
              <w:spacing w:after="60" w:line="240" w:lineRule="auto"/>
              <w:rPr>
                <w:rFonts w:eastAsia="Times New Roman" w:cs="Times New Roman"/>
                <w:b/>
                <w:sz w:val="20"/>
                <w:szCs w:val="20"/>
                <w:bdr w:val="nil"/>
                <w:lang w:val="x-none" w:eastAsia="x-none"/>
              </w:rPr>
            </w:pPr>
            <w:r w:rsidRPr="00F6784D">
              <w:rPr>
                <w:rFonts w:eastAsia="Times New Roman" w:cs="Times New Roman"/>
                <w:sz w:val="20"/>
                <w:szCs w:val="20"/>
                <w:bdr w:val="nil"/>
                <w:lang w:val="en-AU" w:eastAsia="x-none"/>
              </w:rPr>
              <w:t>Program 1.1 – Australian Tax Office</w:t>
            </w:r>
          </w:p>
          <w:p w:rsidR="0074173D" w:rsidRPr="00F6784D" w:rsidRDefault="00D5482E" w:rsidP="0074173D">
            <w:pPr>
              <w:pStyle w:val="ListParagraph"/>
              <w:keepLines/>
              <w:numPr>
                <w:ilvl w:val="0"/>
                <w:numId w:val="45"/>
              </w:numPr>
              <w:pBdr>
                <w:top w:val="nil"/>
                <w:left w:val="nil"/>
                <w:bottom w:val="nil"/>
                <w:right w:val="nil"/>
                <w:between w:val="nil"/>
                <w:bar w:val="nil"/>
              </w:pBdr>
              <w:spacing w:after="60" w:line="240" w:lineRule="auto"/>
              <w:rPr>
                <w:rStyle w:val="ExampletextCharChar"/>
                <w:rFonts w:eastAsia="Calibri"/>
                <w:i w:val="0"/>
                <w:bdr w:val="nil"/>
                <w:lang w:val="x-none" w:eastAsia="x-none"/>
              </w:rPr>
            </w:pPr>
            <w:r w:rsidRPr="00F6784D">
              <w:rPr>
                <w:rFonts w:eastAsia="Times New Roman" w:cs="Times New Roman"/>
                <w:sz w:val="20"/>
                <w:szCs w:val="20"/>
                <w:bdr w:val="nil"/>
                <w:lang w:val="en-AU" w:eastAsia="x-none"/>
              </w:rPr>
              <w:t>Program 1.12 – Private Health Insurance Rebate</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hideMark/>
          </w:tcPr>
          <w:p w:rsidR="0074173D" w:rsidRPr="00F6784D" w:rsidRDefault="00D5482E">
            <w:pPr>
              <w:pStyle w:val="ExampleText0"/>
              <w:pBdr>
                <w:top w:val="nil"/>
                <w:left w:val="nil"/>
                <w:bottom w:val="nil"/>
                <w:right w:val="nil"/>
                <w:between w:val="nil"/>
                <w:bar w:val="nil"/>
              </w:pBdr>
              <w:spacing w:before="60" w:after="60" w:line="240" w:lineRule="auto"/>
              <w:rPr>
                <w:rStyle w:val="ExampletextCharChar"/>
                <w:b/>
                <w:color w:val="auto"/>
                <w:bdr w:val="nil"/>
                <w:lang w:eastAsia="x-none"/>
              </w:rPr>
            </w:pPr>
            <w:r w:rsidRPr="00F6784D">
              <w:rPr>
                <w:rStyle w:val="ExampletextCharChar"/>
                <w:b/>
                <w:color w:val="auto"/>
                <w:bdr w:val="nil"/>
              </w:rPr>
              <w:t>Australian Transaction Reports and Analysis Centre</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hideMark/>
          </w:tcPr>
          <w:p w:rsidR="0074173D" w:rsidRPr="00F6784D" w:rsidRDefault="00D5482E" w:rsidP="003D35E4">
            <w:pPr>
              <w:pStyle w:val="ExampleText0"/>
              <w:pBdr>
                <w:top w:val="nil"/>
                <w:left w:val="nil"/>
                <w:bottom w:val="nil"/>
                <w:right w:val="nil"/>
                <w:between w:val="nil"/>
                <w:bar w:val="nil"/>
              </w:pBdr>
              <w:spacing w:after="60" w:line="240" w:lineRule="auto"/>
              <w:rPr>
                <w:rStyle w:val="ExampletextCharChar"/>
                <w:b/>
                <w:color w:val="auto"/>
                <w:bdr w:val="nil"/>
              </w:rPr>
            </w:pPr>
            <w:r>
              <w:rPr>
                <w:rStyle w:val="ExampletextCharChar"/>
                <w:b/>
                <w:color w:val="auto"/>
                <w:bdr w:val="nil"/>
              </w:rPr>
              <w:t>Program</w:t>
            </w:r>
          </w:p>
          <w:p w:rsidR="0074173D" w:rsidRPr="00F6784D" w:rsidRDefault="00D5482E" w:rsidP="0074173D">
            <w:pPr>
              <w:pStyle w:val="ListParagraph"/>
              <w:keepLines/>
              <w:numPr>
                <w:ilvl w:val="0"/>
                <w:numId w:val="45"/>
              </w:numPr>
              <w:pBdr>
                <w:top w:val="nil"/>
                <w:left w:val="nil"/>
                <w:bottom w:val="nil"/>
                <w:right w:val="nil"/>
                <w:between w:val="nil"/>
                <w:bar w:val="nil"/>
              </w:pBdr>
              <w:spacing w:after="60" w:line="240" w:lineRule="auto"/>
              <w:rPr>
                <w:rStyle w:val="ExampletextCharChar"/>
                <w:rFonts w:eastAsiaTheme="minorHAnsi"/>
                <w:bdr w:val="nil"/>
              </w:rPr>
            </w:pPr>
            <w:r w:rsidRPr="00F6784D">
              <w:rPr>
                <w:rFonts w:eastAsia="Times New Roman" w:cs="Times New Roman"/>
                <w:sz w:val="20"/>
                <w:szCs w:val="20"/>
                <w:bdr w:val="nil"/>
                <w:lang w:val="en-AU" w:eastAsia="x-none"/>
              </w:rPr>
              <w:t>Program 1.1 – AUSTRAC</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935348" w:rsidRDefault="00D5482E" w:rsidP="00935348">
            <w:pPr>
              <w:pStyle w:val="ExampleText0"/>
              <w:pBdr>
                <w:top w:val="nil"/>
                <w:left w:val="nil"/>
                <w:bottom w:val="nil"/>
                <w:right w:val="nil"/>
                <w:between w:val="nil"/>
                <w:bar w:val="nil"/>
              </w:pBdr>
              <w:spacing w:before="60" w:after="60" w:line="240" w:lineRule="auto"/>
              <w:rPr>
                <w:rStyle w:val="ExampletextCharChar"/>
                <w:b/>
                <w:color w:val="auto"/>
                <w:bdr w:val="nil"/>
              </w:rPr>
            </w:pPr>
            <w:r>
              <w:rPr>
                <w:rStyle w:val="ExampletextCharChar"/>
                <w:b/>
                <w:color w:val="auto"/>
                <w:bdr w:val="nil"/>
              </w:rPr>
              <w:t>Australian Trade and Investment Commission (Austrade)</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935348" w:rsidRDefault="00D5482E" w:rsidP="00935348">
            <w:pPr>
              <w:pStyle w:val="ExampleText0"/>
              <w:pBdr>
                <w:top w:val="nil"/>
                <w:left w:val="nil"/>
                <w:bottom w:val="nil"/>
                <w:right w:val="nil"/>
                <w:between w:val="nil"/>
                <w:bar w:val="nil"/>
              </w:pBdr>
              <w:spacing w:before="60" w:after="60" w:line="240" w:lineRule="auto"/>
              <w:rPr>
                <w:rStyle w:val="ExampletextCharChar"/>
                <w:b/>
                <w:color w:val="auto"/>
                <w:bdr w:val="nil"/>
              </w:rPr>
            </w:pPr>
            <w:r>
              <w:rPr>
                <w:rStyle w:val="ExampletextCharChar"/>
                <w:b/>
                <w:color w:val="auto"/>
                <w:bdr w:val="nil"/>
              </w:rPr>
              <w:t>Program</w:t>
            </w:r>
          </w:p>
          <w:p w:rsidR="00935348" w:rsidRPr="00935348" w:rsidRDefault="00D5482E" w:rsidP="00935348">
            <w:pPr>
              <w:pStyle w:val="ListParagraph"/>
              <w:keepLines/>
              <w:numPr>
                <w:ilvl w:val="0"/>
                <w:numId w:val="46"/>
              </w:numPr>
              <w:pBdr>
                <w:top w:val="nil"/>
                <w:left w:val="nil"/>
                <w:bottom w:val="nil"/>
                <w:right w:val="nil"/>
                <w:between w:val="nil"/>
                <w:bar w:val="nil"/>
              </w:pBdr>
              <w:spacing w:after="60" w:line="240" w:lineRule="auto"/>
              <w:rPr>
                <w:rStyle w:val="ExampletextCharChar"/>
                <w:rFonts w:eastAsiaTheme="minorHAnsi"/>
                <w:b/>
                <w:bdr w:val="nil"/>
              </w:rPr>
            </w:pPr>
            <w:r w:rsidRPr="00935348">
              <w:rPr>
                <w:rFonts w:eastAsia="Times New Roman" w:cs="Times New Roman"/>
                <w:sz w:val="20"/>
                <w:bdr w:val="nil"/>
                <w:lang w:val="en-AU" w:eastAsia="x-none"/>
              </w:rPr>
              <w:t>Program 1.2 - Austrade</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hideMark/>
          </w:tcPr>
          <w:p w:rsidR="0074173D" w:rsidRPr="00F6784D" w:rsidRDefault="00D5482E">
            <w:pPr>
              <w:pStyle w:val="ExampleText0"/>
              <w:pBdr>
                <w:top w:val="nil"/>
                <w:left w:val="nil"/>
                <w:bottom w:val="nil"/>
                <w:right w:val="nil"/>
                <w:between w:val="nil"/>
                <w:bar w:val="nil"/>
              </w:pBdr>
              <w:spacing w:before="60" w:after="60" w:line="240" w:lineRule="auto"/>
              <w:rPr>
                <w:bdr w:val="nil"/>
                <w:lang w:val="en-US" w:eastAsia="en-US"/>
              </w:rPr>
            </w:pPr>
            <w:r w:rsidRPr="00F6784D">
              <w:rPr>
                <w:rStyle w:val="ExampletextCharChar"/>
                <w:b/>
                <w:color w:val="auto"/>
                <w:bdr w:val="nil"/>
              </w:rPr>
              <w:t>Department of Agriculture, Water and the Environment</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hideMark/>
          </w:tcPr>
          <w:p w:rsidR="0074173D" w:rsidRPr="00F6784D" w:rsidRDefault="00D5482E">
            <w:pPr>
              <w:keepLines/>
              <w:pBdr>
                <w:top w:val="nil"/>
                <w:left w:val="nil"/>
                <w:bottom w:val="nil"/>
                <w:right w:val="nil"/>
                <w:between w:val="nil"/>
                <w:bar w:val="nil"/>
              </w:pBdr>
              <w:spacing w:after="60" w:line="240" w:lineRule="auto"/>
              <w:rPr>
                <w:b/>
                <w:bdr w:val="nil"/>
                <w:lang w:eastAsia="x-none"/>
              </w:rPr>
            </w:pPr>
            <w:r w:rsidRPr="00F6784D">
              <w:rPr>
                <w:rFonts w:ascii="Book Antiqua" w:eastAsia="Times New Roman" w:hAnsi="Book Antiqua" w:cs="Times New Roman"/>
                <w:b/>
                <w:sz w:val="20"/>
                <w:szCs w:val="20"/>
                <w:bdr w:val="nil"/>
                <w:lang w:val="x-none" w:eastAsia="x-none"/>
              </w:rPr>
              <w:t>Program</w:t>
            </w:r>
          </w:p>
          <w:p w:rsidR="0074173D" w:rsidRPr="00F6784D" w:rsidRDefault="00D5482E" w:rsidP="00FF0A78">
            <w:pPr>
              <w:pStyle w:val="ListParagraph"/>
              <w:keepLines/>
              <w:numPr>
                <w:ilvl w:val="0"/>
                <w:numId w:val="45"/>
              </w:numPr>
              <w:pBdr>
                <w:top w:val="nil"/>
                <w:left w:val="nil"/>
                <w:bottom w:val="nil"/>
                <w:right w:val="nil"/>
                <w:between w:val="nil"/>
                <w:bar w:val="nil"/>
              </w:pBdr>
              <w:spacing w:after="60" w:line="240" w:lineRule="auto"/>
              <w:rPr>
                <w:rStyle w:val="ExampletextCharChar"/>
                <w:rFonts w:eastAsia="Calibri"/>
                <w:bdr w:val="nil"/>
              </w:rPr>
            </w:pPr>
            <w:r w:rsidRPr="00F6784D">
              <w:rPr>
                <w:rFonts w:eastAsia="Times New Roman" w:cs="Times New Roman"/>
                <w:sz w:val="20"/>
                <w:szCs w:val="20"/>
                <w:bdr w:val="nil"/>
                <w:lang w:val="en-AU" w:eastAsia="x-none"/>
              </w:rPr>
              <w:t xml:space="preserve">Program </w:t>
            </w:r>
            <w:r>
              <w:rPr>
                <w:rFonts w:eastAsia="Times New Roman" w:cs="Times New Roman"/>
                <w:sz w:val="20"/>
                <w:szCs w:val="20"/>
                <w:bdr w:val="nil"/>
                <w:lang w:val="en-AU" w:eastAsia="x-none"/>
              </w:rPr>
              <w:t>3</w:t>
            </w:r>
            <w:r w:rsidRPr="00F6784D">
              <w:rPr>
                <w:rFonts w:eastAsia="Times New Roman" w:cs="Times New Roman"/>
                <w:sz w:val="20"/>
                <w:szCs w:val="20"/>
                <w:bdr w:val="nil"/>
                <w:lang w:val="en-AU" w:eastAsia="x-none"/>
              </w:rPr>
              <w:t>.12 – Rural Programmes</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hideMark/>
          </w:tcPr>
          <w:p w:rsidR="0074173D" w:rsidRPr="00F6784D" w:rsidRDefault="00D5482E">
            <w:pPr>
              <w:pStyle w:val="ExampleText0"/>
              <w:pBdr>
                <w:top w:val="nil"/>
                <w:left w:val="nil"/>
                <w:bottom w:val="nil"/>
                <w:right w:val="nil"/>
                <w:between w:val="nil"/>
                <w:bar w:val="nil"/>
              </w:pBdr>
              <w:spacing w:before="60" w:after="60" w:line="240" w:lineRule="auto"/>
              <w:rPr>
                <w:rStyle w:val="ExampletextCharChar"/>
                <w:b/>
                <w:color w:val="auto"/>
                <w:bdr w:val="nil"/>
              </w:rPr>
            </w:pPr>
            <w:r w:rsidRPr="00F6784D">
              <w:rPr>
                <w:rStyle w:val="ExampletextCharChar"/>
                <w:b/>
                <w:color w:val="auto"/>
                <w:bdr w:val="nil"/>
              </w:rPr>
              <w:t>Department of Education, Skills and Employment</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hideMark/>
          </w:tcPr>
          <w:p w:rsidR="0074173D" w:rsidRPr="00F6784D" w:rsidRDefault="00D5482E">
            <w:pPr>
              <w:keepLines/>
              <w:pBdr>
                <w:top w:val="nil"/>
                <w:left w:val="nil"/>
                <w:bottom w:val="nil"/>
                <w:right w:val="nil"/>
                <w:between w:val="nil"/>
                <w:bar w:val="nil"/>
              </w:pBdr>
              <w:spacing w:after="60" w:line="240" w:lineRule="auto"/>
              <w:rPr>
                <w:bdr w:val="nil"/>
                <w:lang w:eastAsia="x-none"/>
              </w:rPr>
            </w:pPr>
            <w:r w:rsidRPr="00F6784D">
              <w:rPr>
                <w:rFonts w:ascii="Book Antiqua" w:eastAsia="Times New Roman" w:hAnsi="Book Antiqua" w:cs="Times New Roman"/>
                <w:b/>
                <w:sz w:val="20"/>
                <w:szCs w:val="20"/>
                <w:bdr w:val="nil"/>
                <w:lang w:val="x-none" w:eastAsia="x-none"/>
              </w:rPr>
              <w:t>Program</w:t>
            </w:r>
            <w:r w:rsidRPr="00F6784D">
              <w:rPr>
                <w:rFonts w:ascii="Book Antiqua" w:eastAsia="Times New Roman" w:hAnsi="Book Antiqua" w:cs="Times New Roman"/>
                <w:b/>
                <w:sz w:val="20"/>
                <w:szCs w:val="20"/>
                <w:bdr w:val="nil"/>
                <w:lang w:eastAsia="x-none"/>
              </w:rPr>
              <w:t>s</w:t>
            </w:r>
          </w:p>
          <w:p w:rsidR="0074173D" w:rsidRPr="00F6784D" w:rsidRDefault="00D5482E" w:rsidP="0074173D">
            <w:pPr>
              <w:pStyle w:val="ListParagraph"/>
              <w:keepLines/>
              <w:numPr>
                <w:ilvl w:val="0"/>
                <w:numId w:val="45"/>
              </w:numPr>
              <w:pBdr>
                <w:top w:val="nil"/>
                <w:left w:val="nil"/>
                <w:bottom w:val="nil"/>
                <w:right w:val="nil"/>
                <w:between w:val="nil"/>
                <w:bar w:val="nil"/>
              </w:pBdr>
              <w:spacing w:after="60" w:line="240" w:lineRule="auto"/>
              <w:rPr>
                <w:rFonts w:eastAsia="Times New Roman" w:cs="Times New Roman"/>
                <w:sz w:val="20"/>
                <w:szCs w:val="20"/>
                <w:bdr w:val="nil"/>
                <w:lang w:val="en-AU" w:eastAsia="x-none"/>
              </w:rPr>
            </w:pPr>
            <w:r w:rsidRPr="00F6784D">
              <w:rPr>
                <w:rFonts w:eastAsia="Times New Roman" w:cs="Times New Roman"/>
                <w:sz w:val="20"/>
                <w:szCs w:val="20"/>
                <w:bdr w:val="nil"/>
                <w:lang w:val="en-AU" w:eastAsia="x-none"/>
              </w:rPr>
              <w:t>Program 1.1 – Support for the Child Care System</w:t>
            </w:r>
          </w:p>
          <w:p w:rsidR="0074173D" w:rsidRPr="00F6784D" w:rsidRDefault="00D5482E" w:rsidP="0074173D">
            <w:pPr>
              <w:pStyle w:val="ListParagraph"/>
              <w:keepLines/>
              <w:numPr>
                <w:ilvl w:val="0"/>
                <w:numId w:val="45"/>
              </w:numPr>
              <w:pBdr>
                <w:top w:val="nil"/>
                <w:left w:val="nil"/>
                <w:bottom w:val="nil"/>
                <w:right w:val="nil"/>
                <w:between w:val="nil"/>
                <w:bar w:val="nil"/>
              </w:pBdr>
              <w:spacing w:after="60" w:line="240" w:lineRule="auto"/>
              <w:rPr>
                <w:rFonts w:eastAsia="Times New Roman" w:cs="Times New Roman"/>
                <w:sz w:val="20"/>
                <w:szCs w:val="20"/>
                <w:bdr w:val="nil"/>
                <w:lang w:val="en-AU" w:eastAsia="x-none"/>
              </w:rPr>
            </w:pPr>
            <w:r w:rsidRPr="00F6784D">
              <w:rPr>
                <w:rFonts w:eastAsia="Times New Roman" w:cs="Times New Roman"/>
                <w:sz w:val="20"/>
                <w:szCs w:val="20"/>
                <w:bdr w:val="nil"/>
                <w:lang w:val="en-AU" w:eastAsia="x-none"/>
              </w:rPr>
              <w:t xml:space="preserve">Program 1.2 – Child Care Subsidy </w:t>
            </w:r>
          </w:p>
          <w:p w:rsidR="0074173D" w:rsidRPr="00F6784D" w:rsidRDefault="00D5482E" w:rsidP="0074173D">
            <w:pPr>
              <w:pStyle w:val="ListParagraph"/>
              <w:keepLines/>
              <w:numPr>
                <w:ilvl w:val="0"/>
                <w:numId w:val="45"/>
              </w:numPr>
              <w:pBdr>
                <w:top w:val="nil"/>
                <w:left w:val="nil"/>
                <w:bottom w:val="nil"/>
                <w:right w:val="nil"/>
                <w:between w:val="nil"/>
                <w:bar w:val="nil"/>
              </w:pBdr>
              <w:spacing w:after="60" w:line="240" w:lineRule="auto"/>
              <w:rPr>
                <w:rFonts w:eastAsia="Times New Roman" w:cs="Times New Roman"/>
                <w:sz w:val="20"/>
                <w:szCs w:val="20"/>
                <w:bdr w:val="nil"/>
                <w:lang w:val="en-AU" w:eastAsia="x-none"/>
              </w:rPr>
            </w:pPr>
            <w:r w:rsidRPr="00F6784D">
              <w:rPr>
                <w:rFonts w:eastAsia="Times New Roman" w:cs="Times New Roman"/>
                <w:sz w:val="20"/>
                <w:szCs w:val="20"/>
                <w:bdr w:val="nil"/>
                <w:lang w:val="en-AU" w:eastAsia="x-none"/>
              </w:rPr>
              <w:t xml:space="preserve">Program 3.1 – Building Skills and Capability </w:t>
            </w:r>
          </w:p>
          <w:p w:rsidR="0074173D" w:rsidRPr="00F6784D" w:rsidRDefault="00D5482E" w:rsidP="0074173D">
            <w:pPr>
              <w:pStyle w:val="ListParagraph"/>
              <w:keepLines/>
              <w:numPr>
                <w:ilvl w:val="0"/>
                <w:numId w:val="45"/>
              </w:numPr>
              <w:pBdr>
                <w:top w:val="nil"/>
                <w:left w:val="nil"/>
                <w:bottom w:val="nil"/>
                <w:right w:val="nil"/>
                <w:between w:val="nil"/>
                <w:bar w:val="nil"/>
              </w:pBdr>
              <w:spacing w:after="60" w:line="240" w:lineRule="auto"/>
              <w:rPr>
                <w:rStyle w:val="ExampletextCharChar"/>
                <w:rFonts w:eastAsia="Calibri"/>
                <w:i w:val="0"/>
                <w:bdr w:val="nil"/>
              </w:rPr>
            </w:pPr>
            <w:r w:rsidRPr="00F6784D">
              <w:rPr>
                <w:rFonts w:eastAsia="Times New Roman" w:cs="Times New Roman"/>
                <w:sz w:val="20"/>
                <w:szCs w:val="20"/>
                <w:bdr w:val="nil"/>
                <w:lang w:val="en-AU" w:eastAsia="x-none"/>
              </w:rPr>
              <w:t>Program 4.1 – Employment Services</w:t>
            </w:r>
          </w:p>
        </w:tc>
      </w:tr>
    </w:tbl>
    <w:p w:rsidR="00BD45AB" w:rsidRDefault="00D5482E">
      <w:pPr>
        <w:keepLines/>
        <w:pBdr>
          <w:top w:val="nil"/>
          <w:left w:val="nil"/>
          <w:bottom w:val="nil"/>
          <w:right w:val="nil"/>
          <w:between w:val="nil"/>
          <w:bar w:val="nil"/>
        </w:pBdr>
        <w:spacing w:after="240" w:line="260" w:lineRule="exact"/>
        <w:jc w:val="both"/>
        <w:rPr>
          <w:bdr w:val="nil"/>
        </w:rPr>
      </w:pPr>
      <w:r>
        <w:rPr>
          <w:rFonts w:ascii="Book Antiqua" w:eastAsia="Times New Roman" w:hAnsi="Book Antiqua" w:cs="Times New Roman"/>
          <w:sz w:val="20"/>
          <w:szCs w:val="20"/>
          <w:bdr w:val="nil"/>
          <w:lang w:val="en-AU" w:eastAsia="en-AU"/>
        </w:rPr>
        <w:br w:type="page"/>
      </w:r>
    </w:p>
    <w:p w:rsidR="00BD45AB" w:rsidRDefault="00D5482E" w:rsidP="00066A92">
      <w:pPr>
        <w:pStyle w:val="Heading4"/>
        <w:pageBreakBefore/>
        <w:pBdr>
          <w:top w:val="nil"/>
          <w:left w:val="nil"/>
          <w:bottom w:val="nil"/>
          <w:right w:val="nil"/>
          <w:between w:val="nil"/>
          <w:bar w:val="nil"/>
        </w:pBdr>
        <w:spacing w:before="0" w:after="0"/>
        <w:rPr>
          <w:rFonts w:cs="Arial"/>
          <w:bdr w:val="nil"/>
        </w:rPr>
      </w:pPr>
      <w:r>
        <w:rPr>
          <w:rFonts w:cs="Arial"/>
          <w:bdr w:val="nil"/>
        </w:rPr>
        <w:lastRenderedPageBreak/>
        <w:t>Linked programs (continued)</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768"/>
      </w:tblGrid>
      <w:tr w:rsidR="00010972" w:rsidTr="00241B17">
        <w:trPr>
          <w:cantSplit/>
        </w:trPr>
        <w:tc>
          <w:tcPr>
            <w:tcW w:w="7768" w:type="dxa"/>
            <w:tcBorders>
              <w:top w:val="single" w:sz="4" w:space="0" w:color="auto"/>
              <w:left w:val="single" w:sz="4" w:space="0" w:color="auto"/>
              <w:bottom w:val="single" w:sz="4" w:space="0" w:color="auto"/>
              <w:right w:val="single" w:sz="4" w:space="0" w:color="auto"/>
            </w:tcBorders>
            <w:hideMark/>
          </w:tcPr>
          <w:p w:rsidR="0074173D" w:rsidRPr="00F6784D" w:rsidRDefault="00D5482E" w:rsidP="00BD45AB">
            <w:pPr>
              <w:pStyle w:val="ExampleText0"/>
              <w:pBdr>
                <w:top w:val="nil"/>
                <w:left w:val="nil"/>
                <w:bottom w:val="nil"/>
                <w:right w:val="nil"/>
                <w:between w:val="nil"/>
                <w:bar w:val="nil"/>
              </w:pBdr>
              <w:spacing w:before="60" w:after="60" w:line="240" w:lineRule="auto"/>
              <w:rPr>
                <w:rStyle w:val="ExampletextCharChar"/>
                <w:b/>
                <w:color w:val="auto"/>
                <w:bdr w:val="nil"/>
              </w:rPr>
            </w:pPr>
            <w:r w:rsidRPr="00F6784D">
              <w:rPr>
                <w:rStyle w:val="ExampletextCharChar"/>
                <w:b/>
                <w:color w:val="auto"/>
                <w:bdr w:val="nil"/>
              </w:rPr>
              <w:t>Department of Foreign Affairs and Trade</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hideMark/>
          </w:tcPr>
          <w:p w:rsidR="0074173D" w:rsidRPr="00F6784D" w:rsidRDefault="00D5482E" w:rsidP="00BD45AB">
            <w:pPr>
              <w:keepLines/>
              <w:pBdr>
                <w:top w:val="nil"/>
                <w:left w:val="nil"/>
                <w:bottom w:val="nil"/>
                <w:right w:val="nil"/>
                <w:between w:val="nil"/>
                <w:bar w:val="nil"/>
              </w:pBdr>
              <w:spacing w:after="60" w:line="240" w:lineRule="auto"/>
              <w:rPr>
                <w:bdr w:val="nil"/>
                <w:lang w:eastAsia="x-none"/>
              </w:rPr>
            </w:pPr>
            <w:r w:rsidRPr="00F6784D">
              <w:rPr>
                <w:rFonts w:ascii="Book Antiqua" w:eastAsia="Times New Roman" w:hAnsi="Book Antiqua" w:cs="Times New Roman"/>
                <w:b/>
                <w:sz w:val="20"/>
                <w:szCs w:val="20"/>
                <w:bdr w:val="nil"/>
                <w:lang w:val="x-none" w:eastAsia="x-none"/>
              </w:rPr>
              <w:t>Program</w:t>
            </w:r>
            <w:r w:rsidRPr="00F6784D">
              <w:rPr>
                <w:rFonts w:ascii="Book Antiqua" w:eastAsia="Times New Roman" w:hAnsi="Book Antiqua" w:cs="Times New Roman"/>
                <w:b/>
                <w:sz w:val="20"/>
                <w:szCs w:val="20"/>
                <w:bdr w:val="nil"/>
                <w:lang w:eastAsia="x-none"/>
              </w:rPr>
              <w:t>s</w:t>
            </w:r>
          </w:p>
          <w:p w:rsidR="0074173D" w:rsidRPr="00F6784D" w:rsidRDefault="00D5482E" w:rsidP="001C1C19">
            <w:pPr>
              <w:pStyle w:val="ListParagraph"/>
              <w:keepLines/>
              <w:numPr>
                <w:ilvl w:val="0"/>
                <w:numId w:val="45"/>
              </w:numPr>
              <w:pBdr>
                <w:top w:val="nil"/>
                <w:left w:val="nil"/>
                <w:bottom w:val="nil"/>
                <w:right w:val="nil"/>
                <w:between w:val="nil"/>
                <w:bar w:val="nil"/>
              </w:pBdr>
              <w:spacing w:after="60" w:line="260" w:lineRule="exact"/>
              <w:ind w:left="714" w:hanging="357"/>
              <w:rPr>
                <w:rFonts w:eastAsia="Times New Roman" w:cs="Times New Roman"/>
                <w:sz w:val="20"/>
                <w:szCs w:val="20"/>
                <w:bdr w:val="nil"/>
                <w:lang w:val="en-AU" w:eastAsia="x-none"/>
              </w:rPr>
            </w:pPr>
            <w:r w:rsidRPr="00F6784D">
              <w:rPr>
                <w:rFonts w:eastAsia="Times New Roman" w:cs="Times New Roman"/>
                <w:sz w:val="20"/>
                <w:szCs w:val="20"/>
                <w:bdr w:val="nil"/>
                <w:lang w:val="en-AU" w:eastAsia="x-none"/>
              </w:rPr>
              <w:t>Program 2.1 – Consular Services</w:t>
            </w:r>
          </w:p>
          <w:p w:rsidR="0074173D" w:rsidRPr="00F6784D" w:rsidRDefault="00D5482E" w:rsidP="001C1C19">
            <w:pPr>
              <w:pStyle w:val="ListParagraph"/>
              <w:keepLines/>
              <w:numPr>
                <w:ilvl w:val="0"/>
                <w:numId w:val="45"/>
              </w:numPr>
              <w:pBdr>
                <w:top w:val="nil"/>
                <w:left w:val="nil"/>
                <w:bottom w:val="nil"/>
                <w:right w:val="nil"/>
                <w:between w:val="nil"/>
                <w:bar w:val="nil"/>
              </w:pBdr>
              <w:spacing w:after="60" w:line="260" w:lineRule="exact"/>
              <w:ind w:left="714" w:hanging="357"/>
              <w:rPr>
                <w:rStyle w:val="ExampletextCharChar"/>
                <w:rFonts w:eastAsia="Calibri"/>
                <w:i w:val="0"/>
                <w:bdr w:val="nil"/>
              </w:rPr>
            </w:pPr>
            <w:r w:rsidRPr="00F6784D">
              <w:rPr>
                <w:rFonts w:eastAsia="Times New Roman" w:cs="Times New Roman"/>
                <w:sz w:val="20"/>
                <w:szCs w:val="20"/>
                <w:bdr w:val="nil"/>
                <w:lang w:val="en-AU" w:eastAsia="x-none"/>
              </w:rPr>
              <w:t>Program 2.2 – Passport Services</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D5482E" w:rsidP="00BD45AB">
            <w:pPr>
              <w:pStyle w:val="ExampleText0"/>
              <w:pBdr>
                <w:top w:val="nil"/>
                <w:left w:val="nil"/>
                <w:bottom w:val="nil"/>
                <w:right w:val="nil"/>
                <w:between w:val="nil"/>
                <w:bar w:val="nil"/>
              </w:pBdr>
              <w:spacing w:before="60" w:after="60" w:line="240" w:lineRule="auto"/>
              <w:rPr>
                <w:rStyle w:val="ExampletextCharChar"/>
                <w:b/>
                <w:color w:val="000000"/>
                <w:bdr w:val="nil"/>
              </w:rPr>
            </w:pPr>
            <w:r>
              <w:rPr>
                <w:rStyle w:val="ExampletextCharChar"/>
                <w:b/>
                <w:color w:val="000000"/>
                <w:bdr w:val="nil"/>
              </w:rPr>
              <w:t>Department of Health</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D5482E" w:rsidP="00BD45AB">
            <w:pPr>
              <w:keepLines/>
              <w:pBdr>
                <w:top w:val="nil"/>
                <w:left w:val="nil"/>
                <w:bottom w:val="nil"/>
                <w:right w:val="nil"/>
                <w:between w:val="nil"/>
                <w:bar w:val="nil"/>
              </w:pBdr>
              <w:spacing w:after="60" w:line="240" w:lineRule="auto"/>
              <w:rPr>
                <w:bdr w:val="nil"/>
                <w:lang w:eastAsia="x-none"/>
              </w:rPr>
            </w:pPr>
            <w:r>
              <w:rPr>
                <w:rFonts w:ascii="Book Antiqua" w:eastAsia="Times New Roman" w:hAnsi="Book Antiqua" w:cs="Times New Roman"/>
                <w:b/>
                <w:sz w:val="20"/>
                <w:szCs w:val="20"/>
                <w:bdr w:val="nil"/>
                <w:lang w:val="x-none" w:eastAsia="x-none"/>
              </w:rPr>
              <w:t>Program</w:t>
            </w:r>
            <w:r>
              <w:rPr>
                <w:rFonts w:ascii="Book Antiqua" w:eastAsia="Times New Roman" w:hAnsi="Book Antiqua" w:cs="Times New Roman"/>
                <w:b/>
                <w:sz w:val="20"/>
                <w:szCs w:val="20"/>
                <w:bdr w:val="nil"/>
                <w:lang w:eastAsia="x-none"/>
              </w:rPr>
              <w:t>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1.1 – Health Policy Research and Analysis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2.2 – Aboriginal and Torres Strait Islander Health</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2.3 – Health Workforce</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2.4 – Preventive Health and Chronic Disease Support</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2.5 – Primary Health Care Quality and Coordination</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2.6 – Primary Care Practice Incentives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4.1 – Medical Benefits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4.2 – Hearing Services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4.3 – Pharmaceutical Benefits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4.4 – Private Health Insurance</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4.5 – Medical Indemnity</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4.6 – Dental Services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4.7 – Health Benefit Compliance</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4.8 – Targeted Assistance - Aids and Appliances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5.3 – Immunisation</w:t>
            </w:r>
          </w:p>
          <w:p w:rsidR="00BD45AB" w:rsidRDefault="00D5482E" w:rsidP="00BD45AB">
            <w:pPr>
              <w:pStyle w:val="BulletBox"/>
              <w:numPr>
                <w:ilvl w:val="0"/>
                <w:numId w:val="48"/>
              </w:numPr>
              <w:pBdr>
                <w:top w:val="nil"/>
                <w:left w:val="nil"/>
                <w:bottom w:val="nil"/>
                <w:right w:val="nil"/>
                <w:between w:val="nil"/>
                <w:bar w:val="nil"/>
              </w:pBdr>
              <w:jc w:val="left"/>
              <w:rPr>
                <w:rStyle w:val="ExampletextCharChar"/>
                <w:b/>
                <w:i w:val="0"/>
                <w:bdr w:val="nil"/>
                <w:lang w:val="x-none" w:eastAsia="x-none"/>
              </w:rPr>
            </w:pPr>
            <w:r>
              <w:rPr>
                <w:color w:val="000000"/>
                <w:bdr w:val="nil"/>
                <w:lang w:eastAsia="x-none"/>
              </w:rPr>
              <w:t>Program 6.2 – Aged Care Services</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D5482E" w:rsidP="00BD45AB">
            <w:pPr>
              <w:pStyle w:val="ExampleText0"/>
              <w:pBdr>
                <w:top w:val="nil"/>
                <w:left w:val="nil"/>
                <w:bottom w:val="nil"/>
                <w:right w:val="nil"/>
                <w:between w:val="nil"/>
                <w:bar w:val="nil"/>
              </w:pBdr>
              <w:spacing w:before="60" w:after="60" w:line="240" w:lineRule="auto"/>
              <w:rPr>
                <w:rStyle w:val="ExampletextCharChar"/>
                <w:b/>
                <w:color w:val="000000"/>
                <w:bdr w:val="nil"/>
              </w:rPr>
            </w:pPr>
            <w:r>
              <w:rPr>
                <w:rStyle w:val="ExampletextCharChar"/>
                <w:b/>
                <w:color w:val="000000"/>
                <w:bdr w:val="nil"/>
              </w:rPr>
              <w:t>Department of Home Affairs</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D5482E" w:rsidP="00BD45AB">
            <w:pPr>
              <w:keepLines/>
              <w:pBdr>
                <w:top w:val="nil"/>
                <w:left w:val="nil"/>
                <w:bottom w:val="nil"/>
                <w:right w:val="nil"/>
                <w:between w:val="nil"/>
                <w:bar w:val="nil"/>
              </w:pBdr>
              <w:spacing w:after="60" w:line="240" w:lineRule="auto"/>
              <w:rPr>
                <w:bdr w:val="nil"/>
                <w:lang w:eastAsia="x-none"/>
              </w:rPr>
            </w:pPr>
            <w:r>
              <w:rPr>
                <w:rFonts w:ascii="Book Antiqua" w:eastAsia="Times New Roman" w:hAnsi="Book Antiqua" w:cs="Times New Roman"/>
                <w:b/>
                <w:sz w:val="20"/>
                <w:szCs w:val="20"/>
                <w:bdr w:val="nil"/>
                <w:lang w:val="x-none" w:eastAsia="x-none"/>
              </w:rPr>
              <w:t>Program</w:t>
            </w:r>
            <w:r>
              <w:rPr>
                <w:rFonts w:ascii="Book Antiqua" w:eastAsia="Times New Roman" w:hAnsi="Book Antiqua" w:cs="Times New Roman"/>
                <w:b/>
                <w:sz w:val="20"/>
                <w:szCs w:val="20"/>
                <w:bdr w:val="nil"/>
                <w:lang w:eastAsia="x-none"/>
              </w:rPr>
              <w:t>s</w:t>
            </w:r>
          </w:p>
          <w:p w:rsidR="00BD45AB" w:rsidRDefault="00D5482E" w:rsidP="00BD45AB">
            <w:pPr>
              <w:pStyle w:val="BulletBox"/>
              <w:numPr>
                <w:ilvl w:val="0"/>
                <w:numId w:val="48"/>
              </w:numPr>
              <w:pBdr>
                <w:top w:val="nil"/>
                <w:left w:val="nil"/>
                <w:bottom w:val="nil"/>
                <w:right w:val="nil"/>
                <w:between w:val="nil"/>
                <w:bar w:val="nil"/>
              </w:pBdr>
              <w:jc w:val="left"/>
              <w:rPr>
                <w:bdr w:val="nil"/>
                <w:lang w:eastAsia="x-none"/>
              </w:rPr>
            </w:pPr>
            <w:r>
              <w:rPr>
                <w:color w:val="000000"/>
                <w:bdr w:val="nil"/>
                <w:lang w:eastAsia="x-none"/>
              </w:rPr>
              <w:t>Program 1.3 – Onshore Compliance and Detention</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1.7 – National Security and Criminal Justice</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1.10 – Australian Government Disaster Financial Support Payments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2.1 – Multicultural Affairs and Citizenship</w:t>
            </w:r>
          </w:p>
          <w:p w:rsidR="00BD45AB" w:rsidRDefault="00D5482E" w:rsidP="00BD45AB">
            <w:pPr>
              <w:pStyle w:val="BulletBox"/>
              <w:numPr>
                <w:ilvl w:val="0"/>
                <w:numId w:val="48"/>
              </w:numPr>
              <w:pBdr>
                <w:top w:val="nil"/>
                <w:left w:val="nil"/>
                <w:bottom w:val="nil"/>
                <w:right w:val="nil"/>
                <w:between w:val="nil"/>
                <w:bar w:val="nil"/>
              </w:pBdr>
              <w:jc w:val="left"/>
              <w:rPr>
                <w:rStyle w:val="ExampletextCharChar"/>
                <w:rFonts w:ascii="Arial" w:hAnsi="Arial"/>
                <w:i w:val="0"/>
                <w:color w:val="000000"/>
                <w:sz w:val="22"/>
                <w:szCs w:val="22"/>
                <w:bdr w:val="nil"/>
                <w:lang w:eastAsia="x-none"/>
              </w:rPr>
            </w:pPr>
            <w:r>
              <w:rPr>
                <w:color w:val="000000"/>
                <w:bdr w:val="nil"/>
                <w:lang w:eastAsia="x-none"/>
              </w:rPr>
              <w:t>Program 2.4 – Refugee, Humanitarian, Settlement and Migrant Services</w:t>
            </w:r>
          </w:p>
        </w:tc>
      </w:tr>
    </w:tbl>
    <w:p w:rsidR="00BD45AB" w:rsidRDefault="00D5482E">
      <w:pPr>
        <w:keepLines/>
        <w:pBdr>
          <w:top w:val="nil"/>
          <w:left w:val="nil"/>
          <w:bottom w:val="nil"/>
          <w:right w:val="nil"/>
          <w:between w:val="nil"/>
          <w:bar w:val="nil"/>
        </w:pBdr>
        <w:spacing w:after="240" w:line="260" w:lineRule="exact"/>
        <w:jc w:val="both"/>
        <w:rPr>
          <w:bdr w:val="nil"/>
        </w:rPr>
      </w:pPr>
      <w:r>
        <w:rPr>
          <w:rFonts w:ascii="Book Antiqua" w:eastAsia="Times New Roman" w:hAnsi="Book Antiqua" w:cs="Times New Roman"/>
          <w:sz w:val="20"/>
          <w:szCs w:val="20"/>
          <w:bdr w:val="nil"/>
          <w:lang w:val="en-AU" w:eastAsia="en-AU"/>
        </w:rPr>
        <w:br w:type="page"/>
      </w:r>
    </w:p>
    <w:p w:rsidR="0074173D" w:rsidRDefault="00D5482E" w:rsidP="003D35E4">
      <w:pPr>
        <w:pStyle w:val="Heading4"/>
        <w:pageBreakBefore/>
        <w:pBdr>
          <w:top w:val="nil"/>
          <w:left w:val="nil"/>
          <w:bottom w:val="nil"/>
          <w:right w:val="nil"/>
          <w:between w:val="nil"/>
          <w:bar w:val="nil"/>
        </w:pBdr>
        <w:spacing w:before="0" w:after="0"/>
        <w:rPr>
          <w:rFonts w:cs="Arial"/>
          <w:bdr w:val="nil"/>
        </w:rPr>
      </w:pPr>
      <w:r>
        <w:rPr>
          <w:rFonts w:cs="Arial"/>
          <w:bdr w:val="nil"/>
        </w:rPr>
        <w:lastRenderedPageBreak/>
        <w:t>Linked programs (continued)</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768"/>
      </w:tblGrid>
      <w:tr w:rsidR="00010972" w:rsidTr="00241B17">
        <w:trPr>
          <w:cantSplit/>
        </w:trPr>
        <w:tc>
          <w:tcPr>
            <w:tcW w:w="7768" w:type="dxa"/>
            <w:tcBorders>
              <w:top w:val="single" w:sz="4" w:space="0" w:color="auto"/>
              <w:left w:val="single" w:sz="4" w:space="0" w:color="auto"/>
              <w:bottom w:val="single" w:sz="4" w:space="0" w:color="auto"/>
              <w:right w:val="single" w:sz="4" w:space="0" w:color="auto"/>
            </w:tcBorders>
            <w:hideMark/>
          </w:tcPr>
          <w:p w:rsidR="0074173D" w:rsidRDefault="00D5482E">
            <w:pPr>
              <w:pStyle w:val="ExampleText0"/>
              <w:pBdr>
                <w:top w:val="nil"/>
                <w:left w:val="nil"/>
                <w:bottom w:val="nil"/>
                <w:right w:val="nil"/>
                <w:between w:val="nil"/>
                <w:bar w:val="nil"/>
              </w:pBdr>
              <w:spacing w:before="60" w:after="60" w:line="240" w:lineRule="auto"/>
              <w:rPr>
                <w:rStyle w:val="ExampletextCharChar"/>
                <w:b/>
                <w:color w:val="000000"/>
                <w:bdr w:val="nil"/>
              </w:rPr>
            </w:pPr>
            <w:r>
              <w:rPr>
                <w:rStyle w:val="ExampletextCharChar"/>
                <w:b/>
                <w:color w:val="000000"/>
                <w:bdr w:val="nil"/>
              </w:rPr>
              <w:t>Department of Infrastructure, Transport, Regional Development and Communications</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hideMark/>
          </w:tcPr>
          <w:p w:rsidR="0074173D" w:rsidRDefault="006F6E47" w:rsidP="003D35E4">
            <w:pPr>
              <w:keepLines/>
              <w:pBdr>
                <w:top w:val="nil"/>
                <w:left w:val="nil"/>
                <w:bottom w:val="nil"/>
                <w:right w:val="nil"/>
                <w:between w:val="nil"/>
                <w:bar w:val="nil"/>
              </w:pBdr>
              <w:spacing w:after="60" w:line="240" w:lineRule="auto"/>
              <w:rPr>
                <w:bdr w:val="nil"/>
              </w:rPr>
            </w:pPr>
            <w:r>
              <w:rPr>
                <w:rFonts w:ascii="Book Antiqua" w:eastAsia="Times New Roman" w:hAnsi="Book Antiqua" w:cs="Times New Roman"/>
                <w:b/>
                <w:color w:val="000000"/>
                <w:sz w:val="20"/>
                <w:szCs w:val="20"/>
                <w:bdr w:val="nil"/>
              </w:rPr>
              <w:t>Program</w:t>
            </w:r>
          </w:p>
          <w:p w:rsidR="0074173D" w:rsidRPr="002D0016" w:rsidRDefault="00D5482E" w:rsidP="0074173D">
            <w:pPr>
              <w:pStyle w:val="ListParagraph"/>
              <w:keepLines/>
              <w:numPr>
                <w:ilvl w:val="0"/>
                <w:numId w:val="49"/>
              </w:numPr>
              <w:pBdr>
                <w:top w:val="nil"/>
                <w:left w:val="nil"/>
                <w:bottom w:val="nil"/>
                <w:right w:val="nil"/>
                <w:between w:val="nil"/>
                <w:bar w:val="nil"/>
              </w:pBdr>
              <w:spacing w:after="60" w:line="240" w:lineRule="auto"/>
              <w:rPr>
                <w:rStyle w:val="ExampletextCharChar"/>
                <w:rFonts w:eastAsia="Calibri"/>
                <w:i w:val="0"/>
                <w:color w:val="000000"/>
                <w:bdr w:val="nil"/>
              </w:rPr>
            </w:pPr>
            <w:r w:rsidRPr="002D0016">
              <w:rPr>
                <w:rFonts w:eastAsia="Times New Roman" w:cs="Times New Roman"/>
                <w:color w:val="000000"/>
                <w:sz w:val="20"/>
                <w:szCs w:val="20"/>
                <w:bdr w:val="nil"/>
                <w:lang w:val="en-AU" w:eastAsia="x-none"/>
              </w:rPr>
              <w:t xml:space="preserve">Program </w:t>
            </w:r>
            <w:r w:rsidRPr="002D0016">
              <w:rPr>
                <w:rFonts w:eastAsia="Times New Roman" w:cs="Times New Roman"/>
                <w:color w:val="000000"/>
                <w:sz w:val="20"/>
                <w:szCs w:val="20"/>
                <w:bdr w:val="nil"/>
                <w:lang w:val="en-AU"/>
              </w:rPr>
              <w:t>2.1</w:t>
            </w:r>
            <w:r w:rsidRPr="002D0016">
              <w:rPr>
                <w:rFonts w:eastAsia="Times New Roman" w:cs="Times New Roman"/>
                <w:color w:val="000000"/>
                <w:sz w:val="20"/>
                <w:szCs w:val="20"/>
                <w:bdr w:val="nil"/>
                <w:lang w:val="en-AU" w:eastAsia="x-none"/>
              </w:rPr>
              <w:t xml:space="preserve"> – </w:t>
            </w:r>
            <w:r w:rsidRPr="002D0016">
              <w:rPr>
                <w:rFonts w:eastAsia="Times New Roman" w:cs="Times New Roman"/>
                <w:color w:val="000000"/>
                <w:sz w:val="20"/>
                <w:szCs w:val="20"/>
                <w:bdr w:val="nil"/>
                <w:lang w:val="en-AU"/>
              </w:rPr>
              <w:t>Surface Transport</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D5482E" w:rsidP="00BD45AB">
            <w:pPr>
              <w:pStyle w:val="ExampleText0"/>
              <w:pBdr>
                <w:top w:val="nil"/>
                <w:left w:val="nil"/>
                <w:bottom w:val="nil"/>
                <w:right w:val="nil"/>
                <w:between w:val="nil"/>
                <w:bar w:val="nil"/>
              </w:pBdr>
              <w:spacing w:before="60" w:after="60" w:line="240" w:lineRule="auto"/>
              <w:rPr>
                <w:rStyle w:val="ExampletextCharChar"/>
                <w:b/>
                <w:color w:val="000000"/>
                <w:bdr w:val="nil"/>
              </w:rPr>
            </w:pPr>
            <w:r>
              <w:rPr>
                <w:rStyle w:val="ExampletextCharChar"/>
                <w:b/>
                <w:color w:val="000000"/>
                <w:bdr w:val="nil"/>
              </w:rPr>
              <w:t>Department of Social Services</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D5482E" w:rsidP="00BD45AB">
            <w:pPr>
              <w:pStyle w:val="BulletBox"/>
              <w:pBdr>
                <w:top w:val="nil"/>
                <w:left w:val="nil"/>
                <w:bottom w:val="nil"/>
                <w:right w:val="nil"/>
                <w:between w:val="nil"/>
                <w:bar w:val="nil"/>
              </w:pBdr>
              <w:rPr>
                <w:bdr w:val="nil"/>
                <w:lang w:eastAsia="en-US"/>
              </w:rPr>
            </w:pPr>
            <w:r>
              <w:rPr>
                <w:b/>
                <w:bdr w:val="nil"/>
                <w:lang w:eastAsia="en-US"/>
              </w:rPr>
              <w:t>Programs</w:t>
            </w:r>
          </w:p>
          <w:p w:rsidR="00BD45AB" w:rsidRDefault="00D5482E" w:rsidP="00BD45AB">
            <w:pPr>
              <w:pStyle w:val="BulletBox"/>
              <w:numPr>
                <w:ilvl w:val="0"/>
                <w:numId w:val="50"/>
              </w:numPr>
              <w:pBdr>
                <w:top w:val="nil"/>
                <w:left w:val="nil"/>
                <w:bottom w:val="nil"/>
                <w:right w:val="nil"/>
                <w:between w:val="nil"/>
                <w:bar w:val="nil"/>
              </w:pBdr>
              <w:jc w:val="left"/>
              <w:rPr>
                <w:bdr w:val="nil"/>
                <w:lang w:eastAsia="en-US"/>
              </w:rPr>
            </w:pPr>
            <w:r>
              <w:rPr>
                <w:bdr w:val="nil"/>
                <w:lang w:eastAsia="en-US"/>
              </w:rPr>
              <w:t>Program 1.1</w:t>
            </w:r>
            <w:r>
              <w:rPr>
                <w:color w:val="000000"/>
                <w:bdr w:val="nil"/>
                <w:lang w:eastAsia="x-none"/>
              </w:rPr>
              <w:t xml:space="preserve"> – </w:t>
            </w:r>
            <w:r>
              <w:rPr>
                <w:bdr w:val="nil"/>
                <w:lang w:eastAsia="en-US"/>
              </w:rPr>
              <w:t>Family Tax Benefit</w:t>
            </w:r>
          </w:p>
          <w:p w:rsidR="00BD45AB" w:rsidRDefault="00D5482E" w:rsidP="00BD45AB">
            <w:pPr>
              <w:pStyle w:val="BulletBox"/>
              <w:numPr>
                <w:ilvl w:val="0"/>
                <w:numId w:val="50"/>
              </w:numPr>
              <w:pBdr>
                <w:top w:val="nil"/>
                <w:left w:val="nil"/>
                <w:bottom w:val="nil"/>
                <w:right w:val="nil"/>
                <w:between w:val="nil"/>
                <w:bar w:val="nil"/>
              </w:pBdr>
              <w:jc w:val="left"/>
              <w:rPr>
                <w:bdr w:val="nil"/>
                <w:lang w:eastAsia="en-US"/>
              </w:rPr>
            </w:pPr>
            <w:r>
              <w:rPr>
                <w:bdr w:val="nil"/>
                <w:lang w:eastAsia="en-US"/>
              </w:rPr>
              <w:t>Program 1.2</w:t>
            </w:r>
            <w:r>
              <w:rPr>
                <w:color w:val="000000"/>
                <w:bdr w:val="nil"/>
                <w:lang w:eastAsia="x-none"/>
              </w:rPr>
              <w:t xml:space="preserve"> – </w:t>
            </w:r>
            <w:r>
              <w:rPr>
                <w:bdr w:val="nil"/>
                <w:lang w:eastAsia="en-US"/>
              </w:rPr>
              <w:t>Child Payments</w:t>
            </w:r>
          </w:p>
          <w:p w:rsidR="00BD45AB" w:rsidRDefault="00D5482E" w:rsidP="00BD45AB">
            <w:pPr>
              <w:pStyle w:val="BulletBox"/>
              <w:numPr>
                <w:ilvl w:val="0"/>
                <w:numId w:val="50"/>
              </w:numPr>
              <w:pBdr>
                <w:top w:val="nil"/>
                <w:left w:val="nil"/>
                <w:bottom w:val="nil"/>
                <w:right w:val="nil"/>
                <w:between w:val="nil"/>
                <w:bar w:val="nil"/>
              </w:pBdr>
              <w:jc w:val="left"/>
              <w:rPr>
                <w:bdr w:val="nil"/>
                <w:lang w:eastAsia="en-US"/>
              </w:rPr>
            </w:pPr>
            <w:r>
              <w:rPr>
                <w:bdr w:val="nil"/>
                <w:lang w:eastAsia="en-US"/>
              </w:rPr>
              <w:t>Program 1.3</w:t>
            </w:r>
            <w:r>
              <w:rPr>
                <w:color w:val="000000"/>
                <w:bdr w:val="nil"/>
                <w:lang w:eastAsia="x-none"/>
              </w:rPr>
              <w:t xml:space="preserve"> – </w:t>
            </w:r>
            <w:r>
              <w:rPr>
                <w:bdr w:val="nil"/>
                <w:lang w:eastAsia="en-US"/>
              </w:rPr>
              <w:t>Income Support for Vulnerable People</w:t>
            </w:r>
          </w:p>
          <w:p w:rsidR="00BD45AB" w:rsidRDefault="00D5482E" w:rsidP="00BD45AB">
            <w:pPr>
              <w:pStyle w:val="BulletBox"/>
              <w:numPr>
                <w:ilvl w:val="0"/>
                <w:numId w:val="50"/>
              </w:numPr>
              <w:pBdr>
                <w:top w:val="nil"/>
                <w:left w:val="nil"/>
                <w:bottom w:val="nil"/>
                <w:right w:val="nil"/>
                <w:between w:val="nil"/>
                <w:bar w:val="nil"/>
              </w:pBdr>
              <w:jc w:val="left"/>
              <w:rPr>
                <w:bdr w:val="nil"/>
                <w:lang w:eastAsia="en-US"/>
              </w:rPr>
            </w:pPr>
            <w:r>
              <w:rPr>
                <w:bdr w:val="nil"/>
                <w:lang w:eastAsia="en-US"/>
              </w:rPr>
              <w:t xml:space="preserve">Program 1.4 </w:t>
            </w:r>
            <w:r>
              <w:rPr>
                <w:color w:val="000000"/>
                <w:bdr w:val="nil"/>
                <w:lang w:eastAsia="x-none"/>
              </w:rPr>
              <w:t xml:space="preserve">– </w:t>
            </w:r>
            <w:r>
              <w:rPr>
                <w:bdr w:val="nil"/>
                <w:lang w:eastAsia="en-US"/>
              </w:rPr>
              <w:t>Income Support for People in Special Circumstances</w:t>
            </w:r>
          </w:p>
          <w:p w:rsidR="00BD45AB" w:rsidRDefault="00D5482E" w:rsidP="00BD45AB">
            <w:pPr>
              <w:pStyle w:val="BulletBox"/>
              <w:numPr>
                <w:ilvl w:val="0"/>
                <w:numId w:val="50"/>
              </w:numPr>
              <w:pBdr>
                <w:top w:val="nil"/>
                <w:left w:val="nil"/>
                <w:bottom w:val="nil"/>
                <w:right w:val="nil"/>
                <w:between w:val="nil"/>
                <w:bar w:val="nil"/>
              </w:pBdr>
              <w:jc w:val="left"/>
              <w:rPr>
                <w:bdr w:val="nil"/>
                <w:lang w:eastAsia="en-US"/>
              </w:rPr>
            </w:pPr>
            <w:r>
              <w:rPr>
                <w:bdr w:val="nil"/>
                <w:lang w:eastAsia="en-US"/>
              </w:rPr>
              <w:t>Program 1.5</w:t>
            </w:r>
            <w:r>
              <w:rPr>
                <w:color w:val="000000"/>
                <w:bdr w:val="nil"/>
                <w:lang w:eastAsia="x-none"/>
              </w:rPr>
              <w:t xml:space="preserve"> – </w:t>
            </w:r>
            <w:r>
              <w:rPr>
                <w:bdr w:val="nil"/>
                <w:lang w:eastAsia="en-US"/>
              </w:rPr>
              <w:t>Supplementary Payments and Support for Income Support Recipients</w:t>
            </w:r>
          </w:p>
          <w:p w:rsidR="00BD45AB" w:rsidRDefault="00D5482E" w:rsidP="00BD45AB">
            <w:pPr>
              <w:pStyle w:val="BulletBox"/>
              <w:numPr>
                <w:ilvl w:val="0"/>
                <w:numId w:val="50"/>
              </w:numPr>
              <w:pBdr>
                <w:top w:val="nil"/>
                <w:left w:val="nil"/>
                <w:bottom w:val="nil"/>
                <w:right w:val="nil"/>
                <w:between w:val="nil"/>
                <w:bar w:val="nil"/>
              </w:pBdr>
              <w:jc w:val="left"/>
              <w:rPr>
                <w:bdr w:val="nil"/>
                <w:lang w:eastAsia="en-US"/>
              </w:rPr>
            </w:pPr>
            <w:r>
              <w:rPr>
                <w:bdr w:val="nil"/>
                <w:lang w:eastAsia="en-US"/>
              </w:rPr>
              <w:t>Program 1.6</w:t>
            </w:r>
            <w:r>
              <w:rPr>
                <w:color w:val="000000"/>
                <w:bdr w:val="nil"/>
                <w:lang w:eastAsia="x-none"/>
              </w:rPr>
              <w:t xml:space="preserve"> – </w:t>
            </w:r>
            <w:r>
              <w:rPr>
                <w:bdr w:val="nil"/>
                <w:lang w:eastAsia="en-US"/>
              </w:rPr>
              <w:t>Income Support for Seniors</w:t>
            </w:r>
          </w:p>
          <w:p w:rsidR="00BD45AB" w:rsidRDefault="00D5482E" w:rsidP="00BD45AB">
            <w:pPr>
              <w:pStyle w:val="BulletBox"/>
              <w:numPr>
                <w:ilvl w:val="0"/>
                <w:numId w:val="50"/>
              </w:numPr>
              <w:pBdr>
                <w:top w:val="nil"/>
                <w:left w:val="nil"/>
                <w:bottom w:val="nil"/>
                <w:right w:val="nil"/>
                <w:between w:val="nil"/>
                <w:bar w:val="nil"/>
              </w:pBdr>
              <w:jc w:val="left"/>
              <w:rPr>
                <w:bdr w:val="nil"/>
                <w:lang w:eastAsia="en-US"/>
              </w:rPr>
            </w:pPr>
            <w:r>
              <w:rPr>
                <w:bdr w:val="nil"/>
                <w:lang w:eastAsia="en-US"/>
              </w:rPr>
              <w:t>Program 1.7</w:t>
            </w:r>
            <w:r>
              <w:rPr>
                <w:color w:val="000000"/>
                <w:bdr w:val="nil"/>
                <w:lang w:eastAsia="x-none"/>
              </w:rPr>
              <w:t xml:space="preserve"> – </w:t>
            </w:r>
            <w:r>
              <w:rPr>
                <w:bdr w:val="nil"/>
                <w:lang w:eastAsia="en-US"/>
              </w:rPr>
              <w:t>Allowances and Concessions for Seniors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val="en-AU" w:eastAsia="x-none"/>
              </w:rPr>
            </w:pPr>
            <w:r>
              <w:rPr>
                <w:color w:val="000000"/>
                <w:bdr w:val="nil"/>
                <w:lang w:eastAsia="x-none"/>
              </w:rPr>
              <w:t xml:space="preserve">Program </w:t>
            </w:r>
            <w:r>
              <w:rPr>
                <w:color w:val="000000"/>
                <w:bdr w:val="nil"/>
                <w:lang w:val="en-AU" w:eastAsia="x-none"/>
              </w:rPr>
              <w:t>1.8</w:t>
            </w:r>
            <w:r>
              <w:rPr>
                <w:color w:val="000000"/>
                <w:bdr w:val="nil"/>
                <w:lang w:eastAsia="x-none"/>
              </w:rPr>
              <w:t xml:space="preserve"> – </w:t>
            </w:r>
            <w:r>
              <w:rPr>
                <w:color w:val="000000"/>
                <w:bdr w:val="nil"/>
                <w:lang w:val="en-AU" w:eastAsia="x-none"/>
              </w:rPr>
              <w:t>Income Support for People with Disability</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 xml:space="preserve">Program </w:t>
            </w:r>
            <w:r>
              <w:rPr>
                <w:color w:val="000000"/>
                <w:bdr w:val="nil"/>
                <w:lang w:val="en-AU" w:eastAsia="x-none"/>
              </w:rPr>
              <w:t>1.9</w:t>
            </w:r>
            <w:r>
              <w:rPr>
                <w:color w:val="000000"/>
                <w:bdr w:val="nil"/>
                <w:lang w:eastAsia="x-none"/>
              </w:rPr>
              <w:t xml:space="preserve"> –</w:t>
            </w:r>
            <w:r>
              <w:rPr>
                <w:bdr w:val="nil"/>
                <w:lang w:eastAsia="x-none"/>
              </w:rPr>
              <w:t xml:space="preserve"> </w:t>
            </w:r>
            <w:r>
              <w:rPr>
                <w:bdr w:val="nil"/>
                <w:lang w:eastAsia="en-US"/>
              </w:rPr>
              <w:t>Income</w:t>
            </w:r>
            <w:r>
              <w:rPr>
                <w:color w:val="000000"/>
                <w:bdr w:val="nil"/>
                <w:lang w:eastAsia="x-none"/>
              </w:rPr>
              <w:t xml:space="preserve"> Support for Carers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1.10 – Working Age Payments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val="en-AU" w:eastAsia="x-none"/>
              </w:rPr>
            </w:pPr>
            <w:r>
              <w:rPr>
                <w:color w:val="000000"/>
                <w:bdr w:val="nil"/>
                <w:lang w:eastAsia="x-none"/>
              </w:rPr>
              <w:t xml:space="preserve">Program </w:t>
            </w:r>
            <w:r>
              <w:rPr>
                <w:color w:val="000000"/>
                <w:bdr w:val="nil"/>
                <w:lang w:val="en-AU" w:eastAsia="x-none"/>
              </w:rPr>
              <w:t>1.11</w:t>
            </w:r>
            <w:r>
              <w:rPr>
                <w:color w:val="000000"/>
                <w:bdr w:val="nil"/>
                <w:lang w:eastAsia="x-none"/>
              </w:rPr>
              <w:t xml:space="preserve"> – </w:t>
            </w:r>
            <w:r>
              <w:rPr>
                <w:color w:val="000000"/>
                <w:bdr w:val="nil"/>
                <w:lang w:val="en-AU" w:eastAsia="x-none"/>
              </w:rPr>
              <w:t>Student Payments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val="en-AU" w:eastAsia="x-none"/>
              </w:rPr>
            </w:pPr>
            <w:r>
              <w:rPr>
                <w:color w:val="000000"/>
                <w:bdr w:val="nil"/>
                <w:lang w:val="x-none" w:eastAsia="x-none"/>
              </w:rPr>
              <w:t xml:space="preserve">Outcome 1 Cross Program: Rent Assistance </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val="en-AU" w:eastAsia="x-none"/>
              </w:rPr>
            </w:pPr>
            <w:r>
              <w:rPr>
                <w:color w:val="000000"/>
                <w:bdr w:val="nil"/>
                <w:lang w:eastAsia="x-none"/>
              </w:rPr>
              <w:t xml:space="preserve">Program </w:t>
            </w:r>
            <w:r>
              <w:rPr>
                <w:color w:val="000000"/>
                <w:bdr w:val="nil"/>
                <w:lang w:val="x-none" w:eastAsia="x-none"/>
              </w:rPr>
              <w:t>2.1</w:t>
            </w:r>
            <w:r>
              <w:rPr>
                <w:color w:val="000000"/>
                <w:bdr w:val="nil"/>
                <w:lang w:eastAsia="x-none"/>
              </w:rPr>
              <w:t xml:space="preserve"> – </w:t>
            </w:r>
            <w:r>
              <w:rPr>
                <w:color w:val="000000"/>
                <w:bdr w:val="nil"/>
                <w:lang w:val="x-none" w:eastAsia="x-none"/>
              </w:rPr>
              <w:t>Families and Communities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val="en-AU" w:eastAsia="x-none"/>
              </w:rPr>
            </w:pPr>
            <w:r>
              <w:rPr>
                <w:color w:val="000000"/>
                <w:bdr w:val="nil"/>
                <w:lang w:eastAsia="x-none"/>
              </w:rPr>
              <w:t xml:space="preserve">Program </w:t>
            </w:r>
            <w:r>
              <w:rPr>
                <w:color w:val="000000"/>
                <w:bdr w:val="nil"/>
                <w:lang w:val="x-none" w:eastAsia="x-none"/>
              </w:rPr>
              <w:t>2.2</w:t>
            </w:r>
            <w:r>
              <w:rPr>
                <w:color w:val="000000"/>
                <w:bdr w:val="nil"/>
                <w:lang w:eastAsia="x-none"/>
              </w:rPr>
              <w:t xml:space="preserve"> – </w:t>
            </w:r>
            <w:r>
              <w:rPr>
                <w:color w:val="000000"/>
                <w:bdr w:val="nil"/>
                <w:lang w:val="x-none" w:eastAsia="x-none"/>
              </w:rPr>
              <w:t>Paid Parental Leave</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val="en-AU" w:eastAsia="x-none"/>
              </w:rPr>
            </w:pPr>
            <w:r>
              <w:rPr>
                <w:color w:val="000000"/>
                <w:bdr w:val="nil"/>
                <w:lang w:eastAsia="x-none"/>
              </w:rPr>
              <w:t xml:space="preserve">Program </w:t>
            </w:r>
            <w:r>
              <w:rPr>
                <w:color w:val="000000"/>
                <w:bdr w:val="nil"/>
                <w:lang w:val="x-none" w:eastAsia="x-none"/>
              </w:rPr>
              <w:t>3.1</w:t>
            </w:r>
            <w:r>
              <w:rPr>
                <w:color w:val="000000"/>
                <w:bdr w:val="nil"/>
                <w:lang w:eastAsia="x-none"/>
              </w:rPr>
              <w:t xml:space="preserve"> – </w:t>
            </w:r>
            <w:r>
              <w:rPr>
                <w:color w:val="000000"/>
                <w:bdr w:val="nil"/>
                <w:lang w:val="x-none" w:eastAsia="x-none"/>
              </w:rPr>
              <w:t>Disability, Mental Health and Carers</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D5482E" w:rsidP="00BD45AB">
            <w:pPr>
              <w:pStyle w:val="ExampleText0"/>
              <w:pBdr>
                <w:top w:val="nil"/>
                <w:left w:val="nil"/>
                <w:bottom w:val="nil"/>
                <w:right w:val="nil"/>
                <w:between w:val="nil"/>
                <w:bar w:val="nil"/>
              </w:pBdr>
              <w:spacing w:before="60" w:after="60" w:line="240" w:lineRule="auto"/>
              <w:rPr>
                <w:b/>
                <w:color w:val="000000"/>
                <w:bdr w:val="nil"/>
                <w:lang w:val="x-none" w:eastAsia="x-none"/>
              </w:rPr>
            </w:pPr>
            <w:r>
              <w:rPr>
                <w:rStyle w:val="ExampletextCharChar"/>
                <w:b/>
                <w:color w:val="000000"/>
                <w:bdr w:val="nil"/>
              </w:rPr>
              <w:t>Department of Veterans’ Affairs</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D5482E" w:rsidP="00BD45AB">
            <w:pPr>
              <w:pStyle w:val="BulletBox"/>
              <w:pBdr>
                <w:top w:val="nil"/>
                <w:left w:val="nil"/>
                <w:bottom w:val="nil"/>
                <w:right w:val="nil"/>
                <w:between w:val="nil"/>
                <w:bar w:val="nil"/>
              </w:pBdr>
              <w:jc w:val="left"/>
              <w:rPr>
                <w:color w:val="000000"/>
                <w:bdr w:val="nil"/>
                <w:lang w:val="en-AU" w:eastAsia="x-none"/>
              </w:rPr>
            </w:pPr>
            <w:r>
              <w:rPr>
                <w:b/>
                <w:color w:val="000000"/>
                <w:bdr w:val="nil"/>
                <w:lang w:val="x-none" w:eastAsia="x-none"/>
              </w:rPr>
              <w:t>Program</w:t>
            </w:r>
            <w:r>
              <w:rPr>
                <w:b/>
                <w:color w:val="000000"/>
                <w:bdr w:val="nil"/>
                <w:lang w:val="en-AU" w:eastAsia="x-none"/>
              </w:rPr>
              <w:t>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1.1 – Veterans' Income Support and Allowances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2.1 – General Medical Consultations and Services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2.2 – Veterans' Hospital Services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2.3 – Veterans' Pharmaceuticals Benefits</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2.4 – Veterans' Community Care and Support</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val="x-none" w:eastAsia="x-none"/>
              </w:rPr>
            </w:pPr>
            <w:r>
              <w:rPr>
                <w:color w:val="000000"/>
                <w:bdr w:val="nil"/>
                <w:lang w:eastAsia="x-none"/>
              </w:rPr>
              <w:t>Program 2.5 – Veterans' Counselling and Other Health Services</w:t>
            </w:r>
          </w:p>
        </w:tc>
      </w:tr>
    </w:tbl>
    <w:p w:rsidR="0074173D" w:rsidRDefault="00D5482E" w:rsidP="0074173D">
      <w:pPr>
        <w:keepLines/>
        <w:pBdr>
          <w:top w:val="nil"/>
          <w:left w:val="nil"/>
          <w:bottom w:val="nil"/>
          <w:right w:val="nil"/>
          <w:between w:val="nil"/>
          <w:bar w:val="nil"/>
        </w:pBdr>
        <w:spacing w:after="240" w:line="260" w:lineRule="exact"/>
        <w:jc w:val="both"/>
        <w:rPr>
          <w:bdr w:val="nil"/>
        </w:rPr>
      </w:pPr>
      <w:r>
        <w:rPr>
          <w:rFonts w:ascii="Book Antiqua" w:eastAsia="Times New Roman" w:hAnsi="Book Antiqua" w:cs="Times New Roman"/>
          <w:i/>
          <w:sz w:val="20"/>
          <w:szCs w:val="20"/>
          <w:bdr w:val="nil"/>
          <w:lang w:val="en-AU" w:eastAsia="en-AU"/>
        </w:rPr>
        <w:br w:type="page"/>
      </w:r>
    </w:p>
    <w:p w:rsidR="0074173D" w:rsidRDefault="00D5482E" w:rsidP="003D35E4">
      <w:pPr>
        <w:pStyle w:val="Heading4"/>
        <w:pBdr>
          <w:top w:val="nil"/>
          <w:left w:val="nil"/>
          <w:bottom w:val="nil"/>
          <w:right w:val="nil"/>
          <w:between w:val="nil"/>
          <w:bar w:val="nil"/>
        </w:pBdr>
        <w:spacing w:before="0" w:after="0"/>
        <w:rPr>
          <w:rFonts w:cs="Arial"/>
          <w:bdr w:val="nil"/>
        </w:rPr>
      </w:pPr>
      <w:r>
        <w:rPr>
          <w:rFonts w:cs="Arial"/>
          <w:bdr w:val="nil"/>
        </w:rPr>
        <w:lastRenderedPageBreak/>
        <w:t>Linked programs (continued)</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768"/>
      </w:tblGrid>
      <w:tr w:rsidR="00010972" w:rsidTr="00241B17">
        <w:trPr>
          <w:cantSplit/>
        </w:trPr>
        <w:tc>
          <w:tcPr>
            <w:tcW w:w="7768" w:type="dxa"/>
            <w:tcBorders>
              <w:top w:val="single" w:sz="4" w:space="0" w:color="auto"/>
              <w:left w:val="single" w:sz="4" w:space="0" w:color="auto"/>
              <w:bottom w:val="single" w:sz="4" w:space="0" w:color="auto"/>
              <w:right w:val="single" w:sz="4" w:space="0" w:color="auto"/>
            </w:tcBorders>
            <w:hideMark/>
          </w:tcPr>
          <w:p w:rsidR="0074173D" w:rsidRDefault="00D5482E">
            <w:pPr>
              <w:pStyle w:val="ExampleText0"/>
              <w:pBdr>
                <w:top w:val="nil"/>
                <w:left w:val="nil"/>
                <w:bottom w:val="nil"/>
                <w:right w:val="nil"/>
                <w:between w:val="nil"/>
                <w:bar w:val="nil"/>
              </w:pBdr>
              <w:spacing w:before="60" w:after="60" w:line="240" w:lineRule="auto"/>
              <w:rPr>
                <w:rStyle w:val="ExampletextCharChar"/>
                <w:color w:val="000000"/>
                <w:bdr w:val="nil"/>
              </w:rPr>
            </w:pPr>
            <w:r>
              <w:rPr>
                <w:rStyle w:val="ExampletextCharChar"/>
                <w:b/>
                <w:color w:val="000000"/>
                <w:bdr w:val="nil"/>
              </w:rPr>
              <w:t>National Disability Insurance Agency</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hideMark/>
          </w:tcPr>
          <w:p w:rsidR="0074173D" w:rsidRDefault="00D5482E" w:rsidP="003D35E4">
            <w:pPr>
              <w:keepLines/>
              <w:pBdr>
                <w:top w:val="nil"/>
                <w:left w:val="nil"/>
                <w:bottom w:val="nil"/>
                <w:right w:val="nil"/>
                <w:between w:val="nil"/>
                <w:bar w:val="nil"/>
              </w:pBdr>
              <w:spacing w:after="60" w:line="240" w:lineRule="auto"/>
              <w:rPr>
                <w:b/>
                <w:bdr w:val="nil"/>
                <w:lang w:eastAsia="x-none"/>
              </w:rPr>
            </w:pPr>
            <w:r>
              <w:rPr>
                <w:rFonts w:ascii="Book Antiqua" w:eastAsia="Times New Roman" w:hAnsi="Book Antiqua" w:cs="Times New Roman"/>
                <w:b/>
                <w:color w:val="000000"/>
                <w:sz w:val="20"/>
                <w:szCs w:val="20"/>
                <w:bdr w:val="nil"/>
                <w:lang w:val="x-none" w:eastAsia="x-none"/>
              </w:rPr>
              <w:t>Program</w:t>
            </w:r>
            <w:r>
              <w:rPr>
                <w:rFonts w:ascii="Book Antiqua" w:eastAsia="Times New Roman" w:hAnsi="Book Antiqua" w:cs="Times New Roman"/>
                <w:b/>
                <w:color w:val="000000"/>
                <w:sz w:val="20"/>
                <w:szCs w:val="20"/>
                <w:bdr w:val="nil"/>
                <w:lang w:eastAsia="x-none"/>
              </w:rPr>
              <w:t>s</w:t>
            </w:r>
          </w:p>
          <w:p w:rsidR="0074173D" w:rsidRDefault="00D5482E" w:rsidP="0074173D">
            <w:pPr>
              <w:pStyle w:val="BulletBox"/>
              <w:numPr>
                <w:ilvl w:val="0"/>
                <w:numId w:val="48"/>
              </w:numPr>
              <w:pBdr>
                <w:top w:val="nil"/>
                <w:left w:val="nil"/>
                <w:bottom w:val="nil"/>
                <w:right w:val="nil"/>
                <w:between w:val="nil"/>
                <w:bar w:val="nil"/>
              </w:pBdr>
              <w:jc w:val="left"/>
              <w:rPr>
                <w:color w:val="000000"/>
                <w:bdr w:val="nil"/>
                <w:lang w:eastAsia="x-none"/>
              </w:rPr>
            </w:pPr>
            <w:r>
              <w:rPr>
                <w:color w:val="000000"/>
                <w:bdr w:val="nil"/>
                <w:lang w:eastAsia="x-none"/>
              </w:rPr>
              <w:t>Program 1.1 – Reasonable and necessary support for participants</w:t>
            </w:r>
          </w:p>
          <w:p w:rsidR="0074173D" w:rsidRDefault="00D5482E" w:rsidP="0074173D">
            <w:pPr>
              <w:pStyle w:val="BulletBox"/>
              <w:numPr>
                <w:ilvl w:val="0"/>
                <w:numId w:val="48"/>
              </w:numPr>
              <w:pBdr>
                <w:top w:val="nil"/>
                <w:left w:val="nil"/>
                <w:bottom w:val="nil"/>
                <w:right w:val="nil"/>
                <w:between w:val="nil"/>
                <w:bar w:val="nil"/>
              </w:pBdr>
              <w:jc w:val="left"/>
              <w:rPr>
                <w:color w:val="000000"/>
                <w:bdr w:val="nil"/>
                <w:lang w:val="x-none" w:eastAsia="x-none"/>
              </w:rPr>
            </w:pPr>
            <w:r>
              <w:rPr>
                <w:color w:val="000000"/>
                <w:bdr w:val="nil"/>
                <w:lang w:eastAsia="x-none"/>
              </w:rPr>
              <w:t>Program 1.3 – Agency costs</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D5482E" w:rsidP="00BD45AB">
            <w:pPr>
              <w:pStyle w:val="ExampleText0"/>
              <w:pBdr>
                <w:top w:val="nil"/>
                <w:left w:val="nil"/>
                <w:bottom w:val="nil"/>
                <w:right w:val="nil"/>
                <w:between w:val="nil"/>
                <w:bar w:val="nil"/>
              </w:pBdr>
              <w:spacing w:before="60" w:after="60" w:line="240" w:lineRule="auto"/>
              <w:rPr>
                <w:rStyle w:val="ExampletextCharChar"/>
                <w:color w:val="000000"/>
                <w:bdr w:val="nil"/>
              </w:rPr>
            </w:pPr>
            <w:r>
              <w:rPr>
                <w:rStyle w:val="ExampletextCharChar"/>
                <w:b/>
                <w:color w:val="000000"/>
                <w:bdr w:val="nil"/>
              </w:rPr>
              <w:t>National Indigenous Australians Agency</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D5482E" w:rsidP="00BD45AB">
            <w:pPr>
              <w:keepLines/>
              <w:pBdr>
                <w:top w:val="nil"/>
                <w:left w:val="nil"/>
                <w:bottom w:val="nil"/>
                <w:right w:val="nil"/>
                <w:between w:val="nil"/>
                <w:bar w:val="nil"/>
              </w:pBdr>
              <w:spacing w:after="60" w:line="240" w:lineRule="auto"/>
              <w:rPr>
                <w:bdr w:val="nil"/>
                <w:lang w:eastAsia="x-none"/>
              </w:rPr>
            </w:pPr>
            <w:r>
              <w:rPr>
                <w:rFonts w:ascii="Book Antiqua" w:eastAsia="Times New Roman" w:hAnsi="Book Antiqua" w:cs="Times New Roman"/>
                <w:b/>
                <w:color w:val="000000"/>
                <w:sz w:val="20"/>
                <w:szCs w:val="20"/>
                <w:bdr w:val="nil"/>
                <w:lang w:val="x-none" w:eastAsia="x-none"/>
              </w:rPr>
              <w:t>Program</w:t>
            </w:r>
          </w:p>
          <w:p w:rsidR="00BD45AB" w:rsidRDefault="00D5482E" w:rsidP="00BD45AB">
            <w:pPr>
              <w:pStyle w:val="BulletBox"/>
              <w:numPr>
                <w:ilvl w:val="0"/>
                <w:numId w:val="48"/>
              </w:numPr>
              <w:pBdr>
                <w:top w:val="nil"/>
                <w:left w:val="nil"/>
                <w:bottom w:val="nil"/>
                <w:right w:val="nil"/>
                <w:between w:val="nil"/>
                <w:bar w:val="nil"/>
              </w:pBdr>
              <w:jc w:val="left"/>
              <w:rPr>
                <w:color w:val="000000"/>
                <w:bdr w:val="nil"/>
                <w:lang w:val="x-none" w:eastAsia="x-none"/>
              </w:rPr>
            </w:pPr>
            <w:r>
              <w:rPr>
                <w:color w:val="000000"/>
                <w:bdr w:val="nil"/>
                <w:lang w:eastAsia="x-none"/>
              </w:rPr>
              <w:t>Program 1.1– Indigenous Advancement – Jobs, Land and the Economy</w:t>
            </w:r>
            <w:r>
              <w:rPr>
                <w:color w:val="000000"/>
                <w:bdr w:val="nil"/>
                <w:lang w:val="x-none" w:eastAsia="x-none"/>
              </w:rPr>
              <w:tab/>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D5482E" w:rsidP="00BD45AB">
            <w:pPr>
              <w:pStyle w:val="ExampleText0"/>
              <w:pBdr>
                <w:top w:val="nil"/>
                <w:left w:val="nil"/>
                <w:bottom w:val="nil"/>
                <w:right w:val="nil"/>
                <w:between w:val="nil"/>
                <w:bar w:val="nil"/>
              </w:pBdr>
              <w:spacing w:before="60" w:after="60" w:line="240" w:lineRule="auto"/>
              <w:rPr>
                <w:b/>
                <w:i w:val="0"/>
                <w:color w:val="auto"/>
                <w:bdr w:val="nil"/>
                <w:lang w:val="x-none" w:eastAsia="x-none"/>
              </w:rPr>
            </w:pPr>
            <w:r>
              <w:rPr>
                <w:rStyle w:val="ExampletextCharChar"/>
                <w:b/>
                <w:color w:val="auto"/>
                <w:bdr w:val="nil"/>
              </w:rPr>
              <w:t>Organ and Tissue Authority</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D5482E" w:rsidP="00BD45AB">
            <w:pPr>
              <w:keepLines/>
              <w:pBdr>
                <w:top w:val="nil"/>
                <w:left w:val="nil"/>
                <w:bottom w:val="nil"/>
                <w:right w:val="nil"/>
                <w:between w:val="nil"/>
                <w:bar w:val="nil"/>
              </w:pBdr>
              <w:spacing w:after="60" w:line="240" w:lineRule="auto"/>
              <w:rPr>
                <w:b/>
                <w:bdr w:val="nil"/>
                <w:lang w:eastAsia="x-none"/>
              </w:rPr>
            </w:pPr>
            <w:r>
              <w:rPr>
                <w:rFonts w:ascii="Book Antiqua" w:eastAsia="Times New Roman" w:hAnsi="Book Antiqua" w:cs="Times New Roman"/>
                <w:b/>
                <w:sz w:val="20"/>
                <w:szCs w:val="20"/>
                <w:bdr w:val="nil"/>
                <w:lang w:val="x-none" w:eastAsia="x-none"/>
              </w:rPr>
              <w:t>Program</w:t>
            </w:r>
          </w:p>
          <w:p w:rsidR="00BD45AB" w:rsidRDefault="00D5482E" w:rsidP="00BD45AB">
            <w:pPr>
              <w:pStyle w:val="BulletBox"/>
              <w:numPr>
                <w:ilvl w:val="0"/>
                <w:numId w:val="48"/>
              </w:numPr>
              <w:pBdr>
                <w:top w:val="nil"/>
                <w:left w:val="nil"/>
                <w:bottom w:val="nil"/>
                <w:right w:val="nil"/>
                <w:between w:val="nil"/>
                <w:bar w:val="nil"/>
              </w:pBdr>
              <w:jc w:val="left"/>
              <w:rPr>
                <w:b/>
                <w:sz w:val="6"/>
                <w:szCs w:val="6"/>
                <w:bdr w:val="nil"/>
                <w:lang w:val="x-none" w:eastAsia="x-none"/>
              </w:rPr>
            </w:pPr>
            <w:r>
              <w:rPr>
                <w:color w:val="000000"/>
                <w:bdr w:val="nil"/>
                <w:lang w:eastAsia="x-none"/>
              </w:rPr>
              <w:t>Program 1.1 – A Nationally Coordinated System for Organ and Tissue Donation for Transplantation</w:t>
            </w:r>
            <w:r>
              <w:rPr>
                <w:b/>
                <w:sz w:val="6"/>
                <w:szCs w:val="6"/>
                <w:bdr w:val="nil"/>
                <w:lang w:val="x-none" w:eastAsia="x-none"/>
              </w:rPr>
              <w:t xml:space="preserve"> </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D5482E" w:rsidP="00BD45AB">
            <w:pPr>
              <w:pStyle w:val="ExampleText0"/>
              <w:pBdr>
                <w:top w:val="nil"/>
                <w:left w:val="nil"/>
                <w:bottom w:val="nil"/>
                <w:right w:val="nil"/>
                <w:between w:val="nil"/>
                <w:bar w:val="nil"/>
              </w:pBdr>
              <w:spacing w:before="60" w:after="60" w:line="240" w:lineRule="auto"/>
              <w:rPr>
                <w:b/>
                <w:i w:val="0"/>
                <w:color w:val="auto"/>
                <w:bdr w:val="nil"/>
                <w:lang w:val="x-none" w:eastAsia="x-none"/>
              </w:rPr>
            </w:pPr>
            <w:r>
              <w:rPr>
                <w:rStyle w:val="ExampletextCharChar"/>
                <w:b/>
                <w:color w:val="auto"/>
                <w:bdr w:val="nil"/>
              </w:rPr>
              <w:t>Professional Services Review</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6F6E47" w:rsidP="00BD45AB">
            <w:pPr>
              <w:keepLines/>
              <w:pBdr>
                <w:top w:val="nil"/>
                <w:left w:val="nil"/>
                <w:bottom w:val="nil"/>
                <w:right w:val="nil"/>
                <w:between w:val="nil"/>
                <w:bar w:val="nil"/>
              </w:pBdr>
              <w:spacing w:after="60" w:line="240" w:lineRule="auto"/>
              <w:rPr>
                <w:b/>
                <w:bdr w:val="nil"/>
                <w:lang w:eastAsia="x-none"/>
              </w:rPr>
            </w:pPr>
            <w:r>
              <w:rPr>
                <w:rFonts w:ascii="Book Antiqua" w:eastAsia="Times New Roman" w:hAnsi="Book Antiqua" w:cs="Times New Roman"/>
                <w:b/>
                <w:sz w:val="20"/>
                <w:szCs w:val="20"/>
                <w:bdr w:val="nil"/>
                <w:lang w:val="x-none" w:eastAsia="x-none"/>
              </w:rPr>
              <w:t>Program</w:t>
            </w:r>
          </w:p>
          <w:p w:rsidR="00BD45AB" w:rsidRDefault="00D5482E" w:rsidP="00BD45AB">
            <w:pPr>
              <w:pStyle w:val="BulletBox"/>
              <w:numPr>
                <w:ilvl w:val="0"/>
                <w:numId w:val="48"/>
              </w:numPr>
              <w:pBdr>
                <w:top w:val="nil"/>
                <w:left w:val="nil"/>
                <w:bottom w:val="nil"/>
                <w:right w:val="nil"/>
                <w:between w:val="nil"/>
                <w:bar w:val="nil"/>
              </w:pBdr>
              <w:jc w:val="left"/>
              <w:rPr>
                <w:b/>
                <w:sz w:val="6"/>
                <w:szCs w:val="6"/>
                <w:bdr w:val="nil"/>
                <w:lang w:val="x-none" w:eastAsia="x-none"/>
              </w:rPr>
            </w:pPr>
            <w:r>
              <w:rPr>
                <w:color w:val="000000"/>
                <w:bdr w:val="nil"/>
                <w:lang w:eastAsia="x-none"/>
              </w:rPr>
              <w:t>Program 1.1 – Safeguarding the Integrity of the Medicare Program and Pharmaceutical Benefits Scheme</w:t>
            </w:r>
            <w:r>
              <w:rPr>
                <w:b/>
                <w:sz w:val="6"/>
                <w:szCs w:val="6"/>
                <w:bdr w:val="nil"/>
                <w:lang w:val="x-none" w:eastAsia="x-none"/>
              </w:rPr>
              <w:t xml:space="preserve"> </w:t>
            </w:r>
          </w:p>
        </w:tc>
      </w:tr>
      <w:tr w:rsidR="00010972" w:rsidTr="00241B17">
        <w:trPr>
          <w:cantSplit/>
        </w:trPr>
        <w:tc>
          <w:tcPr>
            <w:tcW w:w="7768" w:type="dxa"/>
            <w:tcBorders>
              <w:top w:val="single" w:sz="4" w:space="0" w:color="auto"/>
              <w:left w:val="single" w:sz="4" w:space="0" w:color="auto"/>
              <w:bottom w:val="single" w:sz="4" w:space="0" w:color="auto"/>
              <w:right w:val="single" w:sz="4" w:space="0" w:color="auto"/>
            </w:tcBorders>
          </w:tcPr>
          <w:p w:rsidR="00BD45AB" w:rsidRDefault="00D5482E" w:rsidP="00BD45AB">
            <w:pPr>
              <w:keepLines/>
              <w:pBdr>
                <w:top w:val="nil"/>
                <w:left w:val="nil"/>
                <w:bottom w:val="nil"/>
                <w:right w:val="nil"/>
                <w:between w:val="nil"/>
                <w:bar w:val="nil"/>
              </w:pBdr>
              <w:autoSpaceDE w:val="0"/>
              <w:autoSpaceDN w:val="0"/>
              <w:adjustRightInd w:val="0"/>
              <w:spacing w:before="60" w:after="60" w:line="240" w:lineRule="auto"/>
              <w:rPr>
                <w:bdr w:val="nil"/>
                <w:lang w:val="x-none" w:eastAsia="x-none"/>
              </w:rPr>
            </w:pPr>
            <w:r w:rsidRPr="003800F4">
              <w:rPr>
                <w:rFonts w:ascii="Book Antiqua" w:eastAsia="Times New Roman" w:hAnsi="Book Antiqua" w:cs="Times New Roman"/>
                <w:b/>
                <w:sz w:val="20"/>
                <w:szCs w:val="20"/>
                <w:bdr w:val="nil"/>
                <w:lang w:val="x-none" w:eastAsia="x-none"/>
              </w:rPr>
              <w:t xml:space="preserve">Contribution made by Outcome 1 </w:t>
            </w:r>
            <w:r w:rsidRPr="003800F4">
              <w:rPr>
                <w:rFonts w:ascii="Book Antiqua" w:eastAsia="Times New Roman" w:hAnsi="Book Antiqua" w:cs="Times New Roman"/>
                <w:b/>
                <w:sz w:val="20"/>
                <w:szCs w:val="20"/>
                <w:bdr w:val="nil"/>
                <w:lang w:val="x-none" w:eastAsia="x-none"/>
              </w:rPr>
              <w:br/>
            </w:r>
            <w:r w:rsidRPr="003800F4">
              <w:rPr>
                <w:rFonts w:ascii="Book Antiqua" w:eastAsia="Times New Roman" w:hAnsi="Book Antiqua" w:cs="Book Antiqua"/>
                <w:sz w:val="20"/>
                <w:szCs w:val="20"/>
                <w:bdr w:val="nil"/>
              </w:rPr>
              <w:t>Outcome 1 contributes to the linked programs above by the provision of a range of information, services and payments on behalf of the entities listed within Australia and where applicable, overseas</w:t>
            </w:r>
            <w:r w:rsidRPr="003800F4">
              <w:rPr>
                <w:rFonts w:ascii="Book Antiqua" w:eastAsia="Times New Roman" w:hAnsi="Book Antiqua" w:cs="Times New Roman"/>
                <w:i/>
                <w:sz w:val="20"/>
                <w:szCs w:val="20"/>
                <w:bdr w:val="nil"/>
                <w:lang w:val="x-none" w:eastAsia="x-none"/>
              </w:rPr>
              <w:t>.</w:t>
            </w:r>
          </w:p>
        </w:tc>
      </w:tr>
    </w:tbl>
    <w:p w:rsidR="0074173D" w:rsidRDefault="0074173D" w:rsidP="0074173D">
      <w:pPr>
        <w:keepLines/>
        <w:pBdr>
          <w:top w:val="nil"/>
          <w:left w:val="nil"/>
          <w:bottom w:val="nil"/>
          <w:right w:val="nil"/>
          <w:between w:val="nil"/>
          <w:bar w:val="nil"/>
        </w:pBdr>
        <w:spacing w:after="240" w:line="260" w:lineRule="exact"/>
        <w:jc w:val="both"/>
        <w:rPr>
          <w:rFonts w:ascii="Arial" w:hAnsi="Arial"/>
          <w:vanish/>
          <w:bdr w:val="nil"/>
        </w:rPr>
      </w:pPr>
    </w:p>
    <w:p w:rsidR="000B1384" w:rsidRDefault="00D5482E" w:rsidP="000B1384">
      <w:pPr>
        <w:pStyle w:val="Heading5"/>
        <w:pageBreakBefore/>
        <w:pBdr>
          <w:top w:val="nil"/>
          <w:left w:val="nil"/>
          <w:bottom w:val="nil"/>
          <w:right w:val="nil"/>
          <w:between w:val="nil"/>
          <w:bar w:val="nil"/>
        </w:pBdr>
        <w:spacing w:after="240"/>
        <w:rPr>
          <w:rFonts w:cs="Arial"/>
          <w:bCs w:val="0"/>
          <w:bdr w:val="nil"/>
        </w:rPr>
      </w:pPr>
      <w:r>
        <w:rPr>
          <w:rFonts w:cs="Arial"/>
          <w:bCs w:val="0"/>
          <w:bdr w:val="nil"/>
        </w:rPr>
        <w:lastRenderedPageBreak/>
        <w:t>Budgeted expenses for Outcome 1</w:t>
      </w:r>
    </w:p>
    <w:p w:rsidR="00D83EBE" w:rsidRDefault="00D5482E" w:rsidP="00B36B2A">
      <w:pPr>
        <w:pBdr>
          <w:top w:val="nil"/>
          <w:left w:val="nil"/>
          <w:bottom w:val="nil"/>
          <w:right w:val="nil"/>
          <w:between w:val="nil"/>
          <w:bar w:val="nil"/>
        </w:pBdr>
        <w:spacing w:after="240" w:line="240" w:lineRule="auto"/>
        <w:jc w:val="both"/>
        <w:rPr>
          <w:rFonts w:ascii="Book Antiqua" w:eastAsia="Calibri" w:hAnsi="Book Antiqua" w:cs="Times New Roman"/>
          <w:sz w:val="20"/>
          <w:szCs w:val="20"/>
          <w:bdr w:val="nil"/>
        </w:rPr>
      </w:pPr>
      <w:r w:rsidRPr="003156FA">
        <w:rPr>
          <w:rFonts w:ascii="Book Antiqua" w:eastAsia="Calibri" w:hAnsi="Book Antiqua" w:cs="Times New Roman"/>
          <w:sz w:val="20"/>
          <w:szCs w:val="20"/>
          <w:bdr w:val="nil"/>
        </w:rPr>
        <w:t>This table shows how much the entity intends to spend (on an accrual basis) on achieving the outcome, broken down by program, as well as by Administered and Departmental funding sources.</w:t>
      </w:r>
    </w:p>
    <w:p w:rsidR="00955AE0" w:rsidRDefault="00D5482E" w:rsidP="006D59CC">
      <w:pPr>
        <w:pStyle w:val="TableHeading"/>
        <w:keepLines/>
        <w:pBdr>
          <w:top w:val="nil"/>
          <w:left w:val="nil"/>
          <w:bottom w:val="nil"/>
          <w:right w:val="nil"/>
          <w:between w:val="nil"/>
          <w:bar w:val="nil"/>
        </w:pBdr>
        <w:spacing w:before="0" w:after="0"/>
        <w:rPr>
          <w:bdr w:val="nil"/>
        </w:rPr>
      </w:pPr>
      <w:r>
        <w:rPr>
          <w:rFonts w:cs="Arial"/>
          <w:bdr w:val="nil"/>
        </w:rPr>
        <w:t>Table 2.</w:t>
      </w:r>
      <w:r>
        <w:rPr>
          <w:bdr w:val="nil"/>
        </w:rPr>
        <w:t>1.1: Budgeted expenses for Outcome 1</w:t>
      </w:r>
    </w:p>
    <w:tbl>
      <w:tblPr>
        <w:tblStyle w:val="CDMRange1"/>
        <w:tblW w:w="7800" w:type="dxa"/>
        <w:tblLayout w:type="fixed"/>
        <w:tblCellMar>
          <w:top w:w="11" w:type="dxa"/>
          <w:bottom w:w="11" w:type="dxa"/>
        </w:tblCellMar>
        <w:tblLook w:val="0600" w:firstRow="0" w:lastRow="0" w:firstColumn="0" w:lastColumn="0" w:noHBand="1" w:noVBand="1"/>
        <w:tblCaption w:val="Table 2.1.1: Budgeted expenses for Outcome 1"/>
      </w:tblPr>
      <w:tblGrid>
        <w:gridCol w:w="2925"/>
        <w:gridCol w:w="975"/>
        <w:gridCol w:w="975"/>
        <w:gridCol w:w="975"/>
        <w:gridCol w:w="975"/>
        <w:gridCol w:w="975"/>
      </w:tblGrid>
      <w:tr w:rsidR="00010972" w:rsidTr="00C5172A">
        <w:trPr>
          <w:tblHeader/>
        </w:trPr>
        <w:tc>
          <w:tcPr>
            <w:tcW w:w="292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Actual</w:t>
            </w:r>
          </w:p>
        </w:tc>
        <w:tc>
          <w:tcPr>
            <w:tcW w:w="97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expenses</w:t>
            </w:r>
          </w:p>
        </w:tc>
        <w:tc>
          <w:tcPr>
            <w:tcW w:w="97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 xml:space="preserve">expenses </w:t>
            </w: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0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Program 1.1 - Services to the Community - Social Security and Welfare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dotted" w:sz="2" w:space="0" w:color="000000"/>
              <w:left w:val="nil"/>
              <w:bottom w:val="nil"/>
              <w:right w:val="nil"/>
              <w:tl2br w:val="nil"/>
              <w:tr2bl w:val="nil"/>
            </w:tcBorders>
            <w:shd w:val="clear" w:color="FFFFFF" w:fill="FFFFFF"/>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Expenses not requiring appropriation</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in the Budget year (a)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172</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Administered Total</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172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FFFFFF" w:fill="FFFFFF"/>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Departmental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Departmental appropriation</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3,533,860</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3,755,224</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2,899,807</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2,524,443</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2,395,514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s74 External Revenue (b)</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203,441</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200,588</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222,156</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197,070</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197,438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Expenses not requiring appropriation</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in the Budget year (a)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583,007</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609,532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598,316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532,214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493,111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Departmental Total</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4,320,308</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4,565,344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3,720,279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3,253,727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3,086,063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expenses for program 1.1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4,320,480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4,565,344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3,720,279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3,253,727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3,086,063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00" w:type="dxa"/>
            <w:gridSpan w:val="6"/>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Program 1.2 - Services to the Community - Health</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Departmental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Departmental appropriation</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514,094</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593,160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578,093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454,346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467,322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s74 External Revenue (b)</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45,618</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39,029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11,559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11,533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10,762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Expenses not requiring appropriation</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in the Budget year (a)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102,260</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109,405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117,761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114,442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101,605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Departmental Total</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661,972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741,594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707,413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580,321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579,689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expenses for program 1.2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661,972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741,594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707,413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580,321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579,689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00"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Program 1.3 - Child Support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Ordinary annual services</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(Appropriation Act No. 1 and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Bill No. 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1,642</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1,691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1,730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1,772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1,813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Special accounts</w:t>
            </w: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Pr="004408B9"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Pr="004408B9"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Pr="004408B9"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Child Support special account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1,914,103</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1,693,487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1,729,618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1,769,784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1,810,823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Expenses not requiring appropriation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in the Budget year (a)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51,205</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85,970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88,492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89,024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89,570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Administered Total</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1,966,950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1,781,148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1,819,840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1,860,580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1,902,206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Departmental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Departmental appropriation</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367,292</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372,277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367,303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366,616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368,475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s74 External Revenue (b)</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1,942</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1,700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1,700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1,700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Expenses not requiring appropriation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in the Budget year (a)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64,388</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66,402</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59,884</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59,390</w:t>
            </w:r>
          </w:p>
        </w:tc>
        <w:tc>
          <w:tcPr>
            <w:tcW w:w="97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55,665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Departmental Total</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433,622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440,379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428,887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427,706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425,840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expenses for program 1.3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2,400,572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2,221,527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2,248,727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2,288,286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2,328,046</w:t>
            </w:r>
          </w:p>
        </w:tc>
      </w:tr>
    </w:tbl>
    <w:p w:rsidR="00D83EBE" w:rsidRDefault="00D5482E" w:rsidP="00D83EBE">
      <w:pPr>
        <w:pBdr>
          <w:top w:val="nil"/>
          <w:left w:val="nil"/>
          <w:bottom w:val="nil"/>
          <w:right w:val="nil"/>
          <w:between w:val="nil"/>
          <w:bar w:val="nil"/>
        </w:pBdr>
        <w:rPr>
          <w:rFonts w:ascii="Calibri" w:eastAsia="Calibri" w:hAnsi="Calibri" w:cs="Times New Roman"/>
          <w:bdr w:val="nil"/>
        </w:rPr>
      </w:pPr>
      <w:r>
        <w:rPr>
          <w:rFonts w:ascii="Calibri" w:eastAsia="Calibri" w:hAnsi="Calibri" w:cs="Times New Roman"/>
          <w:bdr w:val="nil"/>
        </w:rPr>
        <w:br w:type="page"/>
      </w:r>
    </w:p>
    <w:p w:rsidR="00D83EBE" w:rsidRDefault="00D5482E" w:rsidP="006B4242">
      <w:pPr>
        <w:pStyle w:val="TableHeading"/>
        <w:keepLines/>
        <w:pBdr>
          <w:top w:val="nil"/>
          <w:left w:val="nil"/>
          <w:bottom w:val="nil"/>
          <w:right w:val="nil"/>
          <w:between w:val="nil"/>
          <w:bar w:val="nil"/>
        </w:pBdr>
        <w:spacing w:before="0" w:after="0"/>
        <w:rPr>
          <w:bdr w:val="nil"/>
        </w:rPr>
      </w:pPr>
      <w:r>
        <w:rPr>
          <w:rFonts w:cs="Arial"/>
          <w:bdr w:val="nil"/>
        </w:rPr>
        <w:lastRenderedPageBreak/>
        <w:t>Table 2.</w:t>
      </w:r>
      <w:r>
        <w:rPr>
          <w:bdr w:val="nil"/>
        </w:rPr>
        <w:t>1.1: Budgeted expenses for Outcome 1 (continued)</w:t>
      </w:r>
    </w:p>
    <w:tbl>
      <w:tblPr>
        <w:tblStyle w:val="CDMRange2"/>
        <w:tblW w:w="7800" w:type="dxa"/>
        <w:tblLayout w:type="fixed"/>
        <w:tblCellMar>
          <w:top w:w="11" w:type="dxa"/>
          <w:bottom w:w="11" w:type="dxa"/>
        </w:tblCellMar>
        <w:tblLook w:val="0600" w:firstRow="0" w:lastRow="0" w:firstColumn="0" w:lastColumn="0" w:noHBand="1" w:noVBand="1"/>
        <w:tblCaption w:val="Table 2.1.1: Budgeted expenses for Outcome 1 (continued)"/>
      </w:tblPr>
      <w:tblGrid>
        <w:gridCol w:w="2925"/>
        <w:gridCol w:w="975"/>
        <w:gridCol w:w="975"/>
        <w:gridCol w:w="975"/>
        <w:gridCol w:w="975"/>
        <w:gridCol w:w="975"/>
      </w:tblGrid>
      <w:tr w:rsidR="00010972" w:rsidTr="00C5172A">
        <w:trPr>
          <w:tblHeader/>
        </w:trPr>
        <w:tc>
          <w:tcPr>
            <w:tcW w:w="292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Actual</w:t>
            </w:r>
          </w:p>
        </w:tc>
        <w:tc>
          <w:tcPr>
            <w:tcW w:w="97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expenses</w:t>
            </w:r>
          </w:p>
        </w:tc>
        <w:tc>
          <w:tcPr>
            <w:tcW w:w="97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 xml:space="preserve">expenses </w:t>
            </w: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00" w:type="dxa"/>
            <w:gridSpan w:val="6"/>
            <w:tcBorders>
              <w:top w:val="dotted" w:sz="2" w:space="0" w:color="000000"/>
              <w:left w:val="nil"/>
              <w:bottom w:val="dotted" w:sz="2" w:space="0" w:color="000000"/>
              <w:right w:val="nil"/>
              <w:tl2br w:val="nil"/>
              <w:tr2bl w:val="nil"/>
            </w:tcBorders>
            <w:shd w:val="clear" w:color="FFFFFF" w:fill="E6E6E6"/>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Outcome 1 Totals by appropriation type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Administered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Ordinary annual services</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(Appropriation Act No. 1 and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Bill No. 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1,642</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1,691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1,730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1,772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1,813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Special accounts</w:t>
            </w: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31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Child Support special account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1,914,103</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1,693,487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1,729,618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1,769,784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1,810,823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Expenses not requiring appropriation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in the Budget year (a)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51,377</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85,970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88,492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89,024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89,570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Administered Total</w:t>
            </w:r>
          </w:p>
        </w:tc>
        <w:tc>
          <w:tcPr>
            <w:tcW w:w="975" w:type="dxa"/>
            <w:tcBorders>
              <w:top w:val="dotted" w:sz="2" w:space="0" w:color="000000"/>
              <w:left w:val="nil"/>
              <w:bottom w:val="dotted" w:sz="2" w:space="0" w:color="000000"/>
              <w:right w:val="nil"/>
              <w:tl2br w:val="nil"/>
              <w:tr2bl w:val="nil"/>
            </w:tcBorders>
            <w:shd w:val="clear" w:color="auto" w:fill="auto"/>
            <w:noWrap/>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1,967,122 </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1,781,148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1,819,840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1,860,580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1,902,206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Departmental 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Departmental appropriation</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4,415,246</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4,720,661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3,845,203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3,345,405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3,231,311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s74 External Revenue (b)</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251,001</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241,317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235,415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210,303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209,900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Expenses not requiring appropriation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in the Budget year (a)</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749,655</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785,339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775,961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706,046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650,381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Departmental Total</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5,415,902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5,747,317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4,856,579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4,261,754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4,091,592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expenses for Outcome 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7,383,024</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7,528,465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6,676,419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6,122,334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5,993,798</w:t>
            </w:r>
          </w:p>
        </w:tc>
      </w:tr>
    </w:tbl>
    <w:p w:rsidR="006C1F23" w:rsidRDefault="00D5482E" w:rsidP="004C30BE">
      <w:pPr>
        <w:pStyle w:val="ChartandTableFootnote"/>
        <w:pBdr>
          <w:top w:val="nil"/>
          <w:left w:val="nil"/>
          <w:bottom w:val="nil"/>
          <w:right w:val="nil"/>
          <w:between w:val="nil"/>
          <w:bar w:val="nil"/>
        </w:pBdr>
        <w:tabs>
          <w:tab w:val="clear" w:pos="284"/>
        </w:tabs>
        <w:ind w:left="0" w:firstLine="0"/>
        <w:rPr>
          <w:bdr w:val="nil"/>
        </w:rPr>
      </w:pPr>
      <w:r>
        <w:rPr>
          <w:bdr w:val="nil"/>
        </w:rPr>
        <w:t>Note: Departmental appropriation splits and totals are indicative estimates and may change in the course of the Budget year as government priorities change.</w:t>
      </w:r>
    </w:p>
    <w:p w:rsidR="00C85D93" w:rsidRDefault="00D5482E" w:rsidP="00C85D93">
      <w:pPr>
        <w:pStyle w:val="ChartandTableFootnoteAlpha"/>
        <w:numPr>
          <w:ilvl w:val="0"/>
          <w:numId w:val="51"/>
        </w:numPr>
        <w:pBdr>
          <w:top w:val="nil"/>
          <w:left w:val="nil"/>
          <w:bottom w:val="nil"/>
          <w:right w:val="nil"/>
          <w:between w:val="nil"/>
          <w:bar w:val="nil"/>
        </w:pBdr>
        <w:tabs>
          <w:tab w:val="clear" w:pos="397"/>
          <w:tab w:val="num" w:pos="284"/>
        </w:tabs>
        <w:ind w:left="284" w:hanging="284"/>
        <w:rPr>
          <w:bdr w:val="nil"/>
        </w:rPr>
      </w:pPr>
      <w:r>
        <w:rPr>
          <w:bdr w:val="nil"/>
        </w:rPr>
        <w:t>‘Expenses not requiring appropriation in the Budget year’ is made up of depreciation, amortisation, resources received free of charge, write-down and impairment of assets, and non-cash adjustments to make-good provisions.</w:t>
      </w:r>
    </w:p>
    <w:p w:rsidR="006C1F23" w:rsidRDefault="00D5482E" w:rsidP="004C30BE">
      <w:pPr>
        <w:pStyle w:val="ChartandTableFootnoteAlpha"/>
        <w:numPr>
          <w:ilvl w:val="0"/>
          <w:numId w:val="51"/>
        </w:numPr>
        <w:pBdr>
          <w:top w:val="nil"/>
          <w:left w:val="nil"/>
          <w:bottom w:val="nil"/>
          <w:right w:val="nil"/>
          <w:between w:val="nil"/>
          <w:bar w:val="nil"/>
        </w:pBdr>
        <w:tabs>
          <w:tab w:val="clear" w:pos="397"/>
          <w:tab w:val="num" w:pos="284"/>
        </w:tabs>
        <w:ind w:left="284" w:hanging="284"/>
        <w:rPr>
          <w:bdr w:val="nil"/>
        </w:rPr>
      </w:pPr>
      <w:r>
        <w:rPr>
          <w:bdr w:val="nil"/>
        </w:rPr>
        <w:t>Estimated expenses incurred in relation to receipts retained under section 74 of the PGPA Act, adjusted for $15.0 million for the purchase of non-financial assets.</w:t>
      </w:r>
    </w:p>
    <w:p w:rsidR="00D83EBE" w:rsidRDefault="00D83EBE" w:rsidP="00D83EBE">
      <w:pPr>
        <w:pStyle w:val="Source"/>
        <w:pBdr>
          <w:top w:val="nil"/>
          <w:left w:val="nil"/>
          <w:bottom w:val="nil"/>
          <w:right w:val="nil"/>
          <w:between w:val="nil"/>
          <w:bar w:val="nil"/>
        </w:pBdr>
        <w:rPr>
          <w:bdr w:val="nil"/>
        </w:rPr>
      </w:pPr>
    </w:p>
    <w:p w:rsidR="007E6680" w:rsidRDefault="007E6680">
      <w:pPr>
        <w:pBdr>
          <w:top w:val="nil"/>
          <w:left w:val="nil"/>
          <w:bottom w:val="nil"/>
          <w:right w:val="nil"/>
          <w:between w:val="nil"/>
          <w:bar w:val="nil"/>
        </w:pBdr>
        <w:spacing w:after="160" w:line="259" w:lineRule="auto"/>
        <w:rPr>
          <w:rFonts w:ascii="Calibri" w:eastAsia="Calibri" w:hAnsi="Calibri" w:cs="Times New Roman"/>
          <w:vanish/>
          <w:bdr w:val="nil"/>
        </w:rPr>
      </w:pPr>
    </w:p>
    <w:p w:rsidR="00102381" w:rsidRDefault="00D5482E" w:rsidP="0079287A">
      <w:pPr>
        <w:pStyle w:val="TableHeading"/>
        <w:keepLines/>
        <w:pageBreakBefore/>
        <w:pBdr>
          <w:top w:val="nil"/>
          <w:left w:val="nil"/>
          <w:bottom w:val="nil"/>
          <w:right w:val="nil"/>
          <w:between w:val="nil"/>
          <w:bar w:val="nil"/>
        </w:pBdr>
        <w:spacing w:before="0" w:after="240"/>
        <w:rPr>
          <w:bdr w:val="nil"/>
        </w:rPr>
      </w:pPr>
      <w:bookmarkStart w:id="190" w:name="_Toc190682315"/>
      <w:bookmarkStart w:id="191" w:name="_Toc190682532"/>
      <w:r>
        <w:rPr>
          <w:rFonts w:cs="Arial"/>
          <w:bdr w:val="nil"/>
        </w:rPr>
        <w:lastRenderedPageBreak/>
        <w:t>Table 2.1.2: Performance criteria for Outcome 1</w:t>
      </w:r>
    </w:p>
    <w:p w:rsidR="00102381" w:rsidRDefault="00D5482E" w:rsidP="0079287A">
      <w:pPr>
        <w:keepLines/>
        <w:pBdr>
          <w:top w:val="nil"/>
          <w:left w:val="nil"/>
          <w:bottom w:val="nil"/>
          <w:right w:val="nil"/>
          <w:between w:val="nil"/>
          <w:bar w:val="nil"/>
        </w:pBdr>
        <w:spacing w:after="240" w:line="240" w:lineRule="auto"/>
        <w:jc w:val="both"/>
        <w:rPr>
          <w:bdr w:val="nil"/>
        </w:rPr>
      </w:pPr>
      <w:r>
        <w:rPr>
          <w:rFonts w:ascii="Book Antiqua" w:eastAsia="Times New Roman" w:hAnsi="Book Antiqua" w:cs="Times New Roman"/>
          <w:sz w:val="20"/>
          <w:szCs w:val="20"/>
          <w:bdr w:val="nil"/>
          <w:lang w:val="en-AU" w:eastAsia="en-AU"/>
        </w:rPr>
        <w:t>Table 2.1.2 below details the performance criteria for each program associated with Outcome 1. It is to be used by entities to describe the results they plan to achieve with the resources provided for new programs, or materially changed existing programs resulting from decisions made since the 2020-21 Budget.</w:t>
      </w:r>
    </w:p>
    <w:p w:rsidR="00102381" w:rsidRDefault="00D5482E" w:rsidP="0079287A">
      <w:pPr>
        <w:keepLines/>
        <w:pBdr>
          <w:top w:val="nil"/>
          <w:left w:val="nil"/>
          <w:bottom w:val="nil"/>
          <w:right w:val="nil"/>
          <w:between w:val="nil"/>
          <w:bar w:val="nil"/>
        </w:pBdr>
        <w:spacing w:after="240" w:line="240" w:lineRule="auto"/>
        <w:jc w:val="both"/>
        <w:rPr>
          <w:bdr w:val="nil"/>
        </w:rPr>
      </w:pPr>
      <w:r>
        <w:rPr>
          <w:rFonts w:ascii="Book Antiqua" w:eastAsia="Times New Roman" w:hAnsi="Book Antiqua" w:cs="Times New Roman"/>
          <w:sz w:val="20"/>
          <w:szCs w:val="20"/>
          <w:bdr w:val="nil"/>
          <w:lang w:val="en-AU" w:eastAsia="en-AU"/>
        </w:rPr>
        <w:t>Services Australia will develop a new set of performance measures for 2021–22, which drive and reinforce Services Australia’s approach to delivering customer-centred, trusted services that are simple, helpful, respectful and transparent, so people can get on with their lives. To support this approach, no performance measures or targets are included for 2021-22 and beyond.</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927"/>
        <w:gridCol w:w="3431"/>
        <w:gridCol w:w="2410"/>
      </w:tblGrid>
      <w:tr w:rsidR="00010972" w:rsidTr="00241B17">
        <w:trPr>
          <w:tblHeader/>
        </w:trPr>
        <w:tc>
          <w:tcPr>
            <w:tcW w:w="776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02381" w:rsidRPr="0079287A" w:rsidRDefault="00D5482E" w:rsidP="00877210">
            <w:pPr>
              <w:pStyle w:val="TableColumnHeadingLeft"/>
              <w:pBdr>
                <w:top w:val="nil"/>
                <w:left w:val="nil"/>
                <w:bottom w:val="nil"/>
                <w:right w:val="nil"/>
                <w:between w:val="nil"/>
                <w:bar w:val="nil"/>
              </w:pBdr>
              <w:spacing w:line="240" w:lineRule="auto"/>
              <w:rPr>
                <w:b w:val="0"/>
                <w:bdr w:val="nil"/>
              </w:rPr>
            </w:pPr>
            <w:r w:rsidRPr="00C80635">
              <w:rPr>
                <w:rFonts w:cs="Arial"/>
                <w:bdr w:val="nil"/>
                <w:lang w:val="en-US" w:eastAsia="en-US"/>
              </w:rPr>
              <w:t>Outcome 1</w:t>
            </w:r>
            <w:r w:rsidRPr="0079287A">
              <w:rPr>
                <w:rFonts w:cs="Arial"/>
                <w:b w:val="0"/>
                <w:bdr w:val="nil"/>
                <w:lang w:val="en-US" w:eastAsia="en-US"/>
              </w:rPr>
              <w:t xml:space="preserve"> – Support individuals, families and communities to achieve greater self</w:t>
            </w:r>
            <w:r w:rsidRPr="0079287A">
              <w:rPr>
                <w:rFonts w:cs="Arial"/>
                <w:b w:val="0"/>
                <w:bdr w:val="nil"/>
                <w:lang w:val="en-US" w:eastAsia="en-US"/>
              </w:rPr>
              <w:noBreakHyphen/>
              <w:t>sufficiency; through the delivery of advice and high quality accessible social, health and child support services and other payments; and support providers and businesses through convenient and efficient service delivery.</w:t>
            </w:r>
          </w:p>
        </w:tc>
      </w:tr>
      <w:tr w:rsidR="00010972" w:rsidTr="00241B17">
        <w:trPr>
          <w:tblHeader/>
        </w:trPr>
        <w:tc>
          <w:tcPr>
            <w:tcW w:w="7768" w:type="dxa"/>
            <w:gridSpan w:val="3"/>
            <w:tcBorders>
              <w:top w:val="single" w:sz="4" w:space="0" w:color="auto"/>
              <w:left w:val="single" w:sz="4" w:space="0" w:color="auto"/>
              <w:bottom w:val="single" w:sz="4" w:space="0" w:color="auto"/>
              <w:right w:val="single" w:sz="4" w:space="0" w:color="auto"/>
            </w:tcBorders>
            <w:shd w:val="clear" w:color="auto" w:fill="F2F2F2"/>
            <w:hideMark/>
          </w:tcPr>
          <w:p w:rsidR="00102381" w:rsidRDefault="00D5482E" w:rsidP="00877210">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Times New Roman" w:hAnsi="Arial" w:cs="Arial"/>
                <w:b/>
                <w:sz w:val="16"/>
                <w:szCs w:val="16"/>
                <w:bdr w:val="nil"/>
              </w:rPr>
              <w:t xml:space="preserve">Program 1.1 – Services to the Community  ̶  Social Security and Welfare </w:t>
            </w:r>
            <w:r>
              <w:rPr>
                <w:rFonts w:ascii="Arial" w:eastAsia="Times New Roman" w:hAnsi="Arial" w:cs="Arial"/>
                <w:sz w:val="16"/>
                <w:szCs w:val="16"/>
                <w:bdr w:val="nil"/>
              </w:rPr>
              <w:t>–</w:t>
            </w:r>
            <w:r>
              <w:rPr>
                <w:rFonts w:ascii="Arial" w:eastAsia="Times New Roman" w:hAnsi="Arial" w:cs="Arial"/>
                <w:b/>
                <w:sz w:val="16"/>
                <w:szCs w:val="16"/>
                <w:bdr w:val="nil"/>
              </w:rPr>
              <w:t xml:space="preserve"> </w:t>
            </w:r>
            <w:r>
              <w:rPr>
                <w:rFonts w:ascii="Arial" w:eastAsia="Times New Roman" w:hAnsi="Arial" w:cs="Arial"/>
                <w:sz w:val="16"/>
                <w:szCs w:val="16"/>
                <w:bdr w:val="nil"/>
              </w:rPr>
              <w:t>Services Australia supports individuals, families and communities to achieve greater self-sufficiency by providing access to social security and welfare payments and services on behalf of the Australian Government.</w:t>
            </w:r>
          </w:p>
        </w:tc>
      </w:tr>
      <w:tr w:rsidR="00010972" w:rsidTr="00241B17">
        <w:tc>
          <w:tcPr>
            <w:tcW w:w="1927" w:type="dxa"/>
            <w:tcBorders>
              <w:top w:val="single" w:sz="4" w:space="0" w:color="auto"/>
              <w:left w:val="single" w:sz="4" w:space="0" w:color="auto"/>
              <w:bottom w:val="doub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Delivery</w:t>
            </w:r>
          </w:p>
        </w:tc>
        <w:tc>
          <w:tcPr>
            <w:tcW w:w="5841" w:type="dxa"/>
            <w:gridSpan w:val="2"/>
            <w:tcBorders>
              <w:top w:val="single" w:sz="4" w:space="0" w:color="auto"/>
              <w:left w:val="single" w:sz="4" w:space="0" w:color="auto"/>
              <w:bottom w:val="doub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color w:val="FF0000"/>
                <w:sz w:val="16"/>
                <w:szCs w:val="16"/>
                <w:bdr w:val="nil"/>
              </w:rPr>
            </w:pPr>
            <w:r>
              <w:rPr>
                <w:rFonts w:ascii="Arial" w:eastAsia="Times New Roman" w:hAnsi="Arial" w:cs="Arial"/>
                <w:sz w:val="16"/>
                <w:szCs w:val="16"/>
                <w:bdr w:val="nil"/>
              </w:rPr>
              <w:t xml:space="preserve">Services Australia provides social security and welfare payments and services to the community through service </w:t>
            </w:r>
            <w:proofErr w:type="spellStart"/>
            <w:r>
              <w:rPr>
                <w:rFonts w:ascii="Arial" w:eastAsia="Times New Roman" w:hAnsi="Arial" w:cs="Arial"/>
                <w:sz w:val="16"/>
                <w:szCs w:val="16"/>
                <w:bdr w:val="nil"/>
              </w:rPr>
              <w:t>centres</w:t>
            </w:r>
            <w:proofErr w:type="spellEnd"/>
            <w:r>
              <w:rPr>
                <w:rFonts w:ascii="Arial" w:eastAsia="Times New Roman" w:hAnsi="Arial" w:cs="Arial"/>
                <w:sz w:val="16"/>
                <w:szCs w:val="16"/>
                <w:bdr w:val="nil"/>
              </w:rPr>
              <w:t xml:space="preserve"> located across Australia, online services and smart </w:t>
            </w:r>
            <w:proofErr w:type="spellStart"/>
            <w:r>
              <w:rPr>
                <w:rFonts w:ascii="Arial" w:eastAsia="Times New Roman" w:hAnsi="Arial" w:cs="Arial"/>
                <w:sz w:val="16"/>
                <w:szCs w:val="16"/>
                <w:bdr w:val="nil"/>
              </w:rPr>
              <w:t>centres</w:t>
            </w:r>
            <w:proofErr w:type="spellEnd"/>
            <w:r>
              <w:rPr>
                <w:rFonts w:ascii="Arial" w:eastAsia="Times New Roman" w:hAnsi="Arial" w:cs="Arial"/>
                <w:sz w:val="16"/>
                <w:szCs w:val="16"/>
                <w:bdr w:val="nil"/>
              </w:rPr>
              <w:t>.</w:t>
            </w:r>
          </w:p>
        </w:tc>
      </w:tr>
      <w:tr w:rsidR="00010972" w:rsidTr="00241B17">
        <w:tc>
          <w:tcPr>
            <w:tcW w:w="7768" w:type="dxa"/>
            <w:gridSpan w:val="3"/>
            <w:tcBorders>
              <w:top w:val="double" w:sz="4" w:space="0" w:color="auto"/>
              <w:left w:val="single" w:sz="4" w:space="0" w:color="auto"/>
              <w:bottom w:val="doub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Performance information</w:t>
            </w:r>
          </w:p>
        </w:tc>
      </w:tr>
      <w:tr w:rsidR="00010972" w:rsidTr="00241B17">
        <w:tc>
          <w:tcPr>
            <w:tcW w:w="1927" w:type="dxa"/>
            <w:tcBorders>
              <w:top w:val="doub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Year</w:t>
            </w:r>
          </w:p>
        </w:tc>
        <w:tc>
          <w:tcPr>
            <w:tcW w:w="3431" w:type="dxa"/>
            <w:tcBorders>
              <w:top w:val="doub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Performance criteria</w:t>
            </w:r>
          </w:p>
        </w:tc>
        <w:tc>
          <w:tcPr>
            <w:tcW w:w="2410" w:type="dxa"/>
            <w:tcBorders>
              <w:top w:val="doub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Targets</w:t>
            </w:r>
          </w:p>
        </w:tc>
      </w:tr>
      <w:tr w:rsidR="00010972" w:rsidTr="00241B17">
        <w:tc>
          <w:tcPr>
            <w:tcW w:w="7768" w:type="dxa"/>
            <w:gridSpan w:val="3"/>
            <w:tcBorders>
              <w:top w:val="sing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Customer satisfaction</w:t>
            </w:r>
          </w:p>
        </w:tc>
      </w:tr>
      <w:tr w:rsidR="00010972" w:rsidTr="00241B17">
        <w:tc>
          <w:tcPr>
            <w:tcW w:w="1927"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Gulim" w:hAnsi="Arial" w:cs="Arial"/>
                <w:sz w:val="16"/>
                <w:szCs w:val="16"/>
                <w:bdr w:val="nil"/>
              </w:rPr>
              <w:t>2020-21</w:t>
            </w:r>
          </w:p>
        </w:tc>
        <w:tc>
          <w:tcPr>
            <w:tcW w:w="3431"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Times New Roman" w:hAnsi="Arial" w:cs="Arial"/>
                <w:sz w:val="16"/>
                <w:szCs w:val="16"/>
                <w:bdr w:val="nil"/>
              </w:rPr>
              <w:t>Customer satisfaction: achievement of customer satisfaction standards.</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Times New Roman" w:hAnsi="Arial" w:cs="Arial"/>
                <w:sz w:val="16"/>
                <w:szCs w:val="16"/>
                <w:bdr w:val="nil"/>
              </w:rPr>
              <w:t>Greater than or equal to 85 out of 100</w:t>
            </w:r>
          </w:p>
        </w:tc>
      </w:tr>
      <w:tr w:rsidR="00010972" w:rsidTr="00241B17">
        <w:tc>
          <w:tcPr>
            <w:tcW w:w="1927" w:type="dxa"/>
            <w:tcBorders>
              <w:top w:val="dotted" w:sz="4" w:space="0" w:color="auto"/>
              <w:left w:val="single" w:sz="4" w:space="0" w:color="auto"/>
              <w:bottom w:val="single" w:sz="4" w:space="0" w:color="auto"/>
              <w:right w:val="single" w:sz="4" w:space="0" w:color="auto"/>
            </w:tcBorders>
            <w:vAlign w:val="center"/>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Gulim" w:hAnsi="Arial" w:cs="Arial"/>
                <w:sz w:val="16"/>
                <w:szCs w:val="16"/>
                <w:bdr w:val="nil"/>
              </w:rPr>
              <w:t xml:space="preserve">2021-22 </w:t>
            </w:r>
            <w:r>
              <w:rPr>
                <w:rFonts w:ascii="Arial" w:eastAsia="Times New Roman" w:hAnsi="Arial" w:cs="Arial"/>
                <w:sz w:val="16"/>
                <w:szCs w:val="16"/>
                <w:bdr w:val="nil"/>
              </w:rPr>
              <w:t>and beyond</w:t>
            </w:r>
          </w:p>
        </w:tc>
        <w:tc>
          <w:tcPr>
            <w:tcW w:w="3431" w:type="dxa"/>
            <w:tcBorders>
              <w:top w:val="dotted" w:sz="4" w:space="0" w:color="auto"/>
              <w:left w:val="single" w:sz="4" w:space="0" w:color="auto"/>
              <w:bottom w:val="single" w:sz="4" w:space="0" w:color="auto"/>
              <w:right w:val="single" w:sz="4" w:space="0" w:color="auto"/>
            </w:tcBorders>
            <w:vAlign w:val="center"/>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Times New Roman" w:hAnsi="Arial" w:cs="Arial"/>
                <w:sz w:val="16"/>
                <w:szCs w:val="16"/>
                <w:bdr w:val="nil"/>
              </w:rPr>
              <w:t>Not applicable.</w:t>
            </w:r>
          </w:p>
        </w:tc>
        <w:tc>
          <w:tcPr>
            <w:tcW w:w="2410" w:type="dxa"/>
            <w:tcBorders>
              <w:top w:val="dotted" w:sz="4" w:space="0" w:color="auto"/>
              <w:left w:val="single" w:sz="4" w:space="0" w:color="auto"/>
              <w:bottom w:val="single" w:sz="4" w:space="0" w:color="auto"/>
              <w:right w:val="single" w:sz="4" w:space="0" w:color="auto"/>
            </w:tcBorders>
            <w:vAlign w:val="center"/>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Times New Roman" w:hAnsi="Arial" w:cs="Arial"/>
                <w:sz w:val="16"/>
                <w:szCs w:val="16"/>
                <w:bdr w:val="nil"/>
              </w:rPr>
              <w:t>Not applicable.</w:t>
            </w:r>
          </w:p>
        </w:tc>
      </w:tr>
      <w:tr w:rsidR="00010972" w:rsidTr="00241B17">
        <w:tc>
          <w:tcPr>
            <w:tcW w:w="7768" w:type="dxa"/>
            <w:gridSpan w:val="3"/>
            <w:tcBorders>
              <w:top w:val="sing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Correct payments</w:t>
            </w:r>
          </w:p>
        </w:tc>
      </w:tr>
      <w:tr w:rsidR="00010972" w:rsidTr="00241B17">
        <w:tc>
          <w:tcPr>
            <w:tcW w:w="1927" w:type="dxa"/>
            <w:vMerge w:val="restart"/>
            <w:tcBorders>
              <w:top w:val="dotted" w:sz="4" w:space="0" w:color="auto"/>
              <w:left w:val="single" w:sz="4" w:space="0" w:color="auto"/>
              <w:right w:val="single" w:sz="4" w:space="0" w:color="auto"/>
            </w:tcBorders>
            <w:hideMark/>
          </w:tcPr>
          <w:p w:rsidR="00357ACC" w:rsidRDefault="00D5482E">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Gulim" w:hAnsi="Arial" w:cs="Arial"/>
                <w:sz w:val="16"/>
                <w:szCs w:val="16"/>
                <w:bdr w:val="nil"/>
              </w:rPr>
              <w:t>2020-21</w:t>
            </w:r>
          </w:p>
        </w:tc>
        <w:tc>
          <w:tcPr>
            <w:tcW w:w="3431" w:type="dxa"/>
            <w:tcBorders>
              <w:top w:val="dotted" w:sz="4" w:space="0" w:color="auto"/>
              <w:left w:val="single" w:sz="4" w:space="0" w:color="auto"/>
              <w:bottom w:val="dotted" w:sz="4" w:space="0" w:color="auto"/>
              <w:right w:val="single" w:sz="4" w:space="0" w:color="auto"/>
            </w:tcBorders>
            <w:hideMark/>
          </w:tcPr>
          <w:p w:rsidR="00357ACC" w:rsidRDefault="00D5482E">
            <w:pPr>
              <w:pBdr>
                <w:top w:val="nil"/>
                <w:left w:val="nil"/>
                <w:bottom w:val="nil"/>
                <w:right w:val="nil"/>
                <w:between w:val="nil"/>
                <w:bar w:val="nil"/>
              </w:pBdr>
              <w:spacing w:before="20" w:after="20" w:line="240" w:lineRule="auto"/>
              <w:rPr>
                <w:rFonts w:ascii="Arial" w:hAnsi="Arial" w:cs="Arial"/>
                <w:color w:val="000000"/>
                <w:sz w:val="16"/>
                <w:szCs w:val="16"/>
                <w:bdr w:val="nil"/>
              </w:rPr>
            </w:pPr>
            <w:r>
              <w:rPr>
                <w:rFonts w:ascii="Arial" w:eastAsia="Times New Roman" w:hAnsi="Arial" w:cs="Arial"/>
                <w:color w:val="000000"/>
                <w:sz w:val="16"/>
                <w:szCs w:val="16"/>
                <w:bdr w:val="nil"/>
              </w:rPr>
              <w:t xml:space="preserve">Achievement of payment quality standards: </w:t>
            </w:r>
            <w:proofErr w:type="spellStart"/>
            <w:r>
              <w:rPr>
                <w:rFonts w:ascii="Arial" w:eastAsia="Times New Roman" w:hAnsi="Arial" w:cs="Arial"/>
                <w:color w:val="000000"/>
                <w:sz w:val="16"/>
                <w:szCs w:val="16"/>
                <w:bdr w:val="nil"/>
              </w:rPr>
              <w:t>Centrelink</w:t>
            </w:r>
            <w:proofErr w:type="spellEnd"/>
            <w:r>
              <w:rPr>
                <w:rFonts w:ascii="Arial" w:eastAsia="Times New Roman" w:hAnsi="Arial" w:cs="Arial"/>
                <w:color w:val="000000"/>
                <w:sz w:val="16"/>
                <w:szCs w:val="16"/>
                <w:bdr w:val="nil"/>
              </w:rPr>
              <w:t>: delivery of correct customer payments.</w:t>
            </w:r>
          </w:p>
        </w:tc>
        <w:tc>
          <w:tcPr>
            <w:tcW w:w="2410" w:type="dxa"/>
            <w:tcBorders>
              <w:top w:val="dotted" w:sz="4" w:space="0" w:color="auto"/>
              <w:left w:val="single" w:sz="4" w:space="0" w:color="auto"/>
              <w:bottom w:val="dotted" w:sz="4" w:space="0" w:color="auto"/>
              <w:right w:val="single" w:sz="4" w:space="0" w:color="auto"/>
            </w:tcBorders>
            <w:hideMark/>
          </w:tcPr>
          <w:p w:rsidR="00357ACC" w:rsidRDefault="00D5482E">
            <w:pPr>
              <w:keepLines/>
              <w:pBdr>
                <w:top w:val="nil"/>
                <w:left w:val="nil"/>
                <w:bottom w:val="nil"/>
                <w:right w:val="nil"/>
                <w:between w:val="nil"/>
                <w:bar w:val="nil"/>
              </w:pBdr>
              <w:spacing w:before="20" w:after="20"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95 per cent</w:t>
            </w:r>
          </w:p>
        </w:tc>
      </w:tr>
      <w:tr w:rsidR="00010972" w:rsidTr="00241B17">
        <w:tc>
          <w:tcPr>
            <w:tcW w:w="1927" w:type="dxa"/>
            <w:vMerge/>
            <w:tcBorders>
              <w:left w:val="single" w:sz="4" w:space="0" w:color="auto"/>
              <w:right w:val="single" w:sz="4" w:space="0" w:color="auto"/>
            </w:tcBorders>
            <w:vAlign w:val="center"/>
            <w:hideMark/>
          </w:tcPr>
          <w:p w:rsidR="00357ACC" w:rsidRDefault="00357ACC">
            <w:pPr>
              <w:spacing w:after="0"/>
              <w:rPr>
                <w:rFonts w:ascii="Arial" w:hAnsi="Arial" w:cs="Arial"/>
                <w:sz w:val="16"/>
                <w:szCs w:val="16"/>
                <w:bdr w:val="nil"/>
              </w:rPr>
            </w:pPr>
          </w:p>
        </w:tc>
        <w:tc>
          <w:tcPr>
            <w:tcW w:w="3431" w:type="dxa"/>
            <w:tcBorders>
              <w:top w:val="dotted" w:sz="4" w:space="0" w:color="auto"/>
              <w:left w:val="single" w:sz="4" w:space="0" w:color="auto"/>
              <w:bottom w:val="dotted" w:sz="4" w:space="0" w:color="auto"/>
              <w:right w:val="single" w:sz="4" w:space="0" w:color="auto"/>
            </w:tcBorders>
            <w:hideMark/>
          </w:tcPr>
          <w:p w:rsidR="00357ACC" w:rsidRDefault="00D5482E">
            <w:pPr>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 xml:space="preserve">Internal reviews: percentage of decision reviews requested by </w:t>
            </w:r>
            <w:proofErr w:type="spellStart"/>
            <w:r>
              <w:rPr>
                <w:rFonts w:ascii="Arial" w:eastAsia="Times New Roman" w:hAnsi="Arial" w:cs="Arial"/>
                <w:color w:val="000000"/>
                <w:sz w:val="16"/>
                <w:szCs w:val="16"/>
                <w:bdr w:val="nil"/>
              </w:rPr>
              <w:t>Centrelink</w:t>
            </w:r>
            <w:proofErr w:type="spellEnd"/>
            <w:r>
              <w:rPr>
                <w:rFonts w:ascii="Arial" w:eastAsia="Times New Roman" w:hAnsi="Arial" w:cs="Arial"/>
                <w:color w:val="000000"/>
                <w:sz w:val="16"/>
                <w:szCs w:val="16"/>
                <w:bdr w:val="nil"/>
              </w:rPr>
              <w:t xml:space="preserve"> customers </w:t>
            </w:r>
            <w:proofErr w:type="spellStart"/>
            <w:r>
              <w:rPr>
                <w:rFonts w:ascii="Arial" w:eastAsia="Times New Roman" w:hAnsi="Arial" w:cs="Arial"/>
                <w:color w:val="000000"/>
                <w:sz w:val="16"/>
                <w:szCs w:val="16"/>
                <w:bdr w:val="nil"/>
              </w:rPr>
              <w:t>finalised</w:t>
            </w:r>
            <w:proofErr w:type="spellEnd"/>
            <w:r>
              <w:rPr>
                <w:rFonts w:ascii="Arial" w:eastAsia="Times New Roman" w:hAnsi="Arial" w:cs="Arial"/>
                <w:color w:val="000000"/>
                <w:sz w:val="16"/>
                <w:szCs w:val="16"/>
                <w:bdr w:val="nil"/>
              </w:rPr>
              <w:t xml:space="preserve"> within standard.</w:t>
            </w:r>
          </w:p>
        </w:tc>
        <w:tc>
          <w:tcPr>
            <w:tcW w:w="2410" w:type="dxa"/>
            <w:tcBorders>
              <w:top w:val="dotted" w:sz="4" w:space="0" w:color="auto"/>
              <w:left w:val="single" w:sz="4" w:space="0" w:color="auto"/>
              <w:bottom w:val="dotted" w:sz="4" w:space="0" w:color="auto"/>
              <w:right w:val="single" w:sz="4" w:space="0" w:color="auto"/>
            </w:tcBorders>
            <w:hideMark/>
          </w:tcPr>
          <w:p w:rsidR="00357ACC"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70 per cent</w:t>
            </w:r>
          </w:p>
        </w:tc>
      </w:tr>
      <w:tr w:rsidR="00010972" w:rsidTr="00241B17">
        <w:tc>
          <w:tcPr>
            <w:tcW w:w="1927" w:type="dxa"/>
            <w:vMerge/>
            <w:tcBorders>
              <w:left w:val="single" w:sz="4" w:space="0" w:color="auto"/>
              <w:bottom w:val="dotted" w:sz="4" w:space="0" w:color="auto"/>
              <w:right w:val="single" w:sz="4" w:space="0" w:color="auto"/>
            </w:tcBorders>
            <w:vAlign w:val="center"/>
          </w:tcPr>
          <w:p w:rsidR="00357ACC" w:rsidRDefault="00357ACC" w:rsidP="00357ACC">
            <w:pPr>
              <w:spacing w:after="0"/>
              <w:rPr>
                <w:rFonts w:ascii="Arial" w:hAnsi="Arial" w:cs="Arial"/>
                <w:sz w:val="16"/>
                <w:szCs w:val="16"/>
                <w:bdr w:val="nil"/>
              </w:rPr>
            </w:pPr>
          </w:p>
        </w:tc>
        <w:tc>
          <w:tcPr>
            <w:tcW w:w="3431" w:type="dxa"/>
            <w:tcBorders>
              <w:top w:val="dotted" w:sz="4" w:space="0" w:color="auto"/>
              <w:left w:val="single" w:sz="4" w:space="0" w:color="auto"/>
              <w:bottom w:val="dotted" w:sz="4" w:space="0" w:color="auto"/>
              <w:right w:val="single" w:sz="4" w:space="0" w:color="auto"/>
            </w:tcBorders>
            <w:vAlign w:val="center"/>
          </w:tcPr>
          <w:p w:rsidR="00357ACC" w:rsidRDefault="00D5482E" w:rsidP="00357ACC">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 xml:space="preserve">Achievement of payment integrity standards: </w:t>
            </w:r>
            <w:proofErr w:type="spellStart"/>
            <w:r>
              <w:rPr>
                <w:rFonts w:ascii="Arial" w:eastAsia="Times New Roman" w:hAnsi="Arial" w:cs="Arial"/>
                <w:color w:val="000000"/>
                <w:sz w:val="16"/>
                <w:szCs w:val="16"/>
                <w:bdr w:val="nil"/>
              </w:rPr>
              <w:t>Centrelink</w:t>
            </w:r>
            <w:proofErr w:type="spellEnd"/>
            <w:r>
              <w:rPr>
                <w:rFonts w:ascii="Arial" w:eastAsia="Times New Roman" w:hAnsi="Arial" w:cs="Arial"/>
                <w:color w:val="000000"/>
                <w:sz w:val="16"/>
                <w:szCs w:val="16"/>
                <w:bdr w:val="nil"/>
              </w:rPr>
              <w:t>: debt under recovery.</w:t>
            </w:r>
          </w:p>
        </w:tc>
        <w:tc>
          <w:tcPr>
            <w:tcW w:w="2410" w:type="dxa"/>
            <w:tcBorders>
              <w:top w:val="dotted" w:sz="4" w:space="0" w:color="auto"/>
              <w:left w:val="single" w:sz="4" w:space="0" w:color="auto"/>
              <w:bottom w:val="dotted" w:sz="4" w:space="0" w:color="auto"/>
              <w:right w:val="single" w:sz="4" w:space="0" w:color="auto"/>
            </w:tcBorders>
          </w:tcPr>
          <w:p w:rsidR="00357ACC" w:rsidRDefault="00D5482E" w:rsidP="00357ACC">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60 per cent</w:t>
            </w:r>
          </w:p>
        </w:tc>
      </w:tr>
      <w:tr w:rsidR="00010972" w:rsidTr="00241B17">
        <w:tc>
          <w:tcPr>
            <w:tcW w:w="1927" w:type="dxa"/>
            <w:tcBorders>
              <w:top w:val="dotted" w:sz="4" w:space="0" w:color="auto"/>
              <w:left w:val="single" w:sz="4" w:space="0" w:color="auto"/>
              <w:bottom w:val="single" w:sz="4" w:space="0" w:color="auto"/>
              <w:right w:val="single" w:sz="4" w:space="0" w:color="auto"/>
            </w:tcBorders>
            <w:vAlign w:val="center"/>
          </w:tcPr>
          <w:p w:rsidR="00357ACC" w:rsidRDefault="00D5482E" w:rsidP="00357ACC">
            <w:pPr>
              <w:keepLines/>
              <w:pBdr>
                <w:top w:val="nil"/>
                <w:left w:val="nil"/>
                <w:bottom w:val="nil"/>
                <w:right w:val="nil"/>
                <w:between w:val="nil"/>
                <w:bar w:val="nil"/>
              </w:pBdr>
              <w:tabs>
                <w:tab w:val="left" w:pos="709"/>
              </w:tabs>
              <w:spacing w:before="20" w:after="48" w:line="240" w:lineRule="auto"/>
              <w:rPr>
                <w:rFonts w:ascii="Arial" w:hAnsi="Arial" w:cs="Arial"/>
                <w:sz w:val="16"/>
                <w:szCs w:val="16"/>
                <w:bdr w:val="nil"/>
              </w:rPr>
            </w:pPr>
            <w:r>
              <w:rPr>
                <w:rFonts w:ascii="Arial" w:eastAsia="Gulim" w:hAnsi="Arial" w:cs="Arial"/>
                <w:sz w:val="16"/>
                <w:szCs w:val="16"/>
                <w:bdr w:val="nil"/>
              </w:rPr>
              <w:t xml:space="preserve">2021-22 </w:t>
            </w:r>
            <w:r>
              <w:rPr>
                <w:rFonts w:ascii="Arial" w:eastAsia="Times New Roman" w:hAnsi="Arial" w:cs="Arial"/>
                <w:sz w:val="16"/>
                <w:szCs w:val="16"/>
                <w:bdr w:val="nil"/>
              </w:rPr>
              <w:t>and beyond</w:t>
            </w:r>
          </w:p>
        </w:tc>
        <w:tc>
          <w:tcPr>
            <w:tcW w:w="3431" w:type="dxa"/>
            <w:tcBorders>
              <w:top w:val="dotted" w:sz="4" w:space="0" w:color="auto"/>
              <w:left w:val="single" w:sz="4" w:space="0" w:color="auto"/>
              <w:bottom w:val="single" w:sz="4" w:space="0" w:color="auto"/>
              <w:right w:val="single" w:sz="4" w:space="0" w:color="auto"/>
            </w:tcBorders>
            <w:vAlign w:val="center"/>
          </w:tcPr>
          <w:p w:rsidR="00357ACC" w:rsidRDefault="00D5482E" w:rsidP="00357ACC">
            <w:pPr>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Not applicable.</w:t>
            </w:r>
          </w:p>
        </w:tc>
        <w:tc>
          <w:tcPr>
            <w:tcW w:w="2410" w:type="dxa"/>
            <w:tcBorders>
              <w:top w:val="dotted" w:sz="4" w:space="0" w:color="auto"/>
              <w:left w:val="single" w:sz="4" w:space="0" w:color="auto"/>
              <w:bottom w:val="single" w:sz="4" w:space="0" w:color="auto"/>
              <w:right w:val="single" w:sz="4" w:space="0" w:color="auto"/>
            </w:tcBorders>
          </w:tcPr>
          <w:p w:rsidR="00357ACC" w:rsidRDefault="00D5482E" w:rsidP="00357ACC">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Not applicable.</w:t>
            </w:r>
          </w:p>
        </w:tc>
      </w:tr>
    </w:tbl>
    <w:p w:rsidR="00102381" w:rsidRDefault="00D5482E" w:rsidP="00B13B93">
      <w:pPr>
        <w:pStyle w:val="TableHeading"/>
        <w:keepLines/>
        <w:pBdr>
          <w:top w:val="nil"/>
          <w:left w:val="nil"/>
          <w:bottom w:val="nil"/>
          <w:right w:val="nil"/>
          <w:between w:val="nil"/>
          <w:bar w:val="nil"/>
        </w:pBdr>
        <w:spacing w:before="0" w:after="0"/>
        <w:rPr>
          <w:bdr w:val="nil"/>
        </w:rPr>
      </w:pPr>
      <w:r>
        <w:rPr>
          <w:b w:val="0"/>
          <w:bdr w:val="nil"/>
          <w:lang w:val="x-none" w:eastAsia="x-none"/>
        </w:rPr>
        <w:br w:type="page"/>
      </w:r>
      <w:r>
        <w:rPr>
          <w:rFonts w:cs="Arial"/>
          <w:bdr w:val="nil"/>
        </w:rPr>
        <w:lastRenderedPageBreak/>
        <w:t>Table 2.1.2: Performance criteria for Outcome 1 (continued)</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956"/>
        <w:gridCol w:w="3402"/>
        <w:gridCol w:w="2410"/>
      </w:tblGrid>
      <w:tr w:rsidR="00010972" w:rsidTr="00241B17">
        <w:trPr>
          <w:tblHeader/>
        </w:trPr>
        <w:tc>
          <w:tcPr>
            <w:tcW w:w="776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02381" w:rsidRDefault="00D5482E" w:rsidP="00B13B93">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Times New Roman" w:hAnsi="Arial" w:cs="Arial"/>
                <w:b/>
                <w:sz w:val="16"/>
                <w:szCs w:val="16"/>
                <w:bdr w:val="nil"/>
              </w:rPr>
              <w:t xml:space="preserve">Program 1.1 – Services to the Community  ̶  Social Security and Welfare </w:t>
            </w:r>
            <w:r>
              <w:rPr>
                <w:rFonts w:ascii="Arial" w:eastAsia="Times New Roman" w:hAnsi="Arial" w:cs="Arial"/>
                <w:sz w:val="16"/>
                <w:szCs w:val="16"/>
                <w:bdr w:val="nil"/>
              </w:rPr>
              <w:t>–</w:t>
            </w:r>
            <w:r>
              <w:rPr>
                <w:rFonts w:ascii="Arial" w:eastAsia="Times New Roman" w:hAnsi="Arial" w:cs="Arial"/>
                <w:b/>
                <w:sz w:val="16"/>
                <w:szCs w:val="16"/>
                <w:bdr w:val="nil"/>
              </w:rPr>
              <w:t xml:space="preserve"> </w:t>
            </w:r>
            <w:r>
              <w:rPr>
                <w:rFonts w:ascii="Arial" w:eastAsia="Times New Roman" w:hAnsi="Arial" w:cs="Arial"/>
                <w:sz w:val="16"/>
                <w:szCs w:val="16"/>
                <w:bdr w:val="nil"/>
              </w:rPr>
              <w:t xml:space="preserve">Services Australia supports individuals, families and communities to achieve greater self-sufficiency by providing access to social security and welfare payments and services on behalf of the Australian Government.  </w:t>
            </w:r>
          </w:p>
        </w:tc>
      </w:tr>
      <w:tr w:rsidR="00010972" w:rsidTr="00241B17">
        <w:tc>
          <w:tcPr>
            <w:tcW w:w="7768" w:type="dxa"/>
            <w:gridSpan w:val="3"/>
            <w:tcBorders>
              <w:top w:val="double" w:sz="4" w:space="0" w:color="auto"/>
              <w:left w:val="single" w:sz="4" w:space="0" w:color="auto"/>
              <w:bottom w:val="doub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Performance information</w:t>
            </w:r>
          </w:p>
        </w:tc>
      </w:tr>
      <w:tr w:rsidR="00010972" w:rsidTr="00241B17">
        <w:tc>
          <w:tcPr>
            <w:tcW w:w="1956" w:type="dxa"/>
            <w:tcBorders>
              <w:top w:val="double" w:sz="4" w:space="0" w:color="auto"/>
              <w:left w:val="single" w:sz="4" w:space="0" w:color="auto"/>
              <w:bottom w:val="single" w:sz="4" w:space="0" w:color="auto"/>
              <w:right w:val="single" w:sz="4" w:space="0" w:color="auto"/>
            </w:tcBorders>
            <w:hideMark/>
          </w:tcPr>
          <w:p w:rsidR="003B28C3" w:rsidRDefault="00D5482E" w:rsidP="003B28C3">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Year</w:t>
            </w:r>
          </w:p>
        </w:tc>
        <w:tc>
          <w:tcPr>
            <w:tcW w:w="3402" w:type="dxa"/>
            <w:tcBorders>
              <w:top w:val="double" w:sz="4" w:space="0" w:color="auto"/>
              <w:left w:val="single" w:sz="4" w:space="0" w:color="auto"/>
              <w:bottom w:val="single" w:sz="4" w:space="0" w:color="auto"/>
              <w:right w:val="single" w:sz="4" w:space="0" w:color="auto"/>
            </w:tcBorders>
            <w:hideMark/>
          </w:tcPr>
          <w:p w:rsidR="003B28C3" w:rsidRDefault="00D5482E" w:rsidP="003B28C3">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Performance criteria</w:t>
            </w:r>
          </w:p>
        </w:tc>
        <w:tc>
          <w:tcPr>
            <w:tcW w:w="2410" w:type="dxa"/>
            <w:tcBorders>
              <w:top w:val="double" w:sz="4" w:space="0" w:color="auto"/>
              <w:left w:val="single" w:sz="4" w:space="0" w:color="auto"/>
              <w:bottom w:val="single" w:sz="4" w:space="0" w:color="auto"/>
              <w:right w:val="single" w:sz="4" w:space="0" w:color="auto"/>
            </w:tcBorders>
            <w:hideMark/>
          </w:tcPr>
          <w:p w:rsidR="003B28C3" w:rsidRDefault="00D5482E" w:rsidP="003B28C3">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Targets</w:t>
            </w:r>
          </w:p>
        </w:tc>
      </w:tr>
      <w:tr w:rsidR="00010972" w:rsidTr="00241B17">
        <w:tc>
          <w:tcPr>
            <w:tcW w:w="7768" w:type="dxa"/>
            <w:gridSpan w:val="3"/>
            <w:tcBorders>
              <w:top w:val="single"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Ease and timeliness of service</w:t>
            </w:r>
          </w:p>
        </w:tc>
      </w:tr>
      <w:tr w:rsidR="00010972" w:rsidTr="00241B17">
        <w:tc>
          <w:tcPr>
            <w:tcW w:w="1956" w:type="dxa"/>
            <w:vMerge w:val="restart"/>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48" w:line="240" w:lineRule="auto"/>
              <w:rPr>
                <w:rFonts w:ascii="Arial" w:hAnsi="Arial" w:cs="Arial"/>
                <w:sz w:val="16"/>
                <w:szCs w:val="16"/>
                <w:bdr w:val="nil"/>
              </w:rPr>
            </w:pPr>
            <w:r>
              <w:rPr>
                <w:rFonts w:ascii="Arial" w:eastAsia="Gulim" w:hAnsi="Arial" w:cs="Arial"/>
                <w:sz w:val="16"/>
                <w:szCs w:val="16"/>
                <w:bdr w:val="nil"/>
              </w:rPr>
              <w:t>2020-21</w:t>
            </w:r>
          </w:p>
        </w:tc>
        <w:tc>
          <w:tcPr>
            <w:tcW w:w="3402" w:type="dxa"/>
            <w:tcBorders>
              <w:top w:val="dotted" w:sz="4" w:space="0" w:color="auto"/>
              <w:left w:val="single" w:sz="4" w:space="0" w:color="auto"/>
              <w:bottom w:val="dotted" w:sz="4" w:space="0" w:color="auto"/>
              <w:right w:val="single" w:sz="4" w:space="0" w:color="auto"/>
            </w:tcBorders>
            <w:vAlign w:val="center"/>
            <w:hideMark/>
          </w:tcPr>
          <w:p w:rsidR="00102381" w:rsidRDefault="00D5482E">
            <w:pPr>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face-to-face service level standards: average wait time.</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Less than or equal to 15 minutes</w:t>
            </w:r>
          </w:p>
        </w:tc>
      </w:tr>
      <w:tr w:rsidR="00010972" w:rsidTr="00241B17">
        <w:tc>
          <w:tcPr>
            <w:tcW w:w="1956" w:type="dxa"/>
            <w:vMerge/>
            <w:tcBorders>
              <w:top w:val="dotted" w:sz="4" w:space="0" w:color="auto"/>
              <w:left w:val="single" w:sz="4" w:space="0" w:color="auto"/>
              <w:bottom w:val="dotted" w:sz="4" w:space="0" w:color="auto"/>
              <w:right w:val="single" w:sz="4" w:space="0" w:color="auto"/>
            </w:tcBorders>
            <w:vAlign w:val="center"/>
            <w:hideMark/>
          </w:tcPr>
          <w:p w:rsidR="00102381" w:rsidRDefault="00102381">
            <w:pPr>
              <w:spacing w:after="0"/>
              <w:rPr>
                <w:rFonts w:ascii="Arial" w:hAnsi="Arial" w:cs="Arial"/>
                <w:sz w:val="16"/>
                <w:szCs w:val="16"/>
                <w:bdr w:val="nil"/>
              </w:rPr>
            </w:pPr>
          </w:p>
        </w:tc>
        <w:tc>
          <w:tcPr>
            <w:tcW w:w="3402" w:type="dxa"/>
            <w:tcBorders>
              <w:top w:val="dotted" w:sz="4" w:space="0" w:color="auto"/>
              <w:left w:val="single" w:sz="4" w:space="0" w:color="auto"/>
              <w:bottom w:val="dotted" w:sz="4" w:space="0" w:color="auto"/>
              <w:right w:val="single" w:sz="4" w:space="0" w:color="auto"/>
            </w:tcBorders>
            <w:vAlign w:val="center"/>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telephony service level standards: average speed of answer.</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Less than or equal to 16 minutes</w:t>
            </w:r>
          </w:p>
        </w:tc>
      </w:tr>
      <w:tr w:rsidR="00010972" w:rsidTr="00241B17">
        <w:tc>
          <w:tcPr>
            <w:tcW w:w="1956" w:type="dxa"/>
            <w:vMerge/>
            <w:tcBorders>
              <w:top w:val="dotted" w:sz="4" w:space="0" w:color="auto"/>
              <w:left w:val="single" w:sz="4" w:space="0" w:color="auto"/>
              <w:bottom w:val="dotted" w:sz="4" w:space="0" w:color="auto"/>
              <w:right w:val="single" w:sz="4" w:space="0" w:color="auto"/>
            </w:tcBorders>
            <w:vAlign w:val="center"/>
            <w:hideMark/>
          </w:tcPr>
          <w:p w:rsidR="00102381" w:rsidRDefault="00102381">
            <w:pPr>
              <w:spacing w:after="0"/>
              <w:rPr>
                <w:rFonts w:ascii="Arial" w:hAnsi="Arial" w:cs="Arial"/>
                <w:sz w:val="16"/>
                <w:szCs w:val="16"/>
                <w:bdr w:val="nil"/>
              </w:rPr>
            </w:pPr>
          </w:p>
        </w:tc>
        <w:tc>
          <w:tcPr>
            <w:tcW w:w="3402" w:type="dxa"/>
            <w:tcBorders>
              <w:top w:val="dotted" w:sz="4" w:space="0" w:color="auto"/>
              <w:left w:val="single" w:sz="4" w:space="0" w:color="auto"/>
              <w:bottom w:val="dotted" w:sz="4" w:space="0" w:color="auto"/>
              <w:right w:val="single" w:sz="4" w:space="0" w:color="auto"/>
            </w:tcBorders>
            <w:vAlign w:val="center"/>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processing service level standards: claims processed within standard.</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82 per cent</w:t>
            </w:r>
          </w:p>
        </w:tc>
      </w:tr>
      <w:tr w:rsidR="00010972" w:rsidTr="00241B17">
        <w:tc>
          <w:tcPr>
            <w:tcW w:w="1956" w:type="dxa"/>
            <w:tcBorders>
              <w:top w:val="dotted" w:sz="4" w:space="0" w:color="auto"/>
              <w:left w:val="single" w:sz="4" w:space="0" w:color="auto"/>
              <w:bottom w:val="single" w:sz="4" w:space="0" w:color="auto"/>
              <w:right w:val="single" w:sz="4" w:space="0" w:color="auto"/>
            </w:tcBorders>
            <w:vAlign w:val="center"/>
            <w:hideMark/>
          </w:tcPr>
          <w:p w:rsidR="00102381" w:rsidRDefault="00D5482E">
            <w:pPr>
              <w:keepLines/>
              <w:pBdr>
                <w:top w:val="nil"/>
                <w:left w:val="nil"/>
                <w:bottom w:val="nil"/>
                <w:right w:val="nil"/>
                <w:between w:val="nil"/>
                <w:bar w:val="nil"/>
              </w:pBdr>
              <w:tabs>
                <w:tab w:val="left" w:pos="709"/>
              </w:tabs>
              <w:spacing w:before="20" w:after="48" w:line="240" w:lineRule="auto"/>
              <w:rPr>
                <w:rFonts w:ascii="Arial" w:hAnsi="Arial" w:cs="Arial"/>
                <w:sz w:val="16"/>
                <w:szCs w:val="16"/>
                <w:bdr w:val="nil"/>
              </w:rPr>
            </w:pPr>
            <w:r>
              <w:rPr>
                <w:rFonts w:ascii="Arial" w:eastAsia="Gulim" w:hAnsi="Arial" w:cs="Arial"/>
                <w:sz w:val="16"/>
                <w:szCs w:val="16"/>
                <w:bdr w:val="nil"/>
              </w:rPr>
              <w:t xml:space="preserve">2021-22 </w:t>
            </w:r>
            <w:r>
              <w:rPr>
                <w:rFonts w:ascii="Arial" w:eastAsia="Times New Roman" w:hAnsi="Arial" w:cs="Arial"/>
                <w:sz w:val="16"/>
                <w:szCs w:val="16"/>
                <w:bdr w:val="nil"/>
              </w:rPr>
              <w:t>and beyond</w:t>
            </w:r>
          </w:p>
        </w:tc>
        <w:tc>
          <w:tcPr>
            <w:tcW w:w="3402" w:type="dxa"/>
            <w:tcBorders>
              <w:top w:val="dotted" w:sz="4" w:space="0" w:color="auto"/>
              <w:left w:val="single" w:sz="4" w:space="0" w:color="auto"/>
              <w:bottom w:val="single" w:sz="4" w:space="0" w:color="auto"/>
              <w:right w:val="single" w:sz="4" w:space="0" w:color="auto"/>
            </w:tcBorders>
            <w:vAlign w:val="center"/>
            <w:hideMark/>
          </w:tcPr>
          <w:p w:rsidR="00102381" w:rsidRDefault="00D5482E">
            <w:pPr>
              <w:keepLines/>
              <w:pBdr>
                <w:top w:val="nil"/>
                <w:left w:val="nil"/>
                <w:bottom w:val="nil"/>
                <w:right w:val="nil"/>
                <w:between w:val="nil"/>
                <w:bar w:val="nil"/>
              </w:pBdr>
              <w:tabs>
                <w:tab w:val="left" w:pos="709"/>
              </w:tabs>
              <w:spacing w:before="20" w:after="48" w:line="240" w:lineRule="auto"/>
              <w:rPr>
                <w:rFonts w:ascii="Arial" w:hAnsi="Arial" w:cs="Arial"/>
                <w:sz w:val="16"/>
                <w:szCs w:val="16"/>
                <w:bdr w:val="nil"/>
              </w:rPr>
            </w:pPr>
            <w:r>
              <w:rPr>
                <w:rFonts w:ascii="Arial" w:eastAsia="Times New Roman" w:hAnsi="Arial" w:cs="Arial"/>
                <w:color w:val="000000"/>
                <w:sz w:val="16"/>
                <w:szCs w:val="16"/>
                <w:bdr w:val="nil"/>
              </w:rPr>
              <w:t>Not applicable.</w:t>
            </w:r>
          </w:p>
        </w:tc>
        <w:tc>
          <w:tcPr>
            <w:tcW w:w="2410" w:type="dxa"/>
            <w:tcBorders>
              <w:top w:val="dotted"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48" w:line="240" w:lineRule="auto"/>
              <w:rPr>
                <w:rFonts w:ascii="Arial" w:hAnsi="Arial" w:cs="Arial"/>
                <w:sz w:val="16"/>
                <w:szCs w:val="16"/>
                <w:bdr w:val="nil"/>
              </w:rPr>
            </w:pPr>
            <w:r>
              <w:rPr>
                <w:rFonts w:ascii="Arial" w:eastAsia="Times New Roman" w:hAnsi="Arial" w:cs="Arial"/>
                <w:color w:val="000000"/>
                <w:sz w:val="16"/>
                <w:szCs w:val="16"/>
                <w:bdr w:val="nil"/>
              </w:rPr>
              <w:t>Not applicable.</w:t>
            </w:r>
          </w:p>
        </w:tc>
      </w:tr>
      <w:tr w:rsidR="00010972" w:rsidTr="00241B17">
        <w:tc>
          <w:tcPr>
            <w:tcW w:w="7768" w:type="dxa"/>
            <w:gridSpan w:val="3"/>
            <w:tcBorders>
              <w:top w:val="dotted"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Customers interacting digitally</w:t>
            </w:r>
          </w:p>
        </w:tc>
      </w:tr>
      <w:tr w:rsidR="00010972" w:rsidTr="00241B17">
        <w:tc>
          <w:tcPr>
            <w:tcW w:w="1956" w:type="dxa"/>
            <w:vMerge w:val="restart"/>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48" w:line="240" w:lineRule="auto"/>
              <w:rPr>
                <w:rFonts w:ascii="Arial" w:hAnsi="Arial" w:cs="Arial"/>
                <w:sz w:val="16"/>
                <w:szCs w:val="16"/>
                <w:bdr w:val="nil"/>
              </w:rPr>
            </w:pPr>
            <w:r>
              <w:rPr>
                <w:rFonts w:ascii="Arial" w:eastAsia="Gulim" w:hAnsi="Arial" w:cs="Arial"/>
                <w:sz w:val="16"/>
                <w:szCs w:val="16"/>
                <w:bdr w:val="nil"/>
              </w:rPr>
              <w:t>2020-21</w:t>
            </w:r>
          </w:p>
        </w:tc>
        <w:tc>
          <w:tcPr>
            <w:tcW w:w="3402" w:type="dxa"/>
            <w:tcBorders>
              <w:top w:val="dotted" w:sz="4" w:space="0" w:color="auto"/>
              <w:left w:val="single" w:sz="4" w:space="0" w:color="auto"/>
              <w:bottom w:val="dotted" w:sz="4" w:space="0" w:color="auto"/>
              <w:right w:val="single" w:sz="4" w:space="0" w:color="auto"/>
            </w:tcBorders>
            <w:vAlign w:val="center"/>
            <w:hideMark/>
          </w:tcPr>
          <w:p w:rsidR="00102381" w:rsidRDefault="00D5482E">
            <w:pPr>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digital service level standards: interactions completed through digital channels.</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5 per cent increase</w:t>
            </w:r>
          </w:p>
        </w:tc>
      </w:tr>
      <w:tr w:rsidR="00010972" w:rsidTr="00241B17">
        <w:tc>
          <w:tcPr>
            <w:tcW w:w="1956" w:type="dxa"/>
            <w:vMerge/>
            <w:tcBorders>
              <w:top w:val="dotted" w:sz="4" w:space="0" w:color="auto"/>
              <w:left w:val="single" w:sz="4" w:space="0" w:color="auto"/>
              <w:bottom w:val="dotted" w:sz="4" w:space="0" w:color="auto"/>
              <w:right w:val="single" w:sz="4" w:space="0" w:color="auto"/>
            </w:tcBorders>
            <w:vAlign w:val="center"/>
            <w:hideMark/>
          </w:tcPr>
          <w:p w:rsidR="00102381" w:rsidRDefault="00102381">
            <w:pPr>
              <w:spacing w:after="0"/>
              <w:rPr>
                <w:rFonts w:ascii="Arial" w:hAnsi="Arial" w:cs="Arial"/>
                <w:sz w:val="16"/>
                <w:szCs w:val="16"/>
                <w:bdr w:val="nil"/>
              </w:rPr>
            </w:pPr>
          </w:p>
        </w:tc>
        <w:tc>
          <w:tcPr>
            <w:tcW w:w="3402" w:type="dxa"/>
            <w:tcBorders>
              <w:top w:val="dotted" w:sz="4" w:space="0" w:color="auto"/>
              <w:left w:val="single" w:sz="4" w:space="0" w:color="auto"/>
              <w:bottom w:val="dotted" w:sz="4" w:space="0" w:color="auto"/>
              <w:right w:val="single" w:sz="4" w:space="0" w:color="auto"/>
            </w:tcBorders>
            <w:vAlign w:val="center"/>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digital service level standards: availability of ICT services excluding scheduled maintenance periods that support 24/7 customer access.</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98 per cent</w:t>
            </w:r>
          </w:p>
        </w:tc>
      </w:tr>
      <w:tr w:rsidR="00010972" w:rsidTr="00241B17">
        <w:tc>
          <w:tcPr>
            <w:tcW w:w="1956" w:type="dxa"/>
            <w:tcBorders>
              <w:top w:val="dotted" w:sz="4" w:space="0" w:color="auto"/>
              <w:left w:val="single" w:sz="4" w:space="0" w:color="auto"/>
              <w:bottom w:val="dotted" w:sz="4" w:space="0" w:color="auto"/>
              <w:right w:val="single" w:sz="4" w:space="0" w:color="auto"/>
            </w:tcBorders>
            <w:vAlign w:val="center"/>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Gulim" w:hAnsi="Arial" w:cs="Arial"/>
                <w:sz w:val="16"/>
                <w:szCs w:val="16"/>
                <w:bdr w:val="nil"/>
              </w:rPr>
              <w:t xml:space="preserve">2021-22 </w:t>
            </w:r>
            <w:r>
              <w:rPr>
                <w:rFonts w:ascii="Arial" w:eastAsia="Times New Roman" w:hAnsi="Arial" w:cs="Arial"/>
                <w:sz w:val="16"/>
                <w:szCs w:val="16"/>
                <w:bdr w:val="nil"/>
              </w:rPr>
              <w:t>and beyond</w:t>
            </w:r>
          </w:p>
        </w:tc>
        <w:tc>
          <w:tcPr>
            <w:tcW w:w="3402" w:type="dxa"/>
            <w:tcBorders>
              <w:top w:val="dotted" w:sz="4" w:space="0" w:color="auto"/>
              <w:left w:val="single" w:sz="4" w:space="0" w:color="auto"/>
              <w:bottom w:val="dotted" w:sz="4" w:space="0" w:color="auto"/>
              <w:right w:val="single" w:sz="4" w:space="0" w:color="auto"/>
            </w:tcBorders>
            <w:vAlign w:val="center"/>
            <w:hideMark/>
          </w:tcPr>
          <w:p w:rsidR="00102381" w:rsidRDefault="00D5482E">
            <w:pPr>
              <w:keepLines/>
              <w:pBdr>
                <w:top w:val="nil"/>
                <w:left w:val="nil"/>
                <w:bottom w:val="nil"/>
                <w:right w:val="nil"/>
                <w:between w:val="nil"/>
                <w:bar w:val="nil"/>
              </w:pBdr>
              <w:tabs>
                <w:tab w:val="left" w:pos="709"/>
              </w:tabs>
              <w:spacing w:before="20" w:after="48" w:line="240" w:lineRule="auto"/>
              <w:rPr>
                <w:rFonts w:ascii="Arial" w:hAnsi="Arial" w:cs="Arial"/>
                <w:sz w:val="16"/>
                <w:szCs w:val="16"/>
                <w:bdr w:val="nil"/>
              </w:rPr>
            </w:pPr>
            <w:r>
              <w:rPr>
                <w:rFonts w:ascii="Arial" w:eastAsia="Times New Roman" w:hAnsi="Arial" w:cs="Arial"/>
                <w:color w:val="000000"/>
                <w:sz w:val="16"/>
                <w:szCs w:val="16"/>
                <w:bdr w:val="nil"/>
              </w:rPr>
              <w:t>Not applicable.</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48" w:line="240" w:lineRule="auto"/>
              <w:rPr>
                <w:rFonts w:ascii="Arial" w:hAnsi="Arial" w:cs="Arial"/>
                <w:sz w:val="16"/>
                <w:szCs w:val="16"/>
                <w:bdr w:val="nil"/>
              </w:rPr>
            </w:pPr>
            <w:r>
              <w:rPr>
                <w:rFonts w:ascii="Arial" w:eastAsia="Times New Roman" w:hAnsi="Arial" w:cs="Arial"/>
                <w:color w:val="000000"/>
                <w:sz w:val="16"/>
                <w:szCs w:val="16"/>
                <w:bdr w:val="nil"/>
              </w:rPr>
              <w:t>Not applicable.</w:t>
            </w:r>
          </w:p>
        </w:tc>
      </w:tr>
      <w:tr w:rsidR="00010972" w:rsidTr="00241B17">
        <w:tc>
          <w:tcPr>
            <w:tcW w:w="1956" w:type="dxa"/>
            <w:tcBorders>
              <w:top w:val="sing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highlight w:val="yellow"/>
                <w:bdr w:val="nil"/>
              </w:rPr>
            </w:pPr>
            <w:r>
              <w:rPr>
                <w:rFonts w:ascii="Arial" w:eastAsia="Times New Roman" w:hAnsi="Arial" w:cs="Arial"/>
                <w:b/>
                <w:sz w:val="16"/>
                <w:szCs w:val="16"/>
                <w:bdr w:val="nil"/>
              </w:rPr>
              <w:t xml:space="preserve">Purpose </w:t>
            </w:r>
            <w:r>
              <w:rPr>
                <w:rFonts w:ascii="Arial" w:eastAsia="Times New Roman" w:hAnsi="Arial" w:cs="Arial"/>
                <w:sz w:val="16"/>
                <w:szCs w:val="16"/>
                <w:bdr w:val="nil"/>
              </w:rPr>
              <w:t>(a)</w:t>
            </w:r>
          </w:p>
        </w:tc>
        <w:tc>
          <w:tcPr>
            <w:tcW w:w="5812" w:type="dxa"/>
            <w:gridSpan w:val="2"/>
            <w:tcBorders>
              <w:top w:val="sing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sz w:val="16"/>
                <w:szCs w:val="16"/>
                <w:highlight w:val="yellow"/>
                <w:bdr w:val="nil"/>
              </w:rPr>
            </w:pPr>
            <w:r>
              <w:rPr>
                <w:rFonts w:ascii="Arial" w:eastAsia="Times New Roman" w:hAnsi="Arial" w:cs="Arial"/>
                <w:sz w:val="16"/>
                <w:szCs w:val="16"/>
                <w:bdr w:val="nil"/>
              </w:rPr>
              <w:t>To support Australians by efficiently delivering high quality, accessible services and payments on behalf of government.</w:t>
            </w:r>
          </w:p>
        </w:tc>
      </w:tr>
      <w:tr w:rsidR="00010972" w:rsidTr="00241B17">
        <w:tc>
          <w:tcPr>
            <w:tcW w:w="7768" w:type="dxa"/>
            <w:gridSpan w:val="3"/>
            <w:tcBorders>
              <w:top w:val="sing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highlight w:val="yellow"/>
                <w:bdr w:val="nil"/>
              </w:rPr>
            </w:pPr>
            <w:r>
              <w:rPr>
                <w:rStyle w:val="BodyTextChar"/>
                <w:rFonts w:ascii="Arial" w:eastAsiaTheme="minorHAnsi" w:hAnsi="Arial" w:cs="Arial"/>
                <w:b/>
                <w:bCs/>
                <w:iCs/>
                <w:spacing w:val="-6"/>
                <w:sz w:val="16"/>
                <w:szCs w:val="16"/>
                <w:bdr w:val="nil"/>
              </w:rPr>
              <w:t>Material changes to Program 1.1: Nil.</w:t>
            </w:r>
          </w:p>
        </w:tc>
      </w:tr>
    </w:tbl>
    <w:p w:rsidR="00102381" w:rsidRDefault="00D5482E" w:rsidP="002C32C5">
      <w:pPr>
        <w:pStyle w:val="TableGraphic"/>
        <w:keepLines/>
        <w:numPr>
          <w:ilvl w:val="0"/>
          <w:numId w:val="52"/>
        </w:numPr>
        <w:pBdr>
          <w:top w:val="nil"/>
          <w:left w:val="nil"/>
          <w:bottom w:val="nil"/>
          <w:right w:val="nil"/>
          <w:between w:val="nil"/>
          <w:bar w:val="nil"/>
        </w:pBdr>
        <w:spacing w:after="240"/>
        <w:ind w:left="426" w:hanging="284"/>
        <w:rPr>
          <w:rFonts w:ascii="Arial" w:hAnsi="Arial" w:cs="Arial"/>
          <w:i w:val="0"/>
          <w:color w:val="auto"/>
          <w:sz w:val="16"/>
          <w:bdr w:val="nil"/>
        </w:rPr>
      </w:pPr>
      <w:r>
        <w:rPr>
          <w:rFonts w:ascii="Arial" w:hAnsi="Arial" w:cs="Arial"/>
          <w:i w:val="0"/>
          <w:color w:val="auto"/>
          <w:sz w:val="16"/>
          <w:bdr w:val="nil"/>
        </w:rPr>
        <w:t>Refers to updated purpose reflected in the 2020-21 Corporate Plan.</w:t>
      </w:r>
    </w:p>
    <w:p w:rsidR="00357ACC" w:rsidRDefault="00D5482E">
      <w:pPr>
        <w:pBdr>
          <w:top w:val="nil"/>
          <w:left w:val="nil"/>
          <w:bottom w:val="nil"/>
          <w:right w:val="nil"/>
          <w:between w:val="nil"/>
          <w:bar w:val="nil"/>
        </w:pBdr>
        <w:rPr>
          <w:bdr w:val="nil"/>
        </w:rPr>
      </w:pPr>
      <w:r>
        <w:rPr>
          <w:rFonts w:ascii="Book Antiqua" w:eastAsia="Times New Roman" w:hAnsi="Book Antiqua" w:cs="Times New Roman"/>
          <w:sz w:val="20"/>
          <w:szCs w:val="20"/>
          <w:bdr w:val="nil"/>
          <w:lang w:val="en-AU" w:eastAsia="en-AU"/>
        </w:rPr>
        <w:br w:type="page"/>
      </w:r>
    </w:p>
    <w:p w:rsidR="00102381" w:rsidRDefault="00D5482E" w:rsidP="00B13B93">
      <w:pPr>
        <w:pStyle w:val="TableHeading"/>
        <w:keepLines/>
        <w:pBdr>
          <w:top w:val="nil"/>
          <w:left w:val="nil"/>
          <w:bottom w:val="nil"/>
          <w:right w:val="nil"/>
          <w:between w:val="nil"/>
          <w:bar w:val="nil"/>
        </w:pBdr>
        <w:spacing w:before="0" w:after="0"/>
        <w:rPr>
          <w:bdr w:val="nil"/>
        </w:rPr>
      </w:pPr>
      <w:r>
        <w:rPr>
          <w:rFonts w:cs="Arial"/>
          <w:bdr w:val="nil"/>
        </w:rPr>
        <w:lastRenderedPageBreak/>
        <w:t>Table 2.</w:t>
      </w:r>
      <w:r>
        <w:rPr>
          <w:bdr w:val="nil"/>
        </w:rPr>
        <w:t>1.2: Performance criteria for Outcome 1 (continued)</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956"/>
        <w:gridCol w:w="3402"/>
        <w:gridCol w:w="2410"/>
      </w:tblGrid>
      <w:tr w:rsidR="00010972" w:rsidTr="00241B17">
        <w:tc>
          <w:tcPr>
            <w:tcW w:w="7768" w:type="dxa"/>
            <w:gridSpan w:val="3"/>
            <w:tcBorders>
              <w:top w:val="single" w:sz="4" w:space="0" w:color="auto"/>
              <w:left w:val="single" w:sz="4" w:space="0" w:color="auto"/>
              <w:bottom w:val="single" w:sz="4" w:space="0" w:color="auto"/>
              <w:right w:val="single" w:sz="4" w:space="0" w:color="auto"/>
            </w:tcBorders>
            <w:shd w:val="clear" w:color="auto" w:fill="F2F2F2"/>
            <w:hideMark/>
          </w:tcPr>
          <w:p w:rsidR="00102381" w:rsidRDefault="00D5482E" w:rsidP="00B13B93">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Times New Roman" w:hAnsi="Arial" w:cs="Arial"/>
                <w:b/>
                <w:sz w:val="16"/>
                <w:szCs w:val="16"/>
                <w:bdr w:val="nil"/>
              </w:rPr>
              <w:t xml:space="preserve">Program 1.2 – Services to the Community – Health </w:t>
            </w:r>
            <w:r>
              <w:rPr>
                <w:rFonts w:ascii="Arial" w:eastAsia="Times New Roman" w:hAnsi="Arial" w:cs="Arial"/>
                <w:sz w:val="16"/>
                <w:szCs w:val="16"/>
                <w:bdr w:val="nil"/>
              </w:rPr>
              <w:t>–</w:t>
            </w:r>
            <w:r>
              <w:rPr>
                <w:rFonts w:ascii="Arial" w:eastAsia="Times New Roman" w:hAnsi="Arial" w:cs="Arial"/>
                <w:b/>
                <w:sz w:val="16"/>
                <w:szCs w:val="16"/>
                <w:bdr w:val="nil"/>
              </w:rPr>
              <w:t xml:space="preserve"> </w:t>
            </w:r>
            <w:r>
              <w:rPr>
                <w:rFonts w:ascii="Arial" w:eastAsia="Times New Roman" w:hAnsi="Arial" w:cs="Arial"/>
                <w:sz w:val="16"/>
                <w:szCs w:val="16"/>
                <w:bdr w:val="nil"/>
              </w:rPr>
              <w:t>Services Australia supports individuals, families and communities to achieve greater self-sufficiency by providing access to health payments and services on behalf of the Australian Government.</w:t>
            </w:r>
          </w:p>
        </w:tc>
      </w:tr>
      <w:tr w:rsidR="00010972" w:rsidTr="00241B17">
        <w:tc>
          <w:tcPr>
            <w:tcW w:w="1956" w:type="dxa"/>
            <w:tcBorders>
              <w:top w:val="single" w:sz="4" w:space="0" w:color="auto"/>
              <w:left w:val="single" w:sz="4" w:space="0" w:color="auto"/>
              <w:bottom w:val="doub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Delivery</w:t>
            </w:r>
          </w:p>
        </w:tc>
        <w:tc>
          <w:tcPr>
            <w:tcW w:w="5812" w:type="dxa"/>
            <w:gridSpan w:val="2"/>
            <w:tcBorders>
              <w:top w:val="single" w:sz="4" w:space="0" w:color="auto"/>
              <w:left w:val="single" w:sz="4" w:space="0" w:color="auto"/>
              <w:bottom w:val="doub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Times New Roman" w:hAnsi="Arial" w:cs="Arial"/>
                <w:sz w:val="16"/>
                <w:szCs w:val="16"/>
                <w:bdr w:val="nil"/>
              </w:rPr>
              <w:t xml:space="preserve">Services Australia provides health payments and services to the community and systems that support the delivery of services by providers and business through service </w:t>
            </w:r>
            <w:proofErr w:type="spellStart"/>
            <w:r>
              <w:rPr>
                <w:rFonts w:ascii="Arial" w:eastAsia="Times New Roman" w:hAnsi="Arial" w:cs="Arial"/>
                <w:sz w:val="16"/>
                <w:szCs w:val="16"/>
                <w:bdr w:val="nil"/>
              </w:rPr>
              <w:t>centres</w:t>
            </w:r>
            <w:proofErr w:type="spellEnd"/>
            <w:r>
              <w:rPr>
                <w:rFonts w:ascii="Arial" w:eastAsia="Times New Roman" w:hAnsi="Arial" w:cs="Arial"/>
                <w:sz w:val="16"/>
                <w:szCs w:val="16"/>
                <w:bdr w:val="nil"/>
              </w:rPr>
              <w:t xml:space="preserve"> located across Australia, online services and smart </w:t>
            </w:r>
            <w:proofErr w:type="spellStart"/>
            <w:r>
              <w:rPr>
                <w:rFonts w:ascii="Arial" w:eastAsia="Times New Roman" w:hAnsi="Arial" w:cs="Arial"/>
                <w:sz w:val="16"/>
                <w:szCs w:val="16"/>
                <w:bdr w:val="nil"/>
              </w:rPr>
              <w:t>centres</w:t>
            </w:r>
            <w:proofErr w:type="spellEnd"/>
            <w:r>
              <w:rPr>
                <w:rFonts w:ascii="Arial" w:eastAsia="Times New Roman" w:hAnsi="Arial" w:cs="Arial"/>
                <w:sz w:val="16"/>
                <w:szCs w:val="16"/>
                <w:bdr w:val="nil"/>
              </w:rPr>
              <w:t>.</w:t>
            </w:r>
          </w:p>
        </w:tc>
      </w:tr>
      <w:tr w:rsidR="00010972" w:rsidTr="00241B17">
        <w:tc>
          <w:tcPr>
            <w:tcW w:w="7768" w:type="dxa"/>
            <w:gridSpan w:val="3"/>
            <w:tcBorders>
              <w:top w:val="double" w:sz="4" w:space="0" w:color="auto"/>
              <w:left w:val="single" w:sz="4" w:space="0" w:color="auto"/>
              <w:bottom w:val="doub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Performance information</w:t>
            </w:r>
          </w:p>
        </w:tc>
      </w:tr>
      <w:tr w:rsidR="00010972" w:rsidTr="00241B17">
        <w:tc>
          <w:tcPr>
            <w:tcW w:w="1956" w:type="dxa"/>
            <w:tcBorders>
              <w:top w:val="double" w:sz="4" w:space="0" w:color="auto"/>
              <w:left w:val="single" w:sz="4" w:space="0" w:color="auto"/>
              <w:bottom w:val="single" w:sz="4" w:space="0" w:color="auto"/>
              <w:right w:val="single" w:sz="4" w:space="0" w:color="auto"/>
            </w:tcBorders>
            <w:hideMark/>
          </w:tcPr>
          <w:p w:rsidR="003B28C3" w:rsidRDefault="00D5482E" w:rsidP="003B28C3">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Year</w:t>
            </w:r>
          </w:p>
        </w:tc>
        <w:tc>
          <w:tcPr>
            <w:tcW w:w="3402" w:type="dxa"/>
            <w:tcBorders>
              <w:top w:val="double" w:sz="4" w:space="0" w:color="auto"/>
              <w:left w:val="single" w:sz="4" w:space="0" w:color="auto"/>
              <w:bottom w:val="single" w:sz="4" w:space="0" w:color="auto"/>
              <w:right w:val="single" w:sz="4" w:space="0" w:color="auto"/>
            </w:tcBorders>
            <w:hideMark/>
          </w:tcPr>
          <w:p w:rsidR="003B28C3" w:rsidRDefault="00D5482E" w:rsidP="003B28C3">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Performance criteria</w:t>
            </w:r>
          </w:p>
        </w:tc>
        <w:tc>
          <w:tcPr>
            <w:tcW w:w="2410" w:type="dxa"/>
            <w:tcBorders>
              <w:top w:val="double" w:sz="4" w:space="0" w:color="auto"/>
              <w:left w:val="single" w:sz="4" w:space="0" w:color="auto"/>
              <w:bottom w:val="single" w:sz="4" w:space="0" w:color="auto"/>
              <w:right w:val="single" w:sz="4" w:space="0" w:color="auto"/>
            </w:tcBorders>
            <w:hideMark/>
          </w:tcPr>
          <w:p w:rsidR="003B28C3" w:rsidRDefault="00D5482E" w:rsidP="003B28C3">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Targets</w:t>
            </w:r>
          </w:p>
        </w:tc>
      </w:tr>
      <w:tr w:rsidR="00010972" w:rsidTr="00241B17">
        <w:tc>
          <w:tcPr>
            <w:tcW w:w="7768" w:type="dxa"/>
            <w:gridSpan w:val="3"/>
            <w:tcBorders>
              <w:top w:val="sing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50" w:after="50" w:line="240" w:lineRule="auto"/>
              <w:rPr>
                <w:rFonts w:ascii="Arial" w:hAnsi="Arial" w:cs="Arial"/>
                <w:b/>
                <w:i/>
                <w:sz w:val="16"/>
                <w:szCs w:val="16"/>
                <w:bdr w:val="nil"/>
              </w:rPr>
            </w:pPr>
            <w:r>
              <w:rPr>
                <w:rFonts w:ascii="Arial" w:eastAsia="Times New Roman" w:hAnsi="Arial" w:cs="Arial"/>
                <w:b/>
                <w:sz w:val="16"/>
                <w:szCs w:val="16"/>
                <w:bdr w:val="nil"/>
              </w:rPr>
              <w:t>Customer satisfaction</w:t>
            </w:r>
          </w:p>
        </w:tc>
      </w:tr>
      <w:tr w:rsidR="00010972" w:rsidTr="00241B17">
        <w:tc>
          <w:tcPr>
            <w:tcW w:w="1956" w:type="dxa"/>
            <w:vMerge w:val="restart"/>
            <w:tcBorders>
              <w:top w:val="single"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Gulim" w:hAnsi="Arial" w:cs="Arial"/>
                <w:sz w:val="16"/>
                <w:szCs w:val="16"/>
                <w:bdr w:val="nil"/>
              </w:rPr>
              <w:t>2020-21</w:t>
            </w:r>
          </w:p>
        </w:tc>
        <w:tc>
          <w:tcPr>
            <w:tcW w:w="3402" w:type="dxa"/>
            <w:tcBorders>
              <w:top w:val="single"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20" w:line="240" w:lineRule="auto"/>
              <w:rPr>
                <w:rFonts w:ascii="Arial" w:hAnsi="Arial" w:cs="Arial"/>
                <w:color w:val="000000"/>
                <w:sz w:val="16"/>
                <w:szCs w:val="16"/>
                <w:bdr w:val="nil"/>
              </w:rPr>
            </w:pPr>
            <w:r>
              <w:rPr>
                <w:rFonts w:ascii="Arial" w:eastAsia="Times New Roman" w:hAnsi="Arial" w:cs="Arial"/>
                <w:color w:val="000000"/>
                <w:sz w:val="16"/>
                <w:szCs w:val="16"/>
                <w:bdr w:val="nil"/>
              </w:rPr>
              <w:t>Satisfaction with Medicare provider service delivery: practitioners, pharmacists and practice managers.</w:t>
            </w:r>
          </w:p>
        </w:tc>
        <w:tc>
          <w:tcPr>
            <w:tcW w:w="2410" w:type="dxa"/>
            <w:tcBorders>
              <w:top w:val="single"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20"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70 per cent</w:t>
            </w:r>
          </w:p>
        </w:tc>
      </w:tr>
      <w:tr w:rsidR="00010972" w:rsidTr="00241B17">
        <w:tc>
          <w:tcPr>
            <w:tcW w:w="1956" w:type="dxa"/>
            <w:vMerge/>
            <w:tcBorders>
              <w:top w:val="dotted" w:sz="4" w:space="0" w:color="auto"/>
              <w:left w:val="single" w:sz="4" w:space="0" w:color="auto"/>
              <w:bottom w:val="dotted" w:sz="4" w:space="0" w:color="auto"/>
              <w:right w:val="single" w:sz="4" w:space="0" w:color="auto"/>
            </w:tcBorders>
            <w:vAlign w:val="center"/>
            <w:hideMark/>
          </w:tcPr>
          <w:p w:rsidR="00102381" w:rsidRDefault="00102381">
            <w:pPr>
              <w:spacing w:after="0"/>
              <w:rPr>
                <w:rFonts w:ascii="Arial" w:hAnsi="Arial" w:cs="Arial"/>
                <w:sz w:val="16"/>
                <w:szCs w:val="16"/>
                <w:bdr w:val="nil"/>
              </w:rPr>
            </w:pPr>
          </w:p>
        </w:tc>
        <w:tc>
          <w:tcPr>
            <w:tcW w:w="3402" w:type="dxa"/>
            <w:tcBorders>
              <w:top w:val="dotted" w:sz="4" w:space="0" w:color="auto"/>
              <w:left w:val="single" w:sz="4" w:space="0" w:color="auto"/>
              <w:bottom w:val="dotted" w:sz="4" w:space="0" w:color="auto"/>
              <w:right w:val="single" w:sz="4" w:space="0" w:color="auto"/>
            </w:tcBorders>
            <w:vAlign w:val="center"/>
            <w:hideMark/>
          </w:tcPr>
          <w:p w:rsidR="00102381" w:rsidRDefault="00D5482E">
            <w:pPr>
              <w:keepLines/>
              <w:pBdr>
                <w:top w:val="nil"/>
                <w:left w:val="nil"/>
                <w:bottom w:val="nil"/>
                <w:right w:val="nil"/>
                <w:between w:val="nil"/>
                <w:bar w:val="nil"/>
              </w:pBdr>
              <w:spacing w:before="20" w:after="20" w:line="240" w:lineRule="auto"/>
              <w:rPr>
                <w:rFonts w:ascii="Arial" w:hAnsi="Arial" w:cs="Arial"/>
                <w:color w:val="000000"/>
                <w:sz w:val="16"/>
                <w:szCs w:val="16"/>
                <w:bdr w:val="nil"/>
              </w:rPr>
            </w:pPr>
            <w:r>
              <w:rPr>
                <w:rFonts w:ascii="Arial" w:eastAsia="Times New Roman" w:hAnsi="Arial" w:cs="Arial"/>
                <w:color w:val="000000"/>
                <w:sz w:val="16"/>
                <w:szCs w:val="20"/>
                <w:bdr w:val="nil"/>
              </w:rPr>
              <w:t>Customer satisfaction: achievement of customer satisfaction standards.</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20"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85 out of 100</w:t>
            </w:r>
          </w:p>
        </w:tc>
      </w:tr>
      <w:tr w:rsidR="00010972" w:rsidTr="00241B17">
        <w:tc>
          <w:tcPr>
            <w:tcW w:w="1956" w:type="dxa"/>
            <w:tcBorders>
              <w:top w:val="dotted" w:sz="4" w:space="0" w:color="auto"/>
              <w:left w:val="single" w:sz="4" w:space="0" w:color="auto"/>
              <w:bottom w:val="single" w:sz="4" w:space="0" w:color="auto"/>
              <w:right w:val="single" w:sz="4" w:space="0" w:color="auto"/>
            </w:tcBorders>
            <w:vAlign w:val="center"/>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Gulim" w:hAnsi="Arial" w:cs="Arial"/>
                <w:sz w:val="16"/>
                <w:szCs w:val="16"/>
                <w:bdr w:val="nil"/>
              </w:rPr>
              <w:t xml:space="preserve">2021-22 </w:t>
            </w:r>
            <w:r>
              <w:rPr>
                <w:rFonts w:ascii="Arial" w:eastAsia="Times New Roman" w:hAnsi="Arial" w:cs="Arial"/>
                <w:sz w:val="16"/>
                <w:szCs w:val="16"/>
                <w:bdr w:val="nil"/>
              </w:rPr>
              <w:t>and beyond</w:t>
            </w:r>
          </w:p>
        </w:tc>
        <w:tc>
          <w:tcPr>
            <w:tcW w:w="3402" w:type="dxa"/>
            <w:tcBorders>
              <w:top w:val="dotted" w:sz="4" w:space="0" w:color="auto"/>
              <w:left w:val="single" w:sz="4" w:space="0" w:color="auto"/>
              <w:bottom w:val="single" w:sz="4" w:space="0" w:color="auto"/>
              <w:right w:val="single" w:sz="4" w:space="0" w:color="auto"/>
            </w:tcBorders>
            <w:vAlign w:val="center"/>
            <w:hideMark/>
          </w:tcPr>
          <w:p w:rsidR="00102381" w:rsidRDefault="00D5482E">
            <w:pPr>
              <w:keepLines/>
              <w:pBdr>
                <w:top w:val="nil"/>
                <w:left w:val="nil"/>
                <w:bottom w:val="nil"/>
                <w:right w:val="nil"/>
                <w:between w:val="nil"/>
                <w:bar w:val="nil"/>
              </w:pBdr>
              <w:spacing w:before="20" w:after="20" w:line="240" w:lineRule="auto"/>
              <w:rPr>
                <w:rFonts w:ascii="Arial" w:hAnsi="Arial" w:cs="Arial"/>
                <w:color w:val="000000"/>
                <w:sz w:val="16"/>
                <w:szCs w:val="16"/>
                <w:bdr w:val="nil"/>
              </w:rPr>
            </w:pPr>
            <w:r>
              <w:rPr>
                <w:rFonts w:ascii="Arial" w:eastAsia="Times New Roman" w:hAnsi="Arial" w:cs="Arial"/>
                <w:color w:val="000000"/>
                <w:sz w:val="16"/>
                <w:szCs w:val="16"/>
                <w:bdr w:val="nil"/>
              </w:rPr>
              <w:t>Not applicable.</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20" w:line="240" w:lineRule="auto"/>
              <w:rPr>
                <w:rFonts w:ascii="Arial" w:hAnsi="Arial" w:cs="Arial"/>
                <w:color w:val="000000"/>
                <w:sz w:val="16"/>
                <w:szCs w:val="16"/>
                <w:bdr w:val="nil"/>
              </w:rPr>
            </w:pPr>
            <w:r>
              <w:rPr>
                <w:rFonts w:ascii="Arial" w:eastAsia="Times New Roman" w:hAnsi="Arial" w:cs="Arial"/>
                <w:color w:val="000000"/>
                <w:sz w:val="16"/>
                <w:szCs w:val="16"/>
                <w:bdr w:val="nil"/>
              </w:rPr>
              <w:t>Not applicable.</w:t>
            </w:r>
          </w:p>
        </w:tc>
      </w:tr>
      <w:tr w:rsidR="00010972" w:rsidTr="00241B17">
        <w:tc>
          <w:tcPr>
            <w:tcW w:w="7768" w:type="dxa"/>
            <w:gridSpan w:val="3"/>
            <w:tcBorders>
              <w:top w:val="sing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50" w:after="50" w:line="240" w:lineRule="auto"/>
              <w:rPr>
                <w:rFonts w:ascii="Arial" w:hAnsi="Arial" w:cs="Arial"/>
                <w:b/>
                <w:sz w:val="16"/>
                <w:szCs w:val="16"/>
                <w:bdr w:val="nil"/>
              </w:rPr>
            </w:pPr>
            <w:r>
              <w:rPr>
                <w:rFonts w:ascii="Arial" w:eastAsia="Times New Roman" w:hAnsi="Arial" w:cs="Arial"/>
                <w:b/>
                <w:sz w:val="16"/>
                <w:szCs w:val="16"/>
                <w:bdr w:val="nil"/>
              </w:rPr>
              <w:t>Correct payments</w:t>
            </w:r>
          </w:p>
        </w:tc>
      </w:tr>
      <w:tr w:rsidR="00010972" w:rsidTr="00241B17">
        <w:tc>
          <w:tcPr>
            <w:tcW w:w="1956"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Gulim" w:hAnsi="Arial" w:cs="Arial"/>
                <w:sz w:val="16"/>
                <w:szCs w:val="16"/>
                <w:bdr w:val="nil"/>
              </w:rPr>
              <w:t>2020-21</w:t>
            </w:r>
          </w:p>
        </w:tc>
        <w:tc>
          <w:tcPr>
            <w:tcW w:w="3402" w:type="dxa"/>
            <w:tcBorders>
              <w:top w:val="dotted" w:sz="4" w:space="0" w:color="auto"/>
              <w:left w:val="single" w:sz="4" w:space="0" w:color="auto"/>
              <w:bottom w:val="dotted" w:sz="4" w:space="0" w:color="auto"/>
              <w:right w:val="single" w:sz="4" w:space="0" w:color="auto"/>
            </w:tcBorders>
            <w:vAlign w:val="center"/>
            <w:hideMark/>
          </w:tcPr>
          <w:p w:rsidR="00102381" w:rsidRDefault="00D5482E">
            <w:pPr>
              <w:keepLines/>
              <w:pBdr>
                <w:top w:val="nil"/>
                <w:left w:val="nil"/>
                <w:bottom w:val="nil"/>
                <w:right w:val="nil"/>
                <w:between w:val="nil"/>
                <w:bar w:val="nil"/>
              </w:pBdr>
              <w:spacing w:before="20" w:after="20"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payment quality standards: Medicare: delivery of accurate medical benefits and services.</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20"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98 per cent</w:t>
            </w:r>
          </w:p>
        </w:tc>
      </w:tr>
      <w:tr w:rsidR="00010972" w:rsidTr="00241B17">
        <w:tc>
          <w:tcPr>
            <w:tcW w:w="1956" w:type="dxa"/>
            <w:tcBorders>
              <w:top w:val="dotted" w:sz="4" w:space="0" w:color="auto"/>
              <w:left w:val="single" w:sz="4" w:space="0" w:color="auto"/>
              <w:bottom w:val="single" w:sz="4" w:space="0" w:color="auto"/>
              <w:right w:val="single" w:sz="4" w:space="0" w:color="auto"/>
            </w:tcBorders>
            <w:vAlign w:val="center"/>
            <w:hideMark/>
          </w:tcPr>
          <w:p w:rsidR="00102381" w:rsidRDefault="00D5482E">
            <w:pPr>
              <w:keepLines/>
              <w:pBdr>
                <w:top w:val="nil"/>
                <w:left w:val="nil"/>
                <w:bottom w:val="nil"/>
                <w:right w:val="nil"/>
                <w:between w:val="nil"/>
                <w:bar w:val="nil"/>
              </w:pBdr>
              <w:tabs>
                <w:tab w:val="left" w:pos="709"/>
              </w:tabs>
              <w:spacing w:before="50" w:after="50" w:line="240" w:lineRule="auto"/>
              <w:rPr>
                <w:rFonts w:ascii="Arial" w:hAnsi="Arial" w:cs="Arial"/>
                <w:sz w:val="16"/>
                <w:szCs w:val="16"/>
                <w:bdr w:val="nil"/>
              </w:rPr>
            </w:pPr>
            <w:r>
              <w:rPr>
                <w:rFonts w:ascii="Arial" w:eastAsia="Gulim" w:hAnsi="Arial" w:cs="Arial"/>
                <w:sz w:val="16"/>
                <w:szCs w:val="16"/>
                <w:bdr w:val="nil"/>
              </w:rPr>
              <w:t xml:space="preserve">2021-22 </w:t>
            </w:r>
            <w:r>
              <w:rPr>
                <w:rFonts w:ascii="Arial" w:eastAsia="Times New Roman" w:hAnsi="Arial" w:cs="Arial"/>
                <w:sz w:val="16"/>
                <w:szCs w:val="16"/>
                <w:bdr w:val="nil"/>
              </w:rPr>
              <w:t>and beyond</w:t>
            </w:r>
          </w:p>
        </w:tc>
        <w:tc>
          <w:tcPr>
            <w:tcW w:w="3402" w:type="dxa"/>
            <w:tcBorders>
              <w:top w:val="dotted" w:sz="4" w:space="0" w:color="auto"/>
              <w:left w:val="single" w:sz="4" w:space="0" w:color="auto"/>
              <w:bottom w:val="single" w:sz="4" w:space="0" w:color="auto"/>
              <w:right w:val="single" w:sz="4" w:space="0" w:color="auto"/>
            </w:tcBorders>
            <w:vAlign w:val="center"/>
            <w:hideMark/>
          </w:tcPr>
          <w:p w:rsidR="00102381" w:rsidRDefault="00D5482E">
            <w:pPr>
              <w:keepLines/>
              <w:pBdr>
                <w:top w:val="nil"/>
                <w:left w:val="nil"/>
                <w:bottom w:val="nil"/>
                <w:right w:val="nil"/>
                <w:between w:val="nil"/>
                <w:bar w:val="nil"/>
              </w:pBdr>
              <w:spacing w:before="20" w:after="20" w:line="240" w:lineRule="auto"/>
              <w:rPr>
                <w:rFonts w:ascii="Arial" w:hAnsi="Arial" w:cs="Arial"/>
                <w:color w:val="000000"/>
                <w:sz w:val="16"/>
                <w:szCs w:val="16"/>
                <w:bdr w:val="nil"/>
              </w:rPr>
            </w:pPr>
            <w:r>
              <w:rPr>
                <w:rFonts w:ascii="Arial" w:eastAsia="Times New Roman" w:hAnsi="Arial" w:cs="Arial"/>
                <w:color w:val="000000"/>
                <w:sz w:val="16"/>
                <w:szCs w:val="16"/>
                <w:bdr w:val="nil"/>
              </w:rPr>
              <w:t>Not applicable.</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20" w:line="240" w:lineRule="auto"/>
              <w:rPr>
                <w:rFonts w:ascii="Arial" w:hAnsi="Arial" w:cs="Arial"/>
                <w:color w:val="000000"/>
                <w:sz w:val="16"/>
                <w:szCs w:val="16"/>
                <w:bdr w:val="nil"/>
              </w:rPr>
            </w:pPr>
            <w:r>
              <w:rPr>
                <w:rFonts w:ascii="Arial" w:eastAsia="Times New Roman" w:hAnsi="Arial" w:cs="Arial"/>
                <w:color w:val="000000"/>
                <w:sz w:val="16"/>
                <w:szCs w:val="16"/>
                <w:bdr w:val="nil"/>
              </w:rPr>
              <w:t>Not applicable.</w:t>
            </w:r>
          </w:p>
        </w:tc>
      </w:tr>
      <w:tr w:rsidR="00010972" w:rsidTr="00241B17">
        <w:tc>
          <w:tcPr>
            <w:tcW w:w="7768" w:type="dxa"/>
            <w:gridSpan w:val="3"/>
            <w:tcBorders>
              <w:top w:val="sing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50" w:after="50" w:line="240" w:lineRule="auto"/>
              <w:rPr>
                <w:rFonts w:ascii="Arial" w:hAnsi="Arial" w:cs="Arial"/>
                <w:b/>
                <w:sz w:val="16"/>
                <w:szCs w:val="16"/>
                <w:bdr w:val="nil"/>
              </w:rPr>
            </w:pPr>
            <w:r>
              <w:rPr>
                <w:rFonts w:ascii="Arial" w:eastAsia="Times New Roman" w:hAnsi="Arial" w:cs="Arial"/>
                <w:b/>
                <w:sz w:val="16"/>
                <w:szCs w:val="16"/>
                <w:bdr w:val="nil"/>
              </w:rPr>
              <w:t>Ease and timeliness of service</w:t>
            </w:r>
          </w:p>
        </w:tc>
      </w:tr>
      <w:tr w:rsidR="00010972" w:rsidTr="00241B17">
        <w:tc>
          <w:tcPr>
            <w:tcW w:w="1956" w:type="dxa"/>
            <w:vMerge w:val="restart"/>
            <w:tcBorders>
              <w:top w:val="single" w:sz="4" w:space="0" w:color="auto"/>
              <w:left w:val="single" w:sz="4" w:space="0" w:color="auto"/>
              <w:right w:val="single" w:sz="4" w:space="0" w:color="auto"/>
            </w:tcBorders>
          </w:tcPr>
          <w:p w:rsidR="00357ACC" w:rsidRDefault="00D5482E" w:rsidP="00357ACC">
            <w:pPr>
              <w:keepLines/>
              <w:pBdr>
                <w:top w:val="nil"/>
                <w:left w:val="nil"/>
                <w:bottom w:val="nil"/>
                <w:right w:val="nil"/>
                <w:between w:val="nil"/>
                <w:bar w:val="nil"/>
              </w:pBdr>
              <w:tabs>
                <w:tab w:val="left" w:pos="709"/>
              </w:tabs>
              <w:spacing w:before="20" w:after="48" w:line="240" w:lineRule="auto"/>
              <w:rPr>
                <w:rFonts w:ascii="Arial" w:hAnsi="Arial" w:cs="Arial"/>
                <w:sz w:val="16"/>
                <w:szCs w:val="16"/>
                <w:bdr w:val="nil"/>
              </w:rPr>
            </w:pPr>
            <w:r>
              <w:rPr>
                <w:rFonts w:ascii="Arial" w:eastAsia="Gulim" w:hAnsi="Arial" w:cs="Arial"/>
                <w:sz w:val="16"/>
                <w:szCs w:val="16"/>
                <w:bdr w:val="nil"/>
              </w:rPr>
              <w:t>2020-21</w:t>
            </w:r>
          </w:p>
        </w:tc>
        <w:tc>
          <w:tcPr>
            <w:tcW w:w="3402" w:type="dxa"/>
            <w:tcBorders>
              <w:top w:val="single" w:sz="4" w:space="0" w:color="auto"/>
              <w:left w:val="single" w:sz="4" w:space="0" w:color="auto"/>
              <w:bottom w:val="single" w:sz="4" w:space="0" w:color="auto"/>
              <w:right w:val="single" w:sz="4" w:space="0" w:color="auto"/>
            </w:tcBorders>
            <w:vAlign w:val="center"/>
          </w:tcPr>
          <w:p w:rsidR="00357ACC" w:rsidRDefault="00D5482E" w:rsidP="00357ACC">
            <w:pPr>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face-to-face service level standards: average wait time.</w:t>
            </w:r>
          </w:p>
        </w:tc>
        <w:tc>
          <w:tcPr>
            <w:tcW w:w="2410" w:type="dxa"/>
            <w:tcBorders>
              <w:top w:val="single" w:sz="4" w:space="0" w:color="auto"/>
              <w:left w:val="single" w:sz="4" w:space="0" w:color="auto"/>
              <w:bottom w:val="single" w:sz="4" w:space="0" w:color="auto"/>
              <w:right w:val="single" w:sz="4" w:space="0" w:color="auto"/>
            </w:tcBorders>
          </w:tcPr>
          <w:p w:rsidR="00357ACC" w:rsidRDefault="00D5482E" w:rsidP="00357ACC">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Less than or equal to 15 minutes</w:t>
            </w:r>
          </w:p>
        </w:tc>
      </w:tr>
      <w:tr w:rsidR="00010972" w:rsidTr="00241B17">
        <w:tc>
          <w:tcPr>
            <w:tcW w:w="1956" w:type="dxa"/>
            <w:vMerge/>
            <w:tcBorders>
              <w:left w:val="single" w:sz="4" w:space="0" w:color="auto"/>
              <w:right w:val="single" w:sz="4" w:space="0" w:color="auto"/>
            </w:tcBorders>
            <w:vAlign w:val="center"/>
          </w:tcPr>
          <w:p w:rsidR="00357ACC" w:rsidRDefault="00357ACC" w:rsidP="00357ACC">
            <w:pPr>
              <w:spacing w:after="0"/>
              <w:rPr>
                <w:rFonts w:ascii="Arial" w:hAnsi="Arial" w:cs="Arial"/>
                <w:sz w:val="16"/>
                <w:szCs w:val="16"/>
                <w:bdr w:val="nil"/>
              </w:rPr>
            </w:pPr>
          </w:p>
        </w:tc>
        <w:tc>
          <w:tcPr>
            <w:tcW w:w="3402" w:type="dxa"/>
            <w:tcBorders>
              <w:top w:val="single" w:sz="4" w:space="0" w:color="auto"/>
              <w:left w:val="single" w:sz="4" w:space="0" w:color="auto"/>
              <w:bottom w:val="single" w:sz="4" w:space="0" w:color="auto"/>
              <w:right w:val="single" w:sz="4" w:space="0" w:color="auto"/>
            </w:tcBorders>
            <w:vAlign w:val="center"/>
          </w:tcPr>
          <w:p w:rsidR="00357ACC" w:rsidRDefault="00D5482E" w:rsidP="00357ACC">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telephony service level standards: average speed of answer – Pharmaceutical Benefits Scheme authorities.</w:t>
            </w:r>
          </w:p>
        </w:tc>
        <w:tc>
          <w:tcPr>
            <w:tcW w:w="2410" w:type="dxa"/>
            <w:tcBorders>
              <w:top w:val="single" w:sz="4" w:space="0" w:color="auto"/>
              <w:left w:val="single" w:sz="4" w:space="0" w:color="auto"/>
              <w:bottom w:val="single" w:sz="4" w:space="0" w:color="auto"/>
              <w:right w:val="single" w:sz="4" w:space="0" w:color="auto"/>
            </w:tcBorders>
          </w:tcPr>
          <w:p w:rsidR="00357ACC" w:rsidRDefault="00D5482E" w:rsidP="00357ACC">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Less than or equal to 30 seconds</w:t>
            </w:r>
          </w:p>
        </w:tc>
      </w:tr>
      <w:tr w:rsidR="00010972" w:rsidTr="00241B17">
        <w:tc>
          <w:tcPr>
            <w:tcW w:w="1956" w:type="dxa"/>
            <w:vMerge/>
            <w:tcBorders>
              <w:left w:val="single" w:sz="4" w:space="0" w:color="auto"/>
              <w:right w:val="single" w:sz="4" w:space="0" w:color="auto"/>
            </w:tcBorders>
            <w:vAlign w:val="center"/>
          </w:tcPr>
          <w:p w:rsidR="00357ACC" w:rsidRDefault="00357ACC" w:rsidP="00357ACC">
            <w:pPr>
              <w:spacing w:after="0"/>
              <w:rPr>
                <w:rFonts w:ascii="Arial" w:hAnsi="Arial" w:cs="Arial"/>
                <w:sz w:val="16"/>
                <w:szCs w:val="16"/>
                <w:bdr w:val="nil"/>
              </w:rPr>
            </w:pPr>
          </w:p>
        </w:tc>
        <w:tc>
          <w:tcPr>
            <w:tcW w:w="3402" w:type="dxa"/>
            <w:tcBorders>
              <w:top w:val="single" w:sz="4" w:space="0" w:color="auto"/>
              <w:left w:val="single" w:sz="4" w:space="0" w:color="auto"/>
              <w:bottom w:val="single" w:sz="4" w:space="0" w:color="auto"/>
              <w:right w:val="single" w:sz="4" w:space="0" w:color="auto"/>
            </w:tcBorders>
            <w:vAlign w:val="center"/>
          </w:tcPr>
          <w:p w:rsidR="00357ACC" w:rsidRDefault="00D5482E" w:rsidP="00357ACC">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telephony service level standards: average speed of answer – providers.</w:t>
            </w:r>
          </w:p>
        </w:tc>
        <w:tc>
          <w:tcPr>
            <w:tcW w:w="2410" w:type="dxa"/>
            <w:tcBorders>
              <w:top w:val="single" w:sz="4" w:space="0" w:color="auto"/>
              <w:left w:val="single" w:sz="4" w:space="0" w:color="auto"/>
              <w:bottom w:val="single" w:sz="4" w:space="0" w:color="auto"/>
              <w:right w:val="single" w:sz="4" w:space="0" w:color="auto"/>
            </w:tcBorders>
          </w:tcPr>
          <w:p w:rsidR="00357ACC" w:rsidRDefault="00D5482E" w:rsidP="00357ACC">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Less than or equal to 2 minutes</w:t>
            </w:r>
          </w:p>
        </w:tc>
      </w:tr>
      <w:tr w:rsidR="00010972" w:rsidTr="00241B17">
        <w:tc>
          <w:tcPr>
            <w:tcW w:w="1956" w:type="dxa"/>
            <w:vMerge/>
            <w:tcBorders>
              <w:left w:val="single" w:sz="4" w:space="0" w:color="auto"/>
              <w:right w:val="single" w:sz="4" w:space="0" w:color="auto"/>
            </w:tcBorders>
            <w:vAlign w:val="center"/>
          </w:tcPr>
          <w:p w:rsidR="00357ACC" w:rsidRDefault="00357ACC" w:rsidP="00357ACC">
            <w:pPr>
              <w:spacing w:after="0"/>
              <w:rPr>
                <w:rFonts w:ascii="Arial" w:hAnsi="Arial" w:cs="Arial"/>
                <w:sz w:val="16"/>
                <w:szCs w:val="16"/>
                <w:bdr w:val="nil"/>
              </w:rPr>
            </w:pPr>
          </w:p>
        </w:tc>
        <w:tc>
          <w:tcPr>
            <w:tcW w:w="3402" w:type="dxa"/>
            <w:tcBorders>
              <w:top w:val="single" w:sz="4" w:space="0" w:color="auto"/>
              <w:left w:val="single" w:sz="4" w:space="0" w:color="auto"/>
              <w:bottom w:val="single" w:sz="4" w:space="0" w:color="auto"/>
              <w:right w:val="single" w:sz="4" w:space="0" w:color="auto"/>
            </w:tcBorders>
            <w:vAlign w:val="center"/>
          </w:tcPr>
          <w:p w:rsidR="00357ACC" w:rsidRDefault="00D5482E" w:rsidP="00357ACC">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telephony service level standards: average speed of answer – customers.</w:t>
            </w:r>
          </w:p>
        </w:tc>
        <w:tc>
          <w:tcPr>
            <w:tcW w:w="2410" w:type="dxa"/>
            <w:tcBorders>
              <w:top w:val="single" w:sz="4" w:space="0" w:color="auto"/>
              <w:left w:val="single" w:sz="4" w:space="0" w:color="auto"/>
              <w:bottom w:val="single" w:sz="4" w:space="0" w:color="auto"/>
              <w:right w:val="single" w:sz="4" w:space="0" w:color="auto"/>
            </w:tcBorders>
          </w:tcPr>
          <w:p w:rsidR="00357ACC" w:rsidRDefault="00D5482E" w:rsidP="00357ACC">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Less than or equal to 7 minutes</w:t>
            </w:r>
          </w:p>
        </w:tc>
      </w:tr>
      <w:tr w:rsidR="00010972" w:rsidTr="00241B17">
        <w:tc>
          <w:tcPr>
            <w:tcW w:w="1956" w:type="dxa"/>
            <w:vMerge/>
            <w:tcBorders>
              <w:left w:val="single" w:sz="4" w:space="0" w:color="auto"/>
              <w:bottom w:val="dotted" w:sz="4" w:space="0" w:color="auto"/>
              <w:right w:val="single" w:sz="4" w:space="0" w:color="auto"/>
            </w:tcBorders>
            <w:vAlign w:val="center"/>
          </w:tcPr>
          <w:p w:rsidR="00357ACC" w:rsidRDefault="00357ACC" w:rsidP="00357ACC">
            <w:pPr>
              <w:spacing w:after="0"/>
              <w:rPr>
                <w:rFonts w:ascii="Arial" w:hAnsi="Arial" w:cs="Arial"/>
                <w:sz w:val="16"/>
                <w:szCs w:val="16"/>
                <w:bdr w:val="nil"/>
              </w:rPr>
            </w:pPr>
          </w:p>
        </w:tc>
        <w:tc>
          <w:tcPr>
            <w:tcW w:w="3402" w:type="dxa"/>
            <w:tcBorders>
              <w:top w:val="single" w:sz="4" w:space="0" w:color="auto"/>
              <w:left w:val="single" w:sz="4" w:space="0" w:color="auto"/>
              <w:bottom w:val="dotted" w:sz="4" w:space="0" w:color="auto"/>
              <w:right w:val="single" w:sz="4" w:space="0" w:color="auto"/>
            </w:tcBorders>
            <w:vAlign w:val="center"/>
          </w:tcPr>
          <w:p w:rsidR="00357ACC" w:rsidRDefault="00D5482E" w:rsidP="00357ACC">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processing service level standards: claims processed within standard.</w:t>
            </w:r>
          </w:p>
        </w:tc>
        <w:tc>
          <w:tcPr>
            <w:tcW w:w="2410" w:type="dxa"/>
            <w:tcBorders>
              <w:top w:val="single" w:sz="4" w:space="0" w:color="auto"/>
              <w:left w:val="single" w:sz="4" w:space="0" w:color="auto"/>
              <w:bottom w:val="dotted" w:sz="4" w:space="0" w:color="auto"/>
              <w:right w:val="single" w:sz="4" w:space="0" w:color="auto"/>
            </w:tcBorders>
          </w:tcPr>
          <w:p w:rsidR="00357ACC" w:rsidRDefault="00D5482E" w:rsidP="00357ACC">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82 per cent</w:t>
            </w:r>
          </w:p>
        </w:tc>
      </w:tr>
      <w:tr w:rsidR="00010972" w:rsidTr="00241B17">
        <w:tc>
          <w:tcPr>
            <w:tcW w:w="1956" w:type="dxa"/>
            <w:tcBorders>
              <w:top w:val="dotted" w:sz="4" w:space="0" w:color="auto"/>
              <w:left w:val="single" w:sz="4" w:space="0" w:color="auto"/>
              <w:bottom w:val="single" w:sz="4" w:space="0" w:color="auto"/>
              <w:right w:val="single" w:sz="4" w:space="0" w:color="auto"/>
            </w:tcBorders>
            <w:vAlign w:val="center"/>
          </w:tcPr>
          <w:p w:rsidR="00357ACC" w:rsidRDefault="00D5482E" w:rsidP="00357ACC">
            <w:pPr>
              <w:keepLines/>
              <w:pBdr>
                <w:top w:val="nil"/>
                <w:left w:val="nil"/>
                <w:bottom w:val="nil"/>
                <w:right w:val="nil"/>
                <w:between w:val="nil"/>
                <w:bar w:val="nil"/>
              </w:pBdr>
              <w:tabs>
                <w:tab w:val="left" w:pos="709"/>
              </w:tabs>
              <w:spacing w:before="20" w:after="48" w:line="240" w:lineRule="auto"/>
              <w:rPr>
                <w:rFonts w:ascii="Arial" w:hAnsi="Arial" w:cs="Arial"/>
                <w:sz w:val="16"/>
                <w:szCs w:val="16"/>
                <w:bdr w:val="nil"/>
              </w:rPr>
            </w:pPr>
            <w:r>
              <w:rPr>
                <w:rFonts w:ascii="Arial" w:eastAsia="Gulim" w:hAnsi="Arial" w:cs="Arial"/>
                <w:sz w:val="16"/>
                <w:szCs w:val="16"/>
                <w:bdr w:val="nil"/>
              </w:rPr>
              <w:t xml:space="preserve">2021-22 </w:t>
            </w:r>
            <w:r>
              <w:rPr>
                <w:rFonts w:ascii="Arial" w:eastAsia="Times New Roman" w:hAnsi="Arial" w:cs="Arial"/>
                <w:sz w:val="16"/>
                <w:szCs w:val="16"/>
                <w:bdr w:val="nil"/>
              </w:rPr>
              <w:t>and beyond</w:t>
            </w:r>
          </w:p>
        </w:tc>
        <w:tc>
          <w:tcPr>
            <w:tcW w:w="3402" w:type="dxa"/>
            <w:tcBorders>
              <w:top w:val="dotted" w:sz="4" w:space="0" w:color="auto"/>
              <w:left w:val="single" w:sz="4" w:space="0" w:color="auto"/>
              <w:bottom w:val="single" w:sz="4" w:space="0" w:color="auto"/>
              <w:right w:val="single" w:sz="4" w:space="0" w:color="auto"/>
            </w:tcBorders>
            <w:vAlign w:val="center"/>
          </w:tcPr>
          <w:p w:rsidR="00357ACC" w:rsidRDefault="00D5482E" w:rsidP="00357ACC">
            <w:pPr>
              <w:keepLines/>
              <w:pBdr>
                <w:top w:val="nil"/>
                <w:left w:val="nil"/>
                <w:bottom w:val="nil"/>
                <w:right w:val="nil"/>
                <w:between w:val="nil"/>
                <w:bar w:val="nil"/>
              </w:pBdr>
              <w:tabs>
                <w:tab w:val="left" w:pos="709"/>
              </w:tabs>
              <w:spacing w:before="20" w:after="48" w:line="240" w:lineRule="auto"/>
              <w:rPr>
                <w:rFonts w:ascii="Arial" w:hAnsi="Arial" w:cs="Arial"/>
                <w:sz w:val="16"/>
                <w:szCs w:val="16"/>
                <w:bdr w:val="nil"/>
              </w:rPr>
            </w:pPr>
            <w:r>
              <w:rPr>
                <w:rFonts w:ascii="Arial" w:eastAsia="Times New Roman" w:hAnsi="Arial" w:cs="Arial"/>
                <w:color w:val="000000"/>
                <w:sz w:val="16"/>
                <w:szCs w:val="16"/>
                <w:bdr w:val="nil"/>
              </w:rPr>
              <w:t>Not applicable.</w:t>
            </w:r>
          </w:p>
        </w:tc>
        <w:tc>
          <w:tcPr>
            <w:tcW w:w="2410" w:type="dxa"/>
            <w:tcBorders>
              <w:top w:val="dotted" w:sz="4" w:space="0" w:color="auto"/>
              <w:left w:val="single" w:sz="4" w:space="0" w:color="auto"/>
              <w:bottom w:val="single" w:sz="4" w:space="0" w:color="auto"/>
              <w:right w:val="single" w:sz="4" w:space="0" w:color="auto"/>
            </w:tcBorders>
          </w:tcPr>
          <w:p w:rsidR="00357ACC" w:rsidRDefault="00D5482E" w:rsidP="00357ACC">
            <w:pPr>
              <w:keepLines/>
              <w:pBdr>
                <w:top w:val="nil"/>
                <w:left w:val="nil"/>
                <w:bottom w:val="nil"/>
                <w:right w:val="nil"/>
                <w:between w:val="nil"/>
                <w:bar w:val="nil"/>
              </w:pBdr>
              <w:tabs>
                <w:tab w:val="left" w:pos="709"/>
              </w:tabs>
              <w:spacing w:before="20" w:after="48" w:line="240" w:lineRule="auto"/>
              <w:rPr>
                <w:rFonts w:ascii="Arial" w:hAnsi="Arial" w:cs="Arial"/>
                <w:sz w:val="16"/>
                <w:szCs w:val="16"/>
                <w:bdr w:val="nil"/>
              </w:rPr>
            </w:pPr>
            <w:r>
              <w:rPr>
                <w:rFonts w:ascii="Arial" w:eastAsia="Times New Roman" w:hAnsi="Arial" w:cs="Arial"/>
                <w:color w:val="000000"/>
                <w:sz w:val="16"/>
                <w:szCs w:val="16"/>
                <w:bdr w:val="nil"/>
              </w:rPr>
              <w:t>Not applicable.</w:t>
            </w:r>
          </w:p>
        </w:tc>
      </w:tr>
    </w:tbl>
    <w:p w:rsidR="00102381" w:rsidRDefault="00D5482E" w:rsidP="00102381">
      <w:pPr>
        <w:pStyle w:val="TableGraphic"/>
        <w:keepLines/>
        <w:pBdr>
          <w:top w:val="nil"/>
          <w:left w:val="nil"/>
          <w:bottom w:val="nil"/>
          <w:right w:val="nil"/>
          <w:between w:val="nil"/>
          <w:bar w:val="nil"/>
        </w:pBdr>
        <w:spacing w:after="240"/>
        <w:rPr>
          <w:bdr w:val="nil"/>
        </w:rPr>
      </w:pPr>
      <w:r>
        <w:rPr>
          <w:bdr w:val="nil"/>
        </w:rPr>
        <w:t xml:space="preserve"> </w:t>
      </w:r>
      <w:r>
        <w:rPr>
          <w:bdr w:val="nil"/>
        </w:rPr>
        <w:br w:type="page"/>
      </w:r>
    </w:p>
    <w:p w:rsidR="00102381" w:rsidRDefault="00D5482E" w:rsidP="00B13B93">
      <w:pPr>
        <w:pStyle w:val="TableHeading"/>
        <w:keepLines/>
        <w:pBdr>
          <w:top w:val="nil"/>
          <w:left w:val="nil"/>
          <w:bottom w:val="nil"/>
          <w:right w:val="nil"/>
          <w:between w:val="nil"/>
          <w:bar w:val="nil"/>
        </w:pBdr>
        <w:spacing w:before="0" w:after="0"/>
        <w:rPr>
          <w:bdr w:val="nil"/>
        </w:rPr>
      </w:pPr>
      <w:r>
        <w:rPr>
          <w:rFonts w:cs="Arial"/>
          <w:bdr w:val="nil"/>
        </w:rPr>
        <w:lastRenderedPageBreak/>
        <w:t>Table 2.</w:t>
      </w:r>
      <w:r>
        <w:rPr>
          <w:bdr w:val="nil"/>
        </w:rPr>
        <w:t>1.2: Performance criteria for Outcome 1 (continued)</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956"/>
        <w:gridCol w:w="3402"/>
        <w:gridCol w:w="2410"/>
      </w:tblGrid>
      <w:tr w:rsidR="00010972" w:rsidTr="00241B17">
        <w:tc>
          <w:tcPr>
            <w:tcW w:w="7768" w:type="dxa"/>
            <w:gridSpan w:val="3"/>
            <w:tcBorders>
              <w:top w:val="single" w:sz="4" w:space="0" w:color="auto"/>
              <w:left w:val="single" w:sz="4" w:space="0" w:color="auto"/>
              <w:bottom w:val="single" w:sz="4" w:space="0" w:color="auto"/>
              <w:right w:val="single" w:sz="4" w:space="0" w:color="auto"/>
            </w:tcBorders>
            <w:shd w:val="clear" w:color="auto" w:fill="F2F2F2"/>
            <w:hideMark/>
          </w:tcPr>
          <w:p w:rsidR="00102381" w:rsidRDefault="00D5482E" w:rsidP="00B13B93">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Times New Roman" w:hAnsi="Arial" w:cs="Arial"/>
                <w:b/>
                <w:sz w:val="16"/>
                <w:szCs w:val="16"/>
                <w:bdr w:val="nil"/>
              </w:rPr>
              <w:t xml:space="preserve">Program 1.2 – Services to the Community – Health </w:t>
            </w:r>
            <w:r>
              <w:rPr>
                <w:rFonts w:ascii="Arial" w:eastAsia="Times New Roman" w:hAnsi="Arial" w:cs="Arial"/>
                <w:sz w:val="16"/>
                <w:szCs w:val="16"/>
                <w:bdr w:val="nil"/>
              </w:rPr>
              <w:t>–</w:t>
            </w:r>
            <w:r>
              <w:rPr>
                <w:rFonts w:ascii="Arial" w:eastAsia="Times New Roman" w:hAnsi="Arial" w:cs="Arial"/>
                <w:b/>
                <w:sz w:val="16"/>
                <w:szCs w:val="16"/>
                <w:bdr w:val="nil"/>
              </w:rPr>
              <w:t xml:space="preserve"> </w:t>
            </w:r>
            <w:r>
              <w:rPr>
                <w:rFonts w:ascii="Arial" w:eastAsia="Times New Roman" w:hAnsi="Arial" w:cs="Arial"/>
                <w:sz w:val="16"/>
                <w:szCs w:val="16"/>
                <w:bdr w:val="nil"/>
              </w:rPr>
              <w:t>Services Australia supports individuals, families and communities to achieve greater self-sufficiency by providing access to health payments and services on behalf of the Australian Government.</w:t>
            </w:r>
          </w:p>
        </w:tc>
      </w:tr>
      <w:tr w:rsidR="00010972" w:rsidTr="00241B17">
        <w:tc>
          <w:tcPr>
            <w:tcW w:w="7768" w:type="dxa"/>
            <w:gridSpan w:val="3"/>
            <w:tcBorders>
              <w:top w:val="double" w:sz="4" w:space="0" w:color="auto"/>
              <w:left w:val="single" w:sz="4" w:space="0" w:color="auto"/>
              <w:bottom w:val="doub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Performance information</w:t>
            </w:r>
          </w:p>
        </w:tc>
      </w:tr>
      <w:tr w:rsidR="00010972" w:rsidTr="00241B17">
        <w:tc>
          <w:tcPr>
            <w:tcW w:w="1956" w:type="dxa"/>
            <w:tcBorders>
              <w:top w:val="double" w:sz="4" w:space="0" w:color="auto"/>
              <w:left w:val="single" w:sz="4" w:space="0" w:color="auto"/>
              <w:bottom w:val="single" w:sz="4" w:space="0" w:color="auto"/>
              <w:right w:val="single" w:sz="4" w:space="0" w:color="auto"/>
            </w:tcBorders>
            <w:hideMark/>
          </w:tcPr>
          <w:p w:rsidR="003B28C3" w:rsidRDefault="00D5482E" w:rsidP="003B28C3">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Year</w:t>
            </w:r>
          </w:p>
        </w:tc>
        <w:tc>
          <w:tcPr>
            <w:tcW w:w="3402" w:type="dxa"/>
            <w:tcBorders>
              <w:top w:val="double" w:sz="4" w:space="0" w:color="auto"/>
              <w:left w:val="single" w:sz="4" w:space="0" w:color="auto"/>
              <w:bottom w:val="single" w:sz="4" w:space="0" w:color="auto"/>
              <w:right w:val="single" w:sz="4" w:space="0" w:color="auto"/>
            </w:tcBorders>
            <w:hideMark/>
          </w:tcPr>
          <w:p w:rsidR="003B28C3" w:rsidRDefault="00D5482E" w:rsidP="003B28C3">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Performance criteria</w:t>
            </w:r>
          </w:p>
        </w:tc>
        <w:tc>
          <w:tcPr>
            <w:tcW w:w="2410" w:type="dxa"/>
            <w:tcBorders>
              <w:top w:val="double" w:sz="4" w:space="0" w:color="auto"/>
              <w:left w:val="single" w:sz="4" w:space="0" w:color="auto"/>
              <w:bottom w:val="single" w:sz="4" w:space="0" w:color="auto"/>
              <w:right w:val="single" w:sz="4" w:space="0" w:color="auto"/>
            </w:tcBorders>
            <w:hideMark/>
          </w:tcPr>
          <w:p w:rsidR="003B28C3" w:rsidRDefault="00D5482E" w:rsidP="003B28C3">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Targets</w:t>
            </w:r>
          </w:p>
        </w:tc>
      </w:tr>
      <w:tr w:rsidR="00010972" w:rsidTr="00241B17">
        <w:tc>
          <w:tcPr>
            <w:tcW w:w="7768" w:type="dxa"/>
            <w:gridSpan w:val="3"/>
            <w:tcBorders>
              <w:top w:val="sing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50" w:after="50" w:line="240" w:lineRule="auto"/>
              <w:rPr>
                <w:rFonts w:ascii="Arial" w:hAnsi="Arial" w:cs="Arial"/>
                <w:b/>
                <w:sz w:val="16"/>
                <w:szCs w:val="16"/>
                <w:bdr w:val="nil"/>
              </w:rPr>
            </w:pPr>
            <w:r>
              <w:rPr>
                <w:rFonts w:ascii="Arial" w:eastAsia="Times New Roman" w:hAnsi="Arial" w:cs="Arial"/>
                <w:b/>
                <w:sz w:val="16"/>
                <w:szCs w:val="16"/>
                <w:bdr w:val="nil"/>
              </w:rPr>
              <w:t>Customers interacting digitally</w:t>
            </w:r>
          </w:p>
        </w:tc>
      </w:tr>
      <w:tr w:rsidR="00010972" w:rsidTr="00241B17">
        <w:tc>
          <w:tcPr>
            <w:tcW w:w="1956" w:type="dxa"/>
            <w:vMerge w:val="restart"/>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48" w:line="240" w:lineRule="auto"/>
              <w:rPr>
                <w:rFonts w:ascii="Arial" w:eastAsia="Gulim" w:hAnsi="Arial" w:cs="Arial"/>
                <w:sz w:val="16"/>
                <w:szCs w:val="16"/>
                <w:bdr w:val="nil"/>
              </w:rPr>
            </w:pPr>
            <w:r>
              <w:rPr>
                <w:rFonts w:ascii="Arial" w:eastAsia="Gulim" w:hAnsi="Arial" w:cs="Arial"/>
                <w:sz w:val="16"/>
                <w:szCs w:val="16"/>
                <w:bdr w:val="nil"/>
              </w:rPr>
              <w:t>2020-21</w:t>
            </w:r>
          </w:p>
        </w:tc>
        <w:tc>
          <w:tcPr>
            <w:tcW w:w="3402" w:type="dxa"/>
            <w:tcBorders>
              <w:top w:val="dotted" w:sz="4" w:space="0" w:color="auto"/>
              <w:left w:val="single" w:sz="4" w:space="0" w:color="auto"/>
              <w:bottom w:val="dotted" w:sz="4" w:space="0" w:color="auto"/>
              <w:right w:val="single" w:sz="4" w:space="0" w:color="auto"/>
            </w:tcBorders>
            <w:hideMark/>
          </w:tcPr>
          <w:p w:rsidR="00102381" w:rsidRDefault="00D5482E">
            <w:pPr>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digital service level standards: Medicare Benefits Schedule digital claiming rate.</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97 per cent</w:t>
            </w:r>
          </w:p>
        </w:tc>
      </w:tr>
      <w:tr w:rsidR="00010972" w:rsidTr="00241B17">
        <w:tc>
          <w:tcPr>
            <w:tcW w:w="1956" w:type="dxa"/>
            <w:vMerge/>
            <w:tcBorders>
              <w:top w:val="dotted" w:sz="4" w:space="0" w:color="auto"/>
              <w:left w:val="single" w:sz="4" w:space="0" w:color="auto"/>
              <w:bottom w:val="dotted" w:sz="4" w:space="0" w:color="auto"/>
              <w:right w:val="single" w:sz="4" w:space="0" w:color="auto"/>
            </w:tcBorders>
            <w:vAlign w:val="center"/>
            <w:hideMark/>
          </w:tcPr>
          <w:p w:rsidR="00102381" w:rsidRDefault="00102381">
            <w:pPr>
              <w:spacing w:after="0"/>
              <w:rPr>
                <w:rFonts w:ascii="Arial" w:eastAsia="Gulim" w:hAnsi="Arial" w:cs="Arial"/>
                <w:sz w:val="16"/>
                <w:szCs w:val="16"/>
                <w:bdr w:val="nil"/>
              </w:rPr>
            </w:pPr>
          </w:p>
        </w:tc>
        <w:tc>
          <w:tcPr>
            <w:tcW w:w="3402"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digital service level standards: interactions completed via digital channels.</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5 per cent increase</w:t>
            </w:r>
          </w:p>
        </w:tc>
      </w:tr>
      <w:tr w:rsidR="00010972" w:rsidTr="00241B17">
        <w:tc>
          <w:tcPr>
            <w:tcW w:w="1956" w:type="dxa"/>
            <w:vMerge/>
            <w:tcBorders>
              <w:top w:val="dotted" w:sz="4" w:space="0" w:color="auto"/>
              <w:left w:val="single" w:sz="4" w:space="0" w:color="auto"/>
              <w:bottom w:val="dotted" w:sz="4" w:space="0" w:color="auto"/>
              <w:right w:val="single" w:sz="4" w:space="0" w:color="auto"/>
            </w:tcBorders>
            <w:vAlign w:val="center"/>
            <w:hideMark/>
          </w:tcPr>
          <w:p w:rsidR="00102381" w:rsidRDefault="00102381">
            <w:pPr>
              <w:spacing w:after="0"/>
              <w:rPr>
                <w:rFonts w:ascii="Arial" w:eastAsia="Gulim" w:hAnsi="Arial" w:cs="Arial"/>
                <w:sz w:val="16"/>
                <w:szCs w:val="16"/>
                <w:bdr w:val="nil"/>
              </w:rPr>
            </w:pPr>
          </w:p>
        </w:tc>
        <w:tc>
          <w:tcPr>
            <w:tcW w:w="3402"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digital service level standards: availability of ICT services excluding scheduled maintenance periods that support 24/7 customer access.</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98 per cent</w:t>
            </w:r>
          </w:p>
        </w:tc>
      </w:tr>
      <w:tr w:rsidR="00010972" w:rsidTr="00241B17">
        <w:tc>
          <w:tcPr>
            <w:tcW w:w="1956" w:type="dxa"/>
            <w:tcBorders>
              <w:top w:val="dotted"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50" w:after="50" w:line="240" w:lineRule="auto"/>
              <w:rPr>
                <w:rFonts w:ascii="Arial" w:hAnsi="Arial" w:cs="Arial"/>
                <w:sz w:val="16"/>
                <w:szCs w:val="16"/>
                <w:bdr w:val="nil"/>
              </w:rPr>
            </w:pPr>
            <w:r>
              <w:rPr>
                <w:rFonts w:ascii="Arial" w:eastAsia="Gulim" w:hAnsi="Arial" w:cs="Arial"/>
                <w:sz w:val="16"/>
                <w:szCs w:val="16"/>
                <w:bdr w:val="nil"/>
              </w:rPr>
              <w:t xml:space="preserve">2021-22 </w:t>
            </w:r>
            <w:r>
              <w:rPr>
                <w:rFonts w:ascii="Arial" w:eastAsia="Times New Roman" w:hAnsi="Arial" w:cs="Arial"/>
                <w:sz w:val="16"/>
                <w:szCs w:val="16"/>
                <w:bdr w:val="nil"/>
              </w:rPr>
              <w:t>and beyond</w:t>
            </w:r>
          </w:p>
        </w:tc>
        <w:tc>
          <w:tcPr>
            <w:tcW w:w="3402" w:type="dxa"/>
            <w:tcBorders>
              <w:top w:val="dotted"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Times New Roman" w:hAnsi="Arial" w:cs="Arial"/>
                <w:sz w:val="16"/>
                <w:szCs w:val="16"/>
                <w:bdr w:val="nil"/>
              </w:rPr>
              <w:t>Not applicable.</w:t>
            </w:r>
          </w:p>
        </w:tc>
        <w:tc>
          <w:tcPr>
            <w:tcW w:w="2410" w:type="dxa"/>
            <w:tcBorders>
              <w:top w:val="dotted"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50" w:after="50" w:line="240" w:lineRule="auto"/>
              <w:rPr>
                <w:rFonts w:ascii="Arial" w:hAnsi="Arial" w:cs="Arial"/>
                <w:sz w:val="16"/>
                <w:szCs w:val="16"/>
                <w:bdr w:val="nil"/>
              </w:rPr>
            </w:pPr>
            <w:r>
              <w:rPr>
                <w:rFonts w:ascii="Arial" w:eastAsia="Times New Roman" w:hAnsi="Arial" w:cs="Arial"/>
                <w:sz w:val="16"/>
                <w:szCs w:val="16"/>
                <w:bdr w:val="nil"/>
              </w:rPr>
              <w:t>Not applicable.</w:t>
            </w:r>
          </w:p>
        </w:tc>
      </w:tr>
      <w:tr w:rsidR="00010972" w:rsidTr="00241B17">
        <w:tc>
          <w:tcPr>
            <w:tcW w:w="1956" w:type="dxa"/>
            <w:tcBorders>
              <w:top w:val="sing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50" w:after="50" w:line="240" w:lineRule="auto"/>
              <w:rPr>
                <w:rFonts w:ascii="Arial" w:hAnsi="Arial" w:cs="Arial"/>
                <w:b/>
                <w:sz w:val="16"/>
                <w:szCs w:val="16"/>
                <w:highlight w:val="yellow"/>
                <w:bdr w:val="nil"/>
              </w:rPr>
            </w:pPr>
            <w:r>
              <w:rPr>
                <w:rFonts w:ascii="Arial" w:eastAsia="Times New Roman" w:hAnsi="Arial" w:cs="Arial"/>
                <w:b/>
                <w:sz w:val="16"/>
                <w:szCs w:val="16"/>
                <w:bdr w:val="nil"/>
              </w:rPr>
              <w:t xml:space="preserve">Purpose </w:t>
            </w:r>
            <w:r>
              <w:rPr>
                <w:rFonts w:ascii="Arial" w:eastAsia="Times New Roman" w:hAnsi="Arial" w:cs="Arial"/>
                <w:sz w:val="16"/>
                <w:szCs w:val="16"/>
                <w:bdr w:val="nil"/>
              </w:rPr>
              <w:t>(b)</w:t>
            </w:r>
          </w:p>
        </w:tc>
        <w:tc>
          <w:tcPr>
            <w:tcW w:w="5812" w:type="dxa"/>
            <w:gridSpan w:val="2"/>
            <w:tcBorders>
              <w:top w:val="sing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50" w:after="50" w:line="240" w:lineRule="auto"/>
              <w:rPr>
                <w:rFonts w:ascii="Arial" w:hAnsi="Arial" w:cs="Arial"/>
                <w:sz w:val="16"/>
                <w:szCs w:val="16"/>
                <w:highlight w:val="yellow"/>
                <w:bdr w:val="nil"/>
              </w:rPr>
            </w:pPr>
            <w:r>
              <w:rPr>
                <w:rFonts w:ascii="Arial" w:eastAsia="Times New Roman" w:hAnsi="Arial" w:cs="Arial"/>
                <w:sz w:val="16"/>
                <w:szCs w:val="16"/>
                <w:bdr w:val="nil"/>
              </w:rPr>
              <w:t>To support Australians by efficiently delivering high quality, accessible services and payments on behalf of government.</w:t>
            </w:r>
          </w:p>
        </w:tc>
      </w:tr>
      <w:tr w:rsidR="00010972" w:rsidTr="00241B17">
        <w:tc>
          <w:tcPr>
            <w:tcW w:w="7768" w:type="dxa"/>
            <w:gridSpan w:val="3"/>
            <w:tcBorders>
              <w:top w:val="sing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50" w:after="50" w:line="240" w:lineRule="auto"/>
              <w:rPr>
                <w:rFonts w:ascii="Arial" w:hAnsi="Arial" w:cs="Arial"/>
                <w:b/>
                <w:sz w:val="16"/>
                <w:szCs w:val="16"/>
                <w:highlight w:val="yellow"/>
                <w:bdr w:val="nil"/>
              </w:rPr>
            </w:pPr>
            <w:r>
              <w:rPr>
                <w:rFonts w:ascii="Arial" w:eastAsia="Cambria" w:hAnsi="Arial" w:cs="Arial"/>
                <w:b/>
                <w:bCs/>
                <w:iCs/>
                <w:spacing w:val="-6"/>
                <w:sz w:val="16"/>
                <w:szCs w:val="16"/>
                <w:bdr w:val="nil"/>
              </w:rPr>
              <w:t>M</w:t>
            </w:r>
            <w:proofErr w:type="spellStart"/>
            <w:r>
              <w:rPr>
                <w:rFonts w:ascii="Arial" w:eastAsia="Cambria" w:hAnsi="Arial" w:cs="Arial"/>
                <w:b/>
                <w:bCs/>
                <w:iCs/>
                <w:spacing w:val="-6"/>
                <w:sz w:val="16"/>
                <w:szCs w:val="16"/>
                <w:bdr w:val="nil"/>
                <w:lang w:val="x-none"/>
              </w:rPr>
              <w:t>aterial</w:t>
            </w:r>
            <w:proofErr w:type="spellEnd"/>
            <w:r>
              <w:rPr>
                <w:rFonts w:ascii="Arial" w:eastAsia="Cambria" w:hAnsi="Arial" w:cs="Arial"/>
                <w:b/>
                <w:bCs/>
                <w:iCs/>
                <w:spacing w:val="-6"/>
                <w:sz w:val="16"/>
                <w:szCs w:val="16"/>
                <w:bdr w:val="nil"/>
                <w:lang w:val="x-none"/>
              </w:rPr>
              <w:t xml:space="preserve"> changes to Program 1.2: Nil.</w:t>
            </w:r>
          </w:p>
        </w:tc>
      </w:tr>
    </w:tbl>
    <w:p w:rsidR="00102381" w:rsidRDefault="00D5482E" w:rsidP="004408B9">
      <w:pPr>
        <w:pStyle w:val="TableGraphic"/>
        <w:keepLines/>
        <w:numPr>
          <w:ilvl w:val="0"/>
          <w:numId w:val="52"/>
        </w:numPr>
        <w:pBdr>
          <w:top w:val="nil"/>
          <w:left w:val="nil"/>
          <w:bottom w:val="nil"/>
          <w:right w:val="nil"/>
          <w:between w:val="nil"/>
          <w:bar w:val="nil"/>
        </w:pBdr>
        <w:spacing w:after="240"/>
        <w:ind w:left="426" w:hanging="284"/>
        <w:rPr>
          <w:rFonts w:ascii="Arial" w:hAnsi="Arial" w:cs="Arial"/>
          <w:i w:val="0"/>
          <w:color w:val="auto"/>
          <w:sz w:val="16"/>
          <w:szCs w:val="16"/>
          <w:bdr w:val="nil"/>
        </w:rPr>
      </w:pPr>
      <w:r>
        <w:rPr>
          <w:rFonts w:ascii="Arial" w:hAnsi="Arial" w:cs="Arial"/>
          <w:i w:val="0"/>
          <w:color w:val="auto"/>
          <w:sz w:val="16"/>
          <w:szCs w:val="16"/>
          <w:bdr w:val="nil"/>
        </w:rPr>
        <w:t>Refers to updated purpose reflected in the 2020-21 Corporate Plan.</w:t>
      </w:r>
    </w:p>
    <w:p w:rsidR="00102381" w:rsidRDefault="00D5482E" w:rsidP="00102381">
      <w:pPr>
        <w:keepLines/>
        <w:pBdr>
          <w:top w:val="nil"/>
          <w:left w:val="nil"/>
          <w:bottom w:val="nil"/>
          <w:right w:val="nil"/>
          <w:between w:val="nil"/>
          <w:bar w:val="nil"/>
        </w:pBdr>
        <w:spacing w:after="0" w:line="240" w:lineRule="auto"/>
        <w:rPr>
          <w:rFonts w:ascii="Arial" w:hAnsi="Arial" w:cs="Arial"/>
          <w:bdr w:val="nil"/>
        </w:rPr>
      </w:pPr>
      <w:r>
        <w:rPr>
          <w:rFonts w:ascii="Book Antiqua" w:eastAsia="Times New Roman" w:hAnsi="Book Antiqua" w:cs="Times New Roman"/>
          <w:sz w:val="20"/>
          <w:szCs w:val="20"/>
          <w:bdr w:val="nil"/>
          <w:lang w:val="en-AU" w:eastAsia="en-AU"/>
        </w:rPr>
        <w:br w:type="page"/>
      </w:r>
    </w:p>
    <w:p w:rsidR="00102381" w:rsidRDefault="00D5482E" w:rsidP="00B13B93">
      <w:pPr>
        <w:pStyle w:val="TableHeading"/>
        <w:keepLines/>
        <w:pBdr>
          <w:top w:val="nil"/>
          <w:left w:val="nil"/>
          <w:bottom w:val="nil"/>
          <w:right w:val="nil"/>
          <w:between w:val="nil"/>
          <w:bar w:val="nil"/>
        </w:pBdr>
        <w:spacing w:before="0" w:after="0"/>
        <w:rPr>
          <w:rFonts w:cs="Arial"/>
          <w:bdr w:val="nil"/>
        </w:rPr>
      </w:pPr>
      <w:r>
        <w:rPr>
          <w:rFonts w:cs="Arial"/>
          <w:bdr w:val="nil"/>
        </w:rPr>
        <w:lastRenderedPageBreak/>
        <w:t>Table 2.1.2: Performance criteria for Outcome 1 (continued)</w:t>
      </w:r>
    </w:p>
    <w:tbl>
      <w:tblPr>
        <w:tblW w:w="7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1956"/>
        <w:gridCol w:w="3402"/>
        <w:gridCol w:w="2410"/>
      </w:tblGrid>
      <w:tr w:rsidR="00010972" w:rsidTr="00241B17">
        <w:trPr>
          <w:tblHeader/>
        </w:trPr>
        <w:tc>
          <w:tcPr>
            <w:tcW w:w="7768" w:type="dxa"/>
            <w:gridSpan w:val="3"/>
            <w:tcBorders>
              <w:top w:val="single" w:sz="4" w:space="0" w:color="auto"/>
              <w:left w:val="single" w:sz="4" w:space="0" w:color="auto"/>
              <w:bottom w:val="single" w:sz="4" w:space="0" w:color="auto"/>
              <w:right w:val="single" w:sz="4" w:space="0" w:color="auto"/>
            </w:tcBorders>
            <w:shd w:val="clear" w:color="auto" w:fill="F2F2F2"/>
            <w:hideMark/>
          </w:tcPr>
          <w:bookmarkEnd w:id="190"/>
          <w:bookmarkEnd w:id="191"/>
          <w:p w:rsidR="00102381" w:rsidRDefault="00D5482E" w:rsidP="00B13B93">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Times New Roman" w:hAnsi="Arial" w:cs="Arial"/>
                <w:b/>
                <w:sz w:val="16"/>
                <w:szCs w:val="16"/>
                <w:bdr w:val="nil"/>
              </w:rPr>
              <w:t xml:space="preserve">Program 1.3 – Child Support </w:t>
            </w:r>
            <w:r>
              <w:rPr>
                <w:rFonts w:ascii="Arial" w:eastAsia="Times New Roman" w:hAnsi="Arial" w:cs="Arial"/>
                <w:sz w:val="16"/>
                <w:szCs w:val="16"/>
                <w:bdr w:val="nil"/>
              </w:rPr>
              <w:t>– The Child Support program is designed to ensure that both parents contribute to the cost of their children, according to their capacity.</w:t>
            </w:r>
          </w:p>
        </w:tc>
      </w:tr>
      <w:tr w:rsidR="00010972" w:rsidTr="00241B17">
        <w:tc>
          <w:tcPr>
            <w:tcW w:w="1956" w:type="dxa"/>
            <w:tcBorders>
              <w:top w:val="single" w:sz="4" w:space="0" w:color="auto"/>
              <w:left w:val="single" w:sz="4" w:space="0" w:color="auto"/>
              <w:bottom w:val="doub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Delivery</w:t>
            </w:r>
          </w:p>
        </w:tc>
        <w:tc>
          <w:tcPr>
            <w:tcW w:w="5812" w:type="dxa"/>
            <w:gridSpan w:val="2"/>
            <w:tcBorders>
              <w:top w:val="single" w:sz="4" w:space="0" w:color="auto"/>
              <w:left w:val="single" w:sz="4" w:space="0" w:color="auto"/>
              <w:bottom w:val="doub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Times New Roman" w:hAnsi="Arial" w:cs="Arial"/>
                <w:sz w:val="16"/>
                <w:szCs w:val="16"/>
                <w:bdr w:val="nil"/>
              </w:rPr>
              <w:t xml:space="preserve">Services Australia assists separated and separating parents by the collection and disbursement of child support payments through online services and smart </w:t>
            </w:r>
            <w:proofErr w:type="spellStart"/>
            <w:r>
              <w:rPr>
                <w:rFonts w:ascii="Arial" w:eastAsia="Times New Roman" w:hAnsi="Arial" w:cs="Arial"/>
                <w:sz w:val="16"/>
                <w:szCs w:val="16"/>
                <w:bdr w:val="nil"/>
              </w:rPr>
              <w:t>centres</w:t>
            </w:r>
            <w:proofErr w:type="spellEnd"/>
            <w:r>
              <w:rPr>
                <w:rFonts w:ascii="Arial" w:eastAsia="Times New Roman" w:hAnsi="Arial" w:cs="Arial"/>
                <w:sz w:val="16"/>
                <w:szCs w:val="16"/>
                <w:bdr w:val="nil"/>
              </w:rPr>
              <w:t>.</w:t>
            </w:r>
          </w:p>
        </w:tc>
      </w:tr>
      <w:tr w:rsidR="00010972" w:rsidTr="00241B17">
        <w:tc>
          <w:tcPr>
            <w:tcW w:w="7768" w:type="dxa"/>
            <w:gridSpan w:val="3"/>
            <w:tcBorders>
              <w:top w:val="double" w:sz="4" w:space="0" w:color="auto"/>
              <w:left w:val="single" w:sz="4" w:space="0" w:color="auto"/>
              <w:bottom w:val="doub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Performance information</w:t>
            </w:r>
          </w:p>
        </w:tc>
      </w:tr>
      <w:tr w:rsidR="00010972" w:rsidTr="00241B17">
        <w:tc>
          <w:tcPr>
            <w:tcW w:w="1956" w:type="dxa"/>
            <w:tcBorders>
              <w:top w:val="double" w:sz="4" w:space="0" w:color="auto"/>
              <w:left w:val="single" w:sz="4" w:space="0" w:color="auto"/>
              <w:bottom w:val="single" w:sz="4" w:space="0" w:color="auto"/>
              <w:right w:val="single" w:sz="4" w:space="0" w:color="auto"/>
            </w:tcBorders>
            <w:hideMark/>
          </w:tcPr>
          <w:p w:rsidR="003B28C3" w:rsidRDefault="00D5482E" w:rsidP="003B28C3">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Year</w:t>
            </w:r>
          </w:p>
        </w:tc>
        <w:tc>
          <w:tcPr>
            <w:tcW w:w="3402" w:type="dxa"/>
            <w:tcBorders>
              <w:top w:val="double" w:sz="4" w:space="0" w:color="auto"/>
              <w:left w:val="single" w:sz="4" w:space="0" w:color="auto"/>
              <w:bottom w:val="single" w:sz="4" w:space="0" w:color="auto"/>
              <w:right w:val="single" w:sz="4" w:space="0" w:color="auto"/>
            </w:tcBorders>
            <w:hideMark/>
          </w:tcPr>
          <w:p w:rsidR="003B28C3" w:rsidRDefault="00D5482E" w:rsidP="003B28C3">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Performance criteria</w:t>
            </w:r>
          </w:p>
        </w:tc>
        <w:tc>
          <w:tcPr>
            <w:tcW w:w="2410" w:type="dxa"/>
            <w:tcBorders>
              <w:top w:val="double" w:sz="4" w:space="0" w:color="auto"/>
              <w:left w:val="single" w:sz="4" w:space="0" w:color="auto"/>
              <w:bottom w:val="dotted" w:sz="4" w:space="0" w:color="auto"/>
              <w:right w:val="single" w:sz="4" w:space="0" w:color="auto"/>
            </w:tcBorders>
            <w:hideMark/>
          </w:tcPr>
          <w:p w:rsidR="003B28C3" w:rsidRDefault="00D5482E" w:rsidP="003B28C3">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Targets</w:t>
            </w:r>
          </w:p>
        </w:tc>
      </w:tr>
      <w:tr w:rsidR="00010972" w:rsidTr="00241B17">
        <w:tc>
          <w:tcPr>
            <w:tcW w:w="7768" w:type="dxa"/>
            <w:gridSpan w:val="3"/>
            <w:tcBorders>
              <w:top w:val="sing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i/>
                <w:sz w:val="16"/>
                <w:szCs w:val="16"/>
                <w:bdr w:val="nil"/>
              </w:rPr>
            </w:pPr>
            <w:r>
              <w:rPr>
                <w:rFonts w:ascii="Arial" w:eastAsia="Times New Roman" w:hAnsi="Arial" w:cs="Arial"/>
                <w:b/>
                <w:sz w:val="16"/>
                <w:szCs w:val="16"/>
                <w:bdr w:val="nil"/>
              </w:rPr>
              <w:t>Customer satisfaction</w:t>
            </w:r>
          </w:p>
        </w:tc>
      </w:tr>
      <w:tr w:rsidR="00010972" w:rsidTr="00241B17">
        <w:tc>
          <w:tcPr>
            <w:tcW w:w="1956"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Gulim" w:hAnsi="Arial" w:cs="Arial"/>
                <w:sz w:val="16"/>
                <w:szCs w:val="16"/>
                <w:bdr w:val="nil"/>
              </w:rPr>
              <w:t>2020-21</w:t>
            </w:r>
          </w:p>
        </w:tc>
        <w:tc>
          <w:tcPr>
            <w:tcW w:w="3402"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Times New Roman" w:hAnsi="Arial" w:cs="Arial"/>
                <w:sz w:val="16"/>
                <w:szCs w:val="20"/>
                <w:bdr w:val="nil"/>
              </w:rPr>
              <w:t>Customer satisfaction</w:t>
            </w:r>
            <w:r>
              <w:rPr>
                <w:rFonts w:ascii="Arial" w:eastAsia="Times New Roman" w:hAnsi="Arial" w:cs="Arial"/>
                <w:sz w:val="16"/>
                <w:szCs w:val="16"/>
                <w:bdr w:val="nil"/>
              </w:rPr>
              <w:t>: achievement of customer satisfaction standards.</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Times New Roman" w:hAnsi="Arial" w:cs="Arial"/>
                <w:sz w:val="16"/>
                <w:szCs w:val="16"/>
                <w:bdr w:val="nil"/>
              </w:rPr>
              <w:t>Greater than or equal to 85 out of 100</w:t>
            </w:r>
          </w:p>
        </w:tc>
      </w:tr>
      <w:tr w:rsidR="00010972" w:rsidTr="00241B17">
        <w:tc>
          <w:tcPr>
            <w:tcW w:w="1956" w:type="dxa"/>
            <w:tcBorders>
              <w:top w:val="dotted"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Gulim" w:hAnsi="Arial" w:cs="Arial"/>
                <w:sz w:val="16"/>
                <w:szCs w:val="16"/>
                <w:bdr w:val="nil"/>
              </w:rPr>
              <w:t xml:space="preserve">2021-22 </w:t>
            </w:r>
            <w:r>
              <w:rPr>
                <w:rFonts w:ascii="Arial" w:eastAsia="Times New Roman" w:hAnsi="Arial" w:cs="Arial"/>
                <w:sz w:val="16"/>
                <w:szCs w:val="16"/>
                <w:bdr w:val="nil"/>
              </w:rPr>
              <w:t>and beyond</w:t>
            </w:r>
          </w:p>
        </w:tc>
        <w:tc>
          <w:tcPr>
            <w:tcW w:w="3402" w:type="dxa"/>
            <w:tcBorders>
              <w:top w:val="dotted"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Times New Roman" w:hAnsi="Arial" w:cs="Arial"/>
                <w:sz w:val="16"/>
                <w:szCs w:val="16"/>
                <w:bdr w:val="nil"/>
              </w:rPr>
              <w:t>Not applicable.</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20" w:after="20" w:line="240" w:lineRule="auto"/>
              <w:rPr>
                <w:rFonts w:ascii="Arial" w:hAnsi="Arial" w:cs="Arial"/>
                <w:sz w:val="16"/>
                <w:szCs w:val="16"/>
                <w:bdr w:val="nil"/>
              </w:rPr>
            </w:pPr>
            <w:r>
              <w:rPr>
                <w:rFonts w:ascii="Arial" w:eastAsia="Times New Roman" w:hAnsi="Arial" w:cs="Arial"/>
                <w:sz w:val="16"/>
                <w:szCs w:val="16"/>
                <w:bdr w:val="nil"/>
              </w:rPr>
              <w:t>Not applicable.</w:t>
            </w:r>
          </w:p>
        </w:tc>
      </w:tr>
      <w:tr w:rsidR="00010972" w:rsidTr="00241B17">
        <w:tc>
          <w:tcPr>
            <w:tcW w:w="7768" w:type="dxa"/>
            <w:gridSpan w:val="3"/>
            <w:tcBorders>
              <w:top w:val="single"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Correct payments</w:t>
            </w:r>
          </w:p>
        </w:tc>
      </w:tr>
      <w:tr w:rsidR="00010972" w:rsidTr="00241B17">
        <w:tc>
          <w:tcPr>
            <w:tcW w:w="1956" w:type="dxa"/>
            <w:vMerge w:val="restart"/>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Gulim" w:hAnsi="Arial" w:cs="Arial"/>
                <w:sz w:val="16"/>
                <w:szCs w:val="16"/>
                <w:bdr w:val="nil"/>
              </w:rPr>
              <w:t>2020-21</w:t>
            </w:r>
          </w:p>
        </w:tc>
        <w:tc>
          <w:tcPr>
            <w:tcW w:w="3402"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Child Support collection: percentage of domestic active paying parents with less than one month Child Support liability outstanding.</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63 per cent</w:t>
            </w:r>
          </w:p>
        </w:tc>
      </w:tr>
      <w:tr w:rsidR="00010972" w:rsidTr="00241B17">
        <w:tc>
          <w:tcPr>
            <w:tcW w:w="1956" w:type="dxa"/>
            <w:vMerge/>
            <w:tcBorders>
              <w:top w:val="dotted" w:sz="4" w:space="0" w:color="auto"/>
              <w:left w:val="single" w:sz="4" w:space="0" w:color="auto"/>
              <w:bottom w:val="dotted" w:sz="4" w:space="0" w:color="auto"/>
              <w:right w:val="single" w:sz="4" w:space="0" w:color="auto"/>
            </w:tcBorders>
            <w:vAlign w:val="center"/>
            <w:hideMark/>
          </w:tcPr>
          <w:p w:rsidR="00102381" w:rsidRDefault="00102381">
            <w:pPr>
              <w:spacing w:after="0"/>
              <w:rPr>
                <w:rFonts w:ascii="Arial" w:hAnsi="Arial" w:cs="Arial"/>
                <w:sz w:val="16"/>
                <w:szCs w:val="16"/>
                <w:bdr w:val="nil"/>
              </w:rPr>
            </w:pPr>
          </w:p>
        </w:tc>
        <w:tc>
          <w:tcPr>
            <w:tcW w:w="3402"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payment quality standards: Child Support: debt under arrangement.</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41 per cent</w:t>
            </w:r>
          </w:p>
        </w:tc>
      </w:tr>
      <w:tr w:rsidR="00010972" w:rsidTr="00241B17">
        <w:tc>
          <w:tcPr>
            <w:tcW w:w="1956" w:type="dxa"/>
            <w:tcBorders>
              <w:top w:val="dotted"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Gulim" w:hAnsi="Arial" w:cs="Arial"/>
                <w:sz w:val="16"/>
                <w:szCs w:val="16"/>
                <w:bdr w:val="nil"/>
              </w:rPr>
              <w:t xml:space="preserve">2021-22 </w:t>
            </w:r>
            <w:r>
              <w:rPr>
                <w:rFonts w:ascii="Arial" w:eastAsia="Times New Roman" w:hAnsi="Arial" w:cs="Arial"/>
                <w:sz w:val="16"/>
                <w:szCs w:val="16"/>
                <w:bdr w:val="nil"/>
              </w:rPr>
              <w:t>and beyond</w:t>
            </w:r>
          </w:p>
        </w:tc>
        <w:tc>
          <w:tcPr>
            <w:tcW w:w="3402" w:type="dxa"/>
            <w:tcBorders>
              <w:top w:val="dotted"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Not applicable.</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Not applicable.</w:t>
            </w:r>
          </w:p>
        </w:tc>
      </w:tr>
      <w:tr w:rsidR="00010972" w:rsidTr="00241B17">
        <w:tc>
          <w:tcPr>
            <w:tcW w:w="7768" w:type="dxa"/>
            <w:gridSpan w:val="3"/>
            <w:tcBorders>
              <w:top w:val="single"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Ease and timeliness of service</w:t>
            </w:r>
          </w:p>
        </w:tc>
      </w:tr>
      <w:tr w:rsidR="00010972" w:rsidTr="00241B17">
        <w:tc>
          <w:tcPr>
            <w:tcW w:w="1956" w:type="dxa"/>
            <w:vMerge w:val="restart"/>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eastAsia="Gulim" w:hAnsi="Arial" w:cs="Arial"/>
                <w:sz w:val="16"/>
                <w:szCs w:val="16"/>
                <w:bdr w:val="nil"/>
              </w:rPr>
            </w:pPr>
            <w:r>
              <w:rPr>
                <w:rFonts w:ascii="Arial" w:eastAsia="Gulim" w:hAnsi="Arial" w:cs="Arial"/>
                <w:sz w:val="16"/>
                <w:szCs w:val="16"/>
                <w:bdr w:val="nil"/>
              </w:rPr>
              <w:t>2020-21</w:t>
            </w:r>
          </w:p>
        </w:tc>
        <w:tc>
          <w:tcPr>
            <w:tcW w:w="3402"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telephony service level standards: average speed of answer.</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Less than or equal to 3 minutes</w:t>
            </w:r>
          </w:p>
        </w:tc>
      </w:tr>
      <w:tr w:rsidR="00010972" w:rsidTr="00241B17">
        <w:tc>
          <w:tcPr>
            <w:tcW w:w="1956" w:type="dxa"/>
            <w:vMerge/>
            <w:tcBorders>
              <w:top w:val="dotted" w:sz="4" w:space="0" w:color="auto"/>
              <w:left w:val="single" w:sz="4" w:space="0" w:color="auto"/>
              <w:bottom w:val="dotted" w:sz="4" w:space="0" w:color="auto"/>
              <w:right w:val="single" w:sz="4" w:space="0" w:color="auto"/>
            </w:tcBorders>
            <w:vAlign w:val="center"/>
            <w:hideMark/>
          </w:tcPr>
          <w:p w:rsidR="00102381" w:rsidRDefault="00102381">
            <w:pPr>
              <w:spacing w:after="0"/>
              <w:rPr>
                <w:rFonts w:ascii="Arial" w:eastAsia="Gulim" w:hAnsi="Arial" w:cs="Arial"/>
                <w:sz w:val="16"/>
                <w:szCs w:val="16"/>
                <w:bdr w:val="nil"/>
              </w:rPr>
            </w:pPr>
          </w:p>
        </w:tc>
        <w:tc>
          <w:tcPr>
            <w:tcW w:w="3402" w:type="dxa"/>
            <w:tcBorders>
              <w:top w:val="dotted" w:sz="4" w:space="0" w:color="auto"/>
              <w:left w:val="single" w:sz="4" w:space="0" w:color="auto"/>
              <w:bottom w:val="dotted" w:sz="4" w:space="0" w:color="auto"/>
              <w:right w:val="single" w:sz="4" w:space="0" w:color="auto"/>
            </w:tcBorders>
            <w:hideMark/>
          </w:tcPr>
          <w:p w:rsidR="00102381" w:rsidRDefault="00D5482E" w:rsidP="00FC260A">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processing service level standards  ̶  registrations processed within standard.</w:t>
            </w:r>
          </w:p>
        </w:tc>
        <w:tc>
          <w:tcPr>
            <w:tcW w:w="2410" w:type="dxa"/>
            <w:tcBorders>
              <w:top w:val="dotted" w:sz="4" w:space="0" w:color="auto"/>
              <w:left w:val="single" w:sz="4" w:space="0" w:color="auto"/>
              <w:bottom w:val="dotted"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82 per cent</w:t>
            </w:r>
          </w:p>
        </w:tc>
      </w:tr>
      <w:tr w:rsidR="00010972" w:rsidTr="00241B17">
        <w:tc>
          <w:tcPr>
            <w:tcW w:w="1956" w:type="dxa"/>
            <w:tcBorders>
              <w:top w:val="dotted"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Gulim" w:hAnsi="Arial" w:cs="Arial"/>
                <w:sz w:val="16"/>
                <w:szCs w:val="16"/>
                <w:bdr w:val="nil"/>
              </w:rPr>
              <w:t xml:space="preserve">2021-22 </w:t>
            </w:r>
            <w:r>
              <w:rPr>
                <w:rFonts w:ascii="Arial" w:eastAsia="Times New Roman" w:hAnsi="Arial" w:cs="Arial"/>
                <w:sz w:val="16"/>
                <w:szCs w:val="16"/>
                <w:bdr w:val="nil"/>
              </w:rPr>
              <w:t>and beyond</w:t>
            </w:r>
          </w:p>
        </w:tc>
        <w:tc>
          <w:tcPr>
            <w:tcW w:w="3402" w:type="dxa"/>
            <w:tcBorders>
              <w:top w:val="dotted"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Not applicable.</w:t>
            </w:r>
          </w:p>
        </w:tc>
        <w:tc>
          <w:tcPr>
            <w:tcW w:w="2410" w:type="dxa"/>
            <w:tcBorders>
              <w:top w:val="dotted" w:sz="4" w:space="0" w:color="auto"/>
              <w:left w:val="single" w:sz="4" w:space="0" w:color="auto"/>
              <w:bottom w:val="single" w:sz="4" w:space="0" w:color="auto"/>
              <w:right w:val="single" w:sz="4" w:space="0" w:color="auto"/>
            </w:tcBorders>
            <w:hideMark/>
          </w:tcPr>
          <w:p w:rsidR="00102381" w:rsidRDefault="00D5482E">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Not applicable.</w:t>
            </w:r>
          </w:p>
        </w:tc>
      </w:tr>
      <w:tr w:rsidR="00010972" w:rsidTr="00241B17">
        <w:tc>
          <w:tcPr>
            <w:tcW w:w="7768" w:type="dxa"/>
            <w:gridSpan w:val="3"/>
            <w:tcBorders>
              <w:top w:val="single" w:sz="4" w:space="0" w:color="auto"/>
              <w:left w:val="single" w:sz="4" w:space="0" w:color="auto"/>
              <w:bottom w:val="dotted" w:sz="4" w:space="0" w:color="auto"/>
              <w:right w:val="single" w:sz="4" w:space="0" w:color="auto"/>
            </w:tcBorders>
            <w:hideMark/>
          </w:tcPr>
          <w:p w:rsidR="00064EB2" w:rsidRDefault="00D5482E" w:rsidP="00EE41B9">
            <w:pPr>
              <w:keepLines/>
              <w:pBdr>
                <w:top w:val="nil"/>
                <w:left w:val="nil"/>
                <w:bottom w:val="nil"/>
                <w:right w:val="nil"/>
                <w:between w:val="nil"/>
                <w:bar w:val="nil"/>
              </w:pBdr>
              <w:tabs>
                <w:tab w:val="left" w:pos="709"/>
              </w:tabs>
              <w:spacing w:before="60" w:after="60" w:line="240" w:lineRule="auto"/>
              <w:rPr>
                <w:rFonts w:ascii="Arial" w:hAnsi="Arial" w:cs="Arial"/>
                <w:b/>
                <w:sz w:val="16"/>
                <w:szCs w:val="16"/>
                <w:bdr w:val="nil"/>
              </w:rPr>
            </w:pPr>
            <w:r>
              <w:rPr>
                <w:rFonts w:ascii="Arial" w:eastAsia="Times New Roman" w:hAnsi="Arial" w:cs="Arial"/>
                <w:b/>
                <w:sz w:val="16"/>
                <w:szCs w:val="16"/>
                <w:bdr w:val="nil"/>
              </w:rPr>
              <w:t>Customers interacting digitally</w:t>
            </w:r>
          </w:p>
        </w:tc>
      </w:tr>
      <w:tr w:rsidR="00010972" w:rsidTr="00241B17">
        <w:tc>
          <w:tcPr>
            <w:tcW w:w="1956" w:type="dxa"/>
            <w:vMerge w:val="restart"/>
            <w:tcBorders>
              <w:top w:val="single" w:sz="4" w:space="0" w:color="auto"/>
              <w:left w:val="single" w:sz="4" w:space="0" w:color="auto"/>
              <w:bottom w:val="dotted" w:sz="4" w:space="0" w:color="auto"/>
              <w:right w:val="single" w:sz="4" w:space="0" w:color="auto"/>
            </w:tcBorders>
            <w:hideMark/>
          </w:tcPr>
          <w:p w:rsidR="00064EB2" w:rsidRDefault="00D5482E" w:rsidP="00EE41B9">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Gulim" w:hAnsi="Arial" w:cs="Arial"/>
                <w:sz w:val="16"/>
                <w:szCs w:val="16"/>
                <w:bdr w:val="nil"/>
              </w:rPr>
              <w:t>2020-21</w:t>
            </w:r>
          </w:p>
        </w:tc>
        <w:tc>
          <w:tcPr>
            <w:tcW w:w="3402" w:type="dxa"/>
            <w:tcBorders>
              <w:top w:val="single" w:sz="4" w:space="0" w:color="auto"/>
              <w:left w:val="single" w:sz="4" w:space="0" w:color="auto"/>
              <w:bottom w:val="dotted" w:sz="4" w:space="0" w:color="auto"/>
              <w:right w:val="single" w:sz="4" w:space="0" w:color="auto"/>
            </w:tcBorders>
            <w:vAlign w:val="center"/>
            <w:hideMark/>
          </w:tcPr>
          <w:p w:rsidR="00064EB2" w:rsidRDefault="00D5482E" w:rsidP="00EE41B9">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digital service level standards: interactions completed via digital channels.</w:t>
            </w:r>
          </w:p>
        </w:tc>
        <w:tc>
          <w:tcPr>
            <w:tcW w:w="2410" w:type="dxa"/>
            <w:tcBorders>
              <w:top w:val="single" w:sz="4" w:space="0" w:color="auto"/>
              <w:left w:val="single" w:sz="4" w:space="0" w:color="auto"/>
              <w:bottom w:val="dotted" w:sz="4" w:space="0" w:color="auto"/>
              <w:right w:val="single" w:sz="4" w:space="0" w:color="auto"/>
            </w:tcBorders>
            <w:hideMark/>
          </w:tcPr>
          <w:p w:rsidR="00064EB2" w:rsidRDefault="00D5482E" w:rsidP="00EE41B9">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5 per cent increase</w:t>
            </w:r>
          </w:p>
        </w:tc>
      </w:tr>
      <w:tr w:rsidR="00010972" w:rsidTr="00241B17">
        <w:tc>
          <w:tcPr>
            <w:tcW w:w="1956" w:type="dxa"/>
            <w:vMerge/>
            <w:tcBorders>
              <w:top w:val="dotted" w:sz="4" w:space="0" w:color="auto"/>
              <w:left w:val="single" w:sz="4" w:space="0" w:color="auto"/>
              <w:bottom w:val="dotted" w:sz="4" w:space="0" w:color="auto"/>
              <w:right w:val="single" w:sz="4" w:space="0" w:color="auto"/>
            </w:tcBorders>
            <w:vAlign w:val="center"/>
            <w:hideMark/>
          </w:tcPr>
          <w:p w:rsidR="00064EB2" w:rsidRDefault="00064EB2" w:rsidP="00EE41B9">
            <w:pPr>
              <w:spacing w:after="0"/>
              <w:rPr>
                <w:rFonts w:ascii="Arial" w:hAnsi="Arial" w:cs="Arial"/>
                <w:sz w:val="16"/>
                <w:szCs w:val="16"/>
                <w:bdr w:val="nil"/>
              </w:rPr>
            </w:pPr>
          </w:p>
        </w:tc>
        <w:tc>
          <w:tcPr>
            <w:tcW w:w="3402" w:type="dxa"/>
            <w:tcBorders>
              <w:top w:val="dotted" w:sz="4" w:space="0" w:color="auto"/>
              <w:left w:val="single" w:sz="4" w:space="0" w:color="auto"/>
              <w:bottom w:val="dotted" w:sz="4" w:space="0" w:color="auto"/>
              <w:right w:val="single" w:sz="4" w:space="0" w:color="auto"/>
            </w:tcBorders>
            <w:vAlign w:val="center"/>
            <w:hideMark/>
          </w:tcPr>
          <w:p w:rsidR="00064EB2" w:rsidRDefault="00D5482E" w:rsidP="00EE41B9">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Achievement of digital service level standards: availability of ICT services excluding scheduled maintenance periods that support 24/7 customer access.</w:t>
            </w:r>
          </w:p>
        </w:tc>
        <w:tc>
          <w:tcPr>
            <w:tcW w:w="2410" w:type="dxa"/>
            <w:tcBorders>
              <w:top w:val="dotted" w:sz="4" w:space="0" w:color="auto"/>
              <w:left w:val="single" w:sz="4" w:space="0" w:color="auto"/>
              <w:bottom w:val="dotted" w:sz="4" w:space="0" w:color="auto"/>
              <w:right w:val="single" w:sz="4" w:space="0" w:color="auto"/>
            </w:tcBorders>
            <w:hideMark/>
          </w:tcPr>
          <w:p w:rsidR="00064EB2" w:rsidRDefault="00D5482E" w:rsidP="00EE41B9">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Greater than or equal to 98 per cent</w:t>
            </w:r>
          </w:p>
        </w:tc>
      </w:tr>
      <w:tr w:rsidR="00010972" w:rsidTr="00241B17">
        <w:tc>
          <w:tcPr>
            <w:tcW w:w="1956" w:type="dxa"/>
            <w:tcBorders>
              <w:top w:val="dotted" w:sz="4" w:space="0" w:color="auto"/>
              <w:left w:val="single" w:sz="4" w:space="0" w:color="auto"/>
              <w:bottom w:val="dotted" w:sz="4" w:space="0" w:color="auto"/>
              <w:right w:val="single" w:sz="4" w:space="0" w:color="auto"/>
            </w:tcBorders>
            <w:hideMark/>
          </w:tcPr>
          <w:p w:rsidR="00064EB2" w:rsidRDefault="00D5482E" w:rsidP="00EE41B9">
            <w:pPr>
              <w:keepLines/>
              <w:pBdr>
                <w:top w:val="nil"/>
                <w:left w:val="nil"/>
                <w:bottom w:val="nil"/>
                <w:right w:val="nil"/>
                <w:between w:val="nil"/>
                <w:bar w:val="nil"/>
              </w:pBdr>
              <w:tabs>
                <w:tab w:val="left" w:pos="709"/>
              </w:tabs>
              <w:spacing w:before="60" w:after="60" w:line="240" w:lineRule="auto"/>
              <w:rPr>
                <w:rFonts w:ascii="Arial" w:hAnsi="Arial" w:cs="Arial"/>
                <w:sz w:val="16"/>
                <w:szCs w:val="16"/>
                <w:bdr w:val="nil"/>
              </w:rPr>
            </w:pPr>
            <w:r>
              <w:rPr>
                <w:rFonts w:ascii="Arial" w:eastAsia="Gulim" w:hAnsi="Arial" w:cs="Arial"/>
                <w:sz w:val="16"/>
                <w:szCs w:val="16"/>
                <w:bdr w:val="nil"/>
              </w:rPr>
              <w:t xml:space="preserve">2021-22 </w:t>
            </w:r>
            <w:r>
              <w:rPr>
                <w:rFonts w:ascii="Arial" w:eastAsia="Times New Roman" w:hAnsi="Arial" w:cs="Arial"/>
                <w:sz w:val="16"/>
                <w:szCs w:val="16"/>
                <w:bdr w:val="nil"/>
              </w:rPr>
              <w:t>and beyond</w:t>
            </w:r>
          </w:p>
        </w:tc>
        <w:tc>
          <w:tcPr>
            <w:tcW w:w="3402" w:type="dxa"/>
            <w:tcBorders>
              <w:top w:val="dotted" w:sz="4" w:space="0" w:color="auto"/>
              <w:left w:val="single" w:sz="4" w:space="0" w:color="auto"/>
              <w:bottom w:val="dotted" w:sz="4" w:space="0" w:color="auto"/>
              <w:right w:val="single" w:sz="4" w:space="0" w:color="auto"/>
            </w:tcBorders>
            <w:vAlign w:val="center"/>
            <w:hideMark/>
          </w:tcPr>
          <w:p w:rsidR="00064EB2" w:rsidRDefault="00D5482E" w:rsidP="00EE41B9">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Not applicable.</w:t>
            </w:r>
          </w:p>
        </w:tc>
        <w:tc>
          <w:tcPr>
            <w:tcW w:w="2410" w:type="dxa"/>
            <w:tcBorders>
              <w:top w:val="dotted" w:sz="4" w:space="0" w:color="auto"/>
              <w:left w:val="single" w:sz="4" w:space="0" w:color="auto"/>
              <w:bottom w:val="dotted" w:sz="4" w:space="0" w:color="auto"/>
              <w:right w:val="single" w:sz="4" w:space="0" w:color="auto"/>
            </w:tcBorders>
            <w:hideMark/>
          </w:tcPr>
          <w:p w:rsidR="00064EB2" w:rsidRDefault="00D5482E" w:rsidP="00EE41B9">
            <w:pPr>
              <w:keepLines/>
              <w:pBdr>
                <w:top w:val="nil"/>
                <w:left w:val="nil"/>
                <w:bottom w:val="nil"/>
                <w:right w:val="nil"/>
                <w:between w:val="nil"/>
                <w:bar w:val="nil"/>
              </w:pBdr>
              <w:spacing w:before="20" w:after="48" w:line="240" w:lineRule="auto"/>
              <w:rPr>
                <w:rFonts w:ascii="Arial" w:hAnsi="Arial" w:cs="Arial"/>
                <w:color w:val="000000"/>
                <w:sz w:val="16"/>
                <w:szCs w:val="16"/>
                <w:bdr w:val="nil"/>
              </w:rPr>
            </w:pPr>
            <w:r>
              <w:rPr>
                <w:rFonts w:ascii="Arial" w:eastAsia="Times New Roman" w:hAnsi="Arial" w:cs="Arial"/>
                <w:color w:val="000000"/>
                <w:sz w:val="16"/>
                <w:szCs w:val="16"/>
                <w:bdr w:val="nil"/>
              </w:rPr>
              <w:t>Not applicable.</w:t>
            </w:r>
          </w:p>
        </w:tc>
      </w:tr>
      <w:tr w:rsidR="00010972" w:rsidTr="00241B17">
        <w:tc>
          <w:tcPr>
            <w:tcW w:w="1956" w:type="dxa"/>
            <w:tcBorders>
              <w:top w:val="single" w:sz="4" w:space="0" w:color="auto"/>
              <w:left w:val="single" w:sz="4" w:space="0" w:color="auto"/>
              <w:bottom w:val="single" w:sz="4" w:space="0" w:color="auto"/>
              <w:right w:val="single" w:sz="4" w:space="0" w:color="auto"/>
            </w:tcBorders>
            <w:hideMark/>
          </w:tcPr>
          <w:p w:rsidR="00064EB2" w:rsidRDefault="00D5482E" w:rsidP="00EE41B9">
            <w:pPr>
              <w:keepLines/>
              <w:pBdr>
                <w:top w:val="nil"/>
                <w:left w:val="nil"/>
                <w:bottom w:val="nil"/>
                <w:right w:val="nil"/>
                <w:between w:val="nil"/>
                <w:bar w:val="nil"/>
              </w:pBdr>
              <w:tabs>
                <w:tab w:val="left" w:pos="709"/>
              </w:tabs>
              <w:spacing w:before="60" w:after="60" w:line="240" w:lineRule="auto"/>
              <w:rPr>
                <w:rFonts w:ascii="Arial" w:hAnsi="Arial" w:cs="Arial"/>
                <w:b/>
                <w:sz w:val="16"/>
                <w:szCs w:val="16"/>
                <w:highlight w:val="yellow"/>
                <w:bdr w:val="nil"/>
              </w:rPr>
            </w:pPr>
            <w:r>
              <w:rPr>
                <w:rFonts w:ascii="Arial" w:eastAsia="Times New Roman" w:hAnsi="Arial" w:cs="Arial"/>
                <w:b/>
                <w:sz w:val="16"/>
                <w:szCs w:val="16"/>
                <w:bdr w:val="nil"/>
              </w:rPr>
              <w:t xml:space="preserve">Purpose </w:t>
            </w:r>
            <w:r>
              <w:rPr>
                <w:rFonts w:ascii="Arial" w:eastAsia="Times New Roman" w:hAnsi="Arial" w:cs="Arial"/>
                <w:sz w:val="16"/>
                <w:szCs w:val="16"/>
                <w:bdr w:val="nil"/>
              </w:rPr>
              <w:t>(c)</w:t>
            </w:r>
          </w:p>
        </w:tc>
        <w:tc>
          <w:tcPr>
            <w:tcW w:w="5812" w:type="dxa"/>
            <w:gridSpan w:val="2"/>
            <w:tcBorders>
              <w:top w:val="single" w:sz="4" w:space="0" w:color="auto"/>
              <w:left w:val="single" w:sz="4" w:space="0" w:color="auto"/>
              <w:bottom w:val="single" w:sz="4" w:space="0" w:color="auto"/>
              <w:right w:val="single" w:sz="4" w:space="0" w:color="auto"/>
            </w:tcBorders>
            <w:hideMark/>
          </w:tcPr>
          <w:p w:rsidR="00064EB2" w:rsidRDefault="00D5482E" w:rsidP="00EE41B9">
            <w:pPr>
              <w:keepLines/>
              <w:pBdr>
                <w:top w:val="nil"/>
                <w:left w:val="nil"/>
                <w:bottom w:val="nil"/>
                <w:right w:val="nil"/>
                <w:between w:val="nil"/>
                <w:bar w:val="nil"/>
              </w:pBdr>
              <w:tabs>
                <w:tab w:val="left" w:pos="709"/>
              </w:tabs>
              <w:spacing w:before="60" w:after="60" w:line="240" w:lineRule="auto"/>
              <w:rPr>
                <w:rFonts w:ascii="Arial" w:hAnsi="Arial" w:cs="Arial"/>
                <w:sz w:val="16"/>
                <w:szCs w:val="16"/>
                <w:highlight w:val="yellow"/>
                <w:bdr w:val="nil"/>
              </w:rPr>
            </w:pPr>
            <w:r>
              <w:rPr>
                <w:rFonts w:ascii="Arial" w:eastAsia="Times New Roman" w:hAnsi="Arial" w:cs="Arial"/>
                <w:sz w:val="16"/>
                <w:szCs w:val="16"/>
                <w:bdr w:val="nil"/>
              </w:rPr>
              <w:t>To support Australians by efficiently delivering high quality, accessible services and payments on behalf of government.</w:t>
            </w:r>
          </w:p>
        </w:tc>
      </w:tr>
      <w:tr w:rsidR="00010972" w:rsidTr="00241B17">
        <w:tc>
          <w:tcPr>
            <w:tcW w:w="7768" w:type="dxa"/>
            <w:gridSpan w:val="3"/>
            <w:tcBorders>
              <w:top w:val="single" w:sz="4" w:space="0" w:color="auto"/>
              <w:left w:val="single" w:sz="4" w:space="0" w:color="auto"/>
              <w:bottom w:val="single" w:sz="4" w:space="0" w:color="auto"/>
              <w:right w:val="single" w:sz="4" w:space="0" w:color="auto"/>
            </w:tcBorders>
            <w:hideMark/>
          </w:tcPr>
          <w:p w:rsidR="00064EB2" w:rsidRDefault="00D5482E" w:rsidP="00EE41B9">
            <w:pPr>
              <w:keepLines/>
              <w:pBdr>
                <w:top w:val="nil"/>
                <w:left w:val="nil"/>
                <w:bottom w:val="nil"/>
                <w:right w:val="nil"/>
                <w:between w:val="nil"/>
                <w:bar w:val="nil"/>
              </w:pBdr>
              <w:tabs>
                <w:tab w:val="left" w:pos="709"/>
              </w:tabs>
              <w:spacing w:before="60" w:after="60" w:line="240" w:lineRule="auto"/>
              <w:rPr>
                <w:rFonts w:ascii="Arial" w:hAnsi="Arial" w:cs="Arial"/>
                <w:sz w:val="16"/>
                <w:szCs w:val="16"/>
                <w:highlight w:val="yellow"/>
                <w:bdr w:val="nil"/>
              </w:rPr>
            </w:pPr>
            <w:r>
              <w:rPr>
                <w:rFonts w:ascii="Arial" w:eastAsia="Cambria" w:hAnsi="Arial" w:cs="Arial"/>
                <w:b/>
                <w:bCs/>
                <w:iCs/>
                <w:spacing w:val="-6"/>
                <w:sz w:val="16"/>
                <w:szCs w:val="16"/>
                <w:bdr w:val="nil"/>
              </w:rPr>
              <w:t>Ma</w:t>
            </w:r>
            <w:proofErr w:type="spellStart"/>
            <w:r>
              <w:rPr>
                <w:rFonts w:ascii="Arial" w:eastAsia="Cambria" w:hAnsi="Arial" w:cs="Arial"/>
                <w:b/>
                <w:bCs/>
                <w:iCs/>
                <w:spacing w:val="-6"/>
                <w:sz w:val="16"/>
                <w:szCs w:val="16"/>
                <w:bdr w:val="nil"/>
                <w:lang w:val="x-none"/>
              </w:rPr>
              <w:t>terial</w:t>
            </w:r>
            <w:proofErr w:type="spellEnd"/>
            <w:r>
              <w:rPr>
                <w:rFonts w:ascii="Arial" w:eastAsia="Cambria" w:hAnsi="Arial" w:cs="Arial"/>
                <w:b/>
                <w:bCs/>
                <w:iCs/>
                <w:spacing w:val="-6"/>
                <w:sz w:val="16"/>
                <w:szCs w:val="16"/>
                <w:bdr w:val="nil"/>
                <w:lang w:val="x-none"/>
              </w:rPr>
              <w:t xml:space="preserve"> changes to Program 1.3: Nil.</w:t>
            </w:r>
          </w:p>
        </w:tc>
      </w:tr>
    </w:tbl>
    <w:p w:rsidR="00102381" w:rsidRPr="00064EB2" w:rsidRDefault="00D5482E" w:rsidP="004408B9">
      <w:pPr>
        <w:pStyle w:val="ListParagraph"/>
        <w:keepNext/>
        <w:keepLines/>
        <w:numPr>
          <w:ilvl w:val="0"/>
          <w:numId w:val="52"/>
        </w:numPr>
        <w:pBdr>
          <w:top w:val="nil"/>
          <w:left w:val="nil"/>
          <w:bottom w:val="nil"/>
          <w:right w:val="nil"/>
          <w:between w:val="nil"/>
          <w:bar w:val="nil"/>
        </w:pBdr>
        <w:spacing w:after="20" w:line="240" w:lineRule="auto"/>
        <w:ind w:left="426" w:hanging="284"/>
        <w:rPr>
          <w:rFonts w:eastAsia="Times New Roman" w:cs="Arial"/>
          <w:sz w:val="16"/>
          <w:bdr w:val="nil"/>
          <w:lang w:val="en-AU"/>
        </w:rPr>
      </w:pPr>
      <w:r w:rsidRPr="00064EB2">
        <w:rPr>
          <w:rFonts w:ascii="Arial" w:eastAsia="Times New Roman" w:hAnsi="Arial" w:cs="Arial"/>
          <w:sz w:val="16"/>
          <w:bdr w:val="nil"/>
          <w:lang w:val="en-AU"/>
        </w:rPr>
        <w:t>Refers to the updated purpose reflected in the 2020-21 Corporate Plan.</w:t>
      </w:r>
    </w:p>
    <w:p w:rsidR="007D19F8" w:rsidRPr="00562DDF" w:rsidRDefault="00D5482E" w:rsidP="00EB7026">
      <w:pPr>
        <w:pStyle w:val="Heading2-TOC"/>
        <w:pageBreakBefore/>
        <w:pBdr>
          <w:top w:val="nil"/>
          <w:left w:val="nil"/>
          <w:bottom w:val="nil"/>
          <w:right w:val="nil"/>
          <w:between w:val="nil"/>
          <w:bar w:val="nil"/>
        </w:pBdr>
        <w:spacing w:before="0"/>
        <w:rPr>
          <w:bdr w:val="nil"/>
        </w:rPr>
      </w:pPr>
      <w:bookmarkStart w:id="192" w:name="_Toc112137880"/>
      <w:bookmarkStart w:id="193" w:name="_Toc112137902"/>
      <w:bookmarkStart w:id="194" w:name="_Toc210646455"/>
      <w:bookmarkStart w:id="195" w:name="_Toc210698434"/>
      <w:bookmarkStart w:id="196" w:name="_Toc210703217"/>
      <w:bookmarkStart w:id="197" w:name="_Toc58516313"/>
      <w:bookmarkStart w:id="198" w:name="_Toc143309827"/>
      <w:bookmarkStart w:id="199" w:name="OLE_LINK8"/>
      <w:bookmarkStart w:id="200" w:name="OLE_LINK7"/>
      <w:r w:rsidRPr="00562DDF">
        <w:rPr>
          <w:bdr w:val="nil"/>
        </w:rPr>
        <w:lastRenderedPageBreak/>
        <w:t>Section 3</w:t>
      </w:r>
      <w:bookmarkStart w:id="201" w:name="_Toc449255782_0"/>
      <w:bookmarkStart w:id="202" w:name="_Toc446237038_0"/>
      <w:bookmarkStart w:id="203" w:name="_Toc436625460_0"/>
      <w:bookmarkStart w:id="204" w:name="_Toc436624159_0"/>
      <w:r w:rsidRPr="00562DDF">
        <w:rPr>
          <w:bdr w:val="nil"/>
        </w:rPr>
        <w:t>: Special account flows and budgeted financial statements</w:t>
      </w:r>
      <w:bookmarkStart w:id="205" w:name="_Toc210703218_0"/>
      <w:bookmarkStart w:id="206" w:name="_Toc190682533_0"/>
      <w:bookmarkStart w:id="207" w:name="_Toc190682316_0"/>
      <w:bookmarkEnd w:id="192"/>
      <w:bookmarkEnd w:id="193"/>
      <w:bookmarkEnd w:id="194"/>
      <w:bookmarkEnd w:id="195"/>
      <w:bookmarkEnd w:id="196"/>
      <w:bookmarkEnd w:id="197"/>
      <w:bookmarkEnd w:id="201"/>
      <w:bookmarkEnd w:id="202"/>
      <w:bookmarkEnd w:id="203"/>
      <w:bookmarkEnd w:id="204"/>
    </w:p>
    <w:p w:rsidR="007D19F8" w:rsidRDefault="00D5482E" w:rsidP="00CD78EF">
      <w:pPr>
        <w:pStyle w:val="Heading3"/>
        <w:keepLines w:val="0"/>
        <w:pBdr>
          <w:top w:val="nil"/>
          <w:left w:val="nil"/>
          <w:bottom w:val="nil"/>
          <w:right w:val="nil"/>
          <w:between w:val="nil"/>
          <w:bar w:val="nil"/>
        </w:pBdr>
        <w:spacing w:before="0"/>
        <w:rPr>
          <w:bdr w:val="nil"/>
          <w:lang w:val="x-none"/>
        </w:rPr>
      </w:pPr>
      <w:bookmarkStart w:id="208" w:name="_Toc58516314"/>
      <w:bookmarkStart w:id="209" w:name="_Toc531095071"/>
      <w:r>
        <w:rPr>
          <w:bdr w:val="nil"/>
          <w:lang w:val="x-none"/>
        </w:rPr>
        <w:t>3.1</w:t>
      </w:r>
      <w:r>
        <w:rPr>
          <w:bdr w:val="nil"/>
          <w:lang w:val="x-none"/>
        </w:rPr>
        <w:tab/>
      </w:r>
      <w:bookmarkEnd w:id="205"/>
      <w:bookmarkEnd w:id="206"/>
      <w:bookmarkEnd w:id="207"/>
      <w:r>
        <w:rPr>
          <w:bdr w:val="nil"/>
          <w:lang w:val="x-none"/>
        </w:rPr>
        <w:t>Special account flows</w:t>
      </w:r>
      <w:bookmarkEnd w:id="208"/>
      <w:bookmarkEnd w:id="209"/>
    </w:p>
    <w:p w:rsidR="007D19F8" w:rsidRDefault="00D5482E" w:rsidP="007A3B94">
      <w:pPr>
        <w:pStyle w:val="Heading4"/>
        <w:keepLines w:val="0"/>
        <w:pBdr>
          <w:top w:val="nil"/>
          <w:left w:val="nil"/>
          <w:bottom w:val="nil"/>
          <w:right w:val="nil"/>
          <w:between w:val="nil"/>
          <w:bar w:val="nil"/>
        </w:pBdr>
        <w:spacing w:before="240" w:after="240"/>
        <w:rPr>
          <w:bCs w:val="0"/>
          <w:bdr w:val="nil"/>
          <w:lang w:val="x-none"/>
        </w:rPr>
      </w:pPr>
      <w:r>
        <w:rPr>
          <w:bCs w:val="0"/>
          <w:sz w:val="20"/>
          <w:bdr w:val="nil"/>
          <w:lang w:val="x-none"/>
        </w:rPr>
        <w:t>Estimates of special account flows</w:t>
      </w:r>
      <w:bookmarkEnd w:id="198"/>
    </w:p>
    <w:bookmarkEnd w:id="199"/>
    <w:bookmarkEnd w:id="200"/>
    <w:p w:rsidR="007D19F8" w:rsidRPr="007D19F8" w:rsidRDefault="00D5482E" w:rsidP="00CD78EF">
      <w:pPr>
        <w:pBdr>
          <w:top w:val="nil"/>
          <w:left w:val="nil"/>
          <w:bottom w:val="nil"/>
          <w:right w:val="nil"/>
          <w:between w:val="nil"/>
          <w:bar w:val="nil"/>
        </w:pBdr>
        <w:spacing w:after="240" w:line="240" w:lineRule="auto"/>
        <w:rPr>
          <w:rFonts w:ascii="Book Antiqua" w:eastAsia="Calibri" w:hAnsi="Book Antiqua" w:cs="Times New Roman"/>
          <w:sz w:val="20"/>
          <w:bdr w:val="nil"/>
        </w:rPr>
      </w:pPr>
      <w:r>
        <w:rPr>
          <w:rFonts w:ascii="Book Antiqua" w:eastAsia="Calibri" w:hAnsi="Book Antiqua" w:cs="Times New Roman"/>
          <w:sz w:val="20"/>
          <w:bdr w:val="nil"/>
        </w:rPr>
        <w:t>Special a</w:t>
      </w:r>
      <w:r w:rsidRPr="004974A0">
        <w:rPr>
          <w:rFonts w:ascii="Book Antiqua" w:eastAsia="Calibri" w:hAnsi="Book Antiqua" w:cs="Times New Roman"/>
          <w:sz w:val="20"/>
          <w:bdr w:val="nil"/>
        </w:rPr>
        <w:t>ccounts provide a means to set aside and record amounts used for specified purposes. Table 3.1 shows the expected additions (receipts) and reductions (payments) for each account used by Services Australia.</w:t>
      </w:r>
    </w:p>
    <w:p w:rsidR="007E6680" w:rsidRDefault="00D5482E" w:rsidP="00CD78EF">
      <w:pPr>
        <w:pBdr>
          <w:top w:val="nil"/>
          <w:left w:val="nil"/>
          <w:bottom w:val="nil"/>
          <w:right w:val="nil"/>
          <w:between w:val="nil"/>
          <w:bar w:val="nil"/>
        </w:pBdr>
        <w:spacing w:after="0" w:line="240" w:lineRule="auto"/>
        <w:rPr>
          <w:rFonts w:ascii="Arial" w:eastAsia="Calibri" w:hAnsi="Arial" w:cs="Arial"/>
          <w:b/>
          <w:sz w:val="20"/>
          <w:szCs w:val="20"/>
          <w:bdr w:val="nil"/>
        </w:rPr>
      </w:pPr>
      <w:r w:rsidRPr="007D19F8">
        <w:rPr>
          <w:rFonts w:ascii="Arial" w:eastAsia="Calibri" w:hAnsi="Arial" w:cs="Arial"/>
          <w:b/>
          <w:sz w:val="20"/>
          <w:szCs w:val="20"/>
          <w:bdr w:val="nil"/>
        </w:rPr>
        <w:t>Table 3.1: Estimates of special account flows and balances</w:t>
      </w:r>
    </w:p>
    <w:tbl>
      <w:tblPr>
        <w:tblStyle w:val="CDMRange1"/>
        <w:tblW w:w="7890" w:type="dxa"/>
        <w:tblLayout w:type="fixed"/>
        <w:tblCellMar>
          <w:top w:w="11" w:type="dxa"/>
          <w:bottom w:w="11" w:type="dxa"/>
        </w:tblCellMar>
        <w:tblLook w:val="0600" w:firstRow="0" w:lastRow="0" w:firstColumn="0" w:lastColumn="0" w:noHBand="1" w:noVBand="1"/>
        <w:tblCaption w:val="Table 3.1: Estimates of special account flows and balances"/>
      </w:tblPr>
      <w:tblGrid>
        <w:gridCol w:w="2250"/>
        <w:gridCol w:w="765"/>
        <w:gridCol w:w="975"/>
        <w:gridCol w:w="975"/>
        <w:gridCol w:w="975"/>
        <w:gridCol w:w="975"/>
        <w:gridCol w:w="975"/>
      </w:tblGrid>
      <w:tr w:rsidR="00010972" w:rsidTr="001011E2">
        <w:trPr>
          <w:tblHeader/>
        </w:trPr>
        <w:tc>
          <w:tcPr>
            <w:tcW w:w="2250" w:type="dxa"/>
            <w:tcBorders>
              <w:top w:val="dotted" w:sz="2" w:space="0" w:color="000000"/>
              <w:left w:val="nil"/>
              <w:bottom w:val="nil"/>
              <w:right w:val="nil"/>
              <w:tl2br w:val="nil"/>
              <w:tr2bl w:val="nil"/>
            </w:tcBorders>
            <w:shd w:val="clear" w:color="auto" w:fill="auto"/>
            <w:noWrap/>
            <w:tcMar>
              <w:left w:w="0" w:type="dxa"/>
              <w:right w:w="0" w:type="dxa"/>
            </w:tcMar>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76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Opening</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Receipts</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Payments</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Adjustments</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Closing</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auto" w:fill="auto"/>
            <w:noWrap/>
            <w:tcMar>
              <w:left w:w="0" w:type="dxa"/>
              <w:right w:w="0" w:type="dxa"/>
            </w:tcMar>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76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balance</w:t>
            </w:r>
          </w:p>
        </w:tc>
        <w:tc>
          <w:tcPr>
            <w:tcW w:w="975" w:type="dxa"/>
            <w:tcBorders>
              <w:top w:val="nil"/>
              <w:left w:val="nil"/>
              <w:bottom w:val="nil"/>
              <w:right w:val="nil"/>
              <w:tl2br w:val="nil"/>
              <w:tr2bl w:val="nil"/>
            </w:tcBorders>
            <w:shd w:val="clear" w:color="FFFFFF" w:fill="E6E6E6"/>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balance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auto" w:fill="auto"/>
            <w:noWrap/>
            <w:tcMar>
              <w:left w:w="0" w:type="dxa"/>
              <w:right w:w="0" w:type="dxa"/>
            </w:tcMar>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76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Outcome</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color w:val="000000"/>
                <w:sz w:val="16"/>
                <w:bdr w:val="nil"/>
              </w:rPr>
            </w:pPr>
            <w:r>
              <w:rPr>
                <w:rFonts w:ascii="Arial" w:eastAsia="Arial" w:hAnsi="Arial" w:cs="Arial"/>
                <w:color w:val="000000"/>
                <w:sz w:val="16"/>
                <w:bdr w:val="nil"/>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Child Support Account (A)</w:t>
            </w:r>
          </w:p>
        </w:tc>
        <w:tc>
          <w:tcPr>
            <w:tcW w:w="765" w:type="dxa"/>
            <w:tcBorders>
              <w:top w:val="dotted" w:sz="2" w:space="0" w:color="000000"/>
              <w:left w:val="nil"/>
              <w:bottom w:val="nil"/>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 xml:space="preserve">1 </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2020-21</w:t>
            </w:r>
          </w:p>
        </w:tc>
        <w:tc>
          <w:tcPr>
            <w:tcW w:w="76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center"/>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56,854</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1,626,472</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(1,675,215)</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48,743</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56,854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2019-20</w:t>
            </w:r>
          </w:p>
        </w:tc>
        <w:tc>
          <w:tcPr>
            <w:tcW w:w="76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center"/>
              <w:rPr>
                <w:rFonts w:ascii="Arial" w:eastAsia="Arial" w:hAnsi="Arial" w:cs="Arial"/>
                <w:i/>
                <w:color w:val="000000"/>
                <w:sz w:val="16"/>
                <w:bdr w:val="nil"/>
              </w:rPr>
            </w:pP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74,117</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1,624,118</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(1,661,250)</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19,869</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56,854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auto" w:fill="auto"/>
            <w:tcMar>
              <w:left w:w="40"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Recovery of Compensation</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for Health Care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&amp; Other Services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Special Account (A)</w:t>
            </w:r>
          </w:p>
        </w:tc>
        <w:tc>
          <w:tcPr>
            <w:tcW w:w="765" w:type="dxa"/>
            <w:tcBorders>
              <w:top w:val="nil"/>
              <w:left w:val="nil"/>
              <w:bottom w:val="nil"/>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 xml:space="preserve">1 </w:t>
            </w:r>
          </w:p>
        </w:tc>
        <w:tc>
          <w:tcPr>
            <w:tcW w:w="97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2020-21</w:t>
            </w:r>
          </w:p>
        </w:tc>
        <w:tc>
          <w:tcPr>
            <w:tcW w:w="76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center"/>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103,097</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389,509</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(389,509)</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103,097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2019-20</w:t>
            </w:r>
          </w:p>
        </w:tc>
        <w:tc>
          <w:tcPr>
            <w:tcW w:w="76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center"/>
              <w:rPr>
                <w:rFonts w:ascii="Arial" w:eastAsia="Arial" w:hAnsi="Arial" w:cs="Arial"/>
                <w:i/>
                <w:color w:val="000000"/>
                <w:sz w:val="16"/>
                <w:bdr w:val="nil"/>
              </w:rPr>
            </w:pP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72,112</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354,506</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(314,791)</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(8,730)</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103,097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FFFFFF" w:fill="FFFFFF"/>
            <w:tcMar>
              <w:left w:w="40" w:type="dxa"/>
              <w:right w:w="40" w:type="dxa"/>
            </w:tcMar>
          </w:tcPr>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Services for Other Entities</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and Trust Moneys – Special </w:t>
            </w:r>
          </w:p>
          <w:p w:rsidR="00010972" w:rsidRDefault="00D5482E">
            <w:pPr>
              <w:pBdr>
                <w:top w:val="nil"/>
                <w:left w:val="nil"/>
                <w:bottom w:val="nil"/>
                <w:right w:val="nil"/>
                <w:between w:val="nil"/>
                <w:bar w:val="nil"/>
              </w:pBdr>
              <w:spacing w:after="0" w:line="240" w:lineRule="auto"/>
              <w:rPr>
                <w:rFonts w:ascii="Arial" w:eastAsia="Arial" w:hAnsi="Arial" w:cs="Arial"/>
                <w:color w:val="000000"/>
                <w:sz w:val="16"/>
                <w:bdr w:val="nil"/>
              </w:rPr>
            </w:pPr>
            <w:r>
              <w:rPr>
                <w:rFonts w:ascii="Arial" w:eastAsia="Arial" w:hAnsi="Arial" w:cs="Arial"/>
                <w:color w:val="000000"/>
                <w:sz w:val="16"/>
                <w:bdr w:val="nil"/>
              </w:rPr>
              <w:t xml:space="preserve">  Account (A) &amp; (D)</w:t>
            </w:r>
          </w:p>
        </w:tc>
        <w:tc>
          <w:tcPr>
            <w:tcW w:w="765" w:type="dxa"/>
            <w:tcBorders>
              <w:top w:val="nil"/>
              <w:left w:val="nil"/>
              <w:bottom w:val="nil"/>
              <w:right w:val="nil"/>
              <w:tl2br w:val="nil"/>
              <w:tr2bl w:val="nil"/>
            </w:tcBorders>
            <w:shd w:val="clear" w:color="auto" w:fill="auto"/>
            <w:noWrap/>
            <w:tcMar>
              <w:left w:w="40" w:type="dxa"/>
              <w:right w:w="40" w:type="dxa"/>
            </w:tcMar>
          </w:tcPr>
          <w:p w:rsidR="00010972" w:rsidRDefault="00D5482E">
            <w:pPr>
              <w:pBdr>
                <w:top w:val="nil"/>
                <w:left w:val="nil"/>
                <w:bottom w:val="nil"/>
                <w:right w:val="nil"/>
                <w:between w:val="nil"/>
                <w:bar w:val="nil"/>
              </w:pBdr>
              <w:spacing w:after="0" w:line="240" w:lineRule="auto"/>
              <w:jc w:val="center"/>
              <w:rPr>
                <w:rFonts w:ascii="Arial" w:eastAsia="Arial" w:hAnsi="Arial" w:cs="Arial"/>
                <w:color w:val="000000"/>
                <w:sz w:val="16"/>
                <w:bdr w:val="nil"/>
              </w:rPr>
            </w:pPr>
            <w:r>
              <w:rPr>
                <w:rFonts w:ascii="Arial" w:eastAsia="Arial" w:hAnsi="Arial" w:cs="Arial"/>
                <w:color w:val="000000"/>
                <w:sz w:val="16"/>
                <w:bdr w:val="nil"/>
              </w:rPr>
              <w:t xml:space="preserve">1 </w:t>
            </w:r>
          </w:p>
        </w:tc>
        <w:tc>
          <w:tcPr>
            <w:tcW w:w="97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nil"/>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2020-21</w:t>
            </w:r>
          </w:p>
        </w:tc>
        <w:tc>
          <w:tcPr>
            <w:tcW w:w="76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center"/>
              <w:rPr>
                <w:rFonts w:ascii="Arial" w:eastAsia="Arial" w:hAnsi="Arial" w:cs="Arial"/>
                <w:b/>
                <w:color w:val="000000"/>
                <w:sz w:val="16"/>
                <w:bdr w:val="nil"/>
              </w:rPr>
            </w:pP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28</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550</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(550)</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2019-20</w:t>
            </w:r>
          </w:p>
        </w:tc>
        <w:tc>
          <w:tcPr>
            <w:tcW w:w="76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center"/>
              <w:rPr>
                <w:rFonts w:ascii="Arial" w:eastAsia="Arial" w:hAnsi="Arial" w:cs="Arial"/>
                <w:i/>
                <w:color w:val="000000"/>
                <w:sz w:val="16"/>
                <w:bdr w:val="nil"/>
              </w:rPr>
            </w:pP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88</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1,601</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(1,655)</w:t>
            </w:r>
          </w:p>
        </w:tc>
        <w:tc>
          <w:tcPr>
            <w:tcW w:w="975" w:type="dxa"/>
            <w:tcBorders>
              <w:top w:val="nil"/>
              <w:left w:val="nil"/>
              <w:bottom w:val="nil"/>
              <w:right w:val="nil"/>
              <w:tl2br w:val="nil"/>
              <w:tr2bl w:val="nil"/>
            </w:tcBorders>
            <w:shd w:val="clear" w:color="FFFFFF" w:fill="E6E6E6"/>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(6)</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28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auto" w:fill="auto"/>
            <w:noWrap/>
            <w:tcMar>
              <w:left w:w="135"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76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Total special accounts</w:t>
            </w:r>
          </w:p>
          <w:p w:rsidR="00010972" w:rsidRDefault="00D5482E">
            <w:pPr>
              <w:pBdr>
                <w:top w:val="nil"/>
                <w:left w:val="nil"/>
                <w:bottom w:val="nil"/>
                <w:right w:val="nil"/>
                <w:between w:val="nil"/>
                <w:bar w:val="nil"/>
              </w:pBdr>
              <w:spacing w:after="0" w:line="240" w:lineRule="auto"/>
              <w:rPr>
                <w:rFonts w:ascii="Arial" w:eastAsia="Arial" w:hAnsi="Arial" w:cs="Arial"/>
                <w:b/>
                <w:color w:val="000000"/>
                <w:sz w:val="16"/>
                <w:bdr w:val="nil"/>
              </w:rPr>
            </w:pPr>
            <w:r>
              <w:rPr>
                <w:rFonts w:ascii="Arial" w:eastAsia="Arial" w:hAnsi="Arial" w:cs="Arial"/>
                <w:b/>
                <w:color w:val="000000"/>
                <w:sz w:val="16"/>
                <w:bdr w:val="nil"/>
              </w:rPr>
              <w:t xml:space="preserve">  2020-21 Revised estimate</w:t>
            </w:r>
          </w:p>
        </w:tc>
        <w:tc>
          <w:tcPr>
            <w:tcW w:w="76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159,979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2,016,531</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(2,065,274)</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48,743</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pBdr>
                <w:top w:val="nil"/>
                <w:left w:val="nil"/>
                <w:bottom w:val="nil"/>
                <w:right w:val="nil"/>
                <w:between w:val="nil"/>
                <w:bar w:val="nil"/>
              </w:pBdr>
              <w:spacing w:after="0" w:line="240" w:lineRule="auto"/>
              <w:jc w:val="right"/>
              <w:rPr>
                <w:rFonts w:ascii="Arial" w:eastAsia="Arial" w:hAnsi="Arial" w:cs="Arial"/>
                <w:b/>
                <w:color w:val="000000"/>
                <w:sz w:val="16"/>
                <w:bdr w:val="nil"/>
              </w:rPr>
            </w:pPr>
            <w:r>
              <w:rPr>
                <w:rFonts w:ascii="Arial" w:eastAsia="Arial" w:hAnsi="Arial" w:cs="Arial"/>
                <w:b/>
                <w:color w:val="000000"/>
                <w:sz w:val="16"/>
                <w:bdr w:val="nil"/>
              </w:rPr>
              <w:t>159,979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auto" w:fill="auto"/>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b/>
                <w:color w:val="000000"/>
                <w:sz w:val="16"/>
                <w:bdr w:val="nil"/>
              </w:rPr>
            </w:pPr>
          </w:p>
        </w:tc>
        <w:tc>
          <w:tcPr>
            <w:tcW w:w="76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color w:val="000000"/>
                <w:sz w:val="16"/>
                <w:bdr w:val="nil"/>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pBdr>
                <w:top w:val="nil"/>
                <w:left w:val="nil"/>
                <w:bottom w:val="nil"/>
                <w:right w:val="nil"/>
                <w:between w:val="nil"/>
                <w:bar w:val="nil"/>
              </w:pBdr>
              <w:spacing w:after="0" w:line="240" w:lineRule="auto"/>
              <w:jc w:val="right"/>
              <w:rPr>
                <w:rFonts w:ascii="Arial" w:eastAsia="Arial" w:hAnsi="Arial" w:cs="Arial"/>
                <w:b/>
                <w:i/>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Total special accounts</w:t>
            </w:r>
          </w:p>
        </w:tc>
        <w:tc>
          <w:tcPr>
            <w:tcW w:w="76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c>
          <w:tcPr>
            <w:tcW w:w="975" w:type="dxa"/>
            <w:tcBorders>
              <w:top w:val="nil"/>
              <w:left w:val="nil"/>
              <w:bottom w:val="dotted" w:sz="2" w:space="0" w:color="000000"/>
              <w:right w:val="nil"/>
              <w:tl2br w:val="nil"/>
              <w:tr2bl w:val="nil"/>
            </w:tcBorders>
            <w:shd w:val="clear" w:color="FFFFFF" w:fill="E6E6E6"/>
            <w:noWrap/>
            <w:tcMar>
              <w:left w:w="0" w:type="dxa"/>
              <w:right w:w="0" w:type="dxa"/>
            </w:tcMar>
            <w:vAlign w:val="center"/>
          </w:tcPr>
          <w:p w:rsidR="00010972" w:rsidRDefault="00010972">
            <w:pPr>
              <w:pBdr>
                <w:top w:val="nil"/>
                <w:left w:val="nil"/>
                <w:bottom w:val="nil"/>
                <w:right w:val="nil"/>
                <w:between w:val="nil"/>
                <w:bar w:val="nil"/>
              </w:pBdr>
              <w:spacing w:after="0" w:line="240" w:lineRule="auto"/>
              <w:rPr>
                <w:rFonts w:ascii="Arial" w:eastAsia="Arial" w:hAnsi="Arial" w:cs="Arial"/>
                <w:color w:val="000000"/>
                <w:sz w:val="16"/>
                <w:bdr w:val="nil"/>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50" w:type="dxa"/>
            <w:tcBorders>
              <w:top w:val="nil"/>
              <w:left w:val="nil"/>
              <w:bottom w:val="dotted" w:sz="2" w:space="0" w:color="000000"/>
              <w:right w:val="nil"/>
              <w:tl2br w:val="nil"/>
              <w:tr2bl w:val="nil"/>
            </w:tcBorders>
            <w:shd w:val="clear" w:color="auto" w:fill="auto"/>
            <w:tcMar>
              <w:left w:w="175" w:type="dxa"/>
              <w:right w:w="40" w:type="dxa"/>
            </w:tcMar>
            <w:vAlign w:val="center"/>
          </w:tcPr>
          <w:p w:rsidR="00010972" w:rsidRDefault="00D5482E">
            <w:pPr>
              <w:pBdr>
                <w:top w:val="nil"/>
                <w:left w:val="nil"/>
                <w:bottom w:val="nil"/>
                <w:right w:val="nil"/>
                <w:between w:val="nil"/>
                <w:bar w:val="nil"/>
              </w:pBdr>
              <w:spacing w:after="0" w:line="240" w:lineRule="auto"/>
              <w:rPr>
                <w:rFonts w:ascii="Arial" w:eastAsia="Arial" w:hAnsi="Arial" w:cs="Arial"/>
                <w:i/>
                <w:color w:val="000000"/>
                <w:sz w:val="16"/>
                <w:bdr w:val="nil"/>
              </w:rPr>
            </w:pPr>
            <w:r>
              <w:rPr>
                <w:rFonts w:ascii="Arial" w:eastAsia="Arial" w:hAnsi="Arial" w:cs="Arial"/>
                <w:i/>
                <w:color w:val="000000"/>
                <w:sz w:val="16"/>
                <w:bdr w:val="nil"/>
              </w:rPr>
              <w:t>2019-20 actual</w:t>
            </w:r>
          </w:p>
        </w:tc>
        <w:tc>
          <w:tcPr>
            <w:tcW w:w="765" w:type="dxa"/>
            <w:tcBorders>
              <w:top w:val="nil"/>
              <w:left w:val="nil"/>
              <w:bottom w:val="dotted" w:sz="2" w:space="0" w:color="000000"/>
              <w:right w:val="nil"/>
              <w:tl2br w:val="nil"/>
              <w:tr2bl w:val="nil"/>
            </w:tcBorders>
            <w:shd w:val="clear" w:color="auto" w:fill="auto"/>
            <w:noWrap/>
            <w:tcMar>
              <w:left w:w="0" w:type="dxa"/>
              <w:right w:w="0" w:type="dxa"/>
            </w:tcMar>
            <w:vAlign w:val="center"/>
          </w:tcPr>
          <w:p w:rsidR="00010972" w:rsidRDefault="00010972">
            <w:pPr>
              <w:pBdr>
                <w:top w:val="nil"/>
                <w:left w:val="nil"/>
                <w:bottom w:val="nil"/>
                <w:right w:val="nil"/>
                <w:between w:val="nil"/>
                <w:bar w:val="nil"/>
              </w:pBdr>
              <w:spacing w:after="0" w:line="240" w:lineRule="auto"/>
              <w:jc w:val="center"/>
              <w:rPr>
                <w:rFonts w:ascii="Arial" w:eastAsia="Arial" w:hAnsi="Arial" w:cs="Arial"/>
                <w:color w:val="000000"/>
                <w:sz w:val="16"/>
                <w:bdr w:val="nil"/>
              </w:rPr>
            </w:pP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146,317</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1,980,225</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(1,977,696)</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11,133</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pBdr>
                <w:top w:val="nil"/>
                <w:left w:val="nil"/>
                <w:bottom w:val="nil"/>
                <w:right w:val="nil"/>
                <w:between w:val="nil"/>
                <w:bar w:val="nil"/>
              </w:pBdr>
              <w:spacing w:after="0" w:line="240" w:lineRule="auto"/>
              <w:jc w:val="right"/>
              <w:rPr>
                <w:rFonts w:ascii="Arial" w:eastAsia="Arial" w:hAnsi="Arial" w:cs="Arial"/>
                <w:i/>
                <w:color w:val="000000"/>
                <w:sz w:val="16"/>
                <w:bdr w:val="nil"/>
              </w:rPr>
            </w:pPr>
            <w:r>
              <w:rPr>
                <w:rFonts w:ascii="Arial" w:eastAsia="Arial" w:hAnsi="Arial" w:cs="Arial"/>
                <w:i/>
                <w:color w:val="000000"/>
                <w:sz w:val="16"/>
                <w:bdr w:val="nil"/>
              </w:rPr>
              <w:t>159,979</w:t>
            </w:r>
          </w:p>
        </w:tc>
      </w:tr>
    </w:tbl>
    <w:p w:rsidR="007D19F8" w:rsidRDefault="00D5482E" w:rsidP="007D19F8">
      <w:pPr>
        <w:pStyle w:val="Source"/>
        <w:keepLines w:val="0"/>
        <w:pBdr>
          <w:top w:val="nil"/>
          <w:left w:val="nil"/>
          <w:bottom w:val="nil"/>
          <w:right w:val="nil"/>
          <w:between w:val="nil"/>
          <w:bar w:val="nil"/>
        </w:pBdr>
        <w:rPr>
          <w:bdr w:val="nil"/>
        </w:rPr>
      </w:pPr>
      <w:r>
        <w:rPr>
          <w:bdr w:val="nil"/>
        </w:rPr>
        <w:t>(A) = Administered</w:t>
      </w:r>
    </w:p>
    <w:p w:rsidR="007D19F8" w:rsidRDefault="00D5482E" w:rsidP="007D19F8">
      <w:pPr>
        <w:pStyle w:val="Source"/>
        <w:keepLines w:val="0"/>
        <w:pBdr>
          <w:top w:val="nil"/>
          <w:left w:val="nil"/>
          <w:bottom w:val="nil"/>
          <w:right w:val="nil"/>
          <w:between w:val="nil"/>
          <w:bar w:val="nil"/>
        </w:pBdr>
        <w:rPr>
          <w:bdr w:val="nil"/>
        </w:rPr>
      </w:pPr>
      <w:r>
        <w:rPr>
          <w:bdr w:val="nil"/>
        </w:rPr>
        <w:t>(D) = Departmental</w:t>
      </w:r>
    </w:p>
    <w:p w:rsidR="007D19F8" w:rsidRPr="007D19F8" w:rsidRDefault="007D19F8" w:rsidP="007D19F8">
      <w:pPr>
        <w:pBdr>
          <w:top w:val="nil"/>
          <w:left w:val="nil"/>
          <w:bottom w:val="nil"/>
          <w:right w:val="nil"/>
          <w:between w:val="nil"/>
          <w:bar w:val="nil"/>
        </w:pBdr>
        <w:spacing w:after="160" w:line="259" w:lineRule="auto"/>
        <w:rPr>
          <w:rFonts w:ascii="Arial" w:eastAsia="Calibri" w:hAnsi="Arial" w:cs="Arial"/>
          <w:b/>
          <w:vanish/>
          <w:sz w:val="20"/>
          <w:szCs w:val="20"/>
          <w:bdr w:val="nil"/>
        </w:rPr>
      </w:pPr>
    </w:p>
    <w:p w:rsidR="00551F66" w:rsidRDefault="00D5482E" w:rsidP="00716A39">
      <w:pPr>
        <w:pStyle w:val="Heading3"/>
        <w:pageBreakBefore/>
        <w:pBdr>
          <w:top w:val="nil"/>
          <w:left w:val="nil"/>
          <w:bottom w:val="nil"/>
          <w:right w:val="nil"/>
          <w:between w:val="nil"/>
          <w:bar w:val="nil"/>
        </w:pBdr>
        <w:spacing w:before="0"/>
        <w:rPr>
          <w:szCs w:val="26"/>
          <w:bdr w:val="nil"/>
        </w:rPr>
      </w:pPr>
      <w:bookmarkStart w:id="210" w:name="_Toc190682316_1"/>
      <w:bookmarkStart w:id="211" w:name="_Toc190682533_1"/>
      <w:bookmarkStart w:id="212" w:name="_Toc210703218_1"/>
      <w:r>
        <w:rPr>
          <w:szCs w:val="26"/>
          <w:bdr w:val="nil"/>
        </w:rPr>
        <w:lastRenderedPageBreak/>
        <w:t>3.2</w:t>
      </w:r>
      <w:r>
        <w:rPr>
          <w:szCs w:val="26"/>
          <w:bdr w:val="nil"/>
        </w:rPr>
        <w:tab/>
        <w:t>Budgeted financial statements</w:t>
      </w:r>
      <w:bookmarkEnd w:id="210"/>
      <w:bookmarkEnd w:id="211"/>
      <w:bookmarkEnd w:id="212"/>
    </w:p>
    <w:p w:rsidR="00551F66" w:rsidRDefault="00D5482E" w:rsidP="008E1C8A">
      <w:pPr>
        <w:pStyle w:val="Heading4"/>
        <w:pBdr>
          <w:top w:val="nil"/>
          <w:left w:val="nil"/>
          <w:bottom w:val="nil"/>
          <w:right w:val="nil"/>
          <w:between w:val="nil"/>
          <w:bar w:val="nil"/>
        </w:pBdr>
        <w:spacing w:before="0" w:after="240"/>
        <w:rPr>
          <w:bdr w:val="nil"/>
        </w:rPr>
      </w:pPr>
      <w:r>
        <w:rPr>
          <w:bdr w:val="nil"/>
        </w:rPr>
        <w:t>3.2.1</w:t>
      </w:r>
      <w:r>
        <w:rPr>
          <w:bdr w:val="nil"/>
        </w:rPr>
        <w:tab/>
        <w:t>Analysis of budgeted financial statements</w:t>
      </w:r>
    </w:p>
    <w:p w:rsidR="00551F66" w:rsidRDefault="00D5482E" w:rsidP="00551F66">
      <w:pPr>
        <w:keepLines/>
        <w:pBdr>
          <w:top w:val="nil"/>
          <w:left w:val="nil"/>
          <w:bottom w:val="nil"/>
          <w:right w:val="nil"/>
          <w:between w:val="nil"/>
          <w:bar w:val="nil"/>
        </w:pBdr>
        <w:spacing w:after="240" w:line="260" w:lineRule="exact"/>
        <w:jc w:val="both"/>
        <w:rPr>
          <w:bdr w:val="nil"/>
          <w:lang w:val="en-AU"/>
        </w:rPr>
      </w:pPr>
      <w:r>
        <w:rPr>
          <w:rFonts w:ascii="Book Antiqua" w:eastAsia="Times New Roman" w:hAnsi="Book Antiqua" w:cs="Times New Roman"/>
          <w:sz w:val="20"/>
          <w:szCs w:val="20"/>
          <w:bdr w:val="nil"/>
          <w:lang w:val="en-AU" w:eastAsia="en-AU"/>
        </w:rPr>
        <w:t xml:space="preserve">Detailed analysis of budgeted financial statements was included within pages 239-240 of the </w:t>
      </w:r>
      <w:r w:rsidRPr="00495BB4">
        <w:rPr>
          <w:rFonts w:ascii="Book Antiqua" w:eastAsia="Times New Roman" w:hAnsi="Book Antiqua" w:cs="Times New Roman"/>
          <w:sz w:val="20"/>
          <w:szCs w:val="20"/>
          <w:bdr w:val="nil"/>
          <w:lang w:val="en-AU" w:eastAsia="en-AU"/>
        </w:rPr>
        <w:t>Portfolio Budget Statements 2020-21, Budget Related Paper No. 1.12 Social Services Portfolio.</w:t>
      </w:r>
      <w:r>
        <w:rPr>
          <w:rFonts w:ascii="Book Antiqua" w:eastAsia="Times New Roman" w:hAnsi="Book Antiqua" w:cs="Times New Roman"/>
          <w:sz w:val="20"/>
          <w:szCs w:val="20"/>
          <w:bdr w:val="nil"/>
          <w:lang w:val="en-AU" w:eastAsia="en-AU"/>
        </w:rPr>
        <w:t xml:space="preserve"> </w:t>
      </w:r>
    </w:p>
    <w:p w:rsidR="0066404C" w:rsidRDefault="00D5482E" w:rsidP="0066404C">
      <w:pPr>
        <w:keepLines/>
        <w:pBdr>
          <w:top w:val="nil"/>
          <w:left w:val="nil"/>
          <w:bottom w:val="nil"/>
          <w:right w:val="nil"/>
          <w:between w:val="nil"/>
          <w:bar w:val="nil"/>
        </w:pBdr>
        <w:spacing w:after="240" w:line="260" w:lineRule="exact"/>
        <w:jc w:val="both"/>
        <w:rPr>
          <w:bdr w:val="nil"/>
          <w:lang w:val="en-AU"/>
        </w:rPr>
      </w:pPr>
      <w:r>
        <w:rPr>
          <w:rFonts w:ascii="Book Antiqua" w:eastAsia="Times New Roman" w:hAnsi="Book Antiqua" w:cs="Times New Roman"/>
          <w:sz w:val="20"/>
          <w:szCs w:val="20"/>
          <w:bdr w:val="nil"/>
          <w:lang w:val="en-AU" w:eastAsia="en-AU"/>
        </w:rPr>
        <w:t>Changes within the budgeted financial statements since 2020-21 Budget are the result of new measures or other budget variations, which have been detailed in Table 1.3, or category reclassifications.</w:t>
      </w:r>
    </w:p>
    <w:p w:rsidR="006B6EF0" w:rsidRPr="00551F66" w:rsidRDefault="00D5482E" w:rsidP="008E1C8A">
      <w:pPr>
        <w:pStyle w:val="Heading3"/>
        <w:pBdr>
          <w:top w:val="nil"/>
          <w:left w:val="nil"/>
          <w:bottom w:val="nil"/>
          <w:right w:val="nil"/>
          <w:between w:val="nil"/>
          <w:bar w:val="nil"/>
        </w:pBdr>
        <w:spacing w:before="0"/>
        <w:rPr>
          <w:sz w:val="22"/>
          <w:szCs w:val="26"/>
          <w:bdr w:val="nil"/>
        </w:rPr>
      </w:pPr>
      <w:r w:rsidRPr="00551F66">
        <w:rPr>
          <w:sz w:val="22"/>
          <w:szCs w:val="26"/>
          <w:bdr w:val="nil"/>
        </w:rPr>
        <w:t>3.2</w:t>
      </w:r>
      <w:r>
        <w:rPr>
          <w:sz w:val="22"/>
          <w:szCs w:val="26"/>
          <w:bdr w:val="nil"/>
        </w:rPr>
        <w:t>.2</w:t>
      </w:r>
      <w:r w:rsidRPr="00551F66">
        <w:rPr>
          <w:sz w:val="22"/>
          <w:szCs w:val="26"/>
          <w:bdr w:val="nil"/>
        </w:rPr>
        <w:tab/>
      </w:r>
      <w:r>
        <w:rPr>
          <w:bCs/>
          <w:smallCaps w:val="0"/>
          <w:sz w:val="22"/>
          <w:bdr w:val="nil"/>
        </w:rPr>
        <w:t>Budgeted financial statements</w:t>
      </w:r>
    </w:p>
    <w:p w:rsidR="005E7F55" w:rsidRDefault="00D5482E" w:rsidP="005E7F55">
      <w:pPr>
        <w:pStyle w:val="TableHeading"/>
        <w:keepLines/>
        <w:pBdr>
          <w:top w:val="nil"/>
          <w:left w:val="nil"/>
          <w:bottom w:val="nil"/>
          <w:right w:val="nil"/>
          <w:between w:val="nil"/>
          <w:bar w:val="nil"/>
        </w:pBdr>
        <w:spacing w:before="0" w:after="0"/>
        <w:rPr>
          <w:bdr w:val="nil"/>
        </w:rPr>
      </w:pPr>
      <w:r>
        <w:rPr>
          <w:bdr w:val="nil"/>
        </w:rPr>
        <w:t>Table 3.2: Comprehensive income statement (showing net cost of services) for the period ended 30 June</w:t>
      </w:r>
    </w:p>
    <w:tbl>
      <w:tblPr>
        <w:tblStyle w:val="CDMRange1"/>
        <w:tblW w:w="8025" w:type="dxa"/>
        <w:tblLayout w:type="fixed"/>
        <w:tblCellMar>
          <w:top w:w="11" w:type="dxa"/>
          <w:bottom w:w="11" w:type="dxa"/>
        </w:tblCellMar>
        <w:tblLook w:val="0600" w:firstRow="0" w:lastRow="0" w:firstColumn="0" w:lastColumn="0" w:noHBand="1" w:noVBand="1"/>
        <w:tblCaption w:val="Table 3.2: Comprehensive income statement (showing net cost of services) for the period ended 30 June"/>
      </w:tblPr>
      <w:tblGrid>
        <w:gridCol w:w="3150"/>
        <w:gridCol w:w="975"/>
        <w:gridCol w:w="975"/>
        <w:gridCol w:w="975"/>
        <w:gridCol w:w="975"/>
        <w:gridCol w:w="975"/>
      </w:tblGrid>
      <w:tr w:rsidR="00010972" w:rsidTr="001011E2">
        <w:trPr>
          <w:tblHeader/>
        </w:trPr>
        <w:tc>
          <w:tcPr>
            <w:tcW w:w="315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6E6E6"/>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nil"/>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E6E6E6"/>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EXPENSES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Employee benefits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2,804,278</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2,828,174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2,451,370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2,361,346</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2,369,127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175" w:type="dxa"/>
              <w:right w:w="40" w:type="dxa"/>
            </w:tcMa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Suppliers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1,859,940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2,021,349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1,614,327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1,178,962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1,055,333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Depreciation and amortisation</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699,744</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764,145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773,280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703,353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647,677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175" w:type="dxa"/>
              <w:right w:w="40" w:type="dxa"/>
            </w:tcMa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Finance costs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30,960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130,457</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14,351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14,783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16,084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Write-down and impairment of assets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18,720</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expenses</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2,260</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3,192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3,251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3,310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3,371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expenses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5,415,902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5,747,317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4,856,579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4,261,754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4,091,592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LESS: </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OWN SOURCE INCOME</w:t>
            </w: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Own-source revenue</w:t>
            </w: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Rendering of services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234,735</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226,724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221,550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196,220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195,595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Rental income</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16,266</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14,593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13,865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14,083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14,305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Resources received free of charge</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26,692</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20,584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2,060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2,060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2,060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revenue</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393</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40" w:type="dxa"/>
              <w:right w:w="40" w:type="dxa"/>
            </w:tcMa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own-source revenue</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278,086</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261,901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237,475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212,363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211,960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Gains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gains</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3,643</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gains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3,643</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own-source Income</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281,729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261,901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237,475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212,363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211,960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cost of/(contribution by)</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services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(5,134,173)</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(5,485,416)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(4,619,104)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(4,049,391)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(3,879,632)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Revenue from government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5,063,501</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5,109,957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4,231,978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3,729,872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3,601,999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Surplus/(deficit) attributable to the</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Australian Government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(70,672)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(375,459)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(387,126)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(319,519)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(277,633)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OTHER COMPREHENSIVE INCOME</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Changes in asset revaluation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surplus</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16,341</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other comprehensive</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income</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16,341</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comprehensive income/(loss)</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attributable to the Australian</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Government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(54,331)</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(375,459)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(387,126)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(319,519)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(277,633)</w:t>
            </w:r>
          </w:p>
        </w:tc>
      </w:tr>
    </w:tbl>
    <w:p w:rsidR="006A5B55" w:rsidRPr="00D71BFC" w:rsidRDefault="00D5482E" w:rsidP="00D71BFC">
      <w:pPr>
        <w:keepLines/>
        <w:pBdr>
          <w:top w:val="nil"/>
          <w:left w:val="nil"/>
          <w:bottom w:val="nil"/>
          <w:right w:val="nil"/>
          <w:between w:val="nil"/>
          <w:bar w:val="nil"/>
        </w:pBdr>
        <w:spacing w:after="0" w:line="240" w:lineRule="auto"/>
        <w:rPr>
          <w:rFonts w:ascii="Arial" w:hAnsi="Arial" w:cs="Arial"/>
          <w:sz w:val="16"/>
          <w:szCs w:val="16"/>
          <w:bdr w:val="nil"/>
          <w:lang w:val="en-AU" w:eastAsia="x-none"/>
        </w:rPr>
      </w:pPr>
      <w:r>
        <w:rPr>
          <w:rFonts w:ascii="Arial" w:eastAsia="Times New Roman" w:hAnsi="Arial" w:cs="Arial"/>
          <w:sz w:val="16"/>
          <w:szCs w:val="16"/>
          <w:bdr w:val="nil"/>
          <w:lang w:val="en-AU" w:eastAsia="x-none"/>
        </w:rPr>
        <w:t>Prepared on Australian Accounting Standards basis.</w:t>
      </w:r>
      <w:r>
        <w:rPr>
          <w:rFonts w:ascii="Book Antiqua" w:eastAsia="Times New Roman" w:hAnsi="Book Antiqua" w:cs="Times New Roman"/>
          <w:sz w:val="20"/>
          <w:szCs w:val="20"/>
          <w:bdr w:val="nil"/>
          <w:lang w:val="en-AU" w:eastAsia="en-AU"/>
        </w:rPr>
        <w:br w:type="page"/>
      </w:r>
    </w:p>
    <w:p w:rsidR="00D30097" w:rsidRDefault="00D5482E" w:rsidP="00D30097">
      <w:pPr>
        <w:pStyle w:val="TableHeading"/>
        <w:keepLines/>
        <w:pBdr>
          <w:top w:val="nil"/>
          <w:left w:val="nil"/>
          <w:bottom w:val="nil"/>
          <w:right w:val="nil"/>
          <w:between w:val="nil"/>
          <w:bar w:val="nil"/>
        </w:pBdr>
        <w:spacing w:before="0" w:after="0"/>
        <w:rPr>
          <w:bdr w:val="nil"/>
        </w:rPr>
      </w:pPr>
      <w:r>
        <w:rPr>
          <w:bdr w:val="nil"/>
        </w:rPr>
        <w:lastRenderedPageBreak/>
        <w:t>Table 3.2: Comprehensive income statement (showing net cost of services) for the period ended 30 June (continued)</w:t>
      </w:r>
    </w:p>
    <w:tbl>
      <w:tblPr>
        <w:tblStyle w:val="CDMRange2"/>
        <w:tblW w:w="8025" w:type="dxa"/>
        <w:tblLayout w:type="fixed"/>
        <w:tblCellMar>
          <w:top w:w="11" w:type="dxa"/>
          <w:bottom w:w="11" w:type="dxa"/>
        </w:tblCellMar>
        <w:tblLook w:val="0600" w:firstRow="0" w:lastRow="0" w:firstColumn="0" w:lastColumn="0" w:noHBand="1" w:noVBand="1"/>
        <w:tblCaption w:val="Table 3.2: Comprehensive income statement (showing net cost of services) for the period ended 30 June (continued)"/>
      </w:tblPr>
      <w:tblGrid>
        <w:gridCol w:w="3150"/>
        <w:gridCol w:w="975"/>
        <w:gridCol w:w="975"/>
        <w:gridCol w:w="975"/>
        <w:gridCol w:w="975"/>
        <w:gridCol w:w="975"/>
      </w:tblGrid>
      <w:tr w:rsidR="00010972" w:rsidTr="00F14F11">
        <w:trPr>
          <w:tblHeader/>
        </w:trPr>
        <w:tc>
          <w:tcPr>
            <w:tcW w:w="8025" w:type="dxa"/>
            <w:gridSpan w:val="6"/>
            <w:tcBorders>
              <w:top w:val="dotted" w:sz="2" w:space="0" w:color="000000"/>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Note: Impact of net cash appropriation arrangements</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6E6E6"/>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nil"/>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E6E6E6"/>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comprehensive income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excluding depreciation/amortisation</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expenses previously funded</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through revenue appropriations,</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depreciation on ROU, principal</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repayments on leased assets</w:t>
            </w:r>
          </w:p>
        </w:tc>
        <w:tc>
          <w:tcPr>
            <w:tcW w:w="975"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346,551</w:t>
            </w:r>
          </w:p>
        </w:tc>
        <w:tc>
          <w:tcPr>
            <w:tcW w:w="975" w:type="dxa"/>
            <w:tcBorders>
              <w:top w:val="dotted" w:sz="2" w:space="0" w:color="000000"/>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21,886</w:t>
            </w:r>
          </w:p>
        </w:tc>
        <w:tc>
          <w:tcPr>
            <w:tcW w:w="975"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14,954</w:t>
            </w:r>
          </w:p>
        </w:tc>
        <w:tc>
          <w:tcPr>
            <w:tcW w:w="975"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14,954</w:t>
            </w:r>
          </w:p>
        </w:tc>
        <w:tc>
          <w:tcPr>
            <w:tcW w:w="975"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14,954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depreciation/amortisation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of assets funded through</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appropriations (DCB funding and /or</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equity injections) (a)</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(324,499)</w:t>
            </w:r>
          </w:p>
        </w:tc>
        <w:tc>
          <w:tcPr>
            <w:tcW w:w="975"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(347,209)</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(341,254)</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(232,818)</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(164,607)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depreciation of ROU (b)</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(375,245)</w:t>
            </w:r>
          </w:p>
        </w:tc>
        <w:tc>
          <w:tcPr>
            <w:tcW w:w="975" w:type="dxa"/>
            <w:tcBorders>
              <w:top w:val="nil"/>
              <w:left w:val="nil"/>
              <w:bottom w:val="nil"/>
              <w:right w:val="nil"/>
              <w:tl2br w:val="nil"/>
              <w:tr2bl w:val="nil"/>
            </w:tcBorders>
            <w:shd w:val="clear" w:color="FFFFFF" w:fill="E6E6E6"/>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(416,936)</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(432,026)</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(470,535)</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(483,070)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principal repayments (b)</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298,862</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366,800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371,200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368,880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355,090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5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Total comprehensive loss – as per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the Comprehensive income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statement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(54,331)</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(375,459)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(387,126)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(319,519)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(277,633)</w:t>
            </w:r>
          </w:p>
        </w:tc>
      </w:tr>
    </w:tbl>
    <w:p w:rsidR="002C581B" w:rsidRDefault="00D5482E" w:rsidP="00716A39">
      <w:pPr>
        <w:pStyle w:val="Source"/>
        <w:pBdr>
          <w:top w:val="nil"/>
          <w:left w:val="nil"/>
          <w:bottom w:val="nil"/>
          <w:right w:val="nil"/>
          <w:between w:val="nil"/>
          <w:bar w:val="nil"/>
        </w:pBdr>
        <w:rPr>
          <w:bdr w:val="nil"/>
        </w:rPr>
      </w:pPr>
      <w:r>
        <w:rPr>
          <w:bdr w:val="nil"/>
        </w:rPr>
        <w:t>Prepared on Australian Accounting Standards basis.</w:t>
      </w:r>
    </w:p>
    <w:p w:rsidR="002A3CF9" w:rsidRDefault="00D5482E" w:rsidP="000F5949">
      <w:pPr>
        <w:pStyle w:val="ChartandTableFootnoteAlpha"/>
        <w:numPr>
          <w:ilvl w:val="0"/>
          <w:numId w:val="53"/>
        </w:numPr>
        <w:pBdr>
          <w:top w:val="nil"/>
          <w:left w:val="nil"/>
          <w:bottom w:val="nil"/>
          <w:right w:val="nil"/>
          <w:between w:val="nil"/>
          <w:bar w:val="nil"/>
        </w:pBdr>
        <w:autoSpaceDE w:val="0"/>
        <w:autoSpaceDN w:val="0"/>
        <w:adjustRightInd w:val="0"/>
        <w:ind w:left="284" w:hanging="284"/>
        <w:rPr>
          <w:rFonts w:cs="Arial"/>
          <w:szCs w:val="16"/>
          <w:bdr w:val="nil"/>
        </w:rPr>
      </w:pPr>
      <w:r>
        <w:rPr>
          <w:rFonts w:cs="Arial"/>
          <w:szCs w:val="16"/>
          <w:bdr w:val="nil"/>
        </w:rPr>
        <w:t>From 2010-11, the Government introduced the net cash appropriation arrangement that provided non</w:t>
      </w:r>
      <w:r>
        <w:rPr>
          <w:rFonts w:cs="Arial"/>
          <w:szCs w:val="16"/>
          <w:bdr w:val="nil"/>
        </w:rPr>
        <w:noBreakHyphen/>
        <w:t xml:space="preserve">corporate Commonwealth entities with a separate Departmental Capital Budget (DCB) under </w:t>
      </w:r>
      <w:r w:rsidRPr="007E17C0">
        <w:rPr>
          <w:rFonts w:cs="Arial"/>
          <w:szCs w:val="16"/>
          <w:bdr w:val="nil"/>
        </w:rPr>
        <w:t>Appropriation Act (No.1)</w:t>
      </w:r>
      <w:r>
        <w:rPr>
          <w:rFonts w:cs="Arial"/>
          <w:szCs w:val="16"/>
          <w:bdr w:val="nil"/>
        </w:rPr>
        <w:t xml:space="preserve"> or Bill (No. 3). This replaced revenue appropriations provided under </w:t>
      </w:r>
      <w:r w:rsidRPr="007E17C0">
        <w:rPr>
          <w:rFonts w:cs="Arial"/>
          <w:szCs w:val="16"/>
          <w:bdr w:val="nil"/>
        </w:rPr>
        <w:t>Appropriation Act (No.1)</w:t>
      </w:r>
      <w:r>
        <w:rPr>
          <w:rFonts w:cs="Arial"/>
          <w:szCs w:val="16"/>
          <w:bdr w:val="nil"/>
        </w:rPr>
        <w:t xml:space="preserve"> or Bill (No.3) used for depreciation/amortisation expenses. For information regarding DCB, refer to Table 3.6 Departmental Capital Budget Statement.</w:t>
      </w:r>
    </w:p>
    <w:p w:rsidR="002C581B" w:rsidRDefault="00D5482E" w:rsidP="000F5949">
      <w:pPr>
        <w:pStyle w:val="ChartandTableFootnoteAlpha"/>
        <w:numPr>
          <w:ilvl w:val="0"/>
          <w:numId w:val="53"/>
        </w:numPr>
        <w:pBdr>
          <w:top w:val="nil"/>
          <w:left w:val="nil"/>
          <w:bottom w:val="nil"/>
          <w:right w:val="nil"/>
          <w:between w:val="nil"/>
          <w:bar w:val="nil"/>
        </w:pBdr>
        <w:spacing w:after="0"/>
        <w:ind w:left="284" w:hanging="284"/>
        <w:rPr>
          <w:bdr w:val="nil"/>
        </w:rPr>
      </w:pPr>
      <w:r>
        <w:rPr>
          <w:bdr w:val="nil"/>
        </w:rPr>
        <w:t>Applies to leases under AASB 16 Leases.</w:t>
      </w:r>
    </w:p>
    <w:p w:rsidR="00881F23" w:rsidRPr="00881F23" w:rsidRDefault="00D5482E" w:rsidP="000F5949">
      <w:pPr>
        <w:pStyle w:val="ChartandTableFootnoteAlpha"/>
        <w:numPr>
          <w:ilvl w:val="0"/>
          <w:numId w:val="53"/>
        </w:numPr>
        <w:pBdr>
          <w:top w:val="nil"/>
          <w:left w:val="nil"/>
          <w:bottom w:val="nil"/>
          <w:right w:val="nil"/>
          <w:between w:val="nil"/>
          <w:bar w:val="nil"/>
        </w:pBdr>
        <w:tabs>
          <w:tab w:val="left" w:pos="720"/>
        </w:tabs>
        <w:spacing w:after="0"/>
        <w:ind w:left="284" w:hanging="284"/>
        <w:rPr>
          <w:bdr w:val="nil"/>
        </w:rPr>
      </w:pPr>
      <w:r>
        <w:rPr>
          <w:bdr w:val="nil"/>
        </w:rPr>
        <w:br w:type="page"/>
      </w:r>
    </w:p>
    <w:p w:rsidR="005E7F55" w:rsidRDefault="00D5482E" w:rsidP="005E7F55">
      <w:pPr>
        <w:pStyle w:val="TableHeading"/>
        <w:keepLines/>
        <w:pageBreakBefore/>
        <w:pBdr>
          <w:top w:val="nil"/>
          <w:left w:val="nil"/>
          <w:bottom w:val="nil"/>
          <w:right w:val="nil"/>
          <w:between w:val="nil"/>
          <w:bar w:val="nil"/>
        </w:pBdr>
        <w:spacing w:before="0" w:after="0"/>
        <w:rPr>
          <w:rStyle w:val="BookTitle"/>
          <w:i w:val="0"/>
          <w:iCs/>
          <w:spacing w:val="0"/>
          <w:bdr w:val="nil"/>
        </w:rPr>
      </w:pPr>
      <w:r>
        <w:rPr>
          <w:bdr w:val="nil"/>
        </w:rPr>
        <w:lastRenderedPageBreak/>
        <w:t>Table 3.3: Budgeted departmental balance sheet (as at 30 June)</w:t>
      </w:r>
    </w:p>
    <w:tbl>
      <w:tblPr>
        <w:tblStyle w:val="CDMRange1"/>
        <w:tblW w:w="7800" w:type="dxa"/>
        <w:tblLayout w:type="fixed"/>
        <w:tblCellMar>
          <w:top w:w="11" w:type="dxa"/>
          <w:bottom w:w="11" w:type="dxa"/>
        </w:tblCellMar>
        <w:tblLook w:val="0600" w:firstRow="0" w:lastRow="0" w:firstColumn="0" w:lastColumn="0" w:noHBand="1" w:noVBand="1"/>
        <w:tblCaption w:val="Table 3.3: Budgeted departmental balance sheet (as at 30 June)"/>
      </w:tblPr>
      <w:tblGrid>
        <w:gridCol w:w="2925"/>
        <w:gridCol w:w="975"/>
        <w:gridCol w:w="975"/>
        <w:gridCol w:w="975"/>
        <w:gridCol w:w="975"/>
        <w:gridCol w:w="975"/>
      </w:tblGrid>
      <w:tr w:rsidR="00010972" w:rsidTr="001011E2">
        <w:trPr>
          <w:tblHeader/>
        </w:trPr>
        <w:tc>
          <w:tcPr>
            <w:tcW w:w="292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6E6E6"/>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nil"/>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E6E6E6"/>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ASSETS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Financial assets</w:t>
            </w: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Cash and cash equivalents</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20,795</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20,795</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20,795</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20,795</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20,795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Trade and other receivables</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1,445,183</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1,450,545</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1,434,299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1,452,878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1,472,258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financial assets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1,465,978</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1,471,340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1,455,094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1,473,673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1,493,053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Non-financial assets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Land and buildings</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2,595,875</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2,268,577</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2,041,224</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2,243,132</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2,307,860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Property, plant and equipment</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473,195</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466,573</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410,507</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443,082</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447,276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Software</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623,077</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695,016</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718,322</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620,091</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532,863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Prepayments</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134,396</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125,617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155,417</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140,106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119,532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non-financial assets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3,826,543</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3,555,783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3,325,470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3,446,411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3,407,531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assets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5,292,521</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5,027,123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4,780,564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4,920,084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4,900,584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LIABILITIES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Payables</w:t>
            </w: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Suppliers</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238,481</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246,641</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252,275</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256,675</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256,805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Employee benefits</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48,812</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32,026</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41,365</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41,365</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41,365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payables</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17,484</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17,484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17,484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17,484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17,484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payables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304,777</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296,151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311,124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315,524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315,654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Interest bearing liabilities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Leases</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2,395,995</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2,093,191</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1,866,622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2,125,144</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2,188,734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interest bearing liabilities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2,395,995</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2,093,191</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1,866,622</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2,125,144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2,188,734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Provisions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Employee provisions</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860,570</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866,788</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865,226</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863,954</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862,477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provisions</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37,640</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37,770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37,913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38,053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38,206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provisions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898,210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904,558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903,139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902,007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900,683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liabilities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3,598,982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3,293,900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3,080,885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3,342,675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3,405,071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assets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1,693,539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1,733,223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1,699,679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1,577,409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1,495,513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EQUITY*</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Parent entity interest</w:t>
            </w: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Contributed equity</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3,094,001</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3,509,144</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3,862,680</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4,059,883</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4,255,574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Reserves</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215,745</w:t>
            </w:r>
          </w:p>
        </w:tc>
        <w:tc>
          <w:tcPr>
            <w:tcW w:w="97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215,745</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215,745</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215,745</w:t>
            </w:r>
          </w:p>
        </w:tc>
        <w:tc>
          <w:tcPr>
            <w:tcW w:w="97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215,745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Accumulated deficit</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(1,616,207)</w:t>
            </w:r>
          </w:p>
        </w:tc>
        <w:tc>
          <w:tcPr>
            <w:tcW w:w="975" w:type="dxa"/>
            <w:tcBorders>
              <w:top w:val="nil"/>
              <w:left w:val="nil"/>
              <w:bottom w:val="dotted" w:sz="2" w:space="0" w:color="000000"/>
              <w:right w:val="nil"/>
              <w:tl2br w:val="nil"/>
              <w:tr2bl w:val="nil"/>
            </w:tcBorders>
            <w:shd w:val="clear" w:color="FFFFFF" w:fill="E6E6E6"/>
            <w:noWrap/>
            <w:tcMar>
              <w:left w:w="40" w:type="dxa"/>
              <w:right w:w="40" w:type="dxa"/>
            </w:tcMar>
            <w:vAlign w:val="center"/>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(1,991,666)</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(2,378,746)</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(2,698,219)</w:t>
            </w:r>
          </w:p>
        </w:tc>
        <w:tc>
          <w:tcPr>
            <w:tcW w:w="97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(2,975,806)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parent entity interest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1,693,539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1,733,223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1,699,679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1,577,409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1,495,513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equity</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1,693,539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1,733,223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1,699,679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1,577,409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1,495,513</w:t>
            </w:r>
          </w:p>
        </w:tc>
      </w:tr>
    </w:tbl>
    <w:p w:rsidR="005F09CB" w:rsidRPr="005F09CB" w:rsidRDefault="00D5482E" w:rsidP="005F09CB">
      <w:pPr>
        <w:keepLines/>
        <w:pBdr>
          <w:top w:val="nil"/>
          <w:left w:val="nil"/>
          <w:bottom w:val="nil"/>
          <w:right w:val="nil"/>
          <w:between w:val="nil"/>
          <w:bar w:val="nil"/>
        </w:pBdr>
        <w:spacing w:after="0" w:line="240" w:lineRule="auto"/>
        <w:jc w:val="both"/>
        <w:rPr>
          <w:rFonts w:ascii="Arial" w:hAnsi="Arial" w:cs="Arial"/>
          <w:sz w:val="16"/>
          <w:szCs w:val="16"/>
          <w:bdr w:val="nil"/>
          <w:lang w:val="en-AU"/>
        </w:rPr>
      </w:pPr>
      <w:r>
        <w:rPr>
          <w:rFonts w:ascii="Arial" w:eastAsia="Times New Roman" w:hAnsi="Arial" w:cs="Arial"/>
          <w:sz w:val="16"/>
          <w:szCs w:val="16"/>
          <w:bdr w:val="nil"/>
          <w:lang w:val="en-AU" w:eastAsia="en-AU"/>
        </w:rPr>
        <w:t>Prepared on Australian Accounting Standards basis.</w:t>
      </w:r>
    </w:p>
    <w:p w:rsidR="005E7F55" w:rsidRPr="005F09CB" w:rsidRDefault="00D5482E" w:rsidP="005F09CB">
      <w:pPr>
        <w:pStyle w:val="TableGraphic"/>
        <w:keepLines/>
        <w:pBdr>
          <w:top w:val="nil"/>
          <w:left w:val="nil"/>
          <w:bottom w:val="nil"/>
          <w:right w:val="nil"/>
          <w:between w:val="nil"/>
          <w:bar w:val="nil"/>
        </w:pBdr>
        <w:rPr>
          <w:rFonts w:ascii="Arial" w:hAnsi="Arial" w:cs="Arial"/>
          <w:i w:val="0"/>
          <w:color w:val="000000"/>
          <w:sz w:val="16"/>
          <w:szCs w:val="16"/>
          <w:bdr w:val="nil"/>
        </w:rPr>
      </w:pPr>
      <w:r>
        <w:rPr>
          <w:rFonts w:ascii="Arial" w:hAnsi="Arial" w:cs="Arial"/>
          <w:i w:val="0"/>
          <w:color w:val="000000"/>
          <w:sz w:val="16"/>
          <w:szCs w:val="16"/>
          <w:bdr w:val="nil"/>
        </w:rPr>
        <w:t>* Equity</w:t>
      </w:r>
      <w:r w:rsidR="00C830C0" w:rsidRPr="002409F3">
        <w:rPr>
          <w:rFonts w:ascii="Arial" w:hAnsi="Arial" w:cs="Arial"/>
          <w:i w:val="0"/>
          <w:color w:val="000000"/>
          <w:sz w:val="16"/>
          <w:szCs w:val="16"/>
          <w:bdr w:val="nil"/>
        </w:rPr>
        <w:t xml:space="preserve"> is the residual interest in assets after </w:t>
      </w:r>
      <w:r>
        <w:rPr>
          <w:rFonts w:ascii="Arial" w:hAnsi="Arial" w:cs="Arial"/>
          <w:i w:val="0"/>
          <w:color w:val="000000"/>
          <w:sz w:val="16"/>
          <w:szCs w:val="16"/>
          <w:bdr w:val="nil"/>
        </w:rPr>
        <w:t xml:space="preserve">the </w:t>
      </w:r>
      <w:r w:rsidR="00C830C0" w:rsidRPr="002409F3">
        <w:rPr>
          <w:rFonts w:ascii="Arial" w:hAnsi="Arial" w:cs="Arial"/>
          <w:i w:val="0"/>
          <w:color w:val="000000"/>
          <w:sz w:val="16"/>
          <w:szCs w:val="16"/>
          <w:bdr w:val="nil"/>
        </w:rPr>
        <w:t>deduction of liabilities</w:t>
      </w:r>
      <w:r w:rsidR="00AC1070">
        <w:rPr>
          <w:rFonts w:ascii="Arial" w:hAnsi="Arial" w:cs="Arial"/>
          <w:i w:val="0"/>
          <w:color w:val="000000"/>
          <w:sz w:val="16"/>
          <w:szCs w:val="16"/>
          <w:bdr w:val="nil"/>
        </w:rPr>
        <w:t>.</w:t>
      </w:r>
      <w:r>
        <w:rPr>
          <w:rFonts w:ascii="Arial" w:eastAsia="Calibri" w:hAnsi="Arial" w:cs="Arial"/>
          <w:sz w:val="16"/>
          <w:szCs w:val="16"/>
          <w:bdr w:val="nil"/>
        </w:rPr>
        <w:br w:type="page"/>
      </w:r>
    </w:p>
    <w:p w:rsidR="005E7F55" w:rsidRDefault="00D5482E" w:rsidP="005E7F55">
      <w:pPr>
        <w:pStyle w:val="TableHeading"/>
        <w:keepLines/>
        <w:pBdr>
          <w:top w:val="nil"/>
          <w:left w:val="nil"/>
          <w:bottom w:val="nil"/>
          <w:right w:val="nil"/>
          <w:between w:val="nil"/>
          <w:bar w:val="nil"/>
        </w:pBdr>
        <w:spacing w:before="0" w:after="0"/>
        <w:rPr>
          <w:rStyle w:val="BookTitle"/>
          <w:i w:val="0"/>
          <w:iCs/>
          <w:bdr w:val="nil"/>
        </w:rPr>
      </w:pPr>
      <w:r>
        <w:rPr>
          <w:bdr w:val="nil"/>
        </w:rPr>
        <w:lastRenderedPageBreak/>
        <w:t>Table 3.4: Departmental statement of changes in equity – summary of movement (2020-21 Budget Year)</w:t>
      </w:r>
    </w:p>
    <w:tbl>
      <w:tblPr>
        <w:tblStyle w:val="CDMRange2"/>
        <w:tblW w:w="7725" w:type="dxa"/>
        <w:tblLayout w:type="fixed"/>
        <w:tblCellMar>
          <w:top w:w="11" w:type="dxa"/>
          <w:bottom w:w="11" w:type="dxa"/>
        </w:tblCellMar>
        <w:tblLook w:val="0600" w:firstRow="0" w:lastRow="0" w:firstColumn="0" w:lastColumn="0" w:noHBand="1" w:noVBand="1"/>
        <w:tblCaption w:val="Table 3.4: Departmental statement of changes in equity – summary of movement (2020-21 Budget Year)"/>
      </w:tblPr>
      <w:tblGrid>
        <w:gridCol w:w="3405"/>
        <w:gridCol w:w="1080"/>
        <w:gridCol w:w="1080"/>
        <w:gridCol w:w="1080"/>
        <w:gridCol w:w="1080"/>
      </w:tblGrid>
      <w:tr w:rsidR="00010972" w:rsidTr="001011E2">
        <w:trPr>
          <w:tblHeader/>
        </w:trPr>
        <w:tc>
          <w:tcPr>
            <w:tcW w:w="340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Retained</w:t>
            </w:r>
          </w:p>
        </w:tc>
        <w:tc>
          <w:tcPr>
            <w:tcW w:w="1080"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Asset</w:t>
            </w:r>
          </w:p>
        </w:tc>
        <w:tc>
          <w:tcPr>
            <w:tcW w:w="1080"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Contributed</w:t>
            </w:r>
          </w:p>
        </w:tc>
        <w:tc>
          <w:tcPr>
            <w:tcW w:w="1080"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Total </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earnings</w:t>
            </w:r>
          </w:p>
        </w:tc>
        <w:tc>
          <w:tcPr>
            <w:tcW w:w="10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revaluation</w:t>
            </w:r>
          </w:p>
        </w:tc>
        <w:tc>
          <w:tcPr>
            <w:tcW w:w="10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equity/</w:t>
            </w:r>
          </w:p>
        </w:tc>
        <w:tc>
          <w:tcPr>
            <w:tcW w:w="10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equity</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reserve</w:t>
            </w:r>
          </w:p>
        </w:tc>
        <w:tc>
          <w:tcPr>
            <w:tcW w:w="1080"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capital</w:t>
            </w:r>
          </w:p>
        </w:tc>
        <w:tc>
          <w:tcPr>
            <w:tcW w:w="1080"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1080"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Opening balance as at 1 July 2020</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nil"/>
              <w:right w:val="nil"/>
              <w:tl2br w:val="nil"/>
              <w:tr2bl w:val="nil"/>
            </w:tcBorders>
            <w:shd w:val="clear" w:color="auto" w:fill="auto"/>
            <w:tcMar>
              <w:left w:w="175" w:type="dxa"/>
              <w:right w:w="40" w:type="dxa"/>
            </w:tcMa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Balance carried forward from previous</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period</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(1,616,207)</w:t>
            </w:r>
          </w:p>
        </w:tc>
        <w:tc>
          <w:tcPr>
            <w:tcW w:w="108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215,745</w:t>
            </w:r>
          </w:p>
        </w:tc>
        <w:tc>
          <w:tcPr>
            <w:tcW w:w="108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3,094,001</w:t>
            </w:r>
          </w:p>
        </w:tc>
        <w:tc>
          <w:tcPr>
            <w:tcW w:w="108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1,693,539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Adjusted opening balance</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(1,616,207)</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215,745</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3,094,001</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1,693,539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Comprehensive income</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Surplus/(deficit) for the period</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(375,459)</w:t>
            </w:r>
          </w:p>
        </w:tc>
        <w:tc>
          <w:tcPr>
            <w:tcW w:w="108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(375,459)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comprehensive income</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(375,459)</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(375,459)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Transactions with owners</w:t>
            </w: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Contribution by owners</w:t>
            </w: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1080"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nil"/>
              <w:right w:val="nil"/>
              <w:tl2br w:val="nil"/>
              <w:tr2bl w:val="nil"/>
            </w:tcBorders>
            <w:shd w:val="clear" w:color="auto" w:fill="auto"/>
            <w:noWrap/>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Equity Injection – Appropriation</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219,576</w:t>
            </w:r>
          </w:p>
        </w:tc>
        <w:tc>
          <w:tcPr>
            <w:tcW w:w="1080"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219,576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nil"/>
              <w:right w:val="nil"/>
              <w:tl2br w:val="nil"/>
              <w:tr2bl w:val="nil"/>
            </w:tcBorders>
            <w:shd w:val="clear" w:color="auto" w:fill="auto"/>
            <w:noWrap/>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Departmental Capital Budget (DCB)</w:t>
            </w:r>
          </w:p>
        </w:tc>
        <w:tc>
          <w:tcPr>
            <w:tcW w:w="108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108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195,567</w:t>
            </w:r>
          </w:p>
        </w:tc>
        <w:tc>
          <w:tcPr>
            <w:tcW w:w="1080"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195,567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Sub-total transactions with owners</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415,143</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415,143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Closing balance attributable to the</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Australian Government</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(1,991,666)</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215,745</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3,509,144</w:t>
            </w:r>
          </w:p>
        </w:tc>
        <w:tc>
          <w:tcPr>
            <w:tcW w:w="1080"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1,733,223</w:t>
            </w:r>
          </w:p>
        </w:tc>
      </w:tr>
    </w:tbl>
    <w:p w:rsidR="005E7F55" w:rsidRDefault="00D5482E" w:rsidP="00716A39">
      <w:pPr>
        <w:keepLines/>
        <w:pBdr>
          <w:top w:val="nil"/>
          <w:left w:val="nil"/>
          <w:bottom w:val="nil"/>
          <w:right w:val="nil"/>
          <w:between w:val="nil"/>
          <w:bar w:val="nil"/>
        </w:pBdr>
        <w:spacing w:after="0" w:line="240" w:lineRule="auto"/>
        <w:ind w:left="142" w:hanging="142"/>
        <w:jc w:val="both"/>
        <w:rPr>
          <w:rFonts w:ascii="Arial" w:eastAsia="Calibri" w:hAnsi="Arial" w:cs="Arial"/>
          <w:sz w:val="16"/>
          <w:szCs w:val="16"/>
          <w:bdr w:val="nil"/>
          <w:lang w:val="en-AU"/>
        </w:rPr>
      </w:pPr>
      <w:r>
        <w:rPr>
          <w:rFonts w:ascii="Arial" w:eastAsia="Calibri" w:hAnsi="Arial" w:cs="Arial"/>
          <w:sz w:val="16"/>
          <w:szCs w:val="16"/>
          <w:bdr w:val="nil"/>
          <w:lang w:val="en-AU" w:eastAsia="en-AU"/>
        </w:rPr>
        <w:t>Prepared on Australian Accounting Standards basis.</w:t>
      </w:r>
    </w:p>
    <w:p w:rsidR="005E7F55" w:rsidRDefault="00D5482E">
      <w:pPr>
        <w:pBdr>
          <w:top w:val="nil"/>
          <w:left w:val="nil"/>
          <w:bottom w:val="nil"/>
          <w:right w:val="nil"/>
          <w:between w:val="nil"/>
          <w:bar w:val="nil"/>
        </w:pBdr>
        <w:rPr>
          <w:rFonts w:ascii="Arial" w:eastAsia="Calibri" w:hAnsi="Arial" w:cs="Arial"/>
          <w:sz w:val="16"/>
          <w:szCs w:val="16"/>
          <w:bdr w:val="nil"/>
          <w:lang w:val="en-AU"/>
        </w:rPr>
      </w:pPr>
      <w:r>
        <w:rPr>
          <w:rFonts w:ascii="Arial" w:eastAsia="Calibri" w:hAnsi="Arial" w:cs="Arial"/>
          <w:sz w:val="16"/>
          <w:szCs w:val="16"/>
          <w:bdr w:val="nil"/>
          <w:lang w:val="en-AU" w:eastAsia="en-AU"/>
        </w:rPr>
        <w:br w:type="page"/>
      </w:r>
    </w:p>
    <w:p w:rsidR="005E7F55" w:rsidRDefault="00D5482E" w:rsidP="005E7F55">
      <w:pPr>
        <w:pStyle w:val="TableHeading"/>
        <w:keepLines/>
        <w:pBdr>
          <w:top w:val="nil"/>
          <w:left w:val="nil"/>
          <w:bottom w:val="nil"/>
          <w:right w:val="nil"/>
          <w:between w:val="nil"/>
          <w:bar w:val="nil"/>
        </w:pBdr>
        <w:spacing w:before="0" w:after="0"/>
        <w:rPr>
          <w:rStyle w:val="BookTitle"/>
          <w:i w:val="0"/>
          <w:iCs/>
          <w:bdr w:val="nil"/>
        </w:rPr>
      </w:pPr>
      <w:r>
        <w:rPr>
          <w:bdr w:val="nil"/>
        </w:rPr>
        <w:lastRenderedPageBreak/>
        <w:t>Table 3.5: Budgeted departmental statement of cash flows (for the period ended 30 June)</w:t>
      </w:r>
    </w:p>
    <w:tbl>
      <w:tblPr>
        <w:tblStyle w:val="CDMRange1"/>
        <w:tblW w:w="7800" w:type="dxa"/>
        <w:tblLayout w:type="fixed"/>
        <w:tblCellMar>
          <w:top w:w="11" w:type="dxa"/>
          <w:bottom w:w="11" w:type="dxa"/>
        </w:tblCellMar>
        <w:tblLook w:val="0600" w:firstRow="0" w:lastRow="0" w:firstColumn="0" w:lastColumn="0" w:noHBand="1" w:noVBand="1"/>
        <w:tblCaption w:val="Table 3.5: Budgeted departmental statement of cash flows (for the period ended 30 June)"/>
      </w:tblPr>
      <w:tblGrid>
        <w:gridCol w:w="2925"/>
        <w:gridCol w:w="975"/>
        <w:gridCol w:w="975"/>
        <w:gridCol w:w="975"/>
        <w:gridCol w:w="975"/>
        <w:gridCol w:w="975"/>
      </w:tblGrid>
      <w:tr w:rsidR="00010972" w:rsidTr="00F14F11">
        <w:trPr>
          <w:tblHeader/>
        </w:trPr>
        <w:tc>
          <w:tcPr>
            <w:tcW w:w="292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97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97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975" w:type="dxa"/>
            <w:tcBorders>
              <w:top w:val="nil"/>
              <w:left w:val="nil"/>
              <w:bottom w:val="nil"/>
              <w:right w:val="nil"/>
              <w:tl2br w:val="nil"/>
              <w:tr2bl w:val="nil"/>
            </w:tcBorders>
            <w:shd w:val="clear" w:color="FFFFFF" w:fill="E6E6E6"/>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nil"/>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E6E6E6"/>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7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7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OPERATING ACTIVITIES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received</w:t>
            </w: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Appropriations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5,484,584</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5,635,084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4,746,253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4,089,264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3,944,440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Rendering of services (a)</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235,797</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246,464</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235,415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210,303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209,900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Net GST received</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240,082</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255,421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218,169</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168,801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153,003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(b)</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108,439</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received</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6,068,902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6,136,969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5,199,837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4,468,368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4,307,343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used</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Employees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2,773,309</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2,866,171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2,471,022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2,362,618</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2,370,604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Suppliers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2,301,086</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2,323,835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1,827,173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1,325,992</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1,186,346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Borrowing costs</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Interest payments on lease liability</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30,432</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17,830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13,730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14,150</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15,440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Returns to the official public account</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584,862</w:t>
            </w:r>
          </w:p>
        </w:tc>
        <w:tc>
          <w:tcPr>
            <w:tcW w:w="97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543,661</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497,983</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377,925</w:t>
            </w:r>
          </w:p>
        </w:tc>
        <w:tc>
          <w:tcPr>
            <w:tcW w:w="97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361,775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5,742</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3,672</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3,729</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3,803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3,088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used</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5,695,448</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5,755,169</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4,813,637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4,084,488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3,937,253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cash from/(used by) operating</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activities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373,454</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381,800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386,200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383,880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370,090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INVESTING ACTIVITIES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received</w:t>
            </w: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Proceeds from sales of property,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plant and equipment </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544</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received</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544</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used</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Purchase of property, plant,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and equipment and intangibles</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410,192</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438,168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368,536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212,203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210,691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used</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410,192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438,168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368,536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212,203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210,691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cash from/(used by)</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investing activities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(409,648)</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(438,168)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(368,536)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(212,203)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(210,691)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FINANCING ACTIVITIES</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received</w:t>
            </w: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Contributed equity (c) </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344,051</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423,168</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353,536</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197,203</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195,691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received</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344,051</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423,168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353,536</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197,203</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195,691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used</w:t>
            </w: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7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Principal payments on lease liability</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298,862</w:t>
            </w:r>
          </w:p>
        </w:tc>
        <w:tc>
          <w:tcPr>
            <w:tcW w:w="97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366,800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371,200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368,880</w:t>
            </w:r>
          </w:p>
        </w:tc>
        <w:tc>
          <w:tcPr>
            <w:tcW w:w="97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355,090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FFFFFF" w:fill="FFFFFF"/>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used</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298,862</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366,800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371,200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368,880</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355,090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Net cash from/(used by)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financing activities</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45,189</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56,368</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(17,664)</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(171,677)</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(159,399)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Net increase/(decrease)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in cash held</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8,995</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Cash and cash equivalents at the</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beginning of the reporting period</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11,800</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20,795</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20,795</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20,795</w:t>
            </w:r>
          </w:p>
        </w:tc>
        <w:tc>
          <w:tcPr>
            <w:tcW w:w="975" w:type="dxa"/>
            <w:tcBorders>
              <w:top w:val="dotted" w:sz="2" w:space="0" w:color="000000"/>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20,795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Cash and cash equivalents at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the end of the reporting period</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20,795</w:t>
            </w:r>
          </w:p>
        </w:tc>
        <w:tc>
          <w:tcPr>
            <w:tcW w:w="97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20,795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20,795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20,795</w:t>
            </w:r>
          </w:p>
        </w:tc>
        <w:tc>
          <w:tcPr>
            <w:tcW w:w="97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20,795</w:t>
            </w:r>
          </w:p>
        </w:tc>
      </w:tr>
    </w:tbl>
    <w:p w:rsidR="004A3A5E" w:rsidRDefault="00D5482E" w:rsidP="004A3A5E">
      <w:pPr>
        <w:pStyle w:val="Source"/>
        <w:pBdr>
          <w:top w:val="nil"/>
          <w:left w:val="nil"/>
          <w:bottom w:val="nil"/>
          <w:right w:val="nil"/>
          <w:between w:val="nil"/>
          <w:bar w:val="nil"/>
        </w:pBdr>
        <w:rPr>
          <w:bdr w:val="nil"/>
        </w:rPr>
      </w:pPr>
      <w:r>
        <w:rPr>
          <w:bdr w:val="nil"/>
        </w:rPr>
        <w:t>Prepared on Australian Accounting Standards basis.</w:t>
      </w:r>
    </w:p>
    <w:p w:rsidR="004A3A5E" w:rsidRDefault="00D5482E" w:rsidP="00A22EB5">
      <w:pPr>
        <w:pStyle w:val="Source"/>
        <w:numPr>
          <w:ilvl w:val="0"/>
          <w:numId w:val="54"/>
        </w:numPr>
        <w:pBdr>
          <w:top w:val="nil"/>
          <w:left w:val="nil"/>
          <w:bottom w:val="nil"/>
          <w:right w:val="nil"/>
          <w:between w:val="nil"/>
          <w:bar w:val="nil"/>
        </w:pBdr>
        <w:ind w:left="284" w:hanging="284"/>
        <w:rPr>
          <w:snapToGrid w:val="0"/>
          <w:bdr w:val="nil"/>
        </w:rPr>
      </w:pPr>
      <w:r>
        <w:rPr>
          <w:snapToGrid w:val="0"/>
          <w:bdr w:val="nil"/>
        </w:rPr>
        <w:t>Cash received for rendering of services excludes GST.</w:t>
      </w:r>
    </w:p>
    <w:p w:rsidR="004A3A5E" w:rsidRDefault="00D5482E" w:rsidP="00A22EB5">
      <w:pPr>
        <w:pStyle w:val="Source"/>
        <w:numPr>
          <w:ilvl w:val="0"/>
          <w:numId w:val="54"/>
        </w:numPr>
        <w:pBdr>
          <w:top w:val="nil"/>
          <w:left w:val="nil"/>
          <w:bottom w:val="nil"/>
          <w:right w:val="nil"/>
          <w:between w:val="nil"/>
          <w:bar w:val="nil"/>
        </w:pBdr>
        <w:ind w:left="284" w:hanging="284"/>
        <w:rPr>
          <w:snapToGrid w:val="0"/>
          <w:bdr w:val="nil"/>
        </w:rPr>
      </w:pPr>
      <w:r>
        <w:rPr>
          <w:snapToGrid w:val="0"/>
          <w:bdr w:val="nil"/>
        </w:rPr>
        <w:t>Receipts for pass-through costs are estimated as net expense payments for the revised budget and forward estimate periods.</w:t>
      </w:r>
    </w:p>
    <w:p w:rsidR="006A5827" w:rsidRDefault="00D5482E" w:rsidP="00A22EB5">
      <w:pPr>
        <w:pStyle w:val="Source"/>
        <w:numPr>
          <w:ilvl w:val="0"/>
          <w:numId w:val="54"/>
        </w:numPr>
        <w:pBdr>
          <w:top w:val="nil"/>
          <w:left w:val="nil"/>
          <w:bottom w:val="nil"/>
          <w:right w:val="nil"/>
          <w:between w:val="nil"/>
          <w:bar w:val="nil"/>
        </w:pBdr>
        <w:ind w:left="284" w:hanging="284"/>
        <w:rPr>
          <w:snapToGrid w:val="0"/>
          <w:bdr w:val="nil"/>
        </w:rPr>
      </w:pPr>
      <w:r>
        <w:rPr>
          <w:snapToGrid w:val="0"/>
          <w:bdr w:val="nil"/>
        </w:rPr>
        <w:t>Cash received for contributed equity in 2020-21 includes $8.0 million relating to movement of funds from 2019</w:t>
      </w:r>
      <w:r>
        <w:rPr>
          <w:snapToGrid w:val="0"/>
          <w:bdr w:val="nil"/>
        </w:rPr>
        <w:noBreakHyphen/>
        <w:t>20 to 2020</w:t>
      </w:r>
      <w:r>
        <w:rPr>
          <w:snapToGrid w:val="0"/>
          <w:bdr w:val="nil"/>
        </w:rPr>
        <w:noBreakHyphen/>
        <w:t>21.</w:t>
      </w:r>
    </w:p>
    <w:p w:rsidR="005E7F55" w:rsidRPr="001460ED" w:rsidRDefault="00D5482E" w:rsidP="00A22EB5">
      <w:pPr>
        <w:pStyle w:val="ListParagraph"/>
        <w:keepLines/>
        <w:numPr>
          <w:ilvl w:val="0"/>
          <w:numId w:val="54"/>
        </w:numPr>
        <w:pBdr>
          <w:top w:val="nil"/>
          <w:left w:val="nil"/>
          <w:bottom w:val="nil"/>
          <w:right w:val="nil"/>
          <w:between w:val="nil"/>
          <w:bar w:val="nil"/>
        </w:pBdr>
        <w:spacing w:after="0" w:line="240" w:lineRule="auto"/>
        <w:ind w:left="284" w:hanging="284"/>
        <w:jc w:val="both"/>
        <w:rPr>
          <w:rFonts w:eastAsia="Times New Roman" w:cs="Arial"/>
          <w:sz w:val="16"/>
          <w:szCs w:val="16"/>
          <w:bdr w:val="nil"/>
          <w:lang w:val="en-AU"/>
        </w:rPr>
      </w:pPr>
      <w:r w:rsidRPr="001460ED">
        <w:rPr>
          <w:rFonts w:ascii="Arial" w:eastAsia="Times New Roman" w:hAnsi="Arial" w:cs="Arial"/>
          <w:sz w:val="16"/>
          <w:szCs w:val="16"/>
          <w:bdr w:val="nil"/>
          <w:lang w:val="en-AU"/>
        </w:rPr>
        <w:br w:type="page"/>
      </w:r>
    </w:p>
    <w:p w:rsidR="005E7F55" w:rsidRDefault="00D5482E" w:rsidP="005E7F55">
      <w:pPr>
        <w:pStyle w:val="TableHeading"/>
        <w:keepLines/>
        <w:pBdr>
          <w:top w:val="nil"/>
          <w:left w:val="nil"/>
          <w:bottom w:val="nil"/>
          <w:right w:val="nil"/>
          <w:between w:val="nil"/>
          <w:bar w:val="nil"/>
        </w:pBdr>
        <w:spacing w:before="0" w:after="0"/>
        <w:rPr>
          <w:rStyle w:val="BookTitle"/>
          <w:i w:val="0"/>
          <w:iCs/>
          <w:bdr w:val="nil"/>
        </w:rPr>
      </w:pPr>
      <w:r>
        <w:rPr>
          <w:bdr w:val="nil"/>
        </w:rPr>
        <w:lastRenderedPageBreak/>
        <w:t>Table 3.6: Departmental capital budget statement (for the period ended 30 June)</w:t>
      </w:r>
    </w:p>
    <w:tbl>
      <w:tblPr>
        <w:tblStyle w:val="CDMRange2"/>
        <w:tblW w:w="7800" w:type="dxa"/>
        <w:tblLayout w:type="fixed"/>
        <w:tblCellMar>
          <w:top w:w="11" w:type="dxa"/>
          <w:bottom w:w="11" w:type="dxa"/>
        </w:tblCellMar>
        <w:tblLook w:val="0600" w:firstRow="0" w:lastRow="0" w:firstColumn="0" w:lastColumn="0" w:noHBand="1" w:noVBand="1"/>
        <w:tblCaption w:val="Table 3.6: Departmental capital budget statement (for the period ended 30 June)"/>
      </w:tblPr>
      <w:tblGrid>
        <w:gridCol w:w="3225"/>
        <w:gridCol w:w="915"/>
        <w:gridCol w:w="915"/>
        <w:gridCol w:w="915"/>
        <w:gridCol w:w="915"/>
        <w:gridCol w:w="915"/>
      </w:tblGrid>
      <w:tr w:rsidR="00010972" w:rsidTr="00F14F11">
        <w:trPr>
          <w:tblHeader/>
        </w:trPr>
        <w:tc>
          <w:tcPr>
            <w:tcW w:w="322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91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91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NEW CAPITAL APPROPRIATIONS</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Capital Budget – Act No. 1 and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Bill No. 3 (DCB)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196,936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195,567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194,134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194,173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195,179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Equity Injections – Act No. 2 and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Bill No. 4</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148,840</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219,576</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159,402</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3,030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new capital appropriations</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345,776</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415,143</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353,536</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197,203</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195,691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Provided for:</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175" w:type="dxa"/>
              <w:right w:w="40" w:type="dxa"/>
            </w:tcMa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Purchase of non-financial assets</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345,776</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415,143</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353,536</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197,203</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195,691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Items</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345,776</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415,143</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353,536</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197,203</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195,691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PURCHASE OF NON-FINANCIAL</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ASSETS</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Funded by capital appropriations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148,115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226,601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159,402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3,030</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Funded by capital appropriation – DCB (b)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195,936</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196,567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194,134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194,173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195,179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Funded internally from departmental</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resources (c)</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37,656</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15,000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15,000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15,000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381,707</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438,168</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368,536</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212,203</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210,691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RECONCILIATION OF CASH USED TO</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ACQUIRE ASSETS TO ASSET</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MOVEMENT TABLE</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40" w:type="dxa"/>
              <w:right w:w="40" w:type="dxa"/>
            </w:tcMa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Total purchases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381,707</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438,168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368,536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212,203</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210,691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175" w:type="dxa"/>
              <w:right w:w="40" w:type="dxa"/>
            </w:tcMa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plus reduction in payables </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27,071</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cash used to acquire assets</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408,778</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438,168</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368,536</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212,203</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210,691</w:t>
            </w:r>
          </w:p>
        </w:tc>
      </w:tr>
    </w:tbl>
    <w:p w:rsidR="004A3A5E" w:rsidRDefault="00D5482E" w:rsidP="00716A39">
      <w:pPr>
        <w:pStyle w:val="Source"/>
        <w:pBdr>
          <w:top w:val="nil"/>
          <w:left w:val="nil"/>
          <w:bottom w:val="nil"/>
          <w:right w:val="nil"/>
          <w:between w:val="nil"/>
          <w:bar w:val="nil"/>
        </w:pBdr>
        <w:rPr>
          <w:bdr w:val="nil"/>
        </w:rPr>
      </w:pPr>
      <w:r>
        <w:rPr>
          <w:bdr w:val="nil"/>
        </w:rPr>
        <w:t>Prepared on Australian Accounting Standards basis.</w:t>
      </w:r>
    </w:p>
    <w:p w:rsidR="004A3A5E" w:rsidRDefault="00D5482E" w:rsidP="009E22F4">
      <w:pPr>
        <w:pStyle w:val="ChartandTableFootnoteAlpha"/>
        <w:numPr>
          <w:ilvl w:val="0"/>
          <w:numId w:val="55"/>
        </w:numPr>
        <w:pBdr>
          <w:top w:val="nil"/>
          <w:left w:val="nil"/>
          <w:bottom w:val="nil"/>
          <w:right w:val="nil"/>
          <w:between w:val="nil"/>
          <w:bar w:val="nil"/>
        </w:pBdr>
        <w:tabs>
          <w:tab w:val="clear" w:pos="397"/>
          <w:tab w:val="num" w:pos="284"/>
        </w:tabs>
        <w:spacing w:after="0"/>
        <w:ind w:left="284" w:hanging="284"/>
        <w:rPr>
          <w:bdr w:val="nil"/>
        </w:rPr>
      </w:pPr>
      <w:r>
        <w:rPr>
          <w:bdr w:val="nil"/>
        </w:rPr>
        <w:t xml:space="preserve">Includes appropriations through </w:t>
      </w:r>
      <w:r>
        <w:rPr>
          <w:i/>
          <w:bdr w:val="nil"/>
        </w:rPr>
        <w:t>Supply Act (No. 2) 2020-2021</w:t>
      </w:r>
      <w:r>
        <w:rPr>
          <w:bdr w:val="nil"/>
        </w:rPr>
        <w:t xml:space="preserve">, </w:t>
      </w:r>
      <w:r>
        <w:rPr>
          <w:i/>
          <w:bdr w:val="nil"/>
        </w:rPr>
        <w:t>Appropriation Act (No. 2) 2020-2021</w:t>
      </w:r>
      <w:r>
        <w:rPr>
          <w:bdr w:val="nil"/>
        </w:rPr>
        <w:t xml:space="preserve"> and Appropriation Bill (No. 4) 2020-2021 and prior </w:t>
      </w:r>
      <w:r w:rsidRPr="007E17C0">
        <w:rPr>
          <w:bdr w:val="nil"/>
        </w:rPr>
        <w:t>Appropriation Acts No. 2/4/6</w:t>
      </w:r>
      <w:r>
        <w:rPr>
          <w:bdr w:val="nil"/>
        </w:rPr>
        <w:t xml:space="preserve"> appropriations.</w:t>
      </w:r>
    </w:p>
    <w:p w:rsidR="004A3A5E" w:rsidRDefault="00D5482E" w:rsidP="009E22F4">
      <w:pPr>
        <w:pStyle w:val="ChartandTableFootnoteAlpha"/>
        <w:numPr>
          <w:ilvl w:val="0"/>
          <w:numId w:val="55"/>
        </w:numPr>
        <w:pBdr>
          <w:top w:val="nil"/>
          <w:left w:val="nil"/>
          <w:bottom w:val="nil"/>
          <w:right w:val="nil"/>
          <w:between w:val="nil"/>
          <w:bar w:val="nil"/>
        </w:pBdr>
        <w:spacing w:after="0"/>
        <w:ind w:left="284" w:hanging="284"/>
        <w:rPr>
          <w:bdr w:val="nil"/>
        </w:rPr>
      </w:pPr>
      <w:r>
        <w:rPr>
          <w:bdr w:val="nil"/>
        </w:rPr>
        <w:t>Does not include annual finance lease costs. Includes purchases from current and previous years’ DCB.</w:t>
      </w:r>
    </w:p>
    <w:p w:rsidR="004A3A5E" w:rsidRDefault="00D5482E" w:rsidP="009E22F4">
      <w:pPr>
        <w:pStyle w:val="ChartandTableFootnoteAlpha"/>
        <w:numPr>
          <w:ilvl w:val="0"/>
          <w:numId w:val="55"/>
        </w:numPr>
        <w:pBdr>
          <w:top w:val="nil"/>
          <w:left w:val="nil"/>
          <w:bottom w:val="nil"/>
          <w:right w:val="nil"/>
          <w:between w:val="nil"/>
          <w:bar w:val="nil"/>
        </w:pBdr>
        <w:spacing w:after="0"/>
        <w:ind w:left="284" w:hanging="284"/>
        <w:rPr>
          <w:bdr w:val="nil"/>
        </w:rPr>
      </w:pPr>
      <w:r>
        <w:rPr>
          <w:bdr w:val="nil"/>
        </w:rPr>
        <w:t>Includes funding from s74 receipts.</w:t>
      </w:r>
    </w:p>
    <w:p w:rsidR="005E7F55" w:rsidRDefault="00D5482E" w:rsidP="009E22F4">
      <w:pPr>
        <w:pBdr>
          <w:top w:val="nil"/>
          <w:left w:val="nil"/>
          <w:bottom w:val="nil"/>
          <w:right w:val="nil"/>
          <w:between w:val="nil"/>
          <w:bar w:val="nil"/>
        </w:pBdr>
        <w:ind w:left="284" w:hanging="284"/>
        <w:rPr>
          <w:rFonts w:ascii="Arial" w:eastAsia="Calibri" w:hAnsi="Arial" w:cs="Arial"/>
          <w:sz w:val="16"/>
          <w:szCs w:val="16"/>
          <w:bdr w:val="nil"/>
          <w:lang w:val="en-AU"/>
        </w:rPr>
      </w:pPr>
      <w:r>
        <w:rPr>
          <w:rFonts w:ascii="Arial" w:eastAsia="Calibri" w:hAnsi="Arial" w:cs="Arial"/>
          <w:sz w:val="16"/>
          <w:szCs w:val="16"/>
          <w:bdr w:val="nil"/>
          <w:lang w:val="en-AU" w:eastAsia="en-AU"/>
        </w:rPr>
        <w:t xml:space="preserve"> </w:t>
      </w:r>
      <w:r>
        <w:rPr>
          <w:rFonts w:ascii="Arial" w:eastAsia="Calibri" w:hAnsi="Arial" w:cs="Arial"/>
          <w:sz w:val="16"/>
          <w:szCs w:val="16"/>
          <w:bdr w:val="nil"/>
          <w:lang w:val="en-AU" w:eastAsia="en-AU"/>
        </w:rPr>
        <w:br w:type="page"/>
      </w:r>
    </w:p>
    <w:p w:rsidR="00F539FC" w:rsidRDefault="00D5482E" w:rsidP="00F539FC">
      <w:pPr>
        <w:pStyle w:val="TableHeading"/>
        <w:keepLines/>
        <w:pBdr>
          <w:top w:val="nil"/>
          <w:left w:val="nil"/>
          <w:bottom w:val="nil"/>
          <w:right w:val="nil"/>
          <w:between w:val="nil"/>
          <w:bar w:val="nil"/>
        </w:pBdr>
        <w:spacing w:before="0" w:after="0"/>
        <w:rPr>
          <w:rStyle w:val="BookTitle"/>
          <w:i w:val="0"/>
          <w:iCs/>
          <w:bdr w:val="nil"/>
        </w:rPr>
      </w:pPr>
      <w:r>
        <w:rPr>
          <w:bdr w:val="nil"/>
        </w:rPr>
        <w:lastRenderedPageBreak/>
        <w:t>Table 3.7: Statement of asset movements (2020-21 Budget Year)</w:t>
      </w:r>
    </w:p>
    <w:tbl>
      <w:tblPr>
        <w:tblStyle w:val="CDMRange1"/>
        <w:tblW w:w="7800" w:type="dxa"/>
        <w:tblLayout w:type="fixed"/>
        <w:tblCellMar>
          <w:top w:w="11" w:type="dxa"/>
          <w:bottom w:w="11" w:type="dxa"/>
        </w:tblCellMar>
        <w:tblLook w:val="0600" w:firstRow="0" w:lastRow="0" w:firstColumn="0" w:lastColumn="0" w:noHBand="1" w:noVBand="1"/>
        <w:tblCaption w:val="Table 3.7: Statement of asset movements (2020-21 Budget Year)"/>
      </w:tblPr>
      <w:tblGrid>
        <w:gridCol w:w="3225"/>
        <w:gridCol w:w="915"/>
        <w:gridCol w:w="915"/>
        <w:gridCol w:w="915"/>
        <w:gridCol w:w="915"/>
        <w:gridCol w:w="915"/>
      </w:tblGrid>
      <w:tr w:rsidR="00010972" w:rsidTr="0051209A">
        <w:trPr>
          <w:tblHeader/>
        </w:trPr>
        <w:tc>
          <w:tcPr>
            <w:tcW w:w="3225" w:type="dxa"/>
            <w:tcBorders>
              <w:top w:val="dotted" w:sz="2" w:space="0" w:color="000000"/>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Land</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Buildings</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Computer </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Total</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91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property,</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software</w:t>
            </w:r>
          </w:p>
        </w:tc>
        <w:tc>
          <w:tcPr>
            <w:tcW w:w="91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91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plant and </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and</w:t>
            </w:r>
          </w:p>
        </w:tc>
        <w:tc>
          <w:tcPr>
            <w:tcW w:w="91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91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equipment</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intangibles</w:t>
            </w:r>
          </w:p>
        </w:tc>
        <w:tc>
          <w:tcPr>
            <w:tcW w:w="91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0" w:type="dxa"/>
              <w:right w:w="0" w:type="dxa"/>
            </w:tcMar>
            <w:vAlign w:val="bottom"/>
          </w:tcPr>
          <w:p w:rsidR="00010972" w:rsidRDefault="00010972">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As at 1 July 2020</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Gross book value </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4,209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350,643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444,146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1,367,514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2,166,512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rsidP="009C34BB">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Gross book value </w:t>
            </w:r>
            <w:r w:rsidR="009C34BB">
              <w:rPr>
                <w:rFonts w:ascii="Arial" w:eastAsia="Arial" w:hAnsi="Arial" w:cs="Arial"/>
                <w:color w:val="000000"/>
                <w:sz w:val="16"/>
                <w:szCs w:val="20"/>
                <w:bdr w:val="nil"/>
                <w:lang w:val="en-AU" w:eastAsia="en-AU"/>
              </w:rPr>
              <w:t>–</w:t>
            </w:r>
            <w:r>
              <w:rPr>
                <w:rFonts w:ascii="Arial" w:eastAsia="Arial" w:hAnsi="Arial" w:cs="Arial"/>
                <w:color w:val="000000"/>
                <w:sz w:val="16"/>
                <w:szCs w:val="20"/>
                <w:bdr w:val="nil"/>
                <w:lang w:val="en-AU" w:eastAsia="en-AU"/>
              </w:rPr>
              <w:t xml:space="preserve"> ROU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1,057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2,624,433</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120,247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2,745,737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Accumulated depreciation/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amortisation and impairment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(35,167)</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(65,253)</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(744,437)</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(844,857)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Accumulated depreciation/amortisation</w:t>
            </w:r>
          </w:p>
          <w:p w:rsidR="00010972" w:rsidRDefault="009C34BB">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and impairment –</w:t>
            </w:r>
            <w:r w:rsidR="00D5482E">
              <w:rPr>
                <w:rFonts w:ascii="Arial" w:eastAsia="Arial" w:hAnsi="Arial" w:cs="Arial"/>
                <w:color w:val="000000"/>
                <w:sz w:val="16"/>
                <w:szCs w:val="20"/>
                <w:bdr w:val="nil"/>
                <w:lang w:val="en-AU" w:eastAsia="en-AU"/>
              </w:rPr>
              <w:t xml:space="preserve"> ROU assets</w:t>
            </w:r>
          </w:p>
        </w:tc>
        <w:tc>
          <w:tcPr>
            <w:tcW w:w="91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(32)</w:t>
            </w:r>
          </w:p>
        </w:tc>
        <w:tc>
          <w:tcPr>
            <w:tcW w:w="91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(349,268)</w:t>
            </w:r>
          </w:p>
        </w:tc>
        <w:tc>
          <w:tcPr>
            <w:tcW w:w="91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(25,945)</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(375,245)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Opening net book balance</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5,234</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2,590,641</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473,195</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623,077</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3,692,147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CAPITAL ASSET ADDITIONS</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Estimated expenditure on new or</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replacement assets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310" w:type="dxa"/>
              <w:right w:w="40" w:type="dxa"/>
            </w:tcMar>
            <w:vAlign w:val="center"/>
          </w:tcPr>
          <w:p w:rsidR="00010972" w:rsidRDefault="009C34BB">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By purchase –</w:t>
            </w:r>
            <w:r w:rsidR="00D5482E">
              <w:rPr>
                <w:rFonts w:ascii="Arial" w:eastAsia="Arial" w:hAnsi="Arial" w:cs="Arial"/>
                <w:color w:val="000000"/>
                <w:sz w:val="16"/>
                <w:szCs w:val="20"/>
                <w:bdr w:val="nil"/>
                <w:lang w:val="en-AU" w:eastAsia="en-AU"/>
              </w:rPr>
              <w:t xml:space="preserve"> appropriation equity (a)</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46,464</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180,137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226,601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By purchase </w:t>
            </w:r>
            <w:r w:rsidR="009C34BB">
              <w:rPr>
                <w:rFonts w:ascii="Arial" w:eastAsia="Arial" w:hAnsi="Arial" w:cs="Arial"/>
                <w:color w:val="000000"/>
                <w:sz w:val="16"/>
                <w:szCs w:val="20"/>
                <w:bdr w:val="nil"/>
                <w:lang w:val="en-AU" w:eastAsia="en-AU"/>
              </w:rPr>
              <w:t>–</w:t>
            </w:r>
            <w:r>
              <w:rPr>
                <w:rFonts w:ascii="Arial" w:eastAsia="Arial" w:hAnsi="Arial" w:cs="Arial"/>
                <w:color w:val="000000"/>
                <w:sz w:val="16"/>
                <w:szCs w:val="20"/>
                <w:bdr w:val="nil"/>
                <w:lang w:val="en-AU" w:eastAsia="en-AU"/>
              </w:rPr>
              <w:t xml:space="preserve"> appropriation ordinary</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annual services (b)</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69,398</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95,184</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31,985</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196,567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310" w:type="dxa"/>
              <w:right w:w="40" w:type="dxa"/>
            </w:tcMar>
            <w:vAlign w:val="center"/>
          </w:tcPr>
          <w:p w:rsidR="00010972" w:rsidRDefault="009C34BB">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By purchase –</w:t>
            </w:r>
            <w:r w:rsidR="00D5482E">
              <w:rPr>
                <w:rFonts w:ascii="Arial" w:eastAsia="Arial" w:hAnsi="Arial" w:cs="Arial"/>
                <w:color w:val="000000"/>
                <w:sz w:val="16"/>
                <w:szCs w:val="20"/>
                <w:bdr w:val="nil"/>
                <w:lang w:val="en-AU" w:eastAsia="en-AU"/>
              </w:rPr>
              <w:t xml:space="preserve"> appropriation ordinary</w:t>
            </w:r>
          </w:p>
          <w:p w:rsidR="00010972" w:rsidRDefault="009C34BB">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annual services –</w:t>
            </w:r>
            <w:r w:rsidR="00D5482E">
              <w:rPr>
                <w:rFonts w:ascii="Arial" w:eastAsia="Arial" w:hAnsi="Arial" w:cs="Arial"/>
                <w:color w:val="000000"/>
                <w:sz w:val="16"/>
                <w:szCs w:val="20"/>
                <w:bdr w:val="nil"/>
                <w:lang w:val="en-AU" w:eastAsia="en-AU"/>
              </w:rPr>
              <w:t xml:space="preserve"> ROU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61,179</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2,817</w:t>
            </w:r>
          </w:p>
        </w:tc>
        <w:tc>
          <w:tcPr>
            <w:tcW w:w="915" w:type="dxa"/>
            <w:tcBorders>
              <w:top w:val="nil"/>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63,996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310" w:type="dxa"/>
              <w:right w:w="40" w:type="dxa"/>
            </w:tcMar>
            <w:vAlign w:val="center"/>
          </w:tcPr>
          <w:p w:rsidR="00010972" w:rsidRDefault="00D5482E" w:rsidP="009C34BB">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By purchase </w:t>
            </w:r>
            <w:r w:rsidR="009C34BB">
              <w:rPr>
                <w:rFonts w:ascii="Arial" w:eastAsia="Arial" w:hAnsi="Arial" w:cs="Arial"/>
                <w:color w:val="000000"/>
                <w:sz w:val="16"/>
                <w:szCs w:val="20"/>
                <w:bdr w:val="nil"/>
                <w:lang w:val="en-AU" w:eastAsia="en-AU"/>
              </w:rPr>
              <w:t>–</w:t>
            </w:r>
            <w:r>
              <w:rPr>
                <w:rFonts w:ascii="Arial" w:eastAsia="Arial" w:hAnsi="Arial" w:cs="Arial"/>
                <w:color w:val="000000"/>
                <w:sz w:val="16"/>
                <w:szCs w:val="20"/>
                <w:bdr w:val="nil"/>
                <w:lang w:val="en-AU" w:eastAsia="en-AU"/>
              </w:rPr>
              <w:t xml:space="preserve"> other</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15,000</w:t>
            </w:r>
          </w:p>
        </w:tc>
        <w:tc>
          <w:tcPr>
            <w:tcW w:w="915" w:type="dxa"/>
            <w:tcBorders>
              <w:top w:val="nil"/>
              <w:left w:val="nil"/>
              <w:bottom w:val="dotted" w:sz="2" w:space="0" w:color="000000"/>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additions</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130,577</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159,465</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212,122</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502,164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Other movements</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Depreciation/amortisation expense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(99,568)</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(107,458)</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(140,183)</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(347,209)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Depreciation/amortisation on ROU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assets</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(358,307)</w:t>
            </w:r>
          </w:p>
        </w:tc>
        <w:tc>
          <w:tcPr>
            <w:tcW w:w="91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(58,629)</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(416,936)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other movements</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(457,875)</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(166,087)</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(140,183)</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rsidP="00F61904">
            <w:pPr>
              <w:keepLines/>
              <w:pBdr>
                <w:top w:val="nil"/>
                <w:left w:val="nil"/>
                <w:bottom w:val="nil"/>
                <w:right w:val="nil"/>
                <w:between w:val="nil"/>
                <w:bar w:val="nil"/>
              </w:pBdr>
              <w:spacing w:after="0" w:line="240" w:lineRule="auto"/>
              <w:ind w:right="57"/>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(764,145)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As at 30 June 2021</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FFFFFF" w:fill="FFFFFF"/>
            <w:tcMar>
              <w:left w:w="175"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Gross book value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4,209</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420,041</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600,794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1,579,636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2,604,680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FFFFFF" w:fill="FFFFFF"/>
            <w:tcMar>
              <w:left w:w="175" w:type="dxa"/>
              <w:right w:w="40" w:type="dxa"/>
            </w:tcMar>
            <w:vAlign w:val="bottom"/>
          </w:tcPr>
          <w:p w:rsidR="00010972" w:rsidRDefault="009C34BB">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Gross book value –</w:t>
            </w:r>
            <w:r w:rsidR="00D5482E">
              <w:rPr>
                <w:rFonts w:ascii="Arial" w:eastAsia="Arial" w:hAnsi="Arial" w:cs="Arial"/>
                <w:color w:val="000000"/>
                <w:sz w:val="16"/>
                <w:szCs w:val="20"/>
                <w:bdr w:val="nil"/>
                <w:lang w:val="en-AU" w:eastAsia="en-AU"/>
              </w:rPr>
              <w:t xml:space="preserve"> ROU assets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1,057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2,685,612</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123,064</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2,809,733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FFFFFF" w:fill="FFFFFF"/>
            <w:tcMar>
              <w:left w:w="175" w:type="dxa"/>
              <w:right w:w="40" w:type="dxa"/>
            </w:tcMa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Accumulated depreciation/amortisation</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and impairment</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(134,735)</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(172,711)</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(884,620)</w:t>
            </w:r>
          </w:p>
        </w:tc>
        <w:tc>
          <w:tcPr>
            <w:tcW w:w="915" w:type="dxa"/>
            <w:tcBorders>
              <w:top w:val="nil"/>
              <w:left w:val="nil"/>
              <w:bottom w:val="nil"/>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(1,192,066)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FFFFFF" w:fill="FFFFFF"/>
            <w:tcMar>
              <w:left w:w="175" w:type="dxa"/>
              <w:right w:w="40" w:type="dxa"/>
            </w:tcMa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Accumulated depreciation/amortisation</w:t>
            </w:r>
          </w:p>
          <w:p w:rsidR="00010972" w:rsidRDefault="009C34BB">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and impairment –</w:t>
            </w:r>
            <w:r w:rsidR="00D5482E">
              <w:rPr>
                <w:rFonts w:ascii="Arial" w:eastAsia="Arial" w:hAnsi="Arial" w:cs="Arial"/>
                <w:color w:val="000000"/>
                <w:sz w:val="16"/>
                <w:szCs w:val="20"/>
                <w:bdr w:val="nil"/>
                <w:lang w:val="en-AU" w:eastAsia="en-AU"/>
              </w:rPr>
              <w:t xml:space="preserve"> ROU assets</w:t>
            </w:r>
          </w:p>
        </w:tc>
        <w:tc>
          <w:tcPr>
            <w:tcW w:w="91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(32)</w:t>
            </w:r>
          </w:p>
        </w:tc>
        <w:tc>
          <w:tcPr>
            <w:tcW w:w="91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(707,575)</w:t>
            </w:r>
          </w:p>
        </w:tc>
        <w:tc>
          <w:tcPr>
            <w:tcW w:w="91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(84,574)</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dotted" w:sz="2" w:space="0" w:color="000000"/>
              <w:right w:val="nil"/>
              <w:tl2br w:val="nil"/>
              <w:tr2bl w:val="nil"/>
            </w:tcBorders>
            <w:shd w:val="clear" w:color="auto" w:fill="auto"/>
            <w:noWrap/>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(792,181)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Closing net book balance</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5,234</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2,263,343</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466,573</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695,016</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3,430,166</w:t>
            </w:r>
          </w:p>
        </w:tc>
      </w:tr>
    </w:tbl>
    <w:p w:rsidR="004A3A5E" w:rsidRDefault="00D5482E" w:rsidP="00716A39">
      <w:pPr>
        <w:pStyle w:val="Source"/>
        <w:pBdr>
          <w:top w:val="nil"/>
          <w:left w:val="nil"/>
          <w:bottom w:val="nil"/>
          <w:right w:val="nil"/>
          <w:between w:val="nil"/>
          <w:bar w:val="nil"/>
        </w:pBdr>
        <w:rPr>
          <w:bdr w:val="nil"/>
        </w:rPr>
      </w:pPr>
      <w:r>
        <w:rPr>
          <w:bdr w:val="nil"/>
        </w:rPr>
        <w:t>Prepared on Australian Accounting Standards basis.</w:t>
      </w:r>
    </w:p>
    <w:p w:rsidR="00CE4332" w:rsidRDefault="00D5482E" w:rsidP="00CE4332">
      <w:pPr>
        <w:pStyle w:val="ChartandTableFootnoteAlpha"/>
        <w:numPr>
          <w:ilvl w:val="0"/>
          <w:numId w:val="56"/>
        </w:numPr>
        <w:pBdr>
          <w:top w:val="nil"/>
          <w:left w:val="nil"/>
          <w:bottom w:val="nil"/>
          <w:right w:val="nil"/>
          <w:between w:val="nil"/>
          <w:bar w:val="nil"/>
        </w:pBdr>
        <w:spacing w:after="0"/>
        <w:ind w:left="284" w:hanging="284"/>
        <w:rPr>
          <w:bdr w:val="nil"/>
        </w:rPr>
      </w:pPr>
      <w:r>
        <w:rPr>
          <w:bdr w:val="nil"/>
        </w:rPr>
        <w:t>‘Appropriation equity’</w:t>
      </w:r>
      <w:r w:rsidR="00A22EB5">
        <w:rPr>
          <w:bdr w:val="nil"/>
        </w:rPr>
        <w:t xml:space="preserve"> refers to equity injections or Administered Assets and Liabilities appropriations provided through </w:t>
      </w:r>
      <w:r w:rsidR="00A22EB5">
        <w:rPr>
          <w:i/>
          <w:bdr w:val="nil"/>
        </w:rPr>
        <w:t>Appropriation Act (No. 2) 2020-2021</w:t>
      </w:r>
      <w:r w:rsidR="00A22EB5">
        <w:rPr>
          <w:bdr w:val="nil"/>
        </w:rPr>
        <w:t xml:space="preserve"> and Appropriation Bill (No. 4) 2020-2021.</w:t>
      </w:r>
    </w:p>
    <w:p w:rsidR="001C500B" w:rsidRPr="00CE4332" w:rsidRDefault="00D5482E" w:rsidP="006E0341">
      <w:pPr>
        <w:pStyle w:val="ChartandTableFootnoteAlpha"/>
        <w:numPr>
          <w:ilvl w:val="0"/>
          <w:numId w:val="56"/>
        </w:numPr>
        <w:pBdr>
          <w:top w:val="nil"/>
          <w:left w:val="nil"/>
          <w:bottom w:val="nil"/>
          <w:right w:val="nil"/>
          <w:between w:val="nil"/>
          <w:bar w:val="nil"/>
        </w:pBdr>
        <w:spacing w:after="0"/>
        <w:ind w:left="284" w:hanging="284"/>
        <w:rPr>
          <w:bdr w:val="nil"/>
        </w:rPr>
      </w:pPr>
      <w:r>
        <w:rPr>
          <w:bdr w:val="nil"/>
        </w:rPr>
        <w:t>‘</w:t>
      </w:r>
      <w:r w:rsidRPr="00CE4332">
        <w:rPr>
          <w:bdr w:val="nil"/>
        </w:rPr>
        <w:t>Appropriation ordinary annual services</w:t>
      </w:r>
      <w:r>
        <w:rPr>
          <w:bdr w:val="nil"/>
        </w:rPr>
        <w:t>’</w:t>
      </w:r>
      <w:r w:rsidRPr="00CE4332">
        <w:rPr>
          <w:bdr w:val="nil"/>
        </w:rPr>
        <w:t xml:space="preserve"> </w:t>
      </w:r>
      <w:r w:rsidRPr="006E0341">
        <w:rPr>
          <w:bdr w:val="nil"/>
        </w:rPr>
        <w:t xml:space="preserve">refers to funding provided through </w:t>
      </w:r>
      <w:r w:rsidRPr="004408B9">
        <w:rPr>
          <w:i/>
          <w:bdr w:val="nil"/>
        </w:rPr>
        <w:t>Appropriation Act (No. 1) 2020</w:t>
      </w:r>
      <w:r w:rsidR="004408B9" w:rsidRPr="004408B9">
        <w:rPr>
          <w:i/>
          <w:bdr w:val="nil"/>
        </w:rPr>
        <w:noBreakHyphen/>
      </w:r>
      <w:r w:rsidRPr="004408B9">
        <w:rPr>
          <w:i/>
          <w:bdr w:val="nil"/>
        </w:rPr>
        <w:t>2021</w:t>
      </w:r>
      <w:r w:rsidRPr="006E0341">
        <w:rPr>
          <w:bdr w:val="nil"/>
        </w:rPr>
        <w:t xml:space="preserve"> and Appropriation Bill (No. 3) 2020-2021</w:t>
      </w:r>
      <w:r w:rsidRPr="00CE4332">
        <w:rPr>
          <w:bdr w:val="nil"/>
        </w:rPr>
        <w:t>.</w:t>
      </w:r>
    </w:p>
    <w:p w:rsidR="00F60019" w:rsidRDefault="00D5482E" w:rsidP="00C26AA0">
      <w:pPr>
        <w:pBdr>
          <w:top w:val="nil"/>
          <w:left w:val="nil"/>
          <w:bottom w:val="nil"/>
          <w:right w:val="nil"/>
          <w:between w:val="nil"/>
          <w:bar w:val="nil"/>
        </w:pBdr>
        <w:ind w:left="284" w:hanging="284"/>
        <w:rPr>
          <w:rFonts w:ascii="Arial" w:eastAsia="Calibri" w:hAnsi="Arial" w:cs="Arial"/>
          <w:sz w:val="16"/>
          <w:szCs w:val="16"/>
          <w:bdr w:val="nil"/>
          <w:lang w:val="en-AU"/>
        </w:rPr>
      </w:pPr>
      <w:r>
        <w:rPr>
          <w:rFonts w:ascii="Arial" w:eastAsia="Calibri" w:hAnsi="Arial" w:cs="Arial"/>
          <w:sz w:val="16"/>
          <w:szCs w:val="16"/>
          <w:bdr w:val="nil"/>
          <w:lang w:val="en-AU" w:eastAsia="en-AU"/>
        </w:rPr>
        <w:br w:type="page"/>
      </w:r>
    </w:p>
    <w:p w:rsidR="00F60019" w:rsidRDefault="00D5482E" w:rsidP="00F60019">
      <w:pPr>
        <w:pStyle w:val="TableHeading"/>
        <w:keepLines/>
        <w:pBdr>
          <w:top w:val="nil"/>
          <w:left w:val="nil"/>
          <w:bottom w:val="nil"/>
          <w:right w:val="nil"/>
          <w:between w:val="nil"/>
          <w:bar w:val="nil"/>
        </w:pBdr>
        <w:spacing w:before="0" w:after="0"/>
        <w:rPr>
          <w:bdr w:val="nil"/>
        </w:rPr>
      </w:pPr>
      <w:r>
        <w:rPr>
          <w:bdr w:val="nil"/>
        </w:rPr>
        <w:lastRenderedPageBreak/>
        <w:t>Table 3.8: Schedule of budgeted income and expenses administered on behalf of Government (for the period ended 30 June)</w:t>
      </w:r>
    </w:p>
    <w:tbl>
      <w:tblPr>
        <w:tblStyle w:val="CDMRange2"/>
        <w:tblW w:w="7800" w:type="dxa"/>
        <w:tblLayout w:type="fixed"/>
        <w:tblCellMar>
          <w:top w:w="11" w:type="dxa"/>
          <w:bottom w:w="11" w:type="dxa"/>
        </w:tblCellMar>
        <w:tblLook w:val="0600" w:firstRow="0" w:lastRow="0" w:firstColumn="0" w:lastColumn="0" w:noHBand="1" w:noVBand="1"/>
        <w:tblCaption w:val="Table 3.8: Schedule of budgeted income and expenses administered on behalf of Government (for the period ended 30 June)"/>
      </w:tblPr>
      <w:tblGrid>
        <w:gridCol w:w="3225"/>
        <w:gridCol w:w="915"/>
        <w:gridCol w:w="915"/>
        <w:gridCol w:w="915"/>
        <w:gridCol w:w="915"/>
        <w:gridCol w:w="915"/>
      </w:tblGrid>
      <w:tr w:rsidR="00010972" w:rsidTr="0051209A">
        <w:trPr>
          <w:tblHeader/>
        </w:trPr>
        <w:tc>
          <w:tcPr>
            <w:tcW w:w="322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91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915" w:type="dxa"/>
            <w:tcBorders>
              <w:top w:val="nil"/>
              <w:left w:val="nil"/>
              <w:bottom w:val="nil"/>
              <w:right w:val="nil"/>
              <w:tl2br w:val="nil"/>
              <w:tr2bl w:val="nil"/>
            </w:tcBorders>
            <w:shd w:val="clear" w:color="FFFFFF" w:fill="E6E6E6"/>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nil"/>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FFFFFF" w:fill="E6E6E6"/>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EXPENSES</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Child support maintenance expense</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1,915,745</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1,695,178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1,731,348</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1,771,556</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1,812,636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Write-down and impairment of assets</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51,377</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85,970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88,492</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89,024</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89,570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expenses administered on</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behalf of Government</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1,967,122</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1,781,148</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1,819,840</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1,860,580</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1,902,206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LESS:</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OWN-SOURCE INCOME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Own-source 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Non-taxation revenue</w:t>
            </w: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Child support maintenance revenue</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1,715,227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1,770,294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1,809,833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1,850,574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1,892,200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Compensation recovery for health</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care services</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51,114</w:t>
            </w:r>
          </w:p>
        </w:tc>
        <w:tc>
          <w:tcPr>
            <w:tcW w:w="915" w:type="dxa"/>
            <w:tcBorders>
              <w:top w:val="nil"/>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51,587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51,587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51,587</w:t>
            </w:r>
          </w:p>
        </w:tc>
        <w:tc>
          <w:tcPr>
            <w:tcW w:w="915" w:type="dxa"/>
            <w:tcBorders>
              <w:top w:val="nil"/>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51,587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Fees and fines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8,804</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9,215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9,424</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9,640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9,861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FFFFFF" w:fill="FFFFFF"/>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revenue</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6,396</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non-taxation revenue</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1,781,541</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1,831,426</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1,871,174</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1,912,131</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1,953,978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own-source revenue</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administered on behalf</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of Government</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1,781,541</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1,831,426</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1,871,174</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1,912,131</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1,953,978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Gains</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 gains</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251,988</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10,000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10,000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10,000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gains</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251,988</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10,000</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10,000</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10,000</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10,000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own-sourced income</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administered on behalf</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of Government</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2,033,529</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1,841,426</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1,881,174</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1,922,131</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1,963,978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contribution by services</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66,407</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60,278</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61,334</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61,551</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61,772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Surplus/(deficit)</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66,407</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60,278</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61,334</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61,551</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61,772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comprehensive income/(loss)</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66,407</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60,278</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61,334</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61,551</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61,772</w:t>
            </w:r>
          </w:p>
        </w:tc>
      </w:tr>
    </w:tbl>
    <w:p w:rsidR="004A3A5E" w:rsidRDefault="00D5482E" w:rsidP="004A3A5E">
      <w:pPr>
        <w:pStyle w:val="Source"/>
        <w:pBdr>
          <w:top w:val="nil"/>
          <w:left w:val="nil"/>
          <w:bottom w:val="nil"/>
          <w:right w:val="nil"/>
          <w:between w:val="nil"/>
          <w:bar w:val="nil"/>
        </w:pBdr>
        <w:rPr>
          <w:bdr w:val="nil"/>
        </w:rPr>
      </w:pPr>
      <w:r>
        <w:rPr>
          <w:bdr w:val="nil"/>
        </w:rPr>
        <w:t>Prepared on Australian Accounting Standards basis.</w:t>
      </w:r>
    </w:p>
    <w:p w:rsidR="004A3A5E" w:rsidRDefault="00D5482E" w:rsidP="00F84F94">
      <w:pPr>
        <w:pStyle w:val="Source"/>
        <w:keepLines w:val="0"/>
        <w:numPr>
          <w:ilvl w:val="0"/>
          <w:numId w:val="57"/>
        </w:numPr>
        <w:pBdr>
          <w:top w:val="nil"/>
          <w:left w:val="nil"/>
          <w:bottom w:val="nil"/>
          <w:right w:val="nil"/>
          <w:between w:val="nil"/>
          <w:bar w:val="nil"/>
        </w:pBdr>
        <w:ind w:left="284" w:hanging="284"/>
        <w:rPr>
          <w:bdr w:val="nil"/>
        </w:rPr>
      </w:pPr>
      <w:r>
        <w:rPr>
          <w:bdr w:val="nil"/>
        </w:rPr>
        <w:t>The 2019-20 Actual for other revenue includes $5.955 million of competitive neutrality revenue.</w:t>
      </w:r>
    </w:p>
    <w:p w:rsidR="00F60019" w:rsidRDefault="00D5482E">
      <w:pPr>
        <w:pBdr>
          <w:top w:val="nil"/>
          <w:left w:val="nil"/>
          <w:bottom w:val="nil"/>
          <w:right w:val="nil"/>
          <w:between w:val="nil"/>
          <w:bar w:val="nil"/>
        </w:pBdr>
        <w:rPr>
          <w:bdr w:val="nil"/>
          <w:lang w:val="en-AU"/>
        </w:rPr>
      </w:pPr>
      <w:r>
        <w:rPr>
          <w:rFonts w:ascii="Book Antiqua" w:eastAsia="Times New Roman" w:hAnsi="Book Antiqua" w:cs="Times New Roman"/>
          <w:sz w:val="20"/>
          <w:szCs w:val="20"/>
          <w:bdr w:val="nil"/>
          <w:lang w:val="en-AU" w:eastAsia="en-AU"/>
        </w:rPr>
        <w:br w:type="page"/>
      </w:r>
    </w:p>
    <w:p w:rsidR="00F60019" w:rsidRDefault="00D5482E" w:rsidP="00F60019">
      <w:pPr>
        <w:pStyle w:val="TableHeading"/>
        <w:keepLines/>
        <w:pBdr>
          <w:top w:val="nil"/>
          <w:left w:val="nil"/>
          <w:bottom w:val="nil"/>
          <w:right w:val="nil"/>
          <w:between w:val="nil"/>
          <w:bar w:val="nil"/>
        </w:pBdr>
        <w:spacing w:before="0" w:after="0"/>
        <w:rPr>
          <w:bdr w:val="nil"/>
        </w:rPr>
      </w:pPr>
      <w:r>
        <w:rPr>
          <w:bdr w:val="nil"/>
        </w:rPr>
        <w:lastRenderedPageBreak/>
        <w:t>Table 3.9: Schedule of budgeted assets and liabilities administered on behalf of Government (as at 30 June)</w:t>
      </w:r>
    </w:p>
    <w:tbl>
      <w:tblPr>
        <w:tblStyle w:val="CDMRange1"/>
        <w:tblW w:w="7800" w:type="dxa"/>
        <w:tblLayout w:type="fixed"/>
        <w:tblCellMar>
          <w:top w:w="11" w:type="dxa"/>
          <w:bottom w:w="11" w:type="dxa"/>
        </w:tblCellMar>
        <w:tblLook w:val="0600" w:firstRow="0" w:lastRow="0" w:firstColumn="0" w:lastColumn="0" w:noHBand="1" w:noVBand="1"/>
        <w:tblCaption w:val="Table 3.9: Schedule of budgeted assets and liabilities administered on behalf of Government (as at 30 June)"/>
      </w:tblPr>
      <w:tblGrid>
        <w:gridCol w:w="3225"/>
        <w:gridCol w:w="915"/>
        <w:gridCol w:w="915"/>
        <w:gridCol w:w="915"/>
        <w:gridCol w:w="915"/>
        <w:gridCol w:w="915"/>
      </w:tblGrid>
      <w:tr w:rsidR="00010972" w:rsidTr="0051209A">
        <w:trPr>
          <w:tblHeader/>
        </w:trPr>
        <w:tc>
          <w:tcPr>
            <w:tcW w:w="322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91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915" w:type="dxa"/>
            <w:tcBorders>
              <w:top w:val="nil"/>
              <w:left w:val="nil"/>
              <w:bottom w:val="nil"/>
              <w:right w:val="nil"/>
              <w:tl2br w:val="nil"/>
              <w:tr2bl w:val="nil"/>
            </w:tcBorders>
            <w:shd w:val="clear" w:color="FFFFFF" w:fill="E6E6E6"/>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nil"/>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FFFFFF" w:fill="E6E6E6"/>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ASSETS</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Financial assets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FFFFFF" w:fill="FFFFFF"/>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Cash and cash equivalents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159,979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159,979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159,979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159,979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159,979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FFFFFF" w:fill="FFFFFF"/>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Child support receivables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1,209,905</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1,279,805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1,348,810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1,419,320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1,491,366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Trade and other receivables</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17,012</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16,661</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16,661</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16,661</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16,661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financial assets</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1,386,896</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1,456,445</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1,525,450</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1,595,960</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1,668,006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assets administered on</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behalf of Government</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1,386,896</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1,456,445</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1,525,450</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1,595,960</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1,668,006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LIABILITIES</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Payables</w:t>
            </w: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Child support and other payables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34,309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34,309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34,309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34,309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34,309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Recovery of compensation payable</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8,031</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8,031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8,031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8,031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8,031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Child support payments received</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in advance</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22,558</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22,558</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22,558</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22,558</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22,558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payables</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64,898</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64,898</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64,898</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64,898</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64,898</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Provisions</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FFFFFF" w:fill="FFFFFF"/>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Child support provisions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1,207,942</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1,278,339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1,347,345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1,417,855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1,489,901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FFFFFF" w:fill="FFFFFF"/>
            <w:noWrap/>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Recovery of compensation provisions</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90,646</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90,646</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90,646</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90,646</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90,646</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provisions</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1,298,588</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1,368,985</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1,437,991</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1,508,501</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1,580,547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Total liabilities administered on</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behalf of Government</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1,363,486</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1,433,883</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1,502,889</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1,573,399</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1,645,445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dotted" w:sz="2" w:space="0" w:color="000000"/>
              <w:right w:val="nil"/>
              <w:tl2br w:val="nil"/>
              <w:tr2bl w:val="nil"/>
            </w:tcBorders>
            <w:shd w:val="clear" w:color="auto" w:fill="auto"/>
            <w:noWrap/>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Net assets/(liabilities)</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23,410</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22,562</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22,561</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22,561</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22,561</w:t>
            </w:r>
          </w:p>
        </w:tc>
      </w:tr>
    </w:tbl>
    <w:p w:rsidR="00565303" w:rsidRPr="00565303" w:rsidRDefault="00D5482E" w:rsidP="009A451E">
      <w:pPr>
        <w:keepLines/>
        <w:pBdr>
          <w:top w:val="nil"/>
          <w:left w:val="nil"/>
          <w:bottom w:val="nil"/>
          <w:right w:val="nil"/>
          <w:between w:val="nil"/>
          <w:bar w:val="nil"/>
        </w:pBdr>
        <w:spacing w:after="0" w:line="240" w:lineRule="auto"/>
        <w:jc w:val="both"/>
        <w:rPr>
          <w:rFonts w:ascii="Arial" w:hAnsi="Arial" w:cs="Arial"/>
          <w:sz w:val="16"/>
          <w:bdr w:val="nil"/>
          <w:lang w:val="en-AU"/>
        </w:rPr>
      </w:pPr>
      <w:r w:rsidRPr="00565303">
        <w:rPr>
          <w:rFonts w:ascii="Arial" w:eastAsia="Times New Roman" w:hAnsi="Arial" w:cs="Arial"/>
          <w:sz w:val="16"/>
          <w:szCs w:val="20"/>
          <w:bdr w:val="nil"/>
          <w:lang w:val="en-AU" w:eastAsia="en-AU"/>
        </w:rPr>
        <w:t>Prepared on Australian Accounting Standards basis.</w:t>
      </w:r>
    </w:p>
    <w:p w:rsidR="00F60019" w:rsidRDefault="00D5482E">
      <w:pPr>
        <w:pBdr>
          <w:top w:val="nil"/>
          <w:left w:val="nil"/>
          <w:bottom w:val="nil"/>
          <w:right w:val="nil"/>
          <w:between w:val="nil"/>
          <w:bar w:val="nil"/>
        </w:pBdr>
        <w:rPr>
          <w:rFonts w:ascii="Arial" w:eastAsia="Calibri" w:hAnsi="Arial" w:cs="Arial"/>
          <w:sz w:val="16"/>
          <w:szCs w:val="16"/>
          <w:bdr w:val="nil"/>
          <w:lang w:val="en-AU"/>
        </w:rPr>
      </w:pPr>
      <w:r>
        <w:rPr>
          <w:rFonts w:ascii="Arial" w:eastAsia="Calibri" w:hAnsi="Arial" w:cs="Arial"/>
          <w:sz w:val="16"/>
          <w:szCs w:val="16"/>
          <w:bdr w:val="nil"/>
          <w:lang w:val="en-AU" w:eastAsia="en-AU"/>
        </w:rPr>
        <w:br w:type="page"/>
      </w:r>
    </w:p>
    <w:p w:rsidR="00F60019" w:rsidRDefault="00D5482E" w:rsidP="00F60019">
      <w:pPr>
        <w:pStyle w:val="TableHeading"/>
        <w:keepLines/>
        <w:pBdr>
          <w:top w:val="nil"/>
          <w:left w:val="nil"/>
          <w:bottom w:val="nil"/>
          <w:right w:val="nil"/>
          <w:between w:val="nil"/>
          <w:bar w:val="nil"/>
        </w:pBdr>
        <w:spacing w:before="0" w:after="0"/>
        <w:rPr>
          <w:bdr w:val="nil"/>
        </w:rPr>
      </w:pPr>
      <w:r>
        <w:rPr>
          <w:bdr w:val="nil"/>
        </w:rPr>
        <w:lastRenderedPageBreak/>
        <w:t>Table 3.10: Schedule of budgeted administered cash flow (for the period ended 30 June)</w:t>
      </w:r>
    </w:p>
    <w:tbl>
      <w:tblPr>
        <w:tblStyle w:val="CDMRange2"/>
        <w:tblW w:w="7800" w:type="dxa"/>
        <w:tblLayout w:type="fixed"/>
        <w:tblCellMar>
          <w:top w:w="11" w:type="dxa"/>
          <w:bottom w:w="11" w:type="dxa"/>
        </w:tblCellMar>
        <w:tblLook w:val="0600" w:firstRow="0" w:lastRow="0" w:firstColumn="0" w:lastColumn="0" w:noHBand="1" w:noVBand="1"/>
        <w:tblCaption w:val="Table 3.10: Schedule of budgeted administered cash flow (for the period ended 30 June)"/>
      </w:tblPr>
      <w:tblGrid>
        <w:gridCol w:w="3225"/>
        <w:gridCol w:w="915"/>
        <w:gridCol w:w="915"/>
        <w:gridCol w:w="915"/>
        <w:gridCol w:w="915"/>
        <w:gridCol w:w="915"/>
      </w:tblGrid>
      <w:tr w:rsidR="00010972" w:rsidTr="00782CA5">
        <w:trPr>
          <w:tblHeader/>
        </w:trPr>
        <w:tc>
          <w:tcPr>
            <w:tcW w:w="3225" w:type="dxa"/>
            <w:tcBorders>
              <w:top w:val="dotted" w:sz="2" w:space="0" w:color="000000"/>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bookmarkStart w:id="213" w:name="_GoBack" w:colFirst="0" w:colLast="6"/>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2019-20</w:t>
            </w:r>
          </w:p>
        </w:tc>
        <w:tc>
          <w:tcPr>
            <w:tcW w:w="915" w:type="dxa"/>
            <w:tcBorders>
              <w:top w:val="dotted" w:sz="2" w:space="0" w:color="000000"/>
              <w:left w:val="nil"/>
              <w:bottom w:val="nil"/>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2020-21</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2021-22</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2022-23</w:t>
            </w:r>
          </w:p>
        </w:tc>
        <w:tc>
          <w:tcPr>
            <w:tcW w:w="915" w:type="dxa"/>
            <w:tcBorders>
              <w:top w:val="dotted" w:sz="2" w:space="0" w:color="000000"/>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2023-24</w:t>
            </w:r>
          </w:p>
        </w:tc>
      </w:tr>
      <w:bookmarkEnd w:id="213"/>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nil"/>
              <w:left w:val="nil"/>
              <w:bottom w:val="nil"/>
              <w:right w:val="nil"/>
              <w:tl2br w:val="nil"/>
              <w:tr2bl w:val="nil"/>
            </w:tcBorders>
            <w:shd w:val="clear" w:color="auto" w:fill="auto"/>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Actual</w:t>
            </w:r>
          </w:p>
        </w:tc>
        <w:tc>
          <w:tcPr>
            <w:tcW w:w="915" w:type="dxa"/>
            <w:tcBorders>
              <w:top w:val="nil"/>
              <w:left w:val="nil"/>
              <w:bottom w:val="nil"/>
              <w:right w:val="nil"/>
              <w:tl2br w:val="nil"/>
              <w:tr2bl w:val="nil"/>
            </w:tcBorders>
            <w:shd w:val="clear" w:color="FFFFFF" w:fill="E6E6E6"/>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Revised</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Forward</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nil"/>
              <w:left w:val="nil"/>
              <w:bottom w:val="nil"/>
              <w:right w:val="nil"/>
              <w:tl2br w:val="nil"/>
              <w:tr2bl w:val="nil"/>
            </w:tcBorders>
            <w:shd w:val="clear" w:color="auto" w:fill="auto"/>
            <w:tcMar>
              <w:left w:w="0" w:type="dxa"/>
              <w:right w:w="0" w:type="dxa"/>
            </w:tcMa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FFFFFF" w:fill="E6E6E6"/>
            <w:tcMar>
              <w:left w:w="40" w:type="dxa"/>
              <w:right w:w="40" w:type="dxa"/>
            </w:tcMa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Budget</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c>
          <w:tcPr>
            <w:tcW w:w="915" w:type="dxa"/>
            <w:tcBorders>
              <w:top w:val="nil"/>
              <w:left w:val="nil"/>
              <w:bottom w:val="nil"/>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estimate</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FFFFFF" w:fill="E6E6E6"/>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c>
          <w:tcPr>
            <w:tcW w:w="915" w:type="dxa"/>
            <w:tcBorders>
              <w:top w:val="nil"/>
              <w:left w:val="nil"/>
              <w:bottom w:val="dotted" w:sz="2" w:space="0" w:color="000000"/>
              <w:right w:val="nil"/>
              <w:tl2br w:val="nil"/>
              <w:tr2bl w:val="nil"/>
            </w:tcBorders>
            <w:shd w:val="clear" w:color="auto" w:fill="auto"/>
            <w:tcMar>
              <w:left w:w="40" w:type="dxa"/>
              <w:right w:w="4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$'000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FFFFFF" w:fill="FFFFFF"/>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OPERATING ACTIVITIES</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received</w:t>
            </w: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Child support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1,623,060</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1,633,846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1,671,616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1,710,536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1,750,301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Health compensation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354,506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389,659</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398,842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408,247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417,880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Dividends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3,959</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20,038</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1,224</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1,524</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1,524</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1,524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received</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2,001,563</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2,024,729</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2,071,982</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2,120,307</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2,169,705</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used</w:t>
            </w: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dotted" w:sz="2" w:space="0" w:color="000000"/>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Child support</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1,622,986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1,624,781</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1,662,342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1,701,046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1,740,590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Health compensation</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264,966</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337,922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347,105</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356,510</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366,143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Other</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1,575</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900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1,200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1,200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1,200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Total cash used</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1,889,527</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1,963,603</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2,010,647</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2,058,756</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2,107,933</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Net cash from/(used by) </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operating activities</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112,036</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61,126</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61,335</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61,551</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61,772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 xml:space="preserve">Net increase/(decrease) in </w:t>
            </w:r>
          </w:p>
          <w:p w:rsidR="00010972" w:rsidRDefault="00D5482E">
            <w:pPr>
              <w:keepLines/>
              <w:pBdr>
                <w:top w:val="nil"/>
                <w:left w:val="nil"/>
                <w:bottom w:val="nil"/>
                <w:right w:val="nil"/>
                <w:between w:val="nil"/>
                <w:bar w:val="nil"/>
              </w:pBdr>
              <w:spacing w:after="0" w:line="240" w:lineRule="auto"/>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 xml:space="preserve">  cash held</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112,036</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61,126</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61,335</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61,551</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i/>
                <w:color w:val="000000"/>
                <w:sz w:val="16"/>
                <w:bdr w:val="nil"/>
                <w:lang w:val="en-AU"/>
              </w:rPr>
            </w:pPr>
            <w:r>
              <w:rPr>
                <w:rFonts w:ascii="Arial" w:eastAsia="Arial" w:hAnsi="Arial" w:cs="Arial"/>
                <w:b/>
                <w:i/>
                <w:color w:val="000000"/>
                <w:sz w:val="16"/>
                <w:szCs w:val="20"/>
                <w:bdr w:val="nil"/>
                <w:lang w:val="en-AU" w:eastAsia="en-AU"/>
              </w:rPr>
              <w:t>61,772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Cash and cash equivalents at </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beginning of reporting period</w:t>
            </w:r>
          </w:p>
        </w:tc>
        <w:tc>
          <w:tcPr>
            <w:tcW w:w="915"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120,021</w:t>
            </w:r>
          </w:p>
        </w:tc>
        <w:tc>
          <w:tcPr>
            <w:tcW w:w="915" w:type="dxa"/>
            <w:tcBorders>
              <w:top w:val="dotted" w:sz="2" w:space="0" w:color="000000"/>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159,979</w:t>
            </w:r>
          </w:p>
        </w:tc>
        <w:tc>
          <w:tcPr>
            <w:tcW w:w="915"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159,979</w:t>
            </w:r>
          </w:p>
        </w:tc>
        <w:tc>
          <w:tcPr>
            <w:tcW w:w="915"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159,979</w:t>
            </w:r>
          </w:p>
        </w:tc>
        <w:tc>
          <w:tcPr>
            <w:tcW w:w="915"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159,979</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Cash from Official Public</w:t>
            </w:r>
          </w:p>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xml:space="preserve">  Account for:</w:t>
            </w:r>
          </w:p>
        </w:tc>
        <w:tc>
          <w:tcPr>
            <w:tcW w:w="91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FFFFFF" w:fill="E6E6E6"/>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center"/>
          </w:tcPr>
          <w:p w:rsidR="00010972" w:rsidRDefault="00010972">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FFFFFF" w:fill="FFFFFF"/>
            <w:noWrap/>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Appropriations</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41,868</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51,034</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52,200</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53,403</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54,630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 xml:space="preserve">Total cash from the Official </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 xml:space="preserve">  Public Account</w:t>
            </w:r>
          </w:p>
        </w:tc>
        <w:tc>
          <w:tcPr>
            <w:tcW w:w="915" w:type="dxa"/>
            <w:tcBorders>
              <w:top w:val="dotted" w:sz="2" w:space="0" w:color="000000"/>
              <w:left w:val="nil"/>
              <w:bottom w:val="nil"/>
              <w:right w:val="nil"/>
              <w:tl2br w:val="nil"/>
              <w:tr2bl w:val="nil"/>
            </w:tcBorders>
            <w:shd w:val="clear" w:color="FFFFFF" w:fill="FFFFFF"/>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41,868</w:t>
            </w:r>
          </w:p>
        </w:tc>
        <w:tc>
          <w:tcPr>
            <w:tcW w:w="915" w:type="dxa"/>
            <w:tcBorders>
              <w:top w:val="dotted" w:sz="2" w:space="0" w:color="000000"/>
              <w:left w:val="nil"/>
              <w:bottom w:val="nil"/>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51,034</w:t>
            </w:r>
          </w:p>
        </w:tc>
        <w:tc>
          <w:tcPr>
            <w:tcW w:w="915"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52,200</w:t>
            </w:r>
          </w:p>
        </w:tc>
        <w:tc>
          <w:tcPr>
            <w:tcW w:w="915"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53,403</w:t>
            </w:r>
          </w:p>
        </w:tc>
        <w:tc>
          <w:tcPr>
            <w:tcW w:w="915" w:type="dxa"/>
            <w:tcBorders>
              <w:top w:val="dotted" w:sz="2" w:space="0" w:color="000000"/>
              <w:left w:val="nil"/>
              <w:bottom w:val="nil"/>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54,630</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Cash to the Official Public Account for:</w:t>
            </w: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c>
          <w:tcPr>
            <w:tcW w:w="915" w:type="dxa"/>
            <w:tcBorders>
              <w:top w:val="nil"/>
              <w:left w:val="nil"/>
              <w:bottom w:val="nil"/>
              <w:right w:val="nil"/>
              <w:tl2br w:val="nil"/>
              <w:tr2bl w:val="nil"/>
            </w:tcBorders>
            <w:shd w:val="clear" w:color="auto" w:fill="auto"/>
            <w:noWrap/>
            <w:tcMar>
              <w:left w:w="0" w:type="dxa"/>
              <w:right w:w="0" w:type="dxa"/>
            </w:tcMar>
            <w:vAlign w:val="bottom"/>
          </w:tcPr>
          <w:p w:rsidR="00010972" w:rsidRDefault="00010972">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FFFFFF" w:fill="FFFFFF"/>
            <w:noWrap/>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Appropriations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42,353</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50,436</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51,602</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52,803</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54,031</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FFFFFF" w:fill="FFFFFF"/>
            <w:noWrap/>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Special accounts</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49,117</w:t>
            </w:r>
          </w:p>
        </w:tc>
        <w:tc>
          <w:tcPr>
            <w:tcW w:w="915" w:type="dxa"/>
            <w:tcBorders>
              <w:top w:val="nil"/>
              <w:left w:val="nil"/>
              <w:bottom w:val="nil"/>
              <w:right w:val="nil"/>
              <w:tl2br w:val="nil"/>
              <w:tr2bl w:val="nil"/>
            </w:tcBorders>
            <w:shd w:val="clear" w:color="FFFFFF" w:fill="E6E6E6"/>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51,587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51,587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51,587</w:t>
            </w:r>
          </w:p>
        </w:tc>
        <w:tc>
          <w:tcPr>
            <w:tcW w:w="915" w:type="dxa"/>
            <w:tcBorders>
              <w:top w:val="nil"/>
              <w:left w:val="nil"/>
              <w:bottom w:val="nil"/>
              <w:right w:val="nil"/>
              <w:tl2br w:val="nil"/>
              <w:tr2bl w:val="nil"/>
            </w:tcBorders>
            <w:shd w:val="clear" w:color="auto" w:fill="auto"/>
            <w:noWrap/>
            <w:tcMar>
              <w:left w:w="40" w:type="dxa"/>
              <w:right w:w="100" w:type="dxa"/>
            </w:tcMar>
            <w:vAlign w:val="center"/>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51,587</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FFFFFF" w:fill="FFFFFF"/>
            <w:noWrap/>
            <w:tcMar>
              <w:left w:w="31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 Other</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22,476</w:t>
            </w:r>
          </w:p>
        </w:tc>
        <w:tc>
          <w:tcPr>
            <w:tcW w:w="915" w:type="dxa"/>
            <w:tcBorders>
              <w:top w:val="nil"/>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10,137</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10,346</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10,564</w:t>
            </w:r>
          </w:p>
        </w:tc>
        <w:tc>
          <w:tcPr>
            <w:tcW w:w="915" w:type="dxa"/>
            <w:tcBorders>
              <w:top w:val="nil"/>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color w:val="000000"/>
                <w:sz w:val="16"/>
                <w:bdr w:val="nil"/>
                <w:lang w:val="en-AU"/>
              </w:rPr>
            </w:pPr>
            <w:r>
              <w:rPr>
                <w:rFonts w:ascii="Arial" w:eastAsia="Arial" w:hAnsi="Arial" w:cs="Arial"/>
                <w:color w:val="000000"/>
                <w:sz w:val="16"/>
                <w:szCs w:val="20"/>
                <w:bdr w:val="nil"/>
                <w:lang w:val="en-AU" w:eastAsia="en-AU"/>
              </w:rPr>
              <w:t>10,784</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nil"/>
              <w:right w:val="nil"/>
              <w:tl2br w:val="nil"/>
              <w:tr2bl w:val="nil"/>
            </w:tcBorders>
            <w:shd w:val="clear" w:color="auto" w:fill="auto"/>
            <w:tcMar>
              <w:left w:w="175"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Total cash to the Official Public</w:t>
            </w:r>
          </w:p>
          <w:p w:rsidR="00010972" w:rsidRDefault="00D5482E">
            <w:pPr>
              <w:keepLines/>
              <w:pBdr>
                <w:top w:val="nil"/>
                <w:left w:val="nil"/>
                <w:bottom w:val="nil"/>
                <w:right w:val="nil"/>
                <w:between w:val="nil"/>
                <w:bar w:val="nil"/>
              </w:pBdr>
              <w:spacing w:after="0" w:line="240" w:lineRule="auto"/>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 xml:space="preserve">  Account</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113,946</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112,160</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113,535</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114,954</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i/>
                <w:color w:val="000000"/>
                <w:sz w:val="16"/>
                <w:bdr w:val="nil"/>
                <w:lang w:val="en-AU"/>
              </w:rPr>
            </w:pPr>
            <w:r>
              <w:rPr>
                <w:rFonts w:ascii="Arial" w:eastAsia="Arial" w:hAnsi="Arial" w:cs="Arial"/>
                <w:i/>
                <w:color w:val="000000"/>
                <w:sz w:val="16"/>
                <w:szCs w:val="20"/>
                <w:bdr w:val="nil"/>
                <w:lang w:val="en-AU" w:eastAsia="en-AU"/>
              </w:rPr>
              <w:t>116,402</w:t>
            </w:r>
          </w:p>
        </w:tc>
      </w:tr>
      <w:tr w:rsidR="00010972" w:rsidTr="006E32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nil"/>
              <w:left w:val="nil"/>
              <w:bottom w:val="dotted" w:sz="2" w:space="0" w:color="000000"/>
              <w:right w:val="nil"/>
              <w:tl2br w:val="nil"/>
              <w:tr2bl w:val="nil"/>
            </w:tcBorders>
            <w:shd w:val="clear" w:color="auto" w:fill="auto"/>
            <w:tcMar>
              <w:left w:w="40" w:type="dxa"/>
              <w:right w:w="40" w:type="dxa"/>
            </w:tcMar>
            <w:vAlign w:val="center"/>
          </w:tcPr>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Cash and cash equivalents at end</w:t>
            </w:r>
          </w:p>
          <w:p w:rsidR="00010972" w:rsidRDefault="00D5482E">
            <w:pPr>
              <w:keepLines/>
              <w:pBdr>
                <w:top w:val="nil"/>
                <w:left w:val="nil"/>
                <w:bottom w:val="nil"/>
                <w:right w:val="nil"/>
                <w:between w:val="nil"/>
                <w:bar w:val="nil"/>
              </w:pBdr>
              <w:spacing w:after="0" w:line="240" w:lineRule="auto"/>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 xml:space="preserve">  of reporting period</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159,979</w:t>
            </w:r>
          </w:p>
        </w:tc>
        <w:tc>
          <w:tcPr>
            <w:tcW w:w="915" w:type="dxa"/>
            <w:tcBorders>
              <w:top w:val="dotted" w:sz="2" w:space="0" w:color="000000"/>
              <w:left w:val="nil"/>
              <w:bottom w:val="dotted" w:sz="2" w:space="0" w:color="000000"/>
              <w:right w:val="nil"/>
              <w:tl2br w:val="nil"/>
              <w:tr2bl w:val="nil"/>
            </w:tcBorders>
            <w:shd w:val="clear" w:color="FFFFFF" w:fill="E6E6E6"/>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159,979</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159,979</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159,979</w:t>
            </w:r>
          </w:p>
        </w:tc>
        <w:tc>
          <w:tcPr>
            <w:tcW w:w="915" w:type="dxa"/>
            <w:tcBorders>
              <w:top w:val="dotted" w:sz="2" w:space="0" w:color="000000"/>
              <w:left w:val="nil"/>
              <w:bottom w:val="dotted" w:sz="2" w:space="0" w:color="000000"/>
              <w:right w:val="nil"/>
              <w:tl2br w:val="nil"/>
              <w:tr2bl w:val="nil"/>
            </w:tcBorders>
            <w:shd w:val="clear" w:color="auto" w:fill="auto"/>
            <w:noWrap/>
            <w:tcMar>
              <w:left w:w="40" w:type="dxa"/>
              <w:right w:w="100" w:type="dxa"/>
            </w:tcMar>
            <w:vAlign w:val="bottom"/>
          </w:tcPr>
          <w:p w:rsidR="00010972" w:rsidRDefault="00D5482E">
            <w:pPr>
              <w:keepLines/>
              <w:pBdr>
                <w:top w:val="nil"/>
                <w:left w:val="nil"/>
                <w:bottom w:val="nil"/>
                <w:right w:val="nil"/>
                <w:between w:val="nil"/>
                <w:bar w:val="nil"/>
              </w:pBdr>
              <w:spacing w:after="0" w:line="240" w:lineRule="auto"/>
              <w:jc w:val="right"/>
              <w:rPr>
                <w:rFonts w:ascii="Arial" w:eastAsia="Arial" w:hAnsi="Arial" w:cs="Arial"/>
                <w:b/>
                <w:color w:val="000000"/>
                <w:sz w:val="16"/>
                <w:bdr w:val="nil"/>
                <w:lang w:val="en-AU"/>
              </w:rPr>
            </w:pPr>
            <w:r>
              <w:rPr>
                <w:rFonts w:ascii="Arial" w:eastAsia="Arial" w:hAnsi="Arial" w:cs="Arial"/>
                <w:b/>
                <w:color w:val="000000"/>
                <w:sz w:val="16"/>
                <w:szCs w:val="20"/>
                <w:bdr w:val="nil"/>
                <w:lang w:val="en-AU" w:eastAsia="en-AU"/>
              </w:rPr>
              <w:t>159,979</w:t>
            </w:r>
          </w:p>
        </w:tc>
      </w:tr>
    </w:tbl>
    <w:p w:rsidR="00F60019" w:rsidRDefault="00D5482E" w:rsidP="00F60019">
      <w:pPr>
        <w:pStyle w:val="Source"/>
        <w:pBdr>
          <w:top w:val="nil"/>
          <w:left w:val="nil"/>
          <w:bottom w:val="nil"/>
          <w:right w:val="nil"/>
          <w:between w:val="nil"/>
          <w:bar w:val="nil"/>
        </w:pBdr>
        <w:rPr>
          <w:rFonts w:cs="Arial"/>
          <w:bdr w:val="nil"/>
        </w:rPr>
      </w:pPr>
      <w:r>
        <w:rPr>
          <w:rFonts w:cs="Arial"/>
          <w:bdr w:val="nil"/>
        </w:rPr>
        <w:t>Prepared on Australian Accounting Standards basis.</w:t>
      </w:r>
    </w:p>
    <w:p w:rsidR="00F60019" w:rsidRPr="00F60019" w:rsidRDefault="00F60019" w:rsidP="002409F3">
      <w:pPr>
        <w:pBdr>
          <w:top w:val="nil"/>
          <w:left w:val="nil"/>
          <w:bottom w:val="nil"/>
          <w:right w:val="nil"/>
          <w:between w:val="nil"/>
          <w:bar w:val="nil"/>
        </w:pBdr>
        <w:rPr>
          <w:rFonts w:ascii="Arial" w:eastAsia="Calibri" w:hAnsi="Arial" w:cs="Arial"/>
          <w:vanish/>
          <w:sz w:val="16"/>
          <w:szCs w:val="16"/>
          <w:bdr w:val="nil"/>
          <w:lang w:val="en-AU"/>
        </w:rPr>
        <w:sectPr w:rsidR="00F60019" w:rsidRPr="00F60019" w:rsidSect="00032B18">
          <w:headerReference w:type="even" r:id="rId156"/>
          <w:headerReference w:type="default" r:id="rId157"/>
          <w:footerReference w:type="even" r:id="rId158"/>
          <w:footerReference w:type="default" r:id="rId159"/>
          <w:headerReference w:type="first" r:id="rId160"/>
          <w:footerReference w:type="first" r:id="rId161"/>
          <w:type w:val="continuous"/>
          <w:pgSz w:w="11906" w:h="16838"/>
          <w:pgMar w:top="2466" w:right="2098" w:bottom="2466" w:left="2098" w:header="1899" w:footer="1899" w:gutter="0"/>
          <w:pgBorders>
            <w:top w:val="nil"/>
            <w:left w:val="nil"/>
            <w:bottom w:val="nil"/>
            <w:right w:val="nil"/>
          </w:pgBorders>
          <w:cols w:space="720"/>
          <w:docGrid w:linePitch="360"/>
        </w:sectPr>
      </w:pPr>
    </w:p>
    <w:p w:rsidR="00A878CD" w:rsidRDefault="00D5482E" w:rsidP="00826BEB">
      <w:pPr>
        <w:pStyle w:val="Heading1"/>
        <w:keepNext w:val="0"/>
        <w:keepLines w:val="0"/>
        <w:pageBreakBefore/>
        <w:pBdr>
          <w:top w:val="nil"/>
          <w:left w:val="nil"/>
          <w:bottom w:val="nil"/>
          <w:right w:val="nil"/>
          <w:between w:val="nil"/>
          <w:bar w:val="nil"/>
        </w:pBdr>
        <w:rPr>
          <w:kern w:val="0"/>
          <w:szCs w:val="34"/>
          <w:bdr w:val="nil"/>
        </w:rPr>
      </w:pPr>
      <w:r>
        <w:rPr>
          <w:bCs/>
          <w:kern w:val="0"/>
          <w:szCs w:val="34"/>
          <w:bdr w:val="nil"/>
          <w:lang w:eastAsia="en-US"/>
        </w:rPr>
        <w:lastRenderedPageBreak/>
        <w:t>Portfolio glossary</w:t>
      </w:r>
    </w:p>
    <w:tbl>
      <w:tblPr>
        <w:tblW w:w="0" w:type="auto"/>
        <w:tblInd w:w="108" w:type="dxa"/>
        <w:tblCellMar>
          <w:top w:w="11" w:type="dxa"/>
          <w:bottom w:w="11" w:type="dxa"/>
        </w:tblCellMar>
        <w:tblLook w:val="01E0" w:firstRow="1" w:lastRow="1" w:firstColumn="1" w:lastColumn="1" w:noHBand="0" w:noVBand="0"/>
      </w:tblPr>
      <w:tblGrid>
        <w:gridCol w:w="2671"/>
        <w:gridCol w:w="4931"/>
      </w:tblGrid>
      <w:tr w:rsidR="00010972" w:rsidTr="006E3253">
        <w:trPr>
          <w:cantSplit/>
        </w:trPr>
        <w:tc>
          <w:tcPr>
            <w:tcW w:w="2700" w:type="dxa"/>
            <w:hideMark/>
          </w:tcPr>
          <w:p w:rsidR="00A878CD" w:rsidRDefault="00D5482E" w:rsidP="00D3629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 xml:space="preserve">Accrual Accounting </w:t>
            </w:r>
          </w:p>
        </w:tc>
        <w:tc>
          <w:tcPr>
            <w:tcW w:w="5011" w:type="dxa"/>
            <w:hideMark/>
          </w:tcPr>
          <w:p w:rsidR="00A878CD" w:rsidRDefault="00D5482E">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System of accounting in which items are brought to account and included in the financial statements as they are earned or incurred, rather than as they are received or paid.</w:t>
            </w:r>
          </w:p>
        </w:tc>
      </w:tr>
      <w:tr w:rsidR="00010972" w:rsidTr="006E3253">
        <w:trPr>
          <w:cantSplit/>
        </w:trPr>
        <w:tc>
          <w:tcPr>
            <w:tcW w:w="2700" w:type="dxa"/>
          </w:tcPr>
          <w:p w:rsidR="003E57D1" w:rsidRDefault="00D5482E" w:rsidP="003E57D1">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 xml:space="preserve">Additional Estimates </w:t>
            </w:r>
          </w:p>
        </w:tc>
        <w:tc>
          <w:tcPr>
            <w:tcW w:w="5011" w:type="dxa"/>
          </w:tcPr>
          <w:p w:rsidR="003E57D1" w:rsidRDefault="00D5482E" w:rsidP="003E57D1">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 xml:space="preserve">Where amounts appropriated at budget time are insufficient, Parliament may appropriate more funds to portfolios through the Additional Estimates Acts. </w:t>
            </w:r>
          </w:p>
        </w:tc>
      </w:tr>
      <w:tr w:rsidR="00010972" w:rsidTr="006E3253">
        <w:trPr>
          <w:cantSplit/>
        </w:trPr>
        <w:tc>
          <w:tcPr>
            <w:tcW w:w="2700" w:type="dxa"/>
            <w:hideMark/>
          </w:tcPr>
          <w:p w:rsidR="003E57D1" w:rsidRDefault="00D5482E" w:rsidP="003E57D1">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Administered Funds</w:t>
            </w:r>
          </w:p>
        </w:tc>
        <w:tc>
          <w:tcPr>
            <w:tcW w:w="5011" w:type="dxa"/>
            <w:hideMark/>
          </w:tcPr>
          <w:p w:rsidR="003E57D1" w:rsidRDefault="00D5482E" w:rsidP="003E57D1">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Usually, the funds or expenses an entity manages on behalf of the Government.</w:t>
            </w:r>
          </w:p>
        </w:tc>
      </w:tr>
      <w:tr w:rsidR="00010972" w:rsidTr="006E3253">
        <w:trPr>
          <w:cantSplit/>
        </w:trPr>
        <w:tc>
          <w:tcPr>
            <w:tcW w:w="2700" w:type="dxa"/>
            <w:hideMark/>
          </w:tcPr>
          <w:p w:rsidR="003E57D1" w:rsidRDefault="00D5482E" w:rsidP="003E57D1">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Administered Items</w:t>
            </w:r>
          </w:p>
        </w:tc>
        <w:tc>
          <w:tcPr>
            <w:tcW w:w="5011" w:type="dxa"/>
            <w:hideMark/>
          </w:tcPr>
          <w:p w:rsidR="003E57D1" w:rsidRDefault="00D5482E" w:rsidP="003E57D1">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Appropriation that consists of funding managed on behalf of the Commonwealth. This funding is not at the discretion of the entity, and any unspent appropriation is returned to the Consolidated Revenue Fund (CRF) at the end of the financial year. An administered item is a component of an administered program. It may be a measure but will not constitute a program in its own right.</w:t>
            </w:r>
          </w:p>
        </w:tc>
      </w:tr>
      <w:tr w:rsidR="00010972" w:rsidTr="006E3253">
        <w:trPr>
          <w:cantSplit/>
        </w:trPr>
        <w:tc>
          <w:tcPr>
            <w:tcW w:w="2700" w:type="dxa"/>
            <w:hideMark/>
          </w:tcPr>
          <w:p w:rsidR="003E57D1" w:rsidRDefault="00D5482E" w:rsidP="003E57D1">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Annual Appropriation</w:t>
            </w:r>
          </w:p>
        </w:tc>
        <w:tc>
          <w:tcPr>
            <w:tcW w:w="5011" w:type="dxa"/>
            <w:hideMark/>
          </w:tcPr>
          <w:p w:rsidR="003E57D1" w:rsidRDefault="00D5482E" w:rsidP="003E57D1">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Two appropriation Bills are introduced into Parliament in May and comprise the Budget. Further Bills are introduced later in the financial year as part of the additional estimates. Parliamentary departments have their own appropriations.</w:t>
            </w:r>
          </w:p>
        </w:tc>
      </w:tr>
      <w:tr w:rsidR="00010972" w:rsidTr="006E3253">
        <w:trPr>
          <w:cantSplit/>
        </w:trPr>
        <w:tc>
          <w:tcPr>
            <w:tcW w:w="2700" w:type="dxa"/>
            <w:hideMark/>
          </w:tcPr>
          <w:p w:rsidR="003E57D1" w:rsidRDefault="00D5482E" w:rsidP="003E57D1">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Appropriation</w:t>
            </w:r>
          </w:p>
        </w:tc>
        <w:tc>
          <w:tcPr>
            <w:tcW w:w="5011" w:type="dxa"/>
            <w:hideMark/>
          </w:tcPr>
          <w:p w:rsidR="003E57D1" w:rsidRDefault="00D5482E" w:rsidP="003E57D1">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 xml:space="preserve">An amount of public money Parliament authorises for spending (i.e. funds to be withdrawn from the CRF). Parliament makes laws for appropriating money under the Annual Appropriation Acts and under special appropriations, with spending restricted to the purposes specified in the Appropriation Acts. </w:t>
            </w:r>
          </w:p>
        </w:tc>
      </w:tr>
      <w:tr w:rsidR="00010972" w:rsidTr="006E3253">
        <w:trPr>
          <w:cantSplit/>
        </w:trPr>
        <w:tc>
          <w:tcPr>
            <w:tcW w:w="2700" w:type="dxa"/>
            <w:hideMark/>
          </w:tcPr>
          <w:p w:rsidR="003E57D1" w:rsidRDefault="00D5482E" w:rsidP="003E57D1">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Appropriation Bills (No. 3 And No. 4)</w:t>
            </w:r>
          </w:p>
        </w:tc>
        <w:tc>
          <w:tcPr>
            <w:tcW w:w="5011" w:type="dxa"/>
            <w:hideMark/>
          </w:tcPr>
          <w:p w:rsidR="003E57D1" w:rsidRDefault="00D5482E" w:rsidP="003E57D1">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 xml:space="preserve">If an amount provided in </w:t>
            </w:r>
            <w:r w:rsidRPr="00D20B97">
              <w:rPr>
                <w:rFonts w:ascii="Book Antiqua" w:eastAsia="Times New Roman" w:hAnsi="Book Antiqua" w:cs="Times New Roman"/>
                <w:sz w:val="20"/>
                <w:szCs w:val="20"/>
                <w:bdr w:val="nil"/>
                <w:lang w:val="en-AU"/>
              </w:rPr>
              <w:t>Appropriation Acts (No. 1 or No. 2)</w:t>
            </w:r>
            <w:r>
              <w:rPr>
                <w:rFonts w:ascii="Book Antiqua" w:eastAsia="Times New Roman" w:hAnsi="Book Antiqua" w:cs="Times New Roman"/>
                <w:sz w:val="20"/>
                <w:szCs w:val="20"/>
                <w:bdr w:val="nil"/>
                <w:lang w:val="en-AU"/>
              </w:rPr>
              <w:t xml:space="preserve"> is not enough to meet approved expenditure to be paid in a financial year, supplementary appropriation may be sought in Appropriation Bills (No. 3 or No. 4). Once these Bills are passed by Parliament and given Royal Assent, they become the </w:t>
            </w:r>
            <w:r w:rsidRPr="00D20B97">
              <w:rPr>
                <w:rFonts w:ascii="Book Antiqua" w:eastAsia="Times New Roman" w:hAnsi="Book Antiqua" w:cs="Times New Roman"/>
                <w:sz w:val="20"/>
                <w:szCs w:val="20"/>
                <w:bdr w:val="nil"/>
                <w:lang w:val="en-AU"/>
              </w:rPr>
              <w:t>Appropriation Acts (No. 3 and No. 4).</w:t>
            </w:r>
            <w:r>
              <w:rPr>
                <w:rFonts w:ascii="Book Antiqua" w:eastAsia="Times New Roman" w:hAnsi="Book Antiqua" w:cs="Times New Roman"/>
                <w:sz w:val="20"/>
                <w:szCs w:val="20"/>
                <w:bdr w:val="nil"/>
                <w:lang w:val="en-AU"/>
              </w:rPr>
              <w:t xml:space="preserve"> However, they are also commonly referred to as the Additional Estimates Bills.</w:t>
            </w:r>
          </w:p>
        </w:tc>
      </w:tr>
    </w:tbl>
    <w:p w:rsidR="007B0256" w:rsidRPr="005C3AA9" w:rsidRDefault="007B0256" w:rsidP="00117521">
      <w:pPr>
        <w:keepLines/>
        <w:pBdr>
          <w:top w:val="nil"/>
          <w:left w:val="nil"/>
          <w:bottom w:val="nil"/>
          <w:right w:val="nil"/>
          <w:between w:val="nil"/>
          <w:bar w:val="nil"/>
        </w:pBdr>
        <w:spacing w:after="0" w:line="260" w:lineRule="exact"/>
        <w:jc w:val="both"/>
        <w:rPr>
          <w:rStyle w:val="BookTitle"/>
          <w:i w:val="0"/>
          <w:smallCaps w:val="0"/>
          <w:vanish/>
          <w:spacing w:val="0"/>
          <w:bdr w:val="nil"/>
          <w:lang w:val="en-AU"/>
        </w:rPr>
        <w:sectPr w:rsidR="007B0256" w:rsidRPr="005C3AA9" w:rsidSect="001C56C9">
          <w:headerReference w:type="even" r:id="rId162"/>
          <w:headerReference w:type="default" r:id="rId163"/>
          <w:footerReference w:type="even" r:id="rId164"/>
          <w:footerReference w:type="default" r:id="rId165"/>
          <w:headerReference w:type="first" r:id="rId166"/>
          <w:footerReference w:type="first" r:id="rId167"/>
          <w:type w:val="continuous"/>
          <w:pgSz w:w="11906" w:h="16838"/>
          <w:pgMar w:top="2466" w:right="2098" w:bottom="2466" w:left="2098" w:header="1899" w:footer="1899" w:gutter="0"/>
          <w:pgBorders>
            <w:top w:val="nil"/>
            <w:left w:val="nil"/>
            <w:bottom w:val="nil"/>
            <w:right w:val="nil"/>
          </w:pgBorders>
          <w:cols w:space="720"/>
          <w:docGrid w:linePitch="360"/>
        </w:sectPr>
      </w:pPr>
    </w:p>
    <w:tbl>
      <w:tblPr>
        <w:tblW w:w="0" w:type="auto"/>
        <w:tblInd w:w="108" w:type="dxa"/>
        <w:tblCellMar>
          <w:top w:w="11" w:type="dxa"/>
          <w:bottom w:w="11" w:type="dxa"/>
        </w:tblCellMar>
        <w:tblLook w:val="01E0" w:firstRow="1" w:lastRow="1" w:firstColumn="1" w:lastColumn="1" w:noHBand="0" w:noVBand="0"/>
      </w:tblPr>
      <w:tblGrid>
        <w:gridCol w:w="2671"/>
        <w:gridCol w:w="4931"/>
      </w:tblGrid>
      <w:tr w:rsidR="00010972" w:rsidTr="006E3253">
        <w:trPr>
          <w:cantSplit/>
        </w:trPr>
        <w:tc>
          <w:tcPr>
            <w:tcW w:w="2700" w:type="dxa"/>
            <w:hideMark/>
          </w:tcPr>
          <w:p w:rsidR="003C2E59" w:rsidRDefault="00D5482E">
            <w:pPr>
              <w:keepLines/>
              <w:pageBreakBefore/>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lastRenderedPageBreak/>
              <w:t xml:space="preserve">Assets </w:t>
            </w:r>
          </w:p>
        </w:tc>
        <w:tc>
          <w:tcPr>
            <w:tcW w:w="5011" w:type="dxa"/>
            <w:hideMark/>
          </w:tcPr>
          <w:p w:rsidR="003C2E59" w:rsidRDefault="00D5482E">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 xml:space="preserve">Future economic benefits controlled by an entity as a result of past transactions or other past events. </w:t>
            </w:r>
          </w:p>
        </w:tc>
      </w:tr>
      <w:tr w:rsidR="00010972" w:rsidTr="006E3253">
        <w:trPr>
          <w:cantSplit/>
        </w:trPr>
        <w:tc>
          <w:tcPr>
            <w:tcW w:w="2700" w:type="dxa"/>
            <w:hideMark/>
          </w:tcPr>
          <w:p w:rsidR="0006492D" w:rsidRDefault="00D5482E" w:rsidP="00B214F8">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 xml:space="preserve">Average Staffing Level </w:t>
            </w:r>
          </w:p>
        </w:tc>
        <w:tc>
          <w:tcPr>
            <w:tcW w:w="5011" w:type="dxa"/>
            <w:hideMark/>
          </w:tcPr>
          <w:p w:rsidR="0006492D" w:rsidRDefault="00D5482E" w:rsidP="0031435B">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The average number of employees receiving salary/wages (or compensation in lieu of salary/wages) over a financial year, with adjustments for casual and part-time employees to show the full-time equivalent.</w:t>
            </w:r>
          </w:p>
        </w:tc>
      </w:tr>
      <w:tr w:rsidR="00010972" w:rsidTr="006E3253">
        <w:trPr>
          <w:cantSplit/>
        </w:trPr>
        <w:tc>
          <w:tcPr>
            <w:tcW w:w="2700" w:type="dxa"/>
            <w:hideMark/>
          </w:tcPr>
          <w:p w:rsidR="0006492D" w:rsidRDefault="00D5482E" w:rsidP="0031435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Consolidated Revenue Fund</w:t>
            </w:r>
          </w:p>
        </w:tc>
        <w:tc>
          <w:tcPr>
            <w:tcW w:w="5011" w:type="dxa"/>
            <w:hideMark/>
          </w:tcPr>
          <w:p w:rsidR="0006492D" w:rsidRDefault="00D5482E" w:rsidP="0031435B">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 xml:space="preserve">The principal operating fund from which money is drawn to pay for the activities of the Government. Section 81 of the Australian Constitution provides that all revenue raised or monies received by the Executive Government form one consolidated revenue fund from which appropriations are made for the purposes of the Australian Government. </w:t>
            </w:r>
          </w:p>
        </w:tc>
      </w:tr>
      <w:tr w:rsidR="00010972" w:rsidTr="006E3253">
        <w:trPr>
          <w:cantSplit/>
        </w:trPr>
        <w:tc>
          <w:tcPr>
            <w:tcW w:w="2700" w:type="dxa"/>
            <w:hideMark/>
          </w:tcPr>
          <w:p w:rsidR="0006492D" w:rsidRDefault="00D5482E" w:rsidP="0031435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Departmental Items</w:t>
            </w:r>
          </w:p>
        </w:tc>
        <w:tc>
          <w:tcPr>
            <w:tcW w:w="5011" w:type="dxa"/>
            <w:hideMark/>
          </w:tcPr>
          <w:p w:rsidR="0006492D" w:rsidRDefault="00D5482E" w:rsidP="00873C03">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Resources (assets, liabilities, revenues and expenses) that entity chief executive officers control directly. This includes outsourced activities funded and controlled by the entity. Examples of departmental items include entity running costs, accrued employee entitlements and net appropriations. A departmental item is a component of a departmental program.</w:t>
            </w:r>
          </w:p>
        </w:tc>
      </w:tr>
      <w:tr w:rsidR="00010972" w:rsidTr="006E3253">
        <w:trPr>
          <w:cantSplit/>
        </w:trPr>
        <w:tc>
          <w:tcPr>
            <w:tcW w:w="2700" w:type="dxa"/>
            <w:hideMark/>
          </w:tcPr>
          <w:p w:rsidR="0006492D" w:rsidRDefault="00D5482E" w:rsidP="0031435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Depreciation</w:t>
            </w:r>
          </w:p>
        </w:tc>
        <w:tc>
          <w:tcPr>
            <w:tcW w:w="5011" w:type="dxa"/>
            <w:hideMark/>
          </w:tcPr>
          <w:p w:rsidR="0006492D" w:rsidRDefault="00D5482E" w:rsidP="0031435B">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Apportionment of an asset’s capital value as an expense over its estimated useful life to take account of normal usage, obsolescence or the passage of time.</w:t>
            </w:r>
          </w:p>
        </w:tc>
      </w:tr>
      <w:tr w:rsidR="00010972" w:rsidTr="006E3253">
        <w:trPr>
          <w:cantSplit/>
        </w:trPr>
        <w:tc>
          <w:tcPr>
            <w:tcW w:w="2700" w:type="dxa"/>
            <w:hideMark/>
          </w:tcPr>
          <w:p w:rsidR="0006492D" w:rsidRDefault="00D5482E" w:rsidP="0031435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 xml:space="preserve">Estimates </w:t>
            </w:r>
          </w:p>
        </w:tc>
        <w:tc>
          <w:tcPr>
            <w:tcW w:w="5011" w:type="dxa"/>
            <w:hideMark/>
          </w:tcPr>
          <w:p w:rsidR="0006492D" w:rsidRDefault="00D5482E" w:rsidP="00873C03">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 xml:space="preserve">An entity’s expected revenues, expenses, assets, liabilities and cash flows. They are prepared for each program in the Budget, in consultation with the Department of Finance. (See also </w:t>
            </w:r>
            <w:r>
              <w:rPr>
                <w:rFonts w:ascii="Book Antiqua" w:eastAsia="Times New Roman" w:hAnsi="Book Antiqua" w:cs="Times New Roman"/>
                <w:i/>
                <w:sz w:val="20"/>
                <w:szCs w:val="20"/>
                <w:bdr w:val="nil"/>
                <w:lang w:val="en-AU"/>
              </w:rPr>
              <w:t>forward estimates</w:t>
            </w:r>
            <w:r>
              <w:rPr>
                <w:rFonts w:ascii="Book Antiqua" w:eastAsia="Times New Roman" w:hAnsi="Book Antiqua" w:cs="Times New Roman"/>
                <w:sz w:val="20"/>
                <w:szCs w:val="20"/>
                <w:bdr w:val="nil"/>
                <w:lang w:val="en-AU"/>
              </w:rPr>
              <w:t xml:space="preserve"> and </w:t>
            </w:r>
            <w:r>
              <w:rPr>
                <w:rFonts w:ascii="Book Antiqua" w:eastAsia="Times New Roman" w:hAnsi="Book Antiqua" w:cs="Times New Roman"/>
                <w:i/>
                <w:sz w:val="20"/>
                <w:szCs w:val="20"/>
                <w:bdr w:val="nil"/>
                <w:lang w:val="en-AU"/>
              </w:rPr>
              <w:t>additional estimates</w:t>
            </w:r>
            <w:r>
              <w:rPr>
                <w:rFonts w:ascii="Book Antiqua" w:eastAsia="Times New Roman" w:hAnsi="Book Antiqua" w:cs="Times New Roman"/>
                <w:sz w:val="20"/>
                <w:szCs w:val="20"/>
                <w:bdr w:val="nil"/>
                <w:lang w:val="en-AU"/>
              </w:rPr>
              <w:t>.)</w:t>
            </w:r>
          </w:p>
        </w:tc>
      </w:tr>
      <w:tr w:rsidR="00010972" w:rsidTr="006E3253">
        <w:trPr>
          <w:cantSplit/>
        </w:trPr>
        <w:tc>
          <w:tcPr>
            <w:tcW w:w="2700" w:type="dxa"/>
            <w:hideMark/>
          </w:tcPr>
          <w:p w:rsidR="0006492D" w:rsidRDefault="00D5482E" w:rsidP="0031435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Expenses</w:t>
            </w:r>
          </w:p>
        </w:tc>
        <w:tc>
          <w:tcPr>
            <w:tcW w:w="5011" w:type="dxa"/>
            <w:hideMark/>
          </w:tcPr>
          <w:p w:rsidR="0006492D" w:rsidRDefault="00D5482E" w:rsidP="0031435B">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Total value of all of the resources consumed in producing goods and services or the loss of future economic benefits in the form of reductions in assets or increases in liabilities of an entity.</w:t>
            </w:r>
          </w:p>
        </w:tc>
      </w:tr>
      <w:tr w:rsidR="00010972" w:rsidTr="006E3253">
        <w:trPr>
          <w:cantSplit/>
        </w:trPr>
        <w:tc>
          <w:tcPr>
            <w:tcW w:w="2700" w:type="dxa"/>
            <w:hideMark/>
          </w:tcPr>
          <w:p w:rsidR="0006492D" w:rsidRDefault="00D5482E" w:rsidP="0031435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Forward Estimates</w:t>
            </w:r>
          </w:p>
        </w:tc>
        <w:tc>
          <w:tcPr>
            <w:tcW w:w="5011" w:type="dxa"/>
            <w:hideMark/>
          </w:tcPr>
          <w:p w:rsidR="0006492D" w:rsidRDefault="00D5482E" w:rsidP="0031435B">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The financial statement estimate for the three out years after the budget year.</w:t>
            </w:r>
          </w:p>
        </w:tc>
      </w:tr>
      <w:tr w:rsidR="00010972" w:rsidTr="006E3253">
        <w:trPr>
          <w:cantSplit/>
        </w:trPr>
        <w:tc>
          <w:tcPr>
            <w:tcW w:w="2700" w:type="dxa"/>
            <w:hideMark/>
          </w:tcPr>
          <w:p w:rsidR="0006492D" w:rsidRDefault="00D5482E" w:rsidP="0031435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Grants</w:t>
            </w:r>
          </w:p>
        </w:tc>
        <w:tc>
          <w:tcPr>
            <w:tcW w:w="5011" w:type="dxa"/>
            <w:hideMark/>
          </w:tcPr>
          <w:p w:rsidR="0006492D" w:rsidRDefault="00D5482E" w:rsidP="0031435B">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 xml:space="preserve">Non-reciprocal transfers of economic resources, in which the payer entity does not receive approximately equal value in return. </w:t>
            </w:r>
          </w:p>
        </w:tc>
      </w:tr>
    </w:tbl>
    <w:p w:rsidR="00BB4601" w:rsidRDefault="00D5482E">
      <w:pPr>
        <w:keepLines/>
        <w:pBdr>
          <w:top w:val="nil"/>
          <w:left w:val="nil"/>
          <w:bottom w:val="nil"/>
          <w:right w:val="nil"/>
          <w:between w:val="nil"/>
          <w:bar w:val="nil"/>
        </w:pBdr>
        <w:spacing w:after="240" w:line="260" w:lineRule="exact"/>
        <w:jc w:val="both"/>
        <w:rPr>
          <w:bdr w:val="nil"/>
          <w:lang w:val="en-AU"/>
        </w:rPr>
      </w:pPr>
      <w:r>
        <w:rPr>
          <w:rFonts w:ascii="Book Antiqua" w:eastAsia="Times New Roman" w:hAnsi="Book Antiqua" w:cs="Times New Roman"/>
          <w:sz w:val="20"/>
          <w:szCs w:val="20"/>
          <w:bdr w:val="nil"/>
          <w:lang w:val="en-AU" w:eastAsia="en-AU"/>
        </w:rPr>
        <w:br w:type="page"/>
      </w:r>
    </w:p>
    <w:tbl>
      <w:tblPr>
        <w:tblW w:w="0" w:type="auto"/>
        <w:tblInd w:w="108" w:type="dxa"/>
        <w:tblCellMar>
          <w:top w:w="11" w:type="dxa"/>
          <w:bottom w:w="11" w:type="dxa"/>
        </w:tblCellMar>
        <w:tblLook w:val="01E0" w:firstRow="1" w:lastRow="1" w:firstColumn="1" w:lastColumn="1" w:noHBand="0" w:noVBand="0"/>
      </w:tblPr>
      <w:tblGrid>
        <w:gridCol w:w="2667"/>
        <w:gridCol w:w="4935"/>
      </w:tblGrid>
      <w:tr w:rsidR="00010972" w:rsidTr="006E3253">
        <w:trPr>
          <w:cantSplit/>
        </w:trPr>
        <w:tc>
          <w:tcPr>
            <w:tcW w:w="2700" w:type="dxa"/>
            <w:hideMark/>
          </w:tcPr>
          <w:p w:rsidR="0006492D" w:rsidRDefault="00D5482E" w:rsidP="0031435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lastRenderedPageBreak/>
              <w:t>Measure</w:t>
            </w:r>
          </w:p>
        </w:tc>
        <w:tc>
          <w:tcPr>
            <w:tcW w:w="5011" w:type="dxa"/>
            <w:hideMark/>
          </w:tcPr>
          <w:p w:rsidR="0006492D" w:rsidRDefault="00D5482E" w:rsidP="0031435B">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A new policy or savings decision of the Government with financial impacts on the Government’s underlying cash balance, fiscal balance, operating balance, headline cash balance, net debt or net worth.</w:t>
            </w:r>
          </w:p>
        </w:tc>
      </w:tr>
      <w:tr w:rsidR="00010972" w:rsidTr="006E3253">
        <w:trPr>
          <w:cantSplit/>
        </w:trPr>
        <w:tc>
          <w:tcPr>
            <w:tcW w:w="2700" w:type="dxa"/>
            <w:hideMark/>
          </w:tcPr>
          <w:p w:rsidR="0006492D" w:rsidRDefault="00D5482E" w:rsidP="0031435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 xml:space="preserve">Mid-Year Economic And Fiscal Outlook (MYEFO) </w:t>
            </w:r>
          </w:p>
        </w:tc>
        <w:tc>
          <w:tcPr>
            <w:tcW w:w="5011" w:type="dxa"/>
            <w:hideMark/>
          </w:tcPr>
          <w:p w:rsidR="0006492D" w:rsidRDefault="00D5482E" w:rsidP="0031435B">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Provides an update of the Government’s budget estimates by examining expenses and revenues year to date, as well as provisions for new decisions that have been taken since the Budget. The report provides updated information to allow assessment of the Government’s fiscal performance against the fiscal strategy set out in its current fiscal strategy statement.</w:t>
            </w:r>
          </w:p>
        </w:tc>
      </w:tr>
      <w:tr w:rsidR="00010972" w:rsidTr="006E3253">
        <w:trPr>
          <w:cantSplit/>
        </w:trPr>
        <w:tc>
          <w:tcPr>
            <w:tcW w:w="2700" w:type="dxa"/>
            <w:hideMark/>
          </w:tcPr>
          <w:p w:rsidR="0006492D" w:rsidRDefault="00D5482E" w:rsidP="0031435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Outcome</w:t>
            </w:r>
          </w:p>
        </w:tc>
        <w:tc>
          <w:tcPr>
            <w:tcW w:w="5011" w:type="dxa"/>
            <w:hideMark/>
          </w:tcPr>
          <w:p w:rsidR="0006492D" w:rsidRDefault="00D5482E" w:rsidP="0031435B">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The intended result, consequence or impact of government actions on the Australian community.</w:t>
            </w:r>
          </w:p>
        </w:tc>
      </w:tr>
      <w:tr w:rsidR="00010972" w:rsidTr="006E3253">
        <w:trPr>
          <w:cantSplit/>
        </w:trPr>
        <w:tc>
          <w:tcPr>
            <w:tcW w:w="2700" w:type="dxa"/>
            <w:hideMark/>
          </w:tcPr>
          <w:p w:rsidR="0006492D" w:rsidRDefault="00D5482E" w:rsidP="0031435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Outcome Statement</w:t>
            </w:r>
          </w:p>
        </w:tc>
        <w:tc>
          <w:tcPr>
            <w:tcW w:w="5011" w:type="dxa"/>
            <w:hideMark/>
          </w:tcPr>
          <w:p w:rsidR="0006492D" w:rsidRDefault="00D5482E" w:rsidP="0031435B">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Articulates the intended results, activities and target group of an Australian Government entity. An outcome statement serves three main purposes within the financial framework:</w:t>
            </w:r>
          </w:p>
          <w:p w:rsidR="0006492D" w:rsidRDefault="00D5482E" w:rsidP="0031435B">
            <w:pPr>
              <w:pStyle w:val="Bullets"/>
              <w:pBdr>
                <w:top w:val="nil"/>
                <w:left w:val="nil"/>
                <w:bottom w:val="nil"/>
                <w:right w:val="nil"/>
                <w:between w:val="nil"/>
                <w:bar w:val="nil"/>
              </w:pBdr>
              <w:spacing w:before="60" w:after="60" w:line="240" w:lineRule="auto"/>
              <w:rPr>
                <w:bdr w:val="nil"/>
              </w:rPr>
            </w:pPr>
            <w:r>
              <w:rPr>
                <w:bdr w:val="nil"/>
              </w:rPr>
              <w:t>to explain and control the purposes for which annual appropriations are approved by the Parliament for use by entities</w:t>
            </w:r>
          </w:p>
          <w:p w:rsidR="0006492D" w:rsidRDefault="00D5482E" w:rsidP="0031435B">
            <w:pPr>
              <w:pStyle w:val="Bullets"/>
              <w:pBdr>
                <w:top w:val="nil"/>
                <w:left w:val="nil"/>
                <w:bottom w:val="nil"/>
                <w:right w:val="nil"/>
                <w:between w:val="nil"/>
                <w:bar w:val="nil"/>
              </w:pBdr>
              <w:spacing w:before="60" w:after="60" w:line="240" w:lineRule="auto"/>
              <w:rPr>
                <w:bdr w:val="nil"/>
              </w:rPr>
            </w:pPr>
            <w:r>
              <w:rPr>
                <w:bdr w:val="nil"/>
              </w:rPr>
              <w:t>to provide a basis for annual budgeting, including (financial) reporting against the use of appropriated funds</w:t>
            </w:r>
          </w:p>
          <w:p w:rsidR="0006492D" w:rsidRDefault="00D5482E" w:rsidP="00032B18">
            <w:pPr>
              <w:pStyle w:val="Bullets"/>
              <w:pBdr>
                <w:top w:val="nil"/>
                <w:left w:val="nil"/>
                <w:bottom w:val="nil"/>
                <w:right w:val="nil"/>
                <w:between w:val="nil"/>
                <w:bar w:val="nil"/>
              </w:pBdr>
              <w:spacing w:before="60" w:after="60" w:line="240" w:lineRule="auto"/>
              <w:rPr>
                <w:bdr w:val="nil"/>
              </w:rPr>
            </w:pPr>
            <w:r>
              <w:rPr>
                <w:bdr w:val="nil"/>
              </w:rPr>
              <w:t>to measure and assess entity and program (non</w:t>
            </w:r>
            <w:r w:rsidR="00032B18">
              <w:rPr>
                <w:bdr w:val="nil"/>
              </w:rPr>
              <w:noBreakHyphen/>
            </w:r>
            <w:r>
              <w:rPr>
                <w:bdr w:val="nil"/>
              </w:rPr>
              <w:t>financial) performance in contributing to government policy objectives.</w:t>
            </w:r>
          </w:p>
        </w:tc>
      </w:tr>
      <w:tr w:rsidR="00010972" w:rsidTr="006E3253">
        <w:trPr>
          <w:cantSplit/>
        </w:trPr>
        <w:tc>
          <w:tcPr>
            <w:tcW w:w="2700" w:type="dxa"/>
            <w:hideMark/>
          </w:tcPr>
          <w:p w:rsidR="0006492D" w:rsidRDefault="00D5482E" w:rsidP="0031435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Performance Information</w:t>
            </w:r>
          </w:p>
        </w:tc>
        <w:tc>
          <w:tcPr>
            <w:tcW w:w="5011" w:type="dxa"/>
            <w:hideMark/>
          </w:tcPr>
          <w:p w:rsidR="0006492D" w:rsidRDefault="00D5482E" w:rsidP="0031435B">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Evidence about performance that is collected and used systematically. Evidence may relate to appropriateness, effectiveness and efficiency. It may be about outcomes, factors that affect outcomes, and what can be done to improve them.</w:t>
            </w:r>
          </w:p>
        </w:tc>
      </w:tr>
      <w:tr w:rsidR="00010972" w:rsidTr="006E3253">
        <w:trPr>
          <w:cantSplit/>
        </w:trPr>
        <w:tc>
          <w:tcPr>
            <w:tcW w:w="2700" w:type="dxa"/>
            <w:hideMark/>
          </w:tcPr>
          <w:p w:rsidR="0006492D" w:rsidRDefault="00D5482E" w:rsidP="0031435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Portfolio</w:t>
            </w:r>
          </w:p>
        </w:tc>
        <w:tc>
          <w:tcPr>
            <w:tcW w:w="5011" w:type="dxa"/>
            <w:hideMark/>
          </w:tcPr>
          <w:p w:rsidR="0006492D" w:rsidRDefault="00D5482E" w:rsidP="0031435B">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A minister’s area of responsibility as a member of Cabinet. A portfolio consists of one or more Departments of State (portfolio departments) and entities with similar general objectives and outcomes.</w:t>
            </w:r>
          </w:p>
        </w:tc>
      </w:tr>
    </w:tbl>
    <w:p w:rsidR="00BB4601" w:rsidRDefault="00D5482E">
      <w:pPr>
        <w:keepLines/>
        <w:pBdr>
          <w:top w:val="nil"/>
          <w:left w:val="nil"/>
          <w:bottom w:val="nil"/>
          <w:right w:val="nil"/>
          <w:between w:val="nil"/>
          <w:bar w:val="nil"/>
        </w:pBdr>
        <w:spacing w:after="240" w:line="260" w:lineRule="exact"/>
        <w:jc w:val="both"/>
        <w:rPr>
          <w:bdr w:val="nil"/>
          <w:lang w:val="en-AU"/>
        </w:rPr>
      </w:pPr>
      <w:r>
        <w:rPr>
          <w:rFonts w:ascii="Book Antiqua" w:eastAsia="Times New Roman" w:hAnsi="Book Antiqua" w:cs="Times New Roman"/>
          <w:sz w:val="20"/>
          <w:szCs w:val="20"/>
          <w:bdr w:val="nil"/>
          <w:lang w:val="en-AU" w:eastAsia="en-AU"/>
        </w:rPr>
        <w:br w:type="page"/>
      </w:r>
    </w:p>
    <w:tbl>
      <w:tblPr>
        <w:tblW w:w="0" w:type="auto"/>
        <w:tblInd w:w="108" w:type="dxa"/>
        <w:tblCellMar>
          <w:top w:w="11" w:type="dxa"/>
          <w:bottom w:w="11" w:type="dxa"/>
        </w:tblCellMar>
        <w:tblLook w:val="01E0" w:firstRow="1" w:lastRow="1" w:firstColumn="1" w:lastColumn="1" w:noHBand="0" w:noVBand="0"/>
      </w:tblPr>
      <w:tblGrid>
        <w:gridCol w:w="2674"/>
        <w:gridCol w:w="4928"/>
      </w:tblGrid>
      <w:tr w:rsidR="00010972" w:rsidTr="006E3253">
        <w:trPr>
          <w:cantSplit/>
        </w:trPr>
        <w:tc>
          <w:tcPr>
            <w:tcW w:w="2700" w:type="dxa"/>
            <w:hideMark/>
          </w:tcPr>
          <w:p w:rsidR="0006492D" w:rsidRDefault="00D5482E" w:rsidP="0031435B">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lastRenderedPageBreak/>
              <w:t>Program</w:t>
            </w:r>
          </w:p>
        </w:tc>
        <w:tc>
          <w:tcPr>
            <w:tcW w:w="5011" w:type="dxa"/>
            <w:hideMark/>
          </w:tcPr>
          <w:p w:rsidR="0006492D" w:rsidRDefault="00D5482E" w:rsidP="0031435B">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An activity that delivers benefits, services or transfer payments to individuals, industry and/or the community as a whole, with the aim of achieving the intended result specified in an outcome statement.</w:t>
            </w:r>
          </w:p>
        </w:tc>
      </w:tr>
      <w:tr w:rsidR="00010972" w:rsidTr="006E3253">
        <w:trPr>
          <w:cantSplit/>
        </w:trPr>
        <w:tc>
          <w:tcPr>
            <w:tcW w:w="2700" w:type="dxa"/>
            <w:hideMark/>
          </w:tcPr>
          <w:p w:rsidR="00C50CE3" w:rsidRPr="00EA786A" w:rsidRDefault="00D5482E" w:rsidP="00C50CE3">
            <w:pPr>
              <w:pStyle w:val="Normal1"/>
              <w:pBdr>
                <w:top w:val="nil"/>
                <w:left w:val="nil"/>
                <w:bottom w:val="nil"/>
                <w:right w:val="nil"/>
                <w:between w:val="nil"/>
                <w:bar w:val="nil"/>
              </w:pBdr>
              <w:spacing w:before="60" w:after="60" w:line="240" w:lineRule="auto"/>
              <w:jc w:val="left"/>
              <w:rPr>
                <w:i/>
                <w:iCs/>
                <w:bdr w:val="nil"/>
                <w:lang w:eastAsia="en-US"/>
              </w:rPr>
            </w:pPr>
            <w:r w:rsidRPr="00EA786A">
              <w:rPr>
                <w:i/>
                <w:iCs/>
                <w:bdr w:val="nil"/>
                <w:lang w:eastAsia="en-US"/>
              </w:rPr>
              <w:t>Public Governance, Performance and Accountability Act 2013</w:t>
            </w:r>
          </w:p>
        </w:tc>
        <w:tc>
          <w:tcPr>
            <w:tcW w:w="5011" w:type="dxa"/>
            <w:hideMark/>
          </w:tcPr>
          <w:p w:rsidR="00C50CE3" w:rsidRPr="00EA786A" w:rsidRDefault="00D5482E" w:rsidP="00C50CE3">
            <w:pPr>
              <w:pStyle w:val="Normal1"/>
              <w:pBdr>
                <w:top w:val="nil"/>
                <w:left w:val="nil"/>
                <w:bottom w:val="nil"/>
                <w:right w:val="nil"/>
                <w:between w:val="nil"/>
                <w:bar w:val="nil"/>
              </w:pBdr>
              <w:spacing w:before="60" w:after="60" w:line="240" w:lineRule="auto"/>
              <w:rPr>
                <w:bdr w:val="nil"/>
                <w:lang w:eastAsia="en-US"/>
              </w:rPr>
            </w:pPr>
            <w:r w:rsidRPr="00EA786A">
              <w:rPr>
                <w:bdr w:val="nil"/>
                <w:lang w:eastAsia="en-US"/>
              </w:rPr>
              <w:t>The primary piece of Commonwealth resource management legislation, establishing a coherent system of governance and accountability for public resources, with an emphasis on planning, performance and reporting. The Act applies to all Commonwealth entities and Commonwealth companies from 1 July 2014.</w:t>
            </w:r>
          </w:p>
        </w:tc>
      </w:tr>
      <w:tr w:rsidR="00010972" w:rsidTr="006E3253">
        <w:trPr>
          <w:cantSplit/>
        </w:trPr>
        <w:tc>
          <w:tcPr>
            <w:tcW w:w="2700" w:type="dxa"/>
            <w:hideMark/>
          </w:tcPr>
          <w:p w:rsidR="00C50CE3" w:rsidRDefault="00D5482E" w:rsidP="00C50CE3">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Revenue</w:t>
            </w:r>
          </w:p>
        </w:tc>
        <w:tc>
          <w:tcPr>
            <w:tcW w:w="5011" w:type="dxa"/>
            <w:hideMark/>
          </w:tcPr>
          <w:p w:rsidR="00C50CE3" w:rsidRDefault="00D5482E" w:rsidP="00C50CE3">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Total value of resources earned or received to cover the production of goods and services, or increases in future economic benefits in the form of increases in assets or reductions in liabilities of an entity.</w:t>
            </w:r>
          </w:p>
        </w:tc>
      </w:tr>
      <w:tr w:rsidR="00010972" w:rsidTr="006E3253">
        <w:trPr>
          <w:cantSplit/>
        </w:trPr>
        <w:tc>
          <w:tcPr>
            <w:tcW w:w="2700" w:type="dxa"/>
            <w:hideMark/>
          </w:tcPr>
          <w:p w:rsidR="00C50CE3" w:rsidRDefault="00D5482E" w:rsidP="00C50CE3">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Special Accounts</w:t>
            </w:r>
          </w:p>
        </w:tc>
        <w:tc>
          <w:tcPr>
            <w:tcW w:w="5011" w:type="dxa"/>
            <w:hideMark/>
          </w:tcPr>
          <w:p w:rsidR="00C50CE3" w:rsidRDefault="00D5482E" w:rsidP="00C50CE3">
            <w:pPr>
              <w:keepLines/>
              <w:pBdr>
                <w:top w:val="nil"/>
                <w:left w:val="nil"/>
                <w:bottom w:val="nil"/>
                <w:right w:val="nil"/>
                <w:between w:val="nil"/>
                <w:bar w:val="nil"/>
              </w:pBdr>
              <w:spacing w:before="60" w:after="60" w:line="240" w:lineRule="auto"/>
              <w:jc w:val="both"/>
              <w:rPr>
                <w:bdr w:val="nil"/>
                <w:lang w:val="en-AU"/>
              </w:rPr>
            </w:pPr>
            <w:r w:rsidRPr="00EA786A">
              <w:rPr>
                <w:rFonts w:ascii="Book Antiqua" w:eastAsia="Times New Roman" w:hAnsi="Book Antiqua" w:cs="Times New Roman"/>
                <w:sz w:val="20"/>
                <w:szCs w:val="20"/>
                <w:bdr w:val="nil"/>
                <w:lang w:val="en-AU"/>
              </w:rPr>
              <w:t>Balances existing within the CRF that are supported by standing appropriations (PGPA Act sections 78 and 80). Special accounts allow money in the CRF to be acknowledged as set aside (hypothecated) for a particular purpose. Amounts credited to a special account may only be spent for the purposes of the special account. Special accounts can only be established by a written determination of the Finance Minister (</w:t>
            </w:r>
            <w:r w:rsidRPr="00057750">
              <w:rPr>
                <w:rFonts w:ascii="Book Antiqua" w:eastAsia="Times New Roman" w:hAnsi="Book Antiqua" w:cs="Times New Roman"/>
                <w:sz w:val="20"/>
                <w:szCs w:val="20"/>
                <w:bdr w:val="nil"/>
                <w:lang w:val="en-AU"/>
              </w:rPr>
              <w:t>PGPA Act</w:t>
            </w:r>
            <w:r w:rsidRPr="00EA786A">
              <w:rPr>
                <w:rFonts w:ascii="Book Antiqua" w:eastAsia="Times New Roman" w:hAnsi="Book Antiqua" w:cs="Times New Roman"/>
                <w:sz w:val="20"/>
                <w:szCs w:val="20"/>
                <w:bdr w:val="nil"/>
                <w:lang w:val="en-AU"/>
              </w:rPr>
              <w:t xml:space="preserve">, section 78) or through an Act of Parliament (referred to in section 80 of the </w:t>
            </w:r>
            <w:r w:rsidRPr="00057750">
              <w:rPr>
                <w:rFonts w:ascii="Book Antiqua" w:eastAsia="Times New Roman" w:hAnsi="Book Antiqua" w:cs="Times New Roman"/>
                <w:sz w:val="20"/>
                <w:szCs w:val="20"/>
                <w:bdr w:val="nil"/>
                <w:lang w:val="en-AU"/>
              </w:rPr>
              <w:t>PGPA Act</w:t>
            </w:r>
            <w:r w:rsidRPr="00EA786A">
              <w:rPr>
                <w:rFonts w:ascii="Book Antiqua" w:eastAsia="Times New Roman" w:hAnsi="Book Antiqua" w:cs="Times New Roman"/>
                <w:sz w:val="20"/>
                <w:szCs w:val="20"/>
                <w:bdr w:val="nil"/>
                <w:lang w:val="en-AU"/>
              </w:rPr>
              <w:t>).</w:t>
            </w:r>
          </w:p>
        </w:tc>
      </w:tr>
      <w:tr w:rsidR="00010972" w:rsidTr="006E3253">
        <w:trPr>
          <w:cantSplit/>
        </w:trPr>
        <w:tc>
          <w:tcPr>
            <w:tcW w:w="2700" w:type="dxa"/>
          </w:tcPr>
          <w:p w:rsidR="00C50CE3" w:rsidRDefault="00D5482E" w:rsidP="00C50CE3">
            <w:pPr>
              <w:keepLines/>
              <w:pBdr>
                <w:top w:val="nil"/>
                <w:left w:val="nil"/>
                <w:bottom w:val="nil"/>
                <w:right w:val="nil"/>
                <w:between w:val="nil"/>
                <w:bar w:val="nil"/>
              </w:pBdr>
              <w:spacing w:before="60" w:after="60" w:line="240" w:lineRule="auto"/>
              <w:rPr>
                <w:bdr w:val="nil"/>
                <w:lang w:val="en-AU"/>
              </w:rPr>
            </w:pPr>
            <w:r>
              <w:rPr>
                <w:rFonts w:ascii="Book Antiqua" w:eastAsia="Times New Roman" w:hAnsi="Book Antiqua" w:cs="Times New Roman"/>
                <w:sz w:val="20"/>
                <w:szCs w:val="20"/>
                <w:bdr w:val="nil"/>
                <w:lang w:val="en-AU"/>
              </w:rPr>
              <w:t>Special Appropriation (Including Standing Appropriations)</w:t>
            </w:r>
          </w:p>
        </w:tc>
        <w:tc>
          <w:tcPr>
            <w:tcW w:w="5011" w:type="dxa"/>
          </w:tcPr>
          <w:p w:rsidR="00C50CE3" w:rsidRDefault="00D5482E" w:rsidP="00C50CE3">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An amount of money appropriated by a particular Act of Parliament for a specific purpose and number of years. For special appropriations, the authority to withdraw funds from the CRF does not generally cease at the end of the financial year.</w:t>
            </w:r>
          </w:p>
          <w:p w:rsidR="00C50CE3" w:rsidRDefault="00D5482E" w:rsidP="00C50CE3">
            <w:pPr>
              <w:keepLines/>
              <w:pBdr>
                <w:top w:val="nil"/>
                <w:left w:val="nil"/>
                <w:bottom w:val="nil"/>
                <w:right w:val="nil"/>
                <w:between w:val="nil"/>
                <w:bar w:val="nil"/>
              </w:pBdr>
              <w:spacing w:before="60" w:after="60" w:line="240" w:lineRule="auto"/>
              <w:jc w:val="both"/>
              <w:rPr>
                <w:bdr w:val="nil"/>
                <w:lang w:val="en-AU"/>
              </w:rPr>
            </w:pPr>
            <w:r>
              <w:rPr>
                <w:rFonts w:ascii="Book Antiqua" w:eastAsia="Times New Roman" w:hAnsi="Book Antiqua" w:cs="Times New Roman"/>
                <w:sz w:val="20"/>
                <w:szCs w:val="20"/>
                <w:bdr w:val="nil"/>
                <w:lang w:val="en-AU"/>
              </w:rPr>
              <w:t>Standing appropriations are a subcategory consisting of ongoing special appropriations; the amount appropriated will depend on circumstances specified in the legislation.</w:t>
            </w:r>
          </w:p>
        </w:tc>
      </w:tr>
    </w:tbl>
    <w:p w:rsidR="007B0256" w:rsidRPr="005C3AA9" w:rsidRDefault="007B0256" w:rsidP="00BB4601">
      <w:pPr>
        <w:pBdr>
          <w:top w:val="nil"/>
          <w:left w:val="nil"/>
          <w:bottom w:val="nil"/>
          <w:right w:val="nil"/>
          <w:between w:val="nil"/>
          <w:bar w:val="nil"/>
        </w:pBdr>
        <w:rPr>
          <w:rStyle w:val="BookTitle"/>
          <w:i w:val="0"/>
          <w:smallCaps w:val="0"/>
          <w:vanish/>
          <w:spacing w:val="0"/>
          <w:bdr w:val="nil"/>
          <w:lang w:val="en-AU"/>
        </w:rPr>
        <w:sectPr w:rsidR="007B0256" w:rsidRPr="005C3AA9" w:rsidSect="001C56C9">
          <w:headerReference w:type="even" r:id="rId168"/>
          <w:headerReference w:type="default" r:id="rId169"/>
          <w:footerReference w:type="even" r:id="rId170"/>
          <w:footerReference w:type="default" r:id="rId171"/>
          <w:headerReference w:type="first" r:id="rId172"/>
          <w:footerReference w:type="first" r:id="rId173"/>
          <w:type w:val="continuous"/>
          <w:pgSz w:w="11906" w:h="16838"/>
          <w:pgMar w:top="2466" w:right="2098" w:bottom="2466" w:left="2098" w:header="1899" w:footer="1899" w:gutter="0"/>
          <w:pgBorders>
            <w:top w:val="nil"/>
            <w:left w:val="nil"/>
            <w:bottom w:val="nil"/>
            <w:right w:val="nil"/>
          </w:pgBorders>
          <w:cols w:space="720"/>
          <w:docGrid w:linePitch="360"/>
        </w:sectPr>
      </w:pPr>
    </w:p>
    <w:p w:rsidR="0093354C" w:rsidRPr="0093354C" w:rsidRDefault="0052486A" w:rsidP="00A47F3A">
      <w:pPr>
        <w:pStyle w:val="Heading1"/>
        <w:keepNext w:val="0"/>
        <w:keepLines w:val="0"/>
        <w:pageBreakBefore/>
        <w:pBdr>
          <w:top w:val="nil"/>
          <w:left w:val="nil"/>
          <w:bottom w:val="nil"/>
          <w:right w:val="nil"/>
          <w:between w:val="nil"/>
          <w:bar w:val="nil"/>
        </w:pBdr>
        <w:rPr>
          <w:kern w:val="0"/>
          <w:szCs w:val="34"/>
          <w:bdr w:val="nil"/>
        </w:rPr>
      </w:pPr>
      <w:r>
        <w:rPr>
          <w:bCs/>
          <w:kern w:val="0"/>
          <w:szCs w:val="34"/>
          <w:bdr w:val="nil"/>
          <w:lang w:eastAsia="en-US"/>
        </w:rPr>
        <w:lastRenderedPageBreak/>
        <w:t>Abbreviations</w:t>
      </w:r>
    </w:p>
    <w:tbl>
      <w:tblPr>
        <w:tblW w:w="7797" w:type="dxa"/>
        <w:tblInd w:w="108" w:type="dxa"/>
        <w:tblCellMar>
          <w:top w:w="11" w:type="dxa"/>
          <w:bottom w:w="11" w:type="dxa"/>
        </w:tblCellMar>
        <w:tblLook w:val="01E0" w:firstRow="1" w:lastRow="1" w:firstColumn="1" w:lastColumn="1" w:noHBand="0" w:noVBand="0"/>
      </w:tblPr>
      <w:tblGrid>
        <w:gridCol w:w="2410"/>
        <w:gridCol w:w="5387"/>
      </w:tblGrid>
      <w:tr w:rsidR="00D03AF1" w:rsidTr="006E3253">
        <w:trPr>
          <w:cantSplit/>
        </w:trPr>
        <w:tc>
          <w:tcPr>
            <w:tcW w:w="2410" w:type="dxa"/>
          </w:tcPr>
          <w:p w:rsidR="00D03AF1" w:rsidRDefault="00D03AF1" w:rsidP="0015622A">
            <w:pPr>
              <w:pStyle w:val="NormalBox"/>
              <w:pBdr>
                <w:top w:val="nil"/>
                <w:left w:val="nil"/>
                <w:bottom w:val="nil"/>
                <w:right w:val="nil"/>
                <w:between w:val="nil"/>
                <w:bar w:val="nil"/>
              </w:pBdr>
              <w:rPr>
                <w:bdr w:val="nil"/>
              </w:rPr>
            </w:pPr>
            <w:r>
              <w:rPr>
                <w:bdr w:val="nil"/>
              </w:rPr>
              <w:t>CRF</w:t>
            </w:r>
          </w:p>
        </w:tc>
        <w:tc>
          <w:tcPr>
            <w:tcW w:w="5387" w:type="dxa"/>
          </w:tcPr>
          <w:p w:rsidR="00D03AF1" w:rsidRDefault="00D03AF1" w:rsidP="0015622A">
            <w:pPr>
              <w:pStyle w:val="NormalBox"/>
              <w:pBdr>
                <w:top w:val="nil"/>
                <w:left w:val="nil"/>
                <w:bottom w:val="nil"/>
                <w:right w:val="nil"/>
                <w:between w:val="nil"/>
                <w:bar w:val="nil"/>
              </w:pBdr>
              <w:rPr>
                <w:bdr w:val="nil"/>
              </w:rPr>
            </w:pPr>
            <w:r>
              <w:rPr>
                <w:bdr w:val="nil"/>
              </w:rPr>
              <w:t>Consolidated Revenue Fund</w:t>
            </w:r>
          </w:p>
        </w:tc>
      </w:tr>
      <w:tr w:rsidR="00010972" w:rsidTr="006E3253">
        <w:trPr>
          <w:cantSplit/>
        </w:trPr>
        <w:tc>
          <w:tcPr>
            <w:tcW w:w="2410" w:type="dxa"/>
          </w:tcPr>
          <w:p w:rsidR="007D5696" w:rsidRDefault="00D5482E" w:rsidP="0015622A">
            <w:pPr>
              <w:pStyle w:val="NormalBox"/>
              <w:pBdr>
                <w:top w:val="nil"/>
                <w:left w:val="nil"/>
                <w:bottom w:val="nil"/>
                <w:right w:val="nil"/>
                <w:between w:val="nil"/>
                <w:bar w:val="nil"/>
              </w:pBdr>
              <w:rPr>
                <w:bdr w:val="nil"/>
              </w:rPr>
            </w:pPr>
            <w:r>
              <w:rPr>
                <w:bdr w:val="nil"/>
              </w:rPr>
              <w:t>DCB</w:t>
            </w:r>
          </w:p>
        </w:tc>
        <w:tc>
          <w:tcPr>
            <w:tcW w:w="5387" w:type="dxa"/>
          </w:tcPr>
          <w:p w:rsidR="007D5696" w:rsidRDefault="00D5482E" w:rsidP="0015622A">
            <w:pPr>
              <w:pStyle w:val="NormalBox"/>
              <w:pBdr>
                <w:top w:val="nil"/>
                <w:left w:val="nil"/>
                <w:bottom w:val="nil"/>
                <w:right w:val="nil"/>
                <w:between w:val="nil"/>
                <w:bar w:val="nil"/>
              </w:pBdr>
              <w:rPr>
                <w:bdr w:val="nil"/>
              </w:rPr>
            </w:pPr>
            <w:r>
              <w:rPr>
                <w:bdr w:val="nil"/>
              </w:rPr>
              <w:t>Departmental Capital Budget</w:t>
            </w:r>
          </w:p>
        </w:tc>
      </w:tr>
      <w:tr w:rsidR="00010972" w:rsidTr="006E3253">
        <w:trPr>
          <w:cantSplit/>
        </w:trPr>
        <w:tc>
          <w:tcPr>
            <w:tcW w:w="2410" w:type="dxa"/>
          </w:tcPr>
          <w:p w:rsidR="007D5696" w:rsidRDefault="00D5482E" w:rsidP="0015622A">
            <w:pPr>
              <w:pStyle w:val="NormalBox"/>
              <w:pBdr>
                <w:top w:val="nil"/>
                <w:left w:val="nil"/>
                <w:bottom w:val="nil"/>
                <w:right w:val="nil"/>
                <w:between w:val="nil"/>
                <w:bar w:val="nil"/>
              </w:pBdr>
              <w:rPr>
                <w:bdr w:val="nil"/>
              </w:rPr>
            </w:pPr>
            <w:r>
              <w:rPr>
                <w:bdr w:val="nil"/>
              </w:rPr>
              <w:t>DSS</w:t>
            </w:r>
          </w:p>
        </w:tc>
        <w:tc>
          <w:tcPr>
            <w:tcW w:w="5387" w:type="dxa"/>
          </w:tcPr>
          <w:p w:rsidR="007D5696" w:rsidRDefault="00D5482E" w:rsidP="0015622A">
            <w:pPr>
              <w:pStyle w:val="NormalBox"/>
              <w:pBdr>
                <w:top w:val="nil"/>
                <w:left w:val="nil"/>
                <w:bottom w:val="nil"/>
                <w:right w:val="nil"/>
                <w:between w:val="nil"/>
                <w:bar w:val="nil"/>
              </w:pBdr>
              <w:rPr>
                <w:bdr w:val="nil"/>
              </w:rPr>
            </w:pPr>
            <w:r>
              <w:rPr>
                <w:bdr w:val="nil"/>
              </w:rPr>
              <w:t>Department of Social Services</w:t>
            </w:r>
          </w:p>
        </w:tc>
      </w:tr>
      <w:tr w:rsidR="00010972" w:rsidTr="006E3253">
        <w:trPr>
          <w:cantSplit/>
        </w:trPr>
        <w:tc>
          <w:tcPr>
            <w:tcW w:w="2410" w:type="dxa"/>
          </w:tcPr>
          <w:p w:rsidR="0013525D" w:rsidRDefault="00D5482E" w:rsidP="0013525D">
            <w:pPr>
              <w:pStyle w:val="NormalBox"/>
              <w:pBdr>
                <w:top w:val="nil"/>
                <w:left w:val="nil"/>
                <w:bottom w:val="nil"/>
                <w:right w:val="nil"/>
                <w:between w:val="nil"/>
                <w:bar w:val="nil"/>
              </w:pBdr>
              <w:rPr>
                <w:bdr w:val="nil"/>
              </w:rPr>
            </w:pPr>
            <w:r>
              <w:rPr>
                <w:bdr w:val="nil"/>
              </w:rPr>
              <w:t>ICT</w:t>
            </w:r>
          </w:p>
        </w:tc>
        <w:tc>
          <w:tcPr>
            <w:tcW w:w="5387" w:type="dxa"/>
          </w:tcPr>
          <w:p w:rsidR="0013525D" w:rsidRPr="0013525D" w:rsidRDefault="00D5482E" w:rsidP="0013525D">
            <w:pPr>
              <w:pStyle w:val="NormalBox"/>
              <w:pBdr>
                <w:top w:val="nil"/>
                <w:left w:val="nil"/>
                <w:bottom w:val="nil"/>
                <w:right w:val="nil"/>
                <w:between w:val="nil"/>
                <w:bar w:val="nil"/>
              </w:pBdr>
              <w:rPr>
                <w:bdr w:val="nil"/>
              </w:rPr>
            </w:pPr>
            <w:r>
              <w:rPr>
                <w:bdr w:val="nil"/>
              </w:rPr>
              <w:t>Information Communication Technology</w:t>
            </w:r>
          </w:p>
        </w:tc>
      </w:tr>
      <w:tr w:rsidR="00010972" w:rsidTr="006E3253">
        <w:trPr>
          <w:cantSplit/>
        </w:trPr>
        <w:tc>
          <w:tcPr>
            <w:tcW w:w="2410" w:type="dxa"/>
          </w:tcPr>
          <w:p w:rsidR="0013525D" w:rsidRDefault="00D5482E" w:rsidP="0013525D">
            <w:pPr>
              <w:pStyle w:val="NormalBox"/>
              <w:pBdr>
                <w:top w:val="nil"/>
                <w:left w:val="nil"/>
                <w:bottom w:val="nil"/>
                <w:right w:val="nil"/>
                <w:between w:val="nil"/>
                <w:bar w:val="nil"/>
              </w:pBdr>
              <w:rPr>
                <w:bdr w:val="nil"/>
              </w:rPr>
            </w:pPr>
            <w:r>
              <w:rPr>
                <w:bdr w:val="nil"/>
              </w:rPr>
              <w:t>MYEFO</w:t>
            </w:r>
          </w:p>
        </w:tc>
        <w:tc>
          <w:tcPr>
            <w:tcW w:w="5387" w:type="dxa"/>
          </w:tcPr>
          <w:p w:rsidR="0013525D" w:rsidRDefault="00D5482E" w:rsidP="0013525D">
            <w:pPr>
              <w:pStyle w:val="NormalBox"/>
              <w:pBdr>
                <w:top w:val="nil"/>
                <w:left w:val="nil"/>
                <w:bottom w:val="nil"/>
                <w:right w:val="nil"/>
                <w:between w:val="nil"/>
                <w:bar w:val="nil"/>
              </w:pBdr>
              <w:rPr>
                <w:bdr w:val="nil"/>
              </w:rPr>
            </w:pPr>
            <w:r>
              <w:rPr>
                <w:bdr w:val="nil"/>
              </w:rPr>
              <w:t>Mid-Year Economic and Fiscal Outlook</w:t>
            </w:r>
          </w:p>
        </w:tc>
      </w:tr>
      <w:tr w:rsidR="00010972" w:rsidTr="006E3253">
        <w:trPr>
          <w:cantSplit/>
        </w:trPr>
        <w:tc>
          <w:tcPr>
            <w:tcW w:w="2410" w:type="dxa"/>
          </w:tcPr>
          <w:p w:rsidR="0013525D" w:rsidRDefault="00D5482E" w:rsidP="0013525D">
            <w:pPr>
              <w:pStyle w:val="NormalBox"/>
              <w:pBdr>
                <w:top w:val="nil"/>
                <w:left w:val="nil"/>
                <w:bottom w:val="nil"/>
                <w:right w:val="nil"/>
                <w:between w:val="nil"/>
                <w:bar w:val="nil"/>
              </w:pBdr>
              <w:rPr>
                <w:bdr w:val="nil"/>
                <w:lang w:eastAsia="en-US"/>
              </w:rPr>
            </w:pPr>
            <w:r>
              <w:rPr>
                <w:bdr w:val="nil"/>
                <w:lang w:eastAsia="en-US"/>
              </w:rPr>
              <w:t>NDIS</w:t>
            </w:r>
          </w:p>
        </w:tc>
        <w:tc>
          <w:tcPr>
            <w:tcW w:w="5387" w:type="dxa"/>
          </w:tcPr>
          <w:p w:rsidR="0013525D" w:rsidRDefault="00D5482E" w:rsidP="0013525D">
            <w:pPr>
              <w:pStyle w:val="NormalBox"/>
              <w:pBdr>
                <w:top w:val="nil"/>
                <w:left w:val="nil"/>
                <w:bottom w:val="nil"/>
                <w:right w:val="nil"/>
                <w:between w:val="nil"/>
                <w:bar w:val="nil"/>
              </w:pBdr>
              <w:rPr>
                <w:bdr w:val="nil"/>
                <w:lang w:eastAsia="en-US"/>
              </w:rPr>
            </w:pPr>
            <w:r>
              <w:rPr>
                <w:bdr w:val="nil"/>
                <w:lang w:eastAsia="en-US"/>
              </w:rPr>
              <w:t>National Disability Insurance Scheme</w:t>
            </w:r>
          </w:p>
        </w:tc>
      </w:tr>
      <w:tr w:rsidR="00010972" w:rsidTr="006E3253">
        <w:trPr>
          <w:cantSplit/>
        </w:trPr>
        <w:tc>
          <w:tcPr>
            <w:tcW w:w="2410" w:type="dxa"/>
          </w:tcPr>
          <w:p w:rsidR="0013525D" w:rsidRDefault="00D5482E" w:rsidP="0013525D">
            <w:pPr>
              <w:pStyle w:val="NormalBox"/>
              <w:pBdr>
                <w:top w:val="nil"/>
                <w:left w:val="nil"/>
                <w:bottom w:val="nil"/>
                <w:right w:val="nil"/>
                <w:between w:val="nil"/>
                <w:bar w:val="nil"/>
              </w:pBdr>
              <w:rPr>
                <w:bdr w:val="nil"/>
                <w:lang w:eastAsia="en-US"/>
              </w:rPr>
            </w:pPr>
            <w:r>
              <w:rPr>
                <w:bdr w:val="nil"/>
                <w:lang w:eastAsia="en-US"/>
              </w:rPr>
              <w:t>PAES</w:t>
            </w:r>
          </w:p>
        </w:tc>
        <w:tc>
          <w:tcPr>
            <w:tcW w:w="5387" w:type="dxa"/>
          </w:tcPr>
          <w:p w:rsidR="0013525D" w:rsidRDefault="00D5482E" w:rsidP="0013525D">
            <w:pPr>
              <w:pStyle w:val="NormalBox"/>
              <w:pBdr>
                <w:top w:val="nil"/>
                <w:left w:val="nil"/>
                <w:bottom w:val="nil"/>
                <w:right w:val="nil"/>
                <w:between w:val="nil"/>
                <w:bar w:val="nil"/>
              </w:pBdr>
              <w:rPr>
                <w:bdr w:val="nil"/>
                <w:lang w:eastAsia="en-US"/>
              </w:rPr>
            </w:pPr>
            <w:r>
              <w:rPr>
                <w:bdr w:val="nil"/>
                <w:lang w:eastAsia="en-US"/>
              </w:rPr>
              <w:t>Portfolio Additional Estimates Statements</w:t>
            </w:r>
          </w:p>
        </w:tc>
      </w:tr>
      <w:tr w:rsidR="00010972" w:rsidTr="006E3253">
        <w:trPr>
          <w:cantSplit/>
        </w:trPr>
        <w:tc>
          <w:tcPr>
            <w:tcW w:w="2410" w:type="dxa"/>
          </w:tcPr>
          <w:p w:rsidR="0013525D" w:rsidRDefault="00D5482E" w:rsidP="0013525D">
            <w:pPr>
              <w:pStyle w:val="NormalBox"/>
              <w:pBdr>
                <w:top w:val="nil"/>
                <w:left w:val="nil"/>
                <w:bottom w:val="nil"/>
                <w:right w:val="nil"/>
                <w:between w:val="nil"/>
                <w:bar w:val="nil"/>
              </w:pBdr>
              <w:rPr>
                <w:bdr w:val="nil"/>
                <w:lang w:eastAsia="en-US"/>
              </w:rPr>
            </w:pPr>
            <w:r>
              <w:rPr>
                <w:bdr w:val="nil"/>
                <w:lang w:eastAsia="en-US"/>
              </w:rPr>
              <w:t>PGPA Act</w:t>
            </w:r>
          </w:p>
        </w:tc>
        <w:tc>
          <w:tcPr>
            <w:tcW w:w="5387" w:type="dxa"/>
          </w:tcPr>
          <w:p w:rsidR="0013525D" w:rsidRDefault="00D5482E" w:rsidP="0013525D">
            <w:pPr>
              <w:pStyle w:val="NormalBox"/>
              <w:pBdr>
                <w:top w:val="nil"/>
                <w:left w:val="nil"/>
                <w:bottom w:val="nil"/>
                <w:right w:val="nil"/>
                <w:between w:val="nil"/>
                <w:bar w:val="nil"/>
              </w:pBdr>
              <w:rPr>
                <w:bdr w:val="nil"/>
              </w:rPr>
            </w:pPr>
            <w:r>
              <w:rPr>
                <w:i/>
                <w:bdr w:val="nil"/>
              </w:rPr>
              <w:t>Public Governance, Performance and Accountability Act 2013</w:t>
            </w:r>
          </w:p>
        </w:tc>
      </w:tr>
    </w:tbl>
    <w:p w:rsidR="007B0256" w:rsidRPr="0093354C" w:rsidRDefault="007B0256" w:rsidP="00232995">
      <w:pPr>
        <w:keepLines/>
        <w:pBdr>
          <w:top w:val="nil"/>
          <w:left w:val="nil"/>
          <w:bottom w:val="nil"/>
          <w:right w:val="nil"/>
          <w:between w:val="nil"/>
          <w:bar w:val="nil"/>
        </w:pBdr>
        <w:spacing w:after="240" w:line="260" w:lineRule="exact"/>
        <w:jc w:val="both"/>
        <w:rPr>
          <w:rStyle w:val="BookTitle"/>
          <w:i w:val="0"/>
          <w:smallCaps w:val="0"/>
          <w:vanish/>
          <w:spacing w:val="0"/>
          <w:bdr w:val="nil"/>
          <w:lang w:val="en-AU"/>
        </w:rPr>
      </w:pPr>
    </w:p>
    <w:sectPr w:rsidR="007B0256" w:rsidRPr="0093354C" w:rsidSect="001C56C9">
      <w:headerReference w:type="even" r:id="rId174"/>
      <w:headerReference w:type="default" r:id="rId175"/>
      <w:footerReference w:type="even" r:id="rId176"/>
      <w:footerReference w:type="default" r:id="rId177"/>
      <w:headerReference w:type="first" r:id="rId178"/>
      <w:footerReference w:type="first" r:id="rId179"/>
      <w:type w:val="continuous"/>
      <w:pgSz w:w="11906" w:h="16838"/>
      <w:pgMar w:top="2466" w:right="2098" w:bottom="2466" w:left="2098" w:header="1899" w:footer="1899" w:gutter="0"/>
      <w:pgBorders>
        <w:top w:val="nil"/>
        <w:left w:val="nil"/>
        <w:bottom w:val="nil"/>
        <w:right w:val="nil"/>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C05" w:rsidRDefault="00C05C05">
      <w:pPr>
        <w:spacing w:after="0" w:line="240" w:lineRule="auto"/>
      </w:pPr>
      <w:r>
        <w:separator/>
      </w:r>
    </w:p>
  </w:endnote>
  <w:endnote w:type="continuationSeparator" w:id="0">
    <w:p w:rsidR="00C05C05" w:rsidRDefault="00C05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wiss 721 BT">
    <w:altName w:val="Swiss 721 B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Style w:val="Footer"/>
      <w:pBdr>
        <w:top w:val="nil"/>
        <w:left w:val="nil"/>
        <w:bottom w:val="nil"/>
        <w:right w:val="nil"/>
        <w:between w:val="nil"/>
        <w:bar w:val="nil"/>
      </w:pBdr>
      <w:rPr>
        <w:rFonts w:ascii="Calibri" w:eastAsia="Calibri" w:hAnsi="Calibri" w:cs="Arial"/>
        <w:bdr w:val="nil"/>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49;"/>
      <w:id w:val="804188039"/>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sidR="00CE25A4">
          <w:rPr>
            <w:rFonts w:ascii="Calibri" w:eastAsia="Calibri" w:hAnsi="Calibri" w:cs="Arial"/>
            <w:noProof/>
            <w:color w:val="FFFFFF"/>
            <w:bdr w:val="nil"/>
          </w:rPr>
          <w:t>6</w:t>
        </w:r>
        <w:r w:rsidRPr="00C02521">
          <w:rPr>
            <w:rFonts w:ascii="Calibri" w:eastAsia="Calibri" w:hAnsi="Calibri" w:cs="Arial"/>
            <w:noProof/>
            <w:color w:val="FFFFFF"/>
            <w:bdr w:val="nil"/>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49;"/>
      <w:id w:val="1385277870"/>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Pr>
            <w:rFonts w:ascii="Calibri" w:eastAsia="Calibri" w:hAnsi="Calibri" w:cs="Arial"/>
            <w:noProof/>
            <w:color w:val="FFFFFF"/>
            <w:bdr w:val="nil"/>
          </w:rPr>
          <w:t>9</w:t>
        </w:r>
        <w:r w:rsidRPr="00C02521">
          <w:rPr>
            <w:rFonts w:ascii="Calibri" w:eastAsia="Calibri" w:hAnsi="Calibri" w:cs="Arial"/>
            <w:noProof/>
            <w:color w:val="FFFFFF"/>
            <w:bdr w:val="nil"/>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49;"/>
      <w:id w:val="867617347"/>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DA4A6F" w:rsidRDefault="00C05C05" w:rsidP="003527A9">
        <w:pPr>
          <w:pBdr>
            <w:top w:val="nil"/>
            <w:left w:val="nil"/>
            <w:bottom w:val="nil"/>
            <w:right w:val="nil"/>
            <w:between w:val="nil"/>
            <w:bar w:val="nil"/>
          </w:pBdr>
          <w:jc w:val="center"/>
          <w:rPr>
            <w:rFonts w:ascii="Arial" w:eastAsia="Calibri" w:hAnsi="Arial" w:cs="Arial"/>
            <w:sz w:val="20"/>
            <w:bdr w:val="nil"/>
          </w:rPr>
        </w:pPr>
        <w:r w:rsidRPr="00DA4A6F">
          <w:rPr>
            <w:rFonts w:ascii="Arial" w:eastAsia="Calibri" w:hAnsi="Arial" w:cs="Arial"/>
            <w:sz w:val="20"/>
            <w:bdr w:val="nil"/>
          </w:rPr>
          <w:fldChar w:fldCharType="begin"/>
        </w:r>
        <w:r w:rsidRPr="00DA4A6F">
          <w:rPr>
            <w:rFonts w:ascii="Arial" w:eastAsia="Calibri" w:hAnsi="Arial" w:cs="Arial"/>
            <w:sz w:val="20"/>
            <w:bdr w:val="nil"/>
          </w:rPr>
          <w:instrText xml:space="preserve"> PAGE  \* roman  \* MERGEFORMAT </w:instrText>
        </w:r>
        <w:r w:rsidRPr="00DA4A6F">
          <w:rPr>
            <w:rFonts w:ascii="Arial" w:eastAsia="Calibri" w:hAnsi="Arial" w:cs="Arial"/>
            <w:sz w:val="20"/>
            <w:bdr w:val="nil"/>
          </w:rPr>
          <w:fldChar w:fldCharType="separate"/>
        </w:r>
        <w:r>
          <w:rPr>
            <w:rFonts w:ascii="Arial" w:eastAsia="Calibri" w:hAnsi="Arial" w:cs="Arial"/>
            <w:noProof/>
            <w:sz w:val="20"/>
            <w:bdr w:val="nil"/>
          </w:rPr>
          <w:t>x</w:t>
        </w:r>
        <w:r w:rsidRPr="00DA4A6F">
          <w:rPr>
            <w:rFonts w:ascii="Arial" w:eastAsia="Calibri" w:hAnsi="Arial" w:cs="Arial"/>
            <w:sz w:val="20"/>
            <w:bdr w:val="nil"/>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49;"/>
      <w:id w:val="870696610"/>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DA4A6F" w:rsidRDefault="00C05C05" w:rsidP="003527A9">
        <w:pPr>
          <w:pBdr>
            <w:top w:val="nil"/>
            <w:left w:val="nil"/>
            <w:bottom w:val="nil"/>
            <w:right w:val="nil"/>
            <w:between w:val="nil"/>
            <w:bar w:val="nil"/>
          </w:pBdr>
          <w:jc w:val="center"/>
          <w:rPr>
            <w:rFonts w:ascii="Arial" w:eastAsia="Calibri" w:hAnsi="Arial" w:cs="Arial"/>
            <w:sz w:val="20"/>
            <w:bdr w:val="nil"/>
          </w:rPr>
        </w:pPr>
        <w:r w:rsidRPr="00DA4A6F">
          <w:rPr>
            <w:rFonts w:ascii="Arial" w:eastAsia="Calibri" w:hAnsi="Arial" w:cs="Arial"/>
            <w:sz w:val="20"/>
            <w:bdr w:val="nil"/>
          </w:rPr>
          <w:fldChar w:fldCharType="begin"/>
        </w:r>
        <w:r w:rsidRPr="00DA4A6F">
          <w:rPr>
            <w:rFonts w:ascii="Arial" w:eastAsia="Calibri" w:hAnsi="Arial" w:cs="Arial"/>
            <w:sz w:val="20"/>
            <w:bdr w:val="nil"/>
          </w:rPr>
          <w:instrText xml:space="preserve"> PAGE  \* roman  \* MERGEFORMAT </w:instrText>
        </w:r>
        <w:r w:rsidRPr="00DA4A6F">
          <w:rPr>
            <w:rFonts w:ascii="Arial" w:eastAsia="Calibri" w:hAnsi="Arial" w:cs="Arial"/>
            <w:sz w:val="20"/>
            <w:bdr w:val="nil"/>
          </w:rPr>
          <w:fldChar w:fldCharType="separate"/>
        </w:r>
        <w:r w:rsidR="00CE25A4">
          <w:rPr>
            <w:rFonts w:ascii="Arial" w:eastAsia="Calibri" w:hAnsi="Arial" w:cs="Arial"/>
            <w:noProof/>
            <w:sz w:val="20"/>
            <w:bdr w:val="nil"/>
          </w:rPr>
          <w:t>vii</w:t>
        </w:r>
        <w:r w:rsidRPr="00DA4A6F">
          <w:rPr>
            <w:rFonts w:ascii="Arial" w:eastAsia="Calibri" w:hAnsi="Arial" w:cs="Arial"/>
            <w:sz w:val="20"/>
            <w:bdr w:val="nil"/>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49;"/>
      <w:id w:val="1448425022"/>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DA4A6F" w:rsidRDefault="00C05C05" w:rsidP="003527A9">
        <w:pPr>
          <w:pBdr>
            <w:top w:val="nil"/>
            <w:left w:val="nil"/>
            <w:bottom w:val="nil"/>
            <w:right w:val="nil"/>
            <w:between w:val="nil"/>
            <w:bar w:val="nil"/>
          </w:pBdr>
          <w:jc w:val="center"/>
          <w:rPr>
            <w:rFonts w:ascii="Arial" w:eastAsia="Calibri" w:hAnsi="Arial" w:cs="Arial"/>
            <w:sz w:val="20"/>
            <w:bdr w:val="nil"/>
          </w:rPr>
        </w:pPr>
        <w:r w:rsidRPr="00DA4A6F">
          <w:rPr>
            <w:rFonts w:ascii="Arial" w:eastAsia="Calibri" w:hAnsi="Arial" w:cs="Arial"/>
            <w:sz w:val="20"/>
            <w:bdr w:val="nil"/>
          </w:rPr>
          <w:fldChar w:fldCharType="begin"/>
        </w:r>
        <w:r w:rsidRPr="00DA4A6F">
          <w:rPr>
            <w:rFonts w:ascii="Arial" w:eastAsia="Calibri" w:hAnsi="Arial" w:cs="Arial"/>
            <w:sz w:val="20"/>
            <w:bdr w:val="nil"/>
          </w:rPr>
          <w:instrText xml:space="preserve"> PAGE  \* roman  \* MERGEFORMAT </w:instrText>
        </w:r>
        <w:r w:rsidRPr="00DA4A6F">
          <w:rPr>
            <w:rFonts w:ascii="Arial" w:eastAsia="Calibri" w:hAnsi="Arial" w:cs="Arial"/>
            <w:sz w:val="20"/>
            <w:bdr w:val="nil"/>
          </w:rPr>
          <w:fldChar w:fldCharType="separate"/>
        </w:r>
        <w:r w:rsidR="00CE25A4">
          <w:rPr>
            <w:rFonts w:ascii="Arial" w:eastAsia="Calibri" w:hAnsi="Arial" w:cs="Arial"/>
            <w:noProof/>
            <w:sz w:val="20"/>
            <w:bdr w:val="nil"/>
          </w:rPr>
          <w:t>viii</w:t>
        </w:r>
        <w:r w:rsidRPr="00DA4A6F">
          <w:rPr>
            <w:rFonts w:ascii="Arial" w:eastAsia="Calibri" w:hAnsi="Arial" w:cs="Arial"/>
            <w:sz w:val="20"/>
            <w:bdr w:val="nil"/>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49;"/>
      <w:id w:val="111492773"/>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DA4A6F" w:rsidRDefault="00C05C05" w:rsidP="003527A9">
        <w:pPr>
          <w:pBdr>
            <w:top w:val="nil"/>
            <w:left w:val="nil"/>
            <w:bottom w:val="nil"/>
            <w:right w:val="nil"/>
            <w:between w:val="nil"/>
            <w:bar w:val="nil"/>
          </w:pBdr>
          <w:jc w:val="center"/>
          <w:rPr>
            <w:rFonts w:ascii="Arial" w:eastAsia="Calibri" w:hAnsi="Arial" w:cs="Arial"/>
            <w:sz w:val="20"/>
            <w:bdr w:val="nil"/>
          </w:rPr>
        </w:pPr>
        <w:r w:rsidRPr="00DA4A6F">
          <w:rPr>
            <w:rFonts w:ascii="Arial" w:eastAsia="Calibri" w:hAnsi="Arial" w:cs="Arial"/>
            <w:sz w:val="20"/>
            <w:bdr w:val="nil"/>
          </w:rPr>
          <w:fldChar w:fldCharType="begin"/>
        </w:r>
        <w:r w:rsidRPr="00DA4A6F">
          <w:rPr>
            <w:rFonts w:ascii="Arial" w:eastAsia="Calibri" w:hAnsi="Arial" w:cs="Arial"/>
            <w:sz w:val="20"/>
            <w:bdr w:val="nil"/>
          </w:rPr>
          <w:instrText xml:space="preserve"> PAGE  \* roman  \* MERGEFORMAT </w:instrText>
        </w:r>
        <w:r w:rsidRPr="00DA4A6F">
          <w:rPr>
            <w:rFonts w:ascii="Arial" w:eastAsia="Calibri" w:hAnsi="Arial" w:cs="Arial"/>
            <w:sz w:val="20"/>
            <w:bdr w:val="nil"/>
          </w:rPr>
          <w:fldChar w:fldCharType="separate"/>
        </w:r>
        <w:r>
          <w:rPr>
            <w:rFonts w:ascii="Arial" w:eastAsia="Calibri" w:hAnsi="Arial" w:cs="Arial"/>
            <w:noProof/>
            <w:sz w:val="20"/>
            <w:bdr w:val="nil"/>
          </w:rPr>
          <w:t>xi</w:t>
        </w:r>
        <w:r w:rsidRPr="00DA4A6F">
          <w:rPr>
            <w:rFonts w:ascii="Arial" w:eastAsia="Calibri" w:hAnsi="Arial" w:cs="Arial"/>
            <w:sz w:val="20"/>
            <w:bdr w:val="nil"/>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49;"/>
      <w:id w:val="1710600802"/>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DA4A6F" w:rsidRDefault="00C05C05" w:rsidP="003527A9">
        <w:pPr>
          <w:pBdr>
            <w:top w:val="nil"/>
            <w:left w:val="nil"/>
            <w:bottom w:val="nil"/>
            <w:right w:val="nil"/>
            <w:between w:val="nil"/>
            <w:bar w:val="nil"/>
          </w:pBdr>
          <w:jc w:val="center"/>
          <w:rPr>
            <w:rFonts w:ascii="Arial" w:eastAsia="Calibri" w:hAnsi="Arial" w:cs="Arial"/>
            <w:sz w:val="20"/>
            <w:bdr w:val="nil"/>
          </w:rPr>
        </w:pPr>
        <w:r w:rsidRPr="00DA4A6F">
          <w:rPr>
            <w:rFonts w:ascii="Arial" w:eastAsia="Calibri" w:hAnsi="Arial" w:cs="Arial"/>
            <w:sz w:val="20"/>
            <w:bdr w:val="nil"/>
          </w:rPr>
          <w:fldChar w:fldCharType="begin"/>
        </w:r>
        <w:r w:rsidRPr="00DA4A6F">
          <w:rPr>
            <w:rFonts w:ascii="Arial" w:eastAsia="Calibri" w:hAnsi="Arial" w:cs="Arial"/>
            <w:sz w:val="20"/>
            <w:bdr w:val="nil"/>
          </w:rPr>
          <w:instrText xml:space="preserve"> PAGE  \* roman  \* MERGEFORMAT </w:instrText>
        </w:r>
        <w:r w:rsidRPr="00DA4A6F">
          <w:rPr>
            <w:rFonts w:ascii="Arial" w:eastAsia="Calibri" w:hAnsi="Arial" w:cs="Arial"/>
            <w:sz w:val="20"/>
            <w:bdr w:val="nil"/>
          </w:rPr>
          <w:fldChar w:fldCharType="separate"/>
        </w:r>
        <w:r>
          <w:rPr>
            <w:rFonts w:ascii="Arial" w:eastAsia="Calibri" w:hAnsi="Arial" w:cs="Arial"/>
            <w:noProof/>
            <w:sz w:val="20"/>
            <w:bdr w:val="nil"/>
          </w:rPr>
          <w:t>xii</w:t>
        </w:r>
        <w:r w:rsidRPr="00DA4A6F">
          <w:rPr>
            <w:rFonts w:ascii="Arial" w:eastAsia="Calibri" w:hAnsi="Arial" w:cs="Arial"/>
            <w:sz w:val="20"/>
            <w:bdr w:val="ni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Style w:val="Footer"/>
      <w:pBdr>
        <w:top w:val="nil"/>
        <w:left w:val="nil"/>
        <w:bottom w:val="nil"/>
        <w:right w:val="nil"/>
        <w:between w:val="nil"/>
        <w:bar w:val="nil"/>
      </w:pBdr>
      <w:rPr>
        <w:rFonts w:ascii="Calibri" w:eastAsia="Calibri" w:hAnsi="Calibri" w:cs="Arial"/>
        <w:bdr w:val="nil"/>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49;"/>
      <w:id w:val="1143538911"/>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DA4A6F" w:rsidRDefault="00C05C05" w:rsidP="003527A9">
        <w:pPr>
          <w:pBdr>
            <w:top w:val="nil"/>
            <w:left w:val="nil"/>
            <w:bottom w:val="nil"/>
            <w:right w:val="nil"/>
            <w:between w:val="nil"/>
            <w:bar w:val="nil"/>
          </w:pBdr>
          <w:jc w:val="center"/>
          <w:rPr>
            <w:rFonts w:ascii="Arial" w:eastAsia="Calibri" w:hAnsi="Arial" w:cs="Arial"/>
            <w:sz w:val="20"/>
            <w:bdr w:val="nil"/>
          </w:rPr>
        </w:pPr>
        <w:r w:rsidRPr="00DA4A6F">
          <w:rPr>
            <w:rFonts w:ascii="Arial" w:eastAsia="Calibri" w:hAnsi="Arial" w:cs="Arial"/>
            <w:sz w:val="20"/>
            <w:bdr w:val="nil"/>
          </w:rPr>
          <w:fldChar w:fldCharType="begin"/>
        </w:r>
        <w:r w:rsidRPr="00DA4A6F">
          <w:rPr>
            <w:rFonts w:ascii="Arial" w:eastAsia="Calibri" w:hAnsi="Arial" w:cs="Arial"/>
            <w:sz w:val="20"/>
            <w:bdr w:val="nil"/>
          </w:rPr>
          <w:instrText xml:space="preserve"> PAGE  \* roman  \* MERGEFORMAT </w:instrText>
        </w:r>
        <w:r w:rsidRPr="00DA4A6F">
          <w:rPr>
            <w:rFonts w:ascii="Arial" w:eastAsia="Calibri" w:hAnsi="Arial" w:cs="Arial"/>
            <w:sz w:val="20"/>
            <w:bdr w:val="nil"/>
          </w:rPr>
          <w:fldChar w:fldCharType="separate"/>
        </w:r>
        <w:r w:rsidR="00CE25A4">
          <w:rPr>
            <w:rFonts w:ascii="Arial" w:eastAsia="Calibri" w:hAnsi="Arial" w:cs="Arial"/>
            <w:noProof/>
            <w:sz w:val="20"/>
            <w:bdr w:val="nil"/>
          </w:rPr>
          <w:t>ix</w:t>
        </w:r>
        <w:r w:rsidRPr="00DA4A6F">
          <w:rPr>
            <w:rFonts w:ascii="Arial" w:eastAsia="Calibri" w:hAnsi="Arial" w:cs="Arial"/>
            <w:sz w:val="20"/>
            <w:bdr w:val="nil"/>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348;"/>
      <w:id w:val="594618346"/>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3561E1" w:rsidRDefault="00C05C05" w:rsidP="003560E9">
        <w:pPr>
          <w:pStyle w:val="Footer"/>
          <w:keepLines/>
          <w:pBdr>
            <w:top w:val="nil"/>
            <w:left w:val="nil"/>
            <w:bottom w:val="nil"/>
            <w:right w:val="nil"/>
            <w:between w:val="nil"/>
            <w:bar w:val="nil"/>
          </w:pBdr>
          <w:jc w:val="center"/>
          <w:rPr>
            <w:rFonts w:ascii="Calibri" w:eastAsia="Times New Roman" w:hAnsi="Calibri" w:cs="Times New Roman"/>
            <w:color w:val="000000"/>
            <w:sz w:val="20"/>
            <w:szCs w:val="20"/>
            <w:bdr w:val="nil"/>
            <w:lang w:val="en-AU" w:eastAsia="en-AU"/>
          </w:rPr>
        </w:pPr>
        <w:r w:rsidRPr="003561E1">
          <w:rPr>
            <w:rFonts w:ascii="Arial" w:eastAsia="Times New Roman" w:hAnsi="Arial" w:cs="Times New Roman"/>
            <w:color w:val="000000"/>
            <w:sz w:val="20"/>
            <w:szCs w:val="20"/>
            <w:bdr w:val="nil"/>
            <w:lang w:val="en-AU" w:eastAsia="en-AU"/>
          </w:rPr>
          <w:fldChar w:fldCharType="begin"/>
        </w:r>
        <w:r w:rsidRPr="003561E1">
          <w:rPr>
            <w:rFonts w:ascii="Arial" w:eastAsia="Times New Roman" w:hAnsi="Arial" w:cs="Times New Roman"/>
            <w:color w:val="000000"/>
            <w:sz w:val="20"/>
            <w:szCs w:val="20"/>
            <w:bdr w:val="nil"/>
            <w:lang w:val="en-AU" w:eastAsia="en-AU"/>
          </w:rPr>
          <w:instrText xml:space="preserve"> PAGE   \* MERGEFORMAT </w:instrText>
        </w:r>
        <w:r w:rsidRPr="003561E1">
          <w:rPr>
            <w:rFonts w:ascii="Arial" w:eastAsia="Times New Roman" w:hAnsi="Arial" w:cs="Times New Roman"/>
            <w:color w:val="000000"/>
            <w:sz w:val="20"/>
            <w:szCs w:val="20"/>
            <w:bdr w:val="nil"/>
            <w:lang w:val="en-AU" w:eastAsia="en-AU"/>
          </w:rPr>
          <w:fldChar w:fldCharType="separate"/>
        </w:r>
        <w:r w:rsidRPr="003561E1">
          <w:rPr>
            <w:rFonts w:ascii="Arial" w:eastAsia="Times New Roman" w:hAnsi="Arial" w:cs="Times New Roman"/>
            <w:noProof/>
            <w:color w:val="000000"/>
            <w:sz w:val="20"/>
            <w:szCs w:val="20"/>
            <w:bdr w:val="nil"/>
            <w:lang w:val="en-AU" w:eastAsia="en-AU"/>
          </w:rPr>
          <w:t>10</w:t>
        </w:r>
        <w:r w:rsidRPr="003561E1">
          <w:rPr>
            <w:rFonts w:ascii="Arial" w:eastAsia="Times New Roman" w:hAnsi="Arial" w:cs="Times New Roman"/>
            <w:noProof/>
            <w:color w:val="000000"/>
            <w:sz w:val="20"/>
            <w:szCs w:val="20"/>
            <w:bdr w:val="nil"/>
            <w:lang w:val="en-AU" w:eastAsia="en-AU"/>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348;"/>
      <w:id w:val="876025092"/>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3561E1" w:rsidRDefault="00C05C05" w:rsidP="003560E9">
        <w:pPr>
          <w:pStyle w:val="Footer"/>
          <w:keepLines/>
          <w:pBdr>
            <w:top w:val="nil"/>
            <w:left w:val="nil"/>
            <w:bottom w:val="nil"/>
            <w:right w:val="nil"/>
            <w:between w:val="nil"/>
            <w:bar w:val="nil"/>
          </w:pBdr>
          <w:jc w:val="center"/>
          <w:rPr>
            <w:rFonts w:ascii="Calibri" w:eastAsia="Times New Roman" w:hAnsi="Calibri" w:cs="Times New Roman"/>
            <w:color w:val="000000"/>
            <w:sz w:val="20"/>
            <w:szCs w:val="20"/>
            <w:bdr w:val="nil"/>
            <w:lang w:val="en-AU" w:eastAsia="en-AU"/>
          </w:rPr>
        </w:pPr>
        <w:r w:rsidRPr="003561E1">
          <w:rPr>
            <w:rFonts w:ascii="Arial" w:eastAsia="Times New Roman" w:hAnsi="Arial" w:cs="Times New Roman"/>
            <w:color w:val="000000"/>
            <w:sz w:val="20"/>
            <w:szCs w:val="20"/>
            <w:bdr w:val="nil"/>
            <w:lang w:val="en-AU" w:eastAsia="en-AU"/>
          </w:rPr>
          <w:fldChar w:fldCharType="begin"/>
        </w:r>
        <w:r w:rsidRPr="003561E1">
          <w:rPr>
            <w:rFonts w:ascii="Arial" w:eastAsia="Times New Roman" w:hAnsi="Arial" w:cs="Times New Roman"/>
            <w:color w:val="000000"/>
            <w:sz w:val="20"/>
            <w:szCs w:val="20"/>
            <w:bdr w:val="nil"/>
            <w:lang w:val="en-AU" w:eastAsia="en-AU"/>
          </w:rPr>
          <w:instrText xml:space="preserve"> PAGE   \* MERGEFORMAT </w:instrText>
        </w:r>
        <w:r w:rsidRPr="003561E1">
          <w:rPr>
            <w:rFonts w:ascii="Arial" w:eastAsia="Times New Roman" w:hAnsi="Arial" w:cs="Times New Roman"/>
            <w:color w:val="000000"/>
            <w:sz w:val="20"/>
            <w:szCs w:val="20"/>
            <w:bdr w:val="nil"/>
            <w:lang w:val="en-AU" w:eastAsia="en-AU"/>
          </w:rPr>
          <w:fldChar w:fldCharType="separate"/>
        </w:r>
        <w:r w:rsidR="00CE25A4">
          <w:rPr>
            <w:rFonts w:ascii="Arial" w:eastAsia="Times New Roman" w:hAnsi="Arial" w:cs="Times New Roman"/>
            <w:noProof/>
            <w:color w:val="000000"/>
            <w:sz w:val="20"/>
            <w:szCs w:val="20"/>
            <w:bdr w:val="nil"/>
            <w:lang w:val="en-AU" w:eastAsia="en-AU"/>
          </w:rPr>
          <w:t>1</w:t>
        </w:r>
        <w:r w:rsidRPr="003561E1">
          <w:rPr>
            <w:rFonts w:ascii="Arial" w:eastAsia="Times New Roman" w:hAnsi="Arial" w:cs="Times New Roman"/>
            <w:noProof/>
            <w:color w:val="000000"/>
            <w:sz w:val="20"/>
            <w:szCs w:val="20"/>
            <w:bdr w:val="nil"/>
            <w:lang w:val="en-AU" w:eastAsia="en-AU"/>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52;"/>
      <w:id w:val="548062515"/>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sidR="00CE25A4">
          <w:rPr>
            <w:rFonts w:ascii="Calibri" w:eastAsia="Calibri" w:hAnsi="Calibri" w:cs="Arial"/>
            <w:noProof/>
            <w:color w:val="FFFFFF"/>
            <w:bdr w:val="nil"/>
          </w:rPr>
          <w:t>2</w:t>
        </w:r>
        <w:r w:rsidRPr="00C02521">
          <w:rPr>
            <w:rFonts w:ascii="Calibri" w:eastAsia="Calibri" w:hAnsi="Calibri" w:cs="Arial"/>
            <w:noProof/>
            <w:color w:val="FFFFFF"/>
            <w:bdr w:val="nil"/>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52;"/>
      <w:id w:val="1649927770"/>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sidRPr="00C02521">
          <w:rPr>
            <w:rFonts w:ascii="Calibri" w:eastAsia="Calibri" w:hAnsi="Calibri" w:cs="Arial"/>
            <w:noProof/>
            <w:color w:val="FFFFFF"/>
            <w:bdr w:val="nil"/>
          </w:rPr>
          <w:t>1</w:t>
        </w:r>
        <w:r w:rsidRPr="00C02521">
          <w:rPr>
            <w:rFonts w:ascii="Calibri" w:eastAsia="Calibri" w:hAnsi="Calibri" w:cs="Arial"/>
            <w:noProof/>
            <w:color w:val="FFFFFF"/>
            <w:bdr w:val="nil"/>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08;"/>
      <w:id w:val="1254190836"/>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675C65" w:rsidRDefault="00C05C05" w:rsidP="005D2FB7">
        <w:pPr>
          <w:pBdr>
            <w:top w:val="nil"/>
            <w:left w:val="nil"/>
            <w:bottom w:val="nil"/>
            <w:right w:val="nil"/>
            <w:between w:val="nil"/>
            <w:bar w:val="nil"/>
          </w:pBdr>
          <w:jc w:val="center"/>
          <w:rPr>
            <w:rFonts w:ascii="Arial" w:eastAsia="Calibri" w:hAnsi="Arial" w:cs="Arial"/>
            <w:sz w:val="20"/>
            <w:bdr w:val="nil"/>
          </w:rPr>
        </w:pPr>
        <w:r w:rsidRPr="00675C65">
          <w:rPr>
            <w:rFonts w:ascii="Arial" w:eastAsia="Calibri" w:hAnsi="Arial" w:cs="Arial"/>
            <w:sz w:val="20"/>
            <w:bdr w:val="nil"/>
          </w:rPr>
          <w:fldChar w:fldCharType="begin"/>
        </w:r>
        <w:r w:rsidRPr="00675C65">
          <w:rPr>
            <w:rFonts w:ascii="Arial" w:eastAsia="Calibri" w:hAnsi="Arial" w:cs="Arial"/>
            <w:sz w:val="20"/>
            <w:bdr w:val="nil"/>
          </w:rPr>
          <w:instrText xml:space="preserve"> PAGE   \* MERGEFORMAT </w:instrText>
        </w:r>
        <w:r w:rsidRPr="00675C65">
          <w:rPr>
            <w:rFonts w:ascii="Arial" w:eastAsia="Calibri" w:hAnsi="Arial" w:cs="Arial"/>
            <w:sz w:val="20"/>
            <w:bdr w:val="nil"/>
          </w:rPr>
          <w:fldChar w:fldCharType="separate"/>
        </w:r>
        <w:r w:rsidRPr="00675C65">
          <w:rPr>
            <w:rFonts w:ascii="Arial" w:eastAsia="Calibri" w:hAnsi="Arial" w:cs="Arial"/>
            <w:noProof/>
            <w:sz w:val="20"/>
            <w:bdr w:val="nil"/>
          </w:rPr>
          <w:t>2</w:t>
        </w:r>
        <w:r w:rsidRPr="00675C65">
          <w:rPr>
            <w:rFonts w:ascii="Arial" w:eastAsia="Calibri" w:hAnsi="Arial" w:cs="Arial"/>
            <w:noProof/>
            <w:sz w:val="20"/>
            <w:bdr w:val="nil"/>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08;"/>
      <w:id w:val="94480902"/>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675C65" w:rsidRDefault="00C05C05" w:rsidP="005D2FB7">
        <w:pPr>
          <w:pBdr>
            <w:top w:val="nil"/>
            <w:left w:val="nil"/>
            <w:bottom w:val="nil"/>
            <w:right w:val="nil"/>
            <w:between w:val="nil"/>
            <w:bar w:val="nil"/>
          </w:pBdr>
          <w:jc w:val="center"/>
          <w:rPr>
            <w:rFonts w:ascii="Arial" w:eastAsia="Calibri" w:hAnsi="Arial" w:cs="Arial"/>
            <w:sz w:val="20"/>
            <w:bdr w:val="nil"/>
          </w:rPr>
        </w:pPr>
        <w:r w:rsidRPr="00675C65">
          <w:rPr>
            <w:rFonts w:ascii="Arial" w:eastAsia="Calibri" w:hAnsi="Arial" w:cs="Arial"/>
            <w:sz w:val="20"/>
            <w:bdr w:val="nil"/>
          </w:rPr>
          <w:fldChar w:fldCharType="begin"/>
        </w:r>
        <w:r w:rsidRPr="00675C65">
          <w:rPr>
            <w:rFonts w:ascii="Arial" w:eastAsia="Calibri" w:hAnsi="Arial" w:cs="Arial"/>
            <w:sz w:val="20"/>
            <w:bdr w:val="nil"/>
          </w:rPr>
          <w:instrText xml:space="preserve"> PAGE   \* MERGEFORMAT </w:instrText>
        </w:r>
        <w:r w:rsidRPr="00675C65">
          <w:rPr>
            <w:rFonts w:ascii="Arial" w:eastAsia="Calibri" w:hAnsi="Arial" w:cs="Arial"/>
            <w:sz w:val="20"/>
            <w:bdr w:val="nil"/>
          </w:rPr>
          <w:fldChar w:fldCharType="separate"/>
        </w:r>
        <w:r w:rsidR="00CE25A4">
          <w:rPr>
            <w:rFonts w:ascii="Arial" w:eastAsia="Calibri" w:hAnsi="Arial" w:cs="Arial"/>
            <w:noProof/>
            <w:sz w:val="20"/>
            <w:bdr w:val="nil"/>
          </w:rPr>
          <w:t>3</w:t>
        </w:r>
        <w:r w:rsidRPr="00675C65">
          <w:rPr>
            <w:rFonts w:ascii="Arial" w:eastAsia="Calibri" w:hAnsi="Arial" w:cs="Arial"/>
            <w:noProof/>
            <w:sz w:val="20"/>
            <w:bdr w:val="ni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Style w:val="Footer"/>
      <w:pBdr>
        <w:top w:val="nil"/>
        <w:left w:val="nil"/>
        <w:bottom w:val="nil"/>
        <w:right w:val="nil"/>
        <w:between w:val="nil"/>
        <w:bar w:val="nil"/>
      </w:pBdr>
      <w:rPr>
        <w:rFonts w:ascii="Calibri" w:eastAsia="Calibri" w:hAnsi="Calibri" w:cs="Arial"/>
        <w:bdr w:val="nil"/>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eastAsia="Calibri" w:cs="Arial"/>
        <w:bdr w:val="nil"/>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08;"/>
      <w:id w:val="638789575"/>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675C65" w:rsidRDefault="00C05C05" w:rsidP="005D2FB7">
        <w:pPr>
          <w:pBdr>
            <w:top w:val="nil"/>
            <w:left w:val="nil"/>
            <w:bottom w:val="nil"/>
            <w:right w:val="nil"/>
            <w:between w:val="nil"/>
            <w:bar w:val="nil"/>
          </w:pBdr>
          <w:jc w:val="center"/>
          <w:rPr>
            <w:rFonts w:ascii="Arial" w:eastAsia="Calibri" w:hAnsi="Arial" w:cs="Arial"/>
            <w:sz w:val="20"/>
            <w:bdr w:val="nil"/>
          </w:rPr>
        </w:pPr>
        <w:r w:rsidRPr="00675C65">
          <w:rPr>
            <w:rFonts w:ascii="Arial" w:eastAsia="Calibri" w:hAnsi="Arial" w:cs="Arial"/>
            <w:sz w:val="20"/>
            <w:bdr w:val="nil"/>
          </w:rPr>
          <w:fldChar w:fldCharType="begin"/>
        </w:r>
        <w:r w:rsidRPr="00675C65">
          <w:rPr>
            <w:rFonts w:ascii="Arial" w:eastAsia="Calibri" w:hAnsi="Arial" w:cs="Arial"/>
            <w:sz w:val="20"/>
            <w:bdr w:val="nil"/>
          </w:rPr>
          <w:instrText xml:space="preserve"> PAGE   \* MERGEFORMAT </w:instrText>
        </w:r>
        <w:r w:rsidRPr="00675C65">
          <w:rPr>
            <w:rFonts w:ascii="Arial" w:eastAsia="Calibri" w:hAnsi="Arial" w:cs="Arial"/>
            <w:sz w:val="20"/>
            <w:bdr w:val="nil"/>
          </w:rPr>
          <w:fldChar w:fldCharType="separate"/>
        </w:r>
        <w:r w:rsidR="00C95DC9">
          <w:rPr>
            <w:rFonts w:ascii="Arial" w:eastAsia="Calibri" w:hAnsi="Arial" w:cs="Arial"/>
            <w:noProof/>
            <w:sz w:val="20"/>
            <w:bdr w:val="nil"/>
          </w:rPr>
          <w:t>8</w:t>
        </w:r>
        <w:r w:rsidRPr="00675C65">
          <w:rPr>
            <w:rFonts w:ascii="Arial" w:eastAsia="Calibri" w:hAnsi="Arial" w:cs="Arial"/>
            <w:noProof/>
            <w:sz w:val="20"/>
            <w:bdr w:val="nil"/>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08;"/>
      <w:id w:val="1630618506"/>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675C65" w:rsidRDefault="00C05C05" w:rsidP="005D2FB7">
        <w:pPr>
          <w:pBdr>
            <w:top w:val="nil"/>
            <w:left w:val="nil"/>
            <w:bottom w:val="nil"/>
            <w:right w:val="nil"/>
            <w:between w:val="nil"/>
            <w:bar w:val="nil"/>
          </w:pBdr>
          <w:jc w:val="center"/>
          <w:rPr>
            <w:rFonts w:ascii="Arial" w:eastAsia="Calibri" w:hAnsi="Arial" w:cs="Arial"/>
            <w:sz w:val="20"/>
            <w:bdr w:val="nil"/>
          </w:rPr>
        </w:pPr>
        <w:r w:rsidRPr="00675C65">
          <w:rPr>
            <w:rFonts w:ascii="Arial" w:eastAsia="Calibri" w:hAnsi="Arial" w:cs="Arial"/>
            <w:sz w:val="20"/>
            <w:bdr w:val="nil"/>
          </w:rPr>
          <w:fldChar w:fldCharType="begin"/>
        </w:r>
        <w:r w:rsidRPr="00675C65">
          <w:rPr>
            <w:rFonts w:ascii="Arial" w:eastAsia="Calibri" w:hAnsi="Arial" w:cs="Arial"/>
            <w:sz w:val="20"/>
            <w:bdr w:val="nil"/>
          </w:rPr>
          <w:instrText xml:space="preserve"> PAGE   \* MERGEFORMAT </w:instrText>
        </w:r>
        <w:r w:rsidRPr="00675C65">
          <w:rPr>
            <w:rFonts w:ascii="Arial" w:eastAsia="Calibri" w:hAnsi="Arial" w:cs="Arial"/>
            <w:sz w:val="20"/>
            <w:bdr w:val="nil"/>
          </w:rPr>
          <w:fldChar w:fldCharType="separate"/>
        </w:r>
        <w:r w:rsidR="00C95DC9">
          <w:rPr>
            <w:rFonts w:ascii="Arial" w:eastAsia="Calibri" w:hAnsi="Arial" w:cs="Arial"/>
            <w:noProof/>
            <w:sz w:val="20"/>
            <w:bdr w:val="nil"/>
          </w:rPr>
          <w:t>7</w:t>
        </w:r>
        <w:r w:rsidRPr="00675C65">
          <w:rPr>
            <w:rFonts w:ascii="Arial" w:eastAsia="Calibri" w:hAnsi="Arial" w:cs="Arial"/>
            <w:noProof/>
            <w:sz w:val="20"/>
            <w:bdr w:val="nil"/>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eastAsia="Calibri" w:cs="Arial"/>
        <w:bdr w:val="nil"/>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08;"/>
      <w:id w:val="1754078487"/>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675C65" w:rsidRDefault="00C05C05" w:rsidP="005D2FB7">
        <w:pPr>
          <w:pBdr>
            <w:top w:val="nil"/>
            <w:left w:val="nil"/>
            <w:bottom w:val="nil"/>
            <w:right w:val="nil"/>
            <w:between w:val="nil"/>
            <w:bar w:val="nil"/>
          </w:pBdr>
          <w:jc w:val="center"/>
          <w:rPr>
            <w:rFonts w:ascii="Arial" w:eastAsia="Calibri" w:hAnsi="Arial" w:cs="Arial"/>
            <w:sz w:val="20"/>
            <w:bdr w:val="nil"/>
          </w:rPr>
        </w:pPr>
        <w:r w:rsidRPr="00675C65">
          <w:rPr>
            <w:rFonts w:ascii="Arial" w:eastAsia="Calibri" w:hAnsi="Arial" w:cs="Arial"/>
            <w:sz w:val="20"/>
            <w:bdr w:val="nil"/>
          </w:rPr>
          <w:fldChar w:fldCharType="begin"/>
        </w:r>
        <w:r w:rsidRPr="00675C65">
          <w:rPr>
            <w:rFonts w:ascii="Arial" w:eastAsia="Calibri" w:hAnsi="Arial" w:cs="Arial"/>
            <w:sz w:val="20"/>
            <w:bdr w:val="nil"/>
          </w:rPr>
          <w:instrText xml:space="preserve"> PAGE   \* MERGEFORMAT </w:instrText>
        </w:r>
        <w:r w:rsidRPr="00675C65">
          <w:rPr>
            <w:rFonts w:ascii="Arial" w:eastAsia="Calibri" w:hAnsi="Arial" w:cs="Arial"/>
            <w:sz w:val="20"/>
            <w:bdr w:val="nil"/>
          </w:rPr>
          <w:fldChar w:fldCharType="separate"/>
        </w:r>
        <w:r w:rsidRPr="00675C65">
          <w:rPr>
            <w:rFonts w:ascii="Arial" w:eastAsia="Calibri" w:hAnsi="Arial" w:cs="Arial"/>
            <w:noProof/>
            <w:sz w:val="20"/>
            <w:bdr w:val="nil"/>
          </w:rPr>
          <w:t>1</w:t>
        </w:r>
        <w:r w:rsidRPr="00675C65">
          <w:rPr>
            <w:rFonts w:ascii="Arial" w:eastAsia="Calibri" w:hAnsi="Arial" w:cs="Arial"/>
            <w:noProof/>
            <w:sz w:val="20"/>
            <w:bdr w:val="nil"/>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08;"/>
      <w:id w:val="258136202"/>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675C65" w:rsidRDefault="00C05C05" w:rsidP="005D2FB7">
        <w:pPr>
          <w:pBdr>
            <w:top w:val="nil"/>
            <w:left w:val="nil"/>
            <w:bottom w:val="nil"/>
            <w:right w:val="nil"/>
            <w:between w:val="nil"/>
            <w:bar w:val="nil"/>
          </w:pBdr>
          <w:jc w:val="center"/>
          <w:rPr>
            <w:rFonts w:ascii="Arial" w:eastAsia="Calibri" w:hAnsi="Arial" w:cs="Arial"/>
            <w:sz w:val="20"/>
            <w:bdr w:val="nil"/>
          </w:rPr>
        </w:pPr>
        <w:r w:rsidRPr="00675C65">
          <w:rPr>
            <w:rFonts w:ascii="Arial" w:eastAsia="Calibri" w:hAnsi="Arial" w:cs="Arial"/>
            <w:sz w:val="20"/>
            <w:bdr w:val="nil"/>
          </w:rPr>
          <w:fldChar w:fldCharType="begin"/>
        </w:r>
        <w:r w:rsidRPr="00675C65">
          <w:rPr>
            <w:rFonts w:ascii="Arial" w:eastAsia="Calibri" w:hAnsi="Arial" w:cs="Arial"/>
            <w:sz w:val="20"/>
            <w:bdr w:val="nil"/>
          </w:rPr>
          <w:instrText xml:space="preserve"> PAGE   \* MERGEFORMAT </w:instrText>
        </w:r>
        <w:r w:rsidRPr="00675C65">
          <w:rPr>
            <w:rFonts w:ascii="Arial" w:eastAsia="Calibri" w:hAnsi="Arial" w:cs="Arial"/>
            <w:sz w:val="20"/>
            <w:bdr w:val="nil"/>
          </w:rPr>
          <w:fldChar w:fldCharType="separate"/>
        </w:r>
        <w:r w:rsidR="00CE25A4">
          <w:rPr>
            <w:rFonts w:ascii="Arial" w:eastAsia="Calibri" w:hAnsi="Arial" w:cs="Arial"/>
            <w:noProof/>
            <w:sz w:val="20"/>
            <w:bdr w:val="nil"/>
          </w:rPr>
          <w:t>9</w:t>
        </w:r>
        <w:r w:rsidRPr="00675C65">
          <w:rPr>
            <w:rFonts w:ascii="Arial" w:eastAsia="Calibri" w:hAnsi="Arial" w:cs="Arial"/>
            <w:noProof/>
            <w:sz w:val="20"/>
            <w:bdr w:val="nil"/>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54;"/>
      <w:id w:val="2087305682"/>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sidR="00CE25A4">
          <w:rPr>
            <w:rFonts w:ascii="Calibri" w:eastAsia="Calibri" w:hAnsi="Calibri" w:cs="Arial"/>
            <w:noProof/>
            <w:color w:val="FFFFFF"/>
            <w:bdr w:val="nil"/>
          </w:rPr>
          <w:t>10</w:t>
        </w:r>
        <w:r w:rsidRPr="00C02521">
          <w:rPr>
            <w:rFonts w:ascii="Calibri" w:eastAsia="Calibri" w:hAnsi="Calibri" w:cs="Arial"/>
            <w:noProof/>
            <w:color w:val="FFFFFF"/>
            <w:bdr w:val="nil"/>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54;"/>
      <w:id w:val="1725929455"/>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sidRPr="00C02521">
          <w:rPr>
            <w:rFonts w:ascii="Calibri" w:eastAsia="Calibri" w:hAnsi="Calibri" w:cs="Arial"/>
            <w:noProof/>
            <w:color w:val="FFFFFF"/>
            <w:bdr w:val="nil"/>
          </w:rPr>
          <w:t>1</w:t>
        </w:r>
        <w:r w:rsidRPr="00C02521">
          <w:rPr>
            <w:rFonts w:ascii="Calibri" w:eastAsia="Calibri" w:hAnsi="Calibri" w:cs="Arial"/>
            <w:noProof/>
            <w:color w:val="FFFFFF"/>
            <w:bdr w:val="nil"/>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55;"/>
      <w:id w:val="863489349"/>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BF2F71" w:rsidRDefault="00C05C05" w:rsidP="003527A9">
        <w:pPr>
          <w:pBdr>
            <w:top w:val="nil"/>
            <w:left w:val="nil"/>
            <w:bottom w:val="nil"/>
            <w:right w:val="nil"/>
            <w:between w:val="nil"/>
            <w:bar w:val="nil"/>
          </w:pBdr>
          <w:jc w:val="center"/>
          <w:rPr>
            <w:rFonts w:ascii="Arial" w:eastAsia="Calibri" w:hAnsi="Arial" w:cs="Arial"/>
            <w:sz w:val="20"/>
            <w:bdr w:val="nil"/>
          </w:rPr>
        </w:pPr>
        <w:r w:rsidRPr="00BF2F71">
          <w:rPr>
            <w:rFonts w:ascii="Arial" w:eastAsia="Calibri" w:hAnsi="Arial" w:cs="Arial"/>
            <w:sz w:val="20"/>
            <w:bdr w:val="nil"/>
          </w:rPr>
          <w:fldChar w:fldCharType="begin"/>
        </w:r>
        <w:r w:rsidRPr="00BF2F71">
          <w:rPr>
            <w:rFonts w:ascii="Arial" w:eastAsia="Calibri" w:hAnsi="Arial" w:cs="Arial"/>
            <w:sz w:val="20"/>
            <w:bdr w:val="nil"/>
          </w:rPr>
          <w:instrText xml:space="preserve"> PAGE  \* roman  \* MERGEFORMAT </w:instrText>
        </w:r>
        <w:r w:rsidRPr="00BF2F71">
          <w:rPr>
            <w:rFonts w:ascii="Arial" w:eastAsia="Calibri" w:hAnsi="Arial" w:cs="Arial"/>
            <w:sz w:val="20"/>
            <w:bdr w:val="nil"/>
          </w:rPr>
          <w:fldChar w:fldCharType="separate"/>
        </w:r>
        <w:r w:rsidR="00CE25A4">
          <w:rPr>
            <w:rFonts w:ascii="Arial" w:eastAsia="Calibri" w:hAnsi="Arial" w:cs="Arial"/>
            <w:noProof/>
            <w:sz w:val="20"/>
            <w:bdr w:val="nil"/>
          </w:rPr>
          <w:t>iv</w:t>
        </w:r>
        <w:r w:rsidRPr="00BF2F71">
          <w:rPr>
            <w:rFonts w:ascii="Arial" w:eastAsia="Calibri" w:hAnsi="Arial" w:cs="Arial"/>
            <w:sz w:val="20"/>
            <w:bdr w:val="nil"/>
          </w:rPr>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09;"/>
      <w:id w:val="1978913593"/>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sz w:val="20"/>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sidRPr="00A55406">
          <w:rPr>
            <w:rFonts w:ascii="Arial" w:eastAsia="Calibri" w:hAnsi="Arial" w:cs="Arial"/>
            <w:noProof/>
            <w:sz w:val="20"/>
            <w:bdr w:val="nil"/>
          </w:rPr>
          <w:t>1</w:t>
        </w:r>
        <w:r w:rsidRPr="00A55406">
          <w:rPr>
            <w:rFonts w:ascii="Arial" w:eastAsia="Calibri" w:hAnsi="Arial" w:cs="Arial"/>
            <w:noProof/>
            <w:sz w:val="20"/>
            <w:bdr w:val="nil"/>
          </w:rPr>
          <w:fldChar w:fldCharType="end"/>
        </w:r>
      </w:p>
    </w:sdtContent>
  </w:sdt>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09;"/>
      <w:id w:val="1281859287"/>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sz w:val="20"/>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sidR="00CE25A4">
          <w:rPr>
            <w:rFonts w:ascii="Arial" w:eastAsia="Calibri" w:hAnsi="Arial" w:cs="Arial"/>
            <w:noProof/>
            <w:sz w:val="20"/>
            <w:bdr w:val="nil"/>
          </w:rPr>
          <w:t>11</w:t>
        </w:r>
        <w:r w:rsidRPr="00A55406">
          <w:rPr>
            <w:rFonts w:ascii="Arial" w:eastAsia="Calibri" w:hAnsi="Arial" w:cs="Arial"/>
            <w:noProof/>
            <w:sz w:val="20"/>
            <w:bdr w:val="nil"/>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56;"/>
      <w:id w:val="1496311766"/>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sidR="00CE25A4">
          <w:rPr>
            <w:rFonts w:ascii="Calibri" w:eastAsia="Calibri" w:hAnsi="Calibri" w:cs="Arial"/>
            <w:noProof/>
            <w:color w:val="FFFFFF"/>
            <w:bdr w:val="nil"/>
          </w:rPr>
          <w:t>12</w:t>
        </w:r>
        <w:r w:rsidRPr="00C02521">
          <w:rPr>
            <w:rFonts w:ascii="Calibri" w:eastAsia="Calibri" w:hAnsi="Calibri" w:cs="Arial"/>
            <w:noProof/>
            <w:color w:val="FFFFFF"/>
            <w:bdr w:val="nil"/>
          </w:rPr>
          <w:fldChar w:fldCharType="end"/>
        </w:r>
      </w:p>
    </w:sdtContent>
  </w:sdt>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56;"/>
      <w:id w:val="367257507"/>
      <w:lock w:val="sdtLocked"/>
      <w:placeholder>
        <w:docPart w:val="DefaultPlaceholder_22675703"/>
      </w:placeholder>
    </w:sdtPr>
    <w:sdtEndPr>
      <w:rPr>
        <w:rFonts w:ascii="Arial" w:eastAsia="Times New Roman" w:hAnsi="Arial" w:cs="Arial"/>
        <w:sz w:val="20"/>
        <w:szCs w:val="20"/>
        <w:bdr w:val="nil"/>
      </w:rPr>
    </w:sdtEndPr>
    <w:sdtContent>
      <w:p w:rsidR="00C05C05" w:rsidRPr="00363BAA" w:rsidRDefault="00C05C05" w:rsidP="008B6037">
        <w:pPr>
          <w:pBdr>
            <w:top w:val="nil"/>
            <w:left w:val="nil"/>
            <w:bottom w:val="nil"/>
            <w:right w:val="nil"/>
            <w:between w:val="nil"/>
            <w:bar w:val="nil"/>
          </w:pBdr>
          <w:jc w:val="center"/>
          <w:rPr>
            <w:rFonts w:ascii="Arial" w:eastAsia="Calibri" w:hAnsi="Arial" w:cs="Arial"/>
            <w:sz w:val="20"/>
            <w:szCs w:val="20"/>
            <w:bdr w:val="nil"/>
          </w:rPr>
        </w:pPr>
        <w:r w:rsidRPr="00363BAA">
          <w:rPr>
            <w:rFonts w:ascii="Arial" w:eastAsia="Calibri" w:hAnsi="Arial" w:cs="Arial"/>
            <w:sz w:val="20"/>
            <w:szCs w:val="20"/>
            <w:bdr w:val="nil"/>
          </w:rPr>
          <w:fldChar w:fldCharType="begin"/>
        </w:r>
        <w:r w:rsidRPr="00363BAA">
          <w:rPr>
            <w:rFonts w:ascii="Arial" w:eastAsia="Calibri" w:hAnsi="Arial" w:cs="Arial"/>
            <w:sz w:val="20"/>
            <w:szCs w:val="20"/>
            <w:bdr w:val="nil"/>
          </w:rPr>
          <w:instrText xml:space="preserve"> PAGE   \* MERGEFORMAT </w:instrText>
        </w:r>
        <w:r w:rsidRPr="00363BAA">
          <w:rPr>
            <w:rFonts w:ascii="Arial" w:eastAsia="Calibri" w:hAnsi="Arial" w:cs="Arial"/>
            <w:sz w:val="20"/>
            <w:szCs w:val="20"/>
            <w:bdr w:val="nil"/>
          </w:rPr>
          <w:fldChar w:fldCharType="separate"/>
        </w:r>
        <w:r w:rsidR="00CE25A4">
          <w:rPr>
            <w:rFonts w:ascii="Arial" w:eastAsia="Calibri" w:hAnsi="Arial" w:cs="Arial"/>
            <w:noProof/>
            <w:sz w:val="20"/>
            <w:szCs w:val="20"/>
            <w:bdr w:val="nil"/>
          </w:rPr>
          <w:t>13</w:t>
        </w:r>
        <w:r w:rsidRPr="00363BAA">
          <w:rPr>
            <w:rFonts w:ascii="Arial" w:eastAsia="Calibri" w:hAnsi="Arial" w:cs="Arial"/>
            <w:noProof/>
            <w:sz w:val="20"/>
            <w:szCs w:val="20"/>
            <w:bdr w:val="nil"/>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70;"/>
      <w:id w:val="1334873815"/>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sidR="00CE25A4">
          <w:rPr>
            <w:rFonts w:ascii="Calibri" w:eastAsia="Calibri" w:hAnsi="Calibri" w:cs="Arial"/>
            <w:noProof/>
            <w:color w:val="FFFFFF"/>
            <w:bdr w:val="nil"/>
          </w:rPr>
          <w:t>14</w:t>
        </w:r>
        <w:r w:rsidRPr="00C02521">
          <w:rPr>
            <w:rFonts w:ascii="Calibri" w:eastAsia="Calibri" w:hAnsi="Calibri" w:cs="Arial"/>
            <w:noProof/>
            <w:color w:val="FFFFFF"/>
            <w:bdr w:val="nil"/>
          </w:rPr>
          <w:fldChar w:fldCharType="end"/>
        </w:r>
      </w:p>
    </w:sdtContent>
  </w:sdt>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70;"/>
      <w:id w:val="1781711761"/>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sidRPr="00C02521">
          <w:rPr>
            <w:rFonts w:ascii="Calibri" w:eastAsia="Calibri" w:hAnsi="Calibri" w:cs="Arial"/>
            <w:noProof/>
            <w:color w:val="FFFFFF"/>
            <w:bdr w:val="nil"/>
          </w:rPr>
          <w:t>1</w:t>
        </w:r>
        <w:r w:rsidRPr="00C02521">
          <w:rPr>
            <w:rFonts w:ascii="Calibri" w:eastAsia="Calibri" w:hAnsi="Calibri" w:cs="Arial"/>
            <w:noProof/>
            <w:color w:val="FFFFFF"/>
            <w:bdr w:val="nil"/>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8985;"/>
      <w:id w:val="274723177"/>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4A4207" w:rsidRDefault="00C05C05" w:rsidP="00BC5770">
        <w:pPr>
          <w:pBdr>
            <w:top w:val="nil"/>
            <w:left w:val="nil"/>
            <w:bottom w:val="nil"/>
            <w:right w:val="nil"/>
            <w:between w:val="nil"/>
            <w:bar w:val="nil"/>
          </w:pBdr>
          <w:jc w:val="center"/>
          <w:rPr>
            <w:rFonts w:ascii="Arial" w:eastAsia="Calibri" w:hAnsi="Arial" w:cs="Arial"/>
            <w:sz w:val="20"/>
            <w:szCs w:val="20"/>
            <w:bdr w:val="nil"/>
          </w:rPr>
        </w:pPr>
        <w:r w:rsidRPr="004A4207">
          <w:rPr>
            <w:rFonts w:ascii="Arial" w:eastAsia="Calibri" w:hAnsi="Arial" w:cs="Arial"/>
            <w:sz w:val="20"/>
            <w:szCs w:val="20"/>
            <w:bdr w:val="nil"/>
          </w:rPr>
          <w:fldChar w:fldCharType="begin"/>
        </w:r>
        <w:r w:rsidRPr="004A4207">
          <w:rPr>
            <w:rFonts w:ascii="Arial" w:eastAsia="Calibri" w:hAnsi="Arial" w:cs="Arial"/>
            <w:sz w:val="20"/>
            <w:szCs w:val="20"/>
            <w:bdr w:val="nil"/>
          </w:rPr>
          <w:instrText xml:space="preserve"> PAGE   \* MERGEFORMAT </w:instrText>
        </w:r>
        <w:r w:rsidRPr="004A4207">
          <w:rPr>
            <w:rFonts w:ascii="Arial" w:eastAsia="Calibri" w:hAnsi="Arial" w:cs="Arial"/>
            <w:sz w:val="20"/>
            <w:szCs w:val="20"/>
            <w:bdr w:val="nil"/>
          </w:rPr>
          <w:fldChar w:fldCharType="separate"/>
        </w:r>
        <w:r w:rsidRPr="004A4207">
          <w:rPr>
            <w:rFonts w:ascii="Arial" w:eastAsia="Calibri" w:hAnsi="Arial" w:cs="Arial"/>
            <w:noProof/>
            <w:sz w:val="20"/>
            <w:szCs w:val="20"/>
            <w:bdr w:val="nil"/>
          </w:rPr>
          <w:t>1</w:t>
        </w:r>
        <w:r w:rsidRPr="004A4207">
          <w:rPr>
            <w:rFonts w:ascii="Arial" w:eastAsia="Calibri" w:hAnsi="Arial" w:cs="Arial"/>
            <w:noProof/>
            <w:sz w:val="20"/>
            <w:szCs w:val="20"/>
            <w:bdr w:val="ni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55;"/>
      <w:id w:val="1854272007"/>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BF2F71" w:rsidRDefault="00C05C05" w:rsidP="003527A9">
        <w:pPr>
          <w:pBdr>
            <w:top w:val="nil"/>
            <w:left w:val="nil"/>
            <w:bottom w:val="nil"/>
            <w:right w:val="nil"/>
            <w:between w:val="nil"/>
            <w:bar w:val="nil"/>
          </w:pBdr>
          <w:jc w:val="center"/>
          <w:rPr>
            <w:rFonts w:ascii="Arial" w:eastAsia="Calibri" w:hAnsi="Arial" w:cs="Arial"/>
            <w:sz w:val="20"/>
            <w:bdr w:val="nil"/>
          </w:rPr>
        </w:pPr>
        <w:r w:rsidRPr="00BF2F71">
          <w:rPr>
            <w:rFonts w:ascii="Arial" w:eastAsia="Calibri" w:hAnsi="Arial" w:cs="Arial"/>
            <w:sz w:val="20"/>
            <w:bdr w:val="nil"/>
          </w:rPr>
          <w:fldChar w:fldCharType="begin"/>
        </w:r>
        <w:r w:rsidRPr="00BF2F71">
          <w:rPr>
            <w:rFonts w:ascii="Arial" w:eastAsia="Calibri" w:hAnsi="Arial" w:cs="Arial"/>
            <w:sz w:val="20"/>
            <w:bdr w:val="nil"/>
          </w:rPr>
          <w:instrText xml:space="preserve"> PAGE  \* roman  \* MERGEFORMAT </w:instrText>
        </w:r>
        <w:r w:rsidRPr="00BF2F71">
          <w:rPr>
            <w:rFonts w:ascii="Arial" w:eastAsia="Calibri" w:hAnsi="Arial" w:cs="Arial"/>
            <w:sz w:val="20"/>
            <w:bdr w:val="nil"/>
          </w:rPr>
          <w:fldChar w:fldCharType="separate"/>
        </w:r>
        <w:r>
          <w:rPr>
            <w:rFonts w:ascii="Arial" w:eastAsia="Calibri" w:hAnsi="Arial" w:cs="Arial"/>
            <w:noProof/>
            <w:sz w:val="20"/>
            <w:bdr w:val="nil"/>
          </w:rPr>
          <w:t>vii</w:t>
        </w:r>
        <w:r w:rsidRPr="00BF2F71">
          <w:rPr>
            <w:rFonts w:ascii="Arial" w:eastAsia="Calibri" w:hAnsi="Arial" w:cs="Arial"/>
            <w:sz w:val="20"/>
            <w:bdr w:val="nil"/>
          </w:rP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8985;"/>
      <w:id w:val="1148290486"/>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4A4207" w:rsidRDefault="00C05C05" w:rsidP="00BC5770">
        <w:pPr>
          <w:pBdr>
            <w:top w:val="nil"/>
            <w:left w:val="nil"/>
            <w:bottom w:val="nil"/>
            <w:right w:val="nil"/>
            <w:between w:val="nil"/>
            <w:bar w:val="nil"/>
          </w:pBdr>
          <w:jc w:val="center"/>
          <w:rPr>
            <w:rFonts w:ascii="Arial" w:eastAsia="Calibri" w:hAnsi="Arial" w:cs="Arial"/>
            <w:sz w:val="20"/>
            <w:szCs w:val="20"/>
            <w:bdr w:val="nil"/>
          </w:rPr>
        </w:pPr>
        <w:r w:rsidRPr="004A4207">
          <w:rPr>
            <w:rFonts w:ascii="Arial" w:eastAsia="Calibri" w:hAnsi="Arial" w:cs="Arial"/>
            <w:sz w:val="20"/>
            <w:szCs w:val="20"/>
            <w:bdr w:val="nil"/>
          </w:rPr>
          <w:fldChar w:fldCharType="begin"/>
        </w:r>
        <w:r w:rsidRPr="004A4207">
          <w:rPr>
            <w:rFonts w:ascii="Arial" w:eastAsia="Calibri" w:hAnsi="Arial" w:cs="Arial"/>
            <w:sz w:val="20"/>
            <w:szCs w:val="20"/>
            <w:bdr w:val="nil"/>
          </w:rPr>
          <w:instrText xml:space="preserve"> PAGE   \* MERGEFORMAT </w:instrText>
        </w:r>
        <w:r w:rsidRPr="004A4207">
          <w:rPr>
            <w:rFonts w:ascii="Arial" w:eastAsia="Calibri" w:hAnsi="Arial" w:cs="Arial"/>
            <w:sz w:val="20"/>
            <w:szCs w:val="20"/>
            <w:bdr w:val="nil"/>
          </w:rPr>
          <w:fldChar w:fldCharType="separate"/>
        </w:r>
        <w:r w:rsidR="001B2A9A">
          <w:rPr>
            <w:rFonts w:ascii="Arial" w:eastAsia="Calibri" w:hAnsi="Arial" w:cs="Arial"/>
            <w:noProof/>
            <w:sz w:val="20"/>
            <w:szCs w:val="20"/>
            <w:bdr w:val="nil"/>
          </w:rPr>
          <w:t>15</w:t>
        </w:r>
        <w:r w:rsidRPr="004A4207">
          <w:rPr>
            <w:rFonts w:ascii="Arial" w:eastAsia="Calibri" w:hAnsi="Arial" w:cs="Arial"/>
            <w:noProof/>
            <w:sz w:val="20"/>
            <w:szCs w:val="20"/>
            <w:bdr w:val="nil"/>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8985;"/>
      <w:id w:val="114654602"/>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4A4207" w:rsidRDefault="00C05C05" w:rsidP="00BC5770">
        <w:pPr>
          <w:pBdr>
            <w:top w:val="nil"/>
            <w:left w:val="nil"/>
            <w:bottom w:val="nil"/>
            <w:right w:val="nil"/>
            <w:between w:val="nil"/>
            <w:bar w:val="nil"/>
          </w:pBdr>
          <w:jc w:val="center"/>
          <w:rPr>
            <w:rFonts w:ascii="Arial" w:eastAsia="Calibri" w:hAnsi="Arial" w:cs="Arial"/>
            <w:sz w:val="20"/>
            <w:szCs w:val="20"/>
            <w:bdr w:val="nil"/>
          </w:rPr>
        </w:pPr>
        <w:r w:rsidRPr="004A4207">
          <w:rPr>
            <w:rFonts w:ascii="Arial" w:eastAsia="Calibri" w:hAnsi="Arial" w:cs="Arial"/>
            <w:sz w:val="20"/>
            <w:szCs w:val="20"/>
            <w:bdr w:val="nil"/>
          </w:rPr>
          <w:fldChar w:fldCharType="begin"/>
        </w:r>
        <w:r w:rsidRPr="004A4207">
          <w:rPr>
            <w:rFonts w:ascii="Arial" w:eastAsia="Calibri" w:hAnsi="Arial" w:cs="Arial"/>
            <w:sz w:val="20"/>
            <w:szCs w:val="20"/>
            <w:bdr w:val="nil"/>
          </w:rPr>
          <w:instrText xml:space="preserve"> PAGE   \* MERGEFORMAT </w:instrText>
        </w:r>
        <w:r w:rsidRPr="004A4207">
          <w:rPr>
            <w:rFonts w:ascii="Arial" w:eastAsia="Calibri" w:hAnsi="Arial" w:cs="Arial"/>
            <w:sz w:val="20"/>
            <w:szCs w:val="20"/>
            <w:bdr w:val="nil"/>
          </w:rPr>
          <w:fldChar w:fldCharType="separate"/>
        </w:r>
        <w:r w:rsidR="00C5172A">
          <w:rPr>
            <w:rFonts w:ascii="Arial" w:eastAsia="Calibri" w:hAnsi="Arial" w:cs="Arial"/>
            <w:noProof/>
            <w:sz w:val="20"/>
            <w:szCs w:val="20"/>
            <w:bdr w:val="nil"/>
          </w:rPr>
          <w:t>98</w:t>
        </w:r>
        <w:r w:rsidRPr="004A4207">
          <w:rPr>
            <w:rFonts w:ascii="Arial" w:eastAsia="Calibri" w:hAnsi="Arial" w:cs="Arial"/>
            <w:noProof/>
            <w:sz w:val="20"/>
            <w:szCs w:val="20"/>
            <w:bdr w:val="nil"/>
          </w:rPr>
          <w:fldChar w:fldCharType="end"/>
        </w:r>
      </w:p>
    </w:sdtContent>
  </w:sdt>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8985;"/>
      <w:id w:val="867375491"/>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4A4207" w:rsidRDefault="00C05C05" w:rsidP="00BC5770">
        <w:pPr>
          <w:pBdr>
            <w:top w:val="nil"/>
            <w:left w:val="nil"/>
            <w:bottom w:val="nil"/>
            <w:right w:val="nil"/>
            <w:between w:val="nil"/>
            <w:bar w:val="nil"/>
          </w:pBdr>
          <w:jc w:val="center"/>
          <w:rPr>
            <w:rFonts w:ascii="Arial" w:eastAsia="Calibri" w:hAnsi="Arial" w:cs="Arial"/>
            <w:sz w:val="20"/>
            <w:szCs w:val="20"/>
            <w:bdr w:val="nil"/>
          </w:rPr>
        </w:pPr>
        <w:r w:rsidRPr="004A4207">
          <w:rPr>
            <w:rFonts w:ascii="Arial" w:eastAsia="Calibri" w:hAnsi="Arial" w:cs="Arial"/>
            <w:sz w:val="20"/>
            <w:szCs w:val="20"/>
            <w:bdr w:val="nil"/>
          </w:rPr>
          <w:fldChar w:fldCharType="begin"/>
        </w:r>
        <w:r w:rsidRPr="004A4207">
          <w:rPr>
            <w:rFonts w:ascii="Arial" w:eastAsia="Calibri" w:hAnsi="Arial" w:cs="Arial"/>
            <w:sz w:val="20"/>
            <w:szCs w:val="20"/>
            <w:bdr w:val="nil"/>
          </w:rPr>
          <w:instrText xml:space="preserve"> PAGE   \* MERGEFORMAT </w:instrText>
        </w:r>
        <w:r w:rsidRPr="004A4207">
          <w:rPr>
            <w:rFonts w:ascii="Arial" w:eastAsia="Calibri" w:hAnsi="Arial" w:cs="Arial"/>
            <w:sz w:val="20"/>
            <w:szCs w:val="20"/>
            <w:bdr w:val="nil"/>
          </w:rPr>
          <w:fldChar w:fldCharType="separate"/>
        </w:r>
        <w:r w:rsidR="00F14F11">
          <w:rPr>
            <w:rFonts w:ascii="Arial" w:eastAsia="Calibri" w:hAnsi="Arial" w:cs="Arial"/>
            <w:noProof/>
            <w:sz w:val="20"/>
            <w:szCs w:val="20"/>
            <w:bdr w:val="nil"/>
          </w:rPr>
          <w:t>93</w:t>
        </w:r>
        <w:r w:rsidRPr="004A4207">
          <w:rPr>
            <w:rFonts w:ascii="Arial" w:eastAsia="Calibri" w:hAnsi="Arial" w:cs="Arial"/>
            <w:noProof/>
            <w:sz w:val="20"/>
            <w:szCs w:val="20"/>
            <w:bdr w:val="nil"/>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91;"/>
      <w:id w:val="903108988"/>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sidR="00FB75AD">
          <w:rPr>
            <w:rFonts w:ascii="Calibri" w:eastAsia="Calibri" w:hAnsi="Calibri" w:cs="Arial"/>
            <w:noProof/>
            <w:color w:val="FFFFFF"/>
            <w:bdr w:val="nil"/>
          </w:rPr>
          <w:t>100</w:t>
        </w:r>
        <w:r w:rsidRPr="00C02521">
          <w:rPr>
            <w:rFonts w:ascii="Calibri" w:eastAsia="Calibri" w:hAnsi="Calibri" w:cs="Arial"/>
            <w:noProof/>
            <w:color w:val="FFFFFF"/>
            <w:bdr w:val="nil"/>
          </w:rPr>
          <w:fldChar w:fldCharType="end"/>
        </w:r>
      </w:p>
    </w:sdtContent>
  </w:sdt>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91;"/>
      <w:id w:val="1200990154"/>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sidRPr="00C02521">
          <w:rPr>
            <w:rFonts w:ascii="Calibri" w:eastAsia="Calibri" w:hAnsi="Calibri" w:cs="Arial"/>
            <w:noProof/>
            <w:color w:val="FFFFFF"/>
            <w:bdr w:val="nil"/>
          </w:rPr>
          <w:t>1</w:t>
        </w:r>
        <w:r w:rsidRPr="00C02521">
          <w:rPr>
            <w:rFonts w:ascii="Calibri" w:eastAsia="Calibri" w:hAnsi="Calibri" w:cs="Arial"/>
            <w:noProof/>
            <w:color w:val="FFFFFF"/>
            <w:bdr w:val="nil"/>
          </w:rP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317;"/>
      <w:id w:val="1207079869"/>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sidRPr="00A55406">
          <w:rPr>
            <w:rFonts w:ascii="Arial" w:eastAsia="Calibri" w:hAnsi="Arial" w:cs="Arial"/>
            <w:noProof/>
            <w:sz w:val="20"/>
            <w:bdr w:val="nil"/>
          </w:rPr>
          <w:t>1</w:t>
        </w:r>
        <w:r w:rsidRPr="00A55406">
          <w:rPr>
            <w:rFonts w:ascii="Arial" w:eastAsia="Calibri" w:hAnsi="Arial" w:cs="Arial"/>
            <w:noProof/>
            <w:sz w:val="20"/>
            <w:bdr w:val="nil"/>
          </w:rPr>
          <w:fldChar w:fldCharType="end"/>
        </w:r>
      </w:p>
    </w:sdtContent>
  </w:sdt>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317;"/>
      <w:id w:val="2135215415"/>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sidR="00FB75AD">
          <w:rPr>
            <w:rFonts w:ascii="Arial" w:eastAsia="Calibri" w:hAnsi="Arial" w:cs="Arial"/>
            <w:noProof/>
            <w:sz w:val="20"/>
            <w:bdr w:val="nil"/>
          </w:rPr>
          <w:t>101</w:t>
        </w:r>
        <w:r w:rsidRPr="00A55406">
          <w:rPr>
            <w:rFonts w:ascii="Arial" w:eastAsia="Calibri" w:hAnsi="Arial" w:cs="Arial"/>
            <w:noProof/>
            <w:sz w:val="20"/>
            <w:bdr w:val="nil"/>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keepLines/>
      <w:pBdr>
        <w:top w:val="nil"/>
        <w:left w:val="nil"/>
        <w:bottom w:val="nil"/>
        <w:right w:val="nil"/>
        <w:between w:val="nil"/>
        <w:bar w:val="nil"/>
      </w:pBdr>
      <w:spacing w:after="240" w:line="260" w:lineRule="exact"/>
      <w:jc w:val="both"/>
      <w:rPr>
        <w:bdr w:val="nil"/>
      </w:rP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93;"/>
      <w:id w:val="633682453"/>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sidR="00FB75AD">
          <w:rPr>
            <w:rFonts w:ascii="Calibri" w:eastAsia="Calibri" w:hAnsi="Calibri" w:cs="Arial"/>
            <w:noProof/>
            <w:color w:val="FFFFFF"/>
            <w:bdr w:val="nil"/>
          </w:rPr>
          <w:t>102</w:t>
        </w:r>
        <w:r w:rsidRPr="00C02521">
          <w:rPr>
            <w:rFonts w:ascii="Calibri" w:eastAsia="Calibri" w:hAnsi="Calibri" w:cs="Arial"/>
            <w:noProof/>
            <w:color w:val="FFFFFF"/>
            <w:bdr w:val="nil"/>
          </w:rPr>
          <w:fldChar w:fldCharType="end"/>
        </w:r>
      </w:p>
    </w:sdtContent>
  </w:sdt>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93;"/>
      <w:id w:val="179613165"/>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sidRPr="00C02521">
          <w:rPr>
            <w:rFonts w:ascii="Calibri" w:eastAsia="Calibri" w:hAnsi="Calibri" w:cs="Arial"/>
            <w:noProof/>
            <w:color w:val="FFFFFF"/>
            <w:bdr w:val="nil"/>
          </w:rPr>
          <w:t>1</w:t>
        </w:r>
        <w:r w:rsidRPr="00C02521">
          <w:rPr>
            <w:rFonts w:ascii="Calibri" w:eastAsia="Calibri" w:hAnsi="Calibri" w:cs="Arial"/>
            <w:noProof/>
            <w:color w:val="FFFFFF"/>
            <w:bdr w:val="nil"/>
          </w:rPr>
          <w:fldChar w:fldCharType="end"/>
        </w:r>
      </w:p>
    </w:sdtContent>
  </w:sdt>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95;"/>
      <w:id w:val="2014003368"/>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sidRPr="00A55406">
          <w:rPr>
            <w:rFonts w:ascii="Arial" w:eastAsia="Calibri" w:hAnsi="Arial" w:cs="Arial"/>
            <w:noProof/>
            <w:sz w:val="20"/>
            <w:bdr w:val="nil"/>
          </w:rPr>
          <w:t>1</w:t>
        </w:r>
        <w:r w:rsidRPr="00A55406">
          <w:rPr>
            <w:rFonts w:ascii="Arial" w:eastAsia="Calibri" w:hAnsi="Arial" w:cs="Arial"/>
            <w:noProof/>
            <w:sz w:val="20"/>
            <w:bdr w:val="nil"/>
          </w:rPr>
          <w:fldChar w:fldCharType="end"/>
        </w:r>
      </w:p>
    </w:sdtContent>
  </w:sdt>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95;"/>
      <w:id w:val="1429051169"/>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sidR="00CE25A4">
          <w:rPr>
            <w:rFonts w:ascii="Arial" w:eastAsia="Calibri" w:hAnsi="Arial" w:cs="Arial"/>
            <w:noProof/>
            <w:sz w:val="20"/>
            <w:bdr w:val="nil"/>
          </w:rPr>
          <w:t>103</w:t>
        </w:r>
        <w:r w:rsidRPr="00A55406">
          <w:rPr>
            <w:rFonts w:ascii="Arial" w:eastAsia="Calibri" w:hAnsi="Arial" w:cs="Arial"/>
            <w:noProof/>
            <w:sz w:val="20"/>
            <w:bdr w:val="nil"/>
          </w:rPr>
          <w:fldChar w:fldCharType="end"/>
        </w:r>
      </w:p>
    </w:sdtContent>
  </w:sdt>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keepLines/>
      <w:pBdr>
        <w:top w:val="nil"/>
        <w:left w:val="nil"/>
        <w:bottom w:val="nil"/>
        <w:right w:val="nil"/>
        <w:between w:val="nil"/>
        <w:bar w:val="nil"/>
      </w:pBdr>
      <w:spacing w:after="240" w:line="260" w:lineRule="exact"/>
      <w:jc w:val="both"/>
      <w:rPr>
        <w:bdr w:val="nil"/>
      </w:rP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96;"/>
      <w:id w:val="1553669011"/>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sidR="00FD54DD">
          <w:rPr>
            <w:rFonts w:ascii="Calibri" w:eastAsia="Calibri" w:hAnsi="Calibri" w:cs="Arial"/>
            <w:noProof/>
            <w:color w:val="FFFFFF"/>
            <w:bdr w:val="nil"/>
          </w:rPr>
          <w:t>104</w:t>
        </w:r>
        <w:r w:rsidRPr="00C02521">
          <w:rPr>
            <w:rFonts w:ascii="Calibri" w:eastAsia="Calibri" w:hAnsi="Calibri" w:cs="Arial"/>
            <w:noProof/>
            <w:color w:val="FFFFFF"/>
            <w:bdr w:val="nil"/>
          </w:rPr>
          <w:fldChar w:fldCharType="end"/>
        </w:r>
      </w:p>
    </w:sdtContent>
  </w:sdt>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96;"/>
      <w:id w:val="1105126656"/>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C02521" w:rsidRDefault="00C05C05" w:rsidP="008B6037">
        <w:pPr>
          <w:pBdr>
            <w:top w:val="nil"/>
            <w:left w:val="nil"/>
            <w:bottom w:val="nil"/>
            <w:right w:val="nil"/>
            <w:between w:val="nil"/>
            <w:bar w:val="nil"/>
          </w:pBdr>
          <w:jc w:val="center"/>
          <w:rPr>
            <w:rFonts w:ascii="Calibri" w:eastAsia="Calibri" w:hAnsi="Calibri" w:cs="Arial"/>
            <w:color w:val="FFFFFF"/>
            <w:bdr w:val="nil"/>
          </w:rPr>
        </w:pPr>
        <w:r w:rsidRPr="00C02521">
          <w:rPr>
            <w:rFonts w:ascii="Calibri" w:eastAsia="Calibri" w:hAnsi="Calibri" w:cs="Arial"/>
            <w:color w:val="FFFFFF"/>
            <w:bdr w:val="nil"/>
          </w:rPr>
          <w:fldChar w:fldCharType="begin"/>
        </w:r>
        <w:r w:rsidRPr="00C02521">
          <w:rPr>
            <w:rFonts w:ascii="Calibri" w:eastAsia="Calibri" w:hAnsi="Calibri" w:cs="Arial"/>
            <w:color w:val="FFFFFF"/>
            <w:bdr w:val="nil"/>
          </w:rPr>
          <w:instrText xml:space="preserve"> PAGE   \* MERGEFORMAT </w:instrText>
        </w:r>
        <w:r w:rsidRPr="00C02521">
          <w:rPr>
            <w:rFonts w:ascii="Calibri" w:eastAsia="Calibri" w:hAnsi="Calibri" w:cs="Arial"/>
            <w:color w:val="FFFFFF"/>
            <w:bdr w:val="nil"/>
          </w:rPr>
          <w:fldChar w:fldCharType="separate"/>
        </w:r>
        <w:r w:rsidRPr="00C02521">
          <w:rPr>
            <w:rFonts w:ascii="Calibri" w:eastAsia="Calibri" w:hAnsi="Calibri" w:cs="Arial"/>
            <w:noProof/>
            <w:color w:val="FFFFFF"/>
            <w:bdr w:val="nil"/>
          </w:rPr>
          <w:t>1</w:t>
        </w:r>
        <w:r w:rsidRPr="00C02521">
          <w:rPr>
            <w:rFonts w:ascii="Calibri" w:eastAsia="Calibri" w:hAnsi="Calibri" w:cs="Arial"/>
            <w:noProof/>
            <w:color w:val="FFFFFF"/>
            <w:bdr w:val="nil"/>
          </w:rPr>
          <w:fldChar w:fldCharType="end"/>
        </w:r>
      </w:p>
    </w:sdtContent>
  </w:sdt>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53;"/>
      <w:id w:val="1238521100"/>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702889" w:rsidRDefault="00C05C05" w:rsidP="00702889">
        <w:pPr>
          <w:pBdr>
            <w:top w:val="nil"/>
            <w:left w:val="nil"/>
            <w:bottom w:val="nil"/>
            <w:right w:val="nil"/>
            <w:between w:val="nil"/>
            <w:bar w:val="nil"/>
          </w:pBdr>
          <w:jc w:val="center"/>
          <w:rPr>
            <w:rFonts w:ascii="Calibri" w:eastAsia="Calibri" w:hAnsi="Calibri" w:cs="Arial"/>
            <w:color w:val="FFFFFF"/>
            <w:bdr w:val="nil"/>
          </w:rPr>
        </w:pPr>
        <w:r w:rsidRPr="00702889">
          <w:rPr>
            <w:rFonts w:ascii="Calibri" w:eastAsia="Calibri" w:hAnsi="Calibri" w:cs="Arial"/>
            <w:color w:val="FFFFFF"/>
            <w:bdr w:val="nil"/>
          </w:rPr>
          <w:fldChar w:fldCharType="begin"/>
        </w:r>
        <w:r w:rsidRPr="00702889">
          <w:rPr>
            <w:rFonts w:ascii="Calibri" w:eastAsia="Calibri" w:hAnsi="Calibri" w:cs="Arial"/>
            <w:color w:val="FFFFFF"/>
            <w:bdr w:val="nil"/>
          </w:rPr>
          <w:instrText xml:space="preserve"> PAGE   \* MERGEFORMAT </w:instrText>
        </w:r>
        <w:r w:rsidRPr="00702889">
          <w:rPr>
            <w:rFonts w:ascii="Calibri" w:eastAsia="Calibri" w:hAnsi="Calibri" w:cs="Arial"/>
            <w:color w:val="FFFFFF"/>
            <w:bdr w:val="nil"/>
          </w:rPr>
          <w:fldChar w:fldCharType="separate"/>
        </w:r>
        <w:r>
          <w:rPr>
            <w:rFonts w:ascii="Calibri" w:eastAsia="Calibri" w:hAnsi="Calibri" w:cs="Arial"/>
            <w:noProof/>
            <w:color w:val="FFFFFF"/>
            <w:bdr w:val="nil"/>
          </w:rPr>
          <w:t>8</w:t>
        </w:r>
        <w:r w:rsidRPr="00702889">
          <w:rPr>
            <w:rFonts w:ascii="Calibri" w:eastAsia="Calibri" w:hAnsi="Calibri" w:cs="Arial"/>
            <w:noProof/>
            <w:color w:val="FFFFFF"/>
            <w:bdr w:val="nil"/>
          </w:rPr>
          <w:fldChar w:fldCharType="end"/>
        </w:r>
      </w:p>
    </w:sdtContent>
  </w:sdt>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21;"/>
      <w:id w:val="976021971"/>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sidRPr="00A55406">
          <w:rPr>
            <w:rFonts w:ascii="Arial" w:eastAsia="Calibri" w:hAnsi="Arial" w:cs="Arial"/>
            <w:noProof/>
            <w:sz w:val="20"/>
            <w:bdr w:val="nil"/>
          </w:rPr>
          <w:t>1</w:t>
        </w:r>
        <w:r w:rsidRPr="00A55406">
          <w:rPr>
            <w:rFonts w:ascii="Arial" w:eastAsia="Calibri" w:hAnsi="Arial" w:cs="Arial"/>
            <w:noProof/>
            <w:sz w:val="20"/>
            <w:bdr w:val="nil"/>
          </w:rPr>
          <w:fldChar w:fldCharType="end"/>
        </w:r>
      </w:p>
    </w:sdtContent>
  </w:sdt>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21;"/>
      <w:id w:val="857785424"/>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sidR="00C5172A">
          <w:rPr>
            <w:rFonts w:ascii="Arial" w:eastAsia="Calibri" w:hAnsi="Arial" w:cs="Arial"/>
            <w:noProof/>
            <w:sz w:val="20"/>
            <w:bdr w:val="nil"/>
          </w:rPr>
          <w:t>105</w:t>
        </w:r>
        <w:r w:rsidRPr="00A55406">
          <w:rPr>
            <w:rFonts w:ascii="Arial" w:eastAsia="Calibri" w:hAnsi="Arial" w:cs="Arial"/>
            <w:noProof/>
            <w:sz w:val="20"/>
            <w:bdr w:val="nil"/>
          </w:rPr>
          <w:fldChar w:fldCharType="end"/>
        </w:r>
      </w:p>
    </w:sdtContent>
  </w:sdt>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keepLines/>
      <w:pBdr>
        <w:top w:val="nil"/>
        <w:left w:val="nil"/>
        <w:bottom w:val="nil"/>
        <w:right w:val="nil"/>
        <w:between w:val="nil"/>
        <w:bar w:val="nil"/>
      </w:pBdr>
      <w:spacing w:after="240" w:line="260" w:lineRule="exact"/>
      <w:jc w:val="both"/>
      <w:rPr>
        <w:bdr w:val="nil"/>
      </w:rP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21;"/>
      <w:id w:val="1763533199"/>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sidR="00782CA5">
          <w:rPr>
            <w:rFonts w:ascii="Arial" w:eastAsia="Calibri" w:hAnsi="Arial" w:cs="Arial"/>
            <w:noProof/>
            <w:sz w:val="20"/>
            <w:bdr w:val="nil"/>
          </w:rPr>
          <w:t>138</w:t>
        </w:r>
        <w:r w:rsidRPr="00A55406">
          <w:rPr>
            <w:rFonts w:ascii="Arial" w:eastAsia="Calibri" w:hAnsi="Arial" w:cs="Arial"/>
            <w:noProof/>
            <w:sz w:val="20"/>
            <w:bdr w:val="nil"/>
          </w:rPr>
          <w:fldChar w:fldCharType="end"/>
        </w:r>
      </w:p>
    </w:sdtContent>
  </w:sdt>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43421;"/>
      <w:id w:val="1601204829"/>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sidR="0051209A">
          <w:rPr>
            <w:rFonts w:ascii="Arial" w:eastAsia="Calibri" w:hAnsi="Arial" w:cs="Arial"/>
            <w:noProof/>
            <w:sz w:val="20"/>
            <w:bdr w:val="nil"/>
          </w:rPr>
          <w:t>137</w:t>
        </w:r>
        <w:r w:rsidRPr="00A55406">
          <w:rPr>
            <w:rFonts w:ascii="Arial" w:eastAsia="Calibri" w:hAnsi="Arial" w:cs="Arial"/>
            <w:noProof/>
            <w:sz w:val="20"/>
            <w:bdr w:val="nil"/>
          </w:rPr>
          <w:fldChar w:fldCharType="end"/>
        </w:r>
      </w:p>
    </w:sdtContent>
  </w:sdt>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keepLines/>
      <w:pBdr>
        <w:top w:val="nil"/>
        <w:left w:val="nil"/>
        <w:bottom w:val="nil"/>
        <w:right w:val="nil"/>
        <w:between w:val="nil"/>
        <w:bar w:val="nil"/>
      </w:pBdr>
      <w:spacing w:after="240" w:line="260" w:lineRule="exact"/>
      <w:jc w:val="both"/>
      <w:rPr>
        <w:bdr w:val="nil"/>
      </w:rP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06;"/>
      <w:id w:val="1436485676"/>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Pr>
            <w:rFonts w:ascii="Arial" w:eastAsia="Calibri" w:hAnsi="Arial" w:cs="Arial"/>
            <w:noProof/>
            <w:sz w:val="20"/>
            <w:bdr w:val="nil"/>
          </w:rPr>
          <w:t>140</w:t>
        </w:r>
        <w:r w:rsidRPr="00A55406">
          <w:rPr>
            <w:rFonts w:ascii="Arial" w:eastAsia="Calibri" w:hAnsi="Arial" w:cs="Arial"/>
            <w:noProof/>
            <w:sz w:val="20"/>
            <w:bdr w:val="nil"/>
          </w:rPr>
          <w:fldChar w:fldCharType="end"/>
        </w:r>
      </w:p>
    </w:sdtContent>
  </w:sdt>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06;"/>
      <w:id w:val="170246039"/>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sidR="00D15CE2">
          <w:rPr>
            <w:rFonts w:ascii="Arial" w:eastAsia="Calibri" w:hAnsi="Arial" w:cs="Arial"/>
            <w:noProof/>
            <w:sz w:val="20"/>
            <w:bdr w:val="nil"/>
          </w:rPr>
          <w:t>139</w:t>
        </w:r>
        <w:r w:rsidRPr="00A55406">
          <w:rPr>
            <w:rFonts w:ascii="Arial" w:eastAsia="Calibri" w:hAnsi="Arial" w:cs="Arial"/>
            <w:noProof/>
            <w:sz w:val="20"/>
            <w:bdr w:val="nil"/>
          </w:rPr>
          <w:fldChar w:fldCharType="end"/>
        </w:r>
      </w:p>
    </w:sdtContent>
  </w:sdt>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keepLines/>
      <w:pBdr>
        <w:top w:val="nil"/>
        <w:left w:val="nil"/>
        <w:bottom w:val="nil"/>
        <w:right w:val="nil"/>
        <w:between w:val="nil"/>
        <w:bar w:val="nil"/>
      </w:pBdr>
      <w:spacing w:after="240" w:line="260" w:lineRule="exact"/>
      <w:jc w:val="both"/>
      <w:rPr>
        <w:bdr w:val="nil"/>
        <w:lang w:val="en-AU"/>
      </w:rP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06;"/>
      <w:id w:val="172318743"/>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sidR="00CE25A4">
          <w:rPr>
            <w:rFonts w:ascii="Arial" w:eastAsia="Calibri" w:hAnsi="Arial" w:cs="Arial"/>
            <w:noProof/>
            <w:sz w:val="20"/>
            <w:bdr w:val="nil"/>
          </w:rPr>
          <w:t>142</w:t>
        </w:r>
        <w:r w:rsidRPr="00A55406">
          <w:rPr>
            <w:rFonts w:ascii="Arial" w:eastAsia="Calibri" w:hAnsi="Arial" w:cs="Arial"/>
            <w:noProof/>
            <w:sz w:val="20"/>
            <w:bdr w:val="nil"/>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53;"/>
      <w:id w:val="1513781261"/>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702889" w:rsidRDefault="00C05C05" w:rsidP="00702889">
        <w:pPr>
          <w:pBdr>
            <w:top w:val="nil"/>
            <w:left w:val="nil"/>
            <w:bottom w:val="nil"/>
            <w:right w:val="nil"/>
            <w:between w:val="nil"/>
            <w:bar w:val="nil"/>
          </w:pBdr>
          <w:jc w:val="center"/>
          <w:rPr>
            <w:rFonts w:ascii="Calibri" w:eastAsia="Calibri" w:hAnsi="Calibri" w:cs="Arial"/>
            <w:color w:val="FFFFFF"/>
            <w:bdr w:val="nil"/>
          </w:rPr>
        </w:pPr>
        <w:r w:rsidRPr="00702889">
          <w:rPr>
            <w:rFonts w:ascii="Calibri" w:eastAsia="Calibri" w:hAnsi="Calibri" w:cs="Arial"/>
            <w:color w:val="FFFFFF"/>
            <w:bdr w:val="nil"/>
          </w:rPr>
          <w:fldChar w:fldCharType="begin"/>
        </w:r>
        <w:r w:rsidRPr="00702889">
          <w:rPr>
            <w:rFonts w:ascii="Calibri" w:eastAsia="Calibri" w:hAnsi="Calibri" w:cs="Arial"/>
            <w:color w:val="FFFFFF"/>
            <w:bdr w:val="nil"/>
          </w:rPr>
          <w:instrText xml:space="preserve"> PAGE   \* MERGEFORMAT </w:instrText>
        </w:r>
        <w:r w:rsidRPr="00702889">
          <w:rPr>
            <w:rFonts w:ascii="Calibri" w:eastAsia="Calibri" w:hAnsi="Calibri" w:cs="Arial"/>
            <w:color w:val="FFFFFF"/>
            <w:bdr w:val="nil"/>
          </w:rPr>
          <w:fldChar w:fldCharType="separate"/>
        </w:r>
        <w:r w:rsidR="00CE25A4">
          <w:rPr>
            <w:rFonts w:ascii="Calibri" w:eastAsia="Calibri" w:hAnsi="Calibri" w:cs="Arial"/>
            <w:noProof/>
            <w:color w:val="FFFFFF"/>
            <w:bdr w:val="nil"/>
          </w:rPr>
          <w:t>5</w:t>
        </w:r>
        <w:r w:rsidRPr="00702889">
          <w:rPr>
            <w:rFonts w:ascii="Calibri" w:eastAsia="Calibri" w:hAnsi="Calibri" w:cs="Arial"/>
            <w:noProof/>
            <w:color w:val="FFFFFF"/>
            <w:bdr w:val="nil"/>
          </w:rPr>
          <w:fldChar w:fldCharType="end"/>
        </w:r>
      </w:p>
    </w:sdtContent>
  </w:sdt>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06;"/>
      <w:id w:val="1180678728"/>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sidR="00CE25A4">
          <w:rPr>
            <w:rFonts w:ascii="Arial" w:eastAsia="Calibri" w:hAnsi="Arial" w:cs="Arial"/>
            <w:noProof/>
            <w:sz w:val="20"/>
            <w:bdr w:val="nil"/>
          </w:rPr>
          <w:t>141</w:t>
        </w:r>
        <w:r w:rsidRPr="00A55406">
          <w:rPr>
            <w:rFonts w:ascii="Arial" w:eastAsia="Calibri" w:hAnsi="Arial" w:cs="Arial"/>
            <w:noProof/>
            <w:sz w:val="20"/>
            <w:bdr w:val="nil"/>
          </w:rPr>
          <w:fldChar w:fldCharType="end"/>
        </w:r>
      </w:p>
    </w:sdtContent>
  </w:sdt>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keepLines/>
      <w:pBdr>
        <w:top w:val="nil"/>
        <w:left w:val="nil"/>
        <w:bottom w:val="nil"/>
        <w:right w:val="nil"/>
        <w:between w:val="nil"/>
        <w:bar w:val="nil"/>
      </w:pBdr>
      <w:spacing w:after="240" w:line="260" w:lineRule="exact"/>
      <w:jc w:val="both"/>
      <w:rPr>
        <w:bdr w:val="nil"/>
        <w:lang w:val="en-AU"/>
      </w:rP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07;"/>
      <w:id w:val="796253323"/>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Pr>
            <w:rFonts w:ascii="Arial" w:eastAsia="Calibri" w:hAnsi="Arial" w:cs="Arial"/>
            <w:noProof/>
            <w:sz w:val="20"/>
            <w:bdr w:val="nil"/>
          </w:rPr>
          <w:t>144</w:t>
        </w:r>
        <w:r w:rsidRPr="00A55406">
          <w:rPr>
            <w:rFonts w:ascii="Arial" w:eastAsia="Calibri" w:hAnsi="Arial" w:cs="Arial"/>
            <w:noProof/>
            <w:sz w:val="20"/>
            <w:bdr w:val="nil"/>
          </w:rPr>
          <w:fldChar w:fldCharType="end"/>
        </w:r>
      </w:p>
    </w:sdtContent>
  </w:sdt>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type=ReportObject;reportobjectid=39007;"/>
      <w:id w:val="2019311581"/>
      <w:lock w:val="sdtLocked"/>
      <w:placeholder>
        <w:docPart w:val="DefaultPlaceholder_22675703"/>
      </w:placeholder>
    </w:sdtPr>
    <w:sdtEndPr>
      <w:rPr>
        <w:rFonts w:ascii="Times New Roman" w:eastAsia="Times New Roman" w:hAnsi="Times New Roman" w:cs="Times New Roman"/>
        <w:sz w:val="20"/>
        <w:szCs w:val="20"/>
        <w:bdr w:val="nil"/>
      </w:rPr>
    </w:sdtEndPr>
    <w:sdtContent>
      <w:p w:rsidR="00C05C05" w:rsidRPr="00A55406" w:rsidRDefault="00C05C05" w:rsidP="001B5316">
        <w:pPr>
          <w:pBdr>
            <w:top w:val="nil"/>
            <w:left w:val="nil"/>
            <w:bottom w:val="nil"/>
            <w:right w:val="nil"/>
            <w:between w:val="nil"/>
            <w:bar w:val="nil"/>
          </w:pBdr>
          <w:jc w:val="center"/>
          <w:rPr>
            <w:rFonts w:ascii="Arial" w:eastAsia="Calibri" w:hAnsi="Arial" w:cs="Arial"/>
            <w:bdr w:val="nil"/>
          </w:rPr>
        </w:pPr>
        <w:r w:rsidRPr="00A55406">
          <w:rPr>
            <w:rFonts w:ascii="Arial" w:eastAsia="Calibri" w:hAnsi="Arial" w:cs="Arial"/>
            <w:sz w:val="20"/>
            <w:bdr w:val="nil"/>
          </w:rPr>
          <w:fldChar w:fldCharType="begin"/>
        </w:r>
        <w:r w:rsidRPr="00A55406">
          <w:rPr>
            <w:rFonts w:ascii="Arial" w:eastAsia="Calibri" w:hAnsi="Arial" w:cs="Arial"/>
            <w:sz w:val="20"/>
            <w:bdr w:val="nil"/>
          </w:rPr>
          <w:instrText xml:space="preserve"> PAGE   \* MERGEFORMAT </w:instrText>
        </w:r>
        <w:r w:rsidRPr="00A55406">
          <w:rPr>
            <w:rFonts w:ascii="Arial" w:eastAsia="Calibri" w:hAnsi="Arial" w:cs="Arial"/>
            <w:sz w:val="20"/>
            <w:bdr w:val="nil"/>
          </w:rPr>
          <w:fldChar w:fldCharType="separate"/>
        </w:r>
        <w:r w:rsidR="00CE25A4">
          <w:rPr>
            <w:rFonts w:ascii="Arial" w:eastAsia="Calibri" w:hAnsi="Arial" w:cs="Arial"/>
            <w:noProof/>
            <w:sz w:val="20"/>
            <w:bdr w:val="nil"/>
          </w:rPr>
          <w:t>143</w:t>
        </w:r>
        <w:r w:rsidRPr="00A55406">
          <w:rPr>
            <w:rFonts w:ascii="Arial" w:eastAsia="Calibri" w:hAnsi="Arial" w:cs="Arial"/>
            <w:noProof/>
            <w:sz w:val="20"/>
            <w:bdr w:val="nil"/>
          </w:rPr>
          <w:fldChar w:fldCharType="end"/>
        </w:r>
      </w:p>
    </w:sdtContent>
  </w:sdt>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keepLines/>
      <w:pBdr>
        <w:top w:val="nil"/>
        <w:left w:val="nil"/>
        <w:bottom w:val="nil"/>
        <w:right w:val="nil"/>
        <w:between w:val="nil"/>
        <w:bar w:val="nil"/>
      </w:pBdr>
      <w:spacing w:after="240" w:line="260" w:lineRule="exact"/>
      <w:jc w:val="both"/>
      <w:rPr>
        <w:bdr w:val="nil"/>
        <w:lang w:val="en-AU"/>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C05" w:rsidRDefault="00C05C05">
      <w:pPr>
        <w:spacing w:after="0" w:line="240" w:lineRule="auto"/>
      </w:pPr>
      <w:r>
        <w:separator/>
      </w:r>
    </w:p>
  </w:footnote>
  <w:footnote w:type="continuationSeparator" w:id="0">
    <w:p w:rsidR="00C05C05" w:rsidRDefault="00C05C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Style w:val="Header"/>
      <w:pBdr>
        <w:top w:val="nil"/>
        <w:left w:val="nil"/>
        <w:bottom w:val="nil"/>
        <w:right w:val="nil"/>
        <w:between w:val="nil"/>
        <w:bar w:val="nil"/>
      </w:pBdr>
      <w:rPr>
        <w:rFonts w:ascii="Calibri" w:eastAsia="Calibri" w:hAnsi="Calibri" w:cs="Arial"/>
        <w:bdr w:val="nil"/>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suppressLineNumbers/>
      <w:pBdr>
        <w:top w:val="nil"/>
        <w:left w:val="nil"/>
        <w:bottom w:val="nil"/>
        <w:right w:val="nil"/>
        <w:between w:val="nil"/>
        <w:bar w:val="nil"/>
      </w:pBdr>
      <w:spacing w:after="0" w:line="14" w:lineRule="exact"/>
      <w:contextualSpacing/>
      <w:rPr>
        <w:rFonts w:ascii="Calibri" w:eastAsia="Calibri" w:hAnsi="Calibri" w:cs="Arial"/>
        <w:bdr w:val="nil"/>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suppressLineNumbers/>
      <w:pBdr>
        <w:top w:val="nil"/>
        <w:left w:val="nil"/>
        <w:bottom w:val="nil"/>
        <w:right w:val="nil"/>
        <w:between w:val="nil"/>
        <w:bar w:val="nil"/>
      </w:pBdr>
      <w:spacing w:after="0" w:line="14" w:lineRule="exact"/>
      <w:contextualSpacing/>
      <w:rPr>
        <w:rFonts w:ascii="Calibri" w:eastAsia="Calibri" w:hAnsi="Calibri" w:cs="Arial"/>
        <w:bdr w:val="nil"/>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suppressLineNumbers/>
      <w:pBdr>
        <w:top w:val="nil"/>
        <w:left w:val="nil"/>
        <w:bottom w:val="nil"/>
        <w:right w:val="nil"/>
        <w:between w:val="nil"/>
        <w:bar w:val="nil"/>
      </w:pBdr>
      <w:spacing w:after="0" w:line="14" w:lineRule="exact"/>
      <w:contextualSpacing/>
      <w:rPr>
        <w:rFonts w:ascii="Calibri" w:eastAsia="Calibri" w:hAnsi="Calibri" w:cs="Arial"/>
        <w:bdr w:val="nil"/>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suppressLineNumbers/>
      <w:pBdr>
        <w:top w:val="nil"/>
        <w:left w:val="nil"/>
        <w:bottom w:val="nil"/>
        <w:right w:val="nil"/>
        <w:between w:val="nil"/>
        <w:bar w:val="nil"/>
      </w:pBdr>
      <w:spacing w:after="0" w:line="14" w:lineRule="exact"/>
      <w:contextualSpacing/>
      <w:rPr>
        <w:rFonts w:ascii="Calibri" w:eastAsia="Calibri" w:hAnsi="Calibri" w:cs="Arial"/>
        <w:bdr w:val="nil"/>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Pr="005767FE" w:rsidRDefault="00C05C05">
    <w:pPr>
      <w:pBdr>
        <w:top w:val="nil"/>
        <w:left w:val="nil"/>
        <w:bottom w:val="nil"/>
        <w:right w:val="nil"/>
        <w:between w:val="nil"/>
        <w:bar w:val="nil"/>
      </w:pBdr>
      <w:rPr>
        <w:rFonts w:ascii="Book Antiqua" w:eastAsia="Calibri" w:hAnsi="Book Antiqua" w:cs="Arial"/>
        <w:i/>
        <w:sz w:val="20"/>
        <w:bdr w:val="nil"/>
      </w:rPr>
    </w:pPr>
    <w:r w:rsidRPr="005767FE">
      <w:rPr>
        <w:rFonts w:ascii="Book Antiqua" w:eastAsia="Calibri" w:hAnsi="Book Antiqua" w:cs="Arial"/>
        <w:i/>
        <w:sz w:val="20"/>
        <w:bdr w:val="nil"/>
      </w:rPr>
      <w:t>User guide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Pr="005767FE" w:rsidRDefault="00C05C05">
    <w:pPr>
      <w:pBdr>
        <w:top w:val="nil"/>
        <w:left w:val="nil"/>
        <w:bottom w:val="nil"/>
        <w:right w:val="nil"/>
        <w:between w:val="nil"/>
        <w:bar w:val="nil"/>
      </w:pBdr>
      <w:rPr>
        <w:rFonts w:ascii="Book Antiqua" w:eastAsia="Calibri" w:hAnsi="Book Antiqua" w:cs="Arial"/>
        <w:i/>
        <w:sz w:val="20"/>
        <w:bdr w:val="nil"/>
      </w:rPr>
    </w:pPr>
    <w:r w:rsidRPr="005767FE">
      <w:rPr>
        <w:rFonts w:ascii="Book Antiqua" w:eastAsia="Calibri" w:hAnsi="Book Antiqua" w:cs="Arial"/>
        <w:i/>
        <w:sz w:val="20"/>
        <w:bdr w:val="nil"/>
      </w:rPr>
      <w:t>User guide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Style w:val="Header"/>
      <w:pBdr>
        <w:top w:val="nil"/>
        <w:left w:val="nil"/>
        <w:bottom w:val="nil"/>
        <w:right w:val="nil"/>
        <w:between w:val="nil"/>
        <w:bar w:val="nil"/>
      </w:pBdr>
      <w:rPr>
        <w:rFonts w:ascii="Calibri" w:eastAsia="Calibri" w:hAnsi="Calibri" w:cs="Arial"/>
        <w:bdr w:val="nil"/>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Style w:val="Header"/>
      <w:pBdr>
        <w:top w:val="nil"/>
        <w:left w:val="nil"/>
        <w:bottom w:val="nil"/>
        <w:right w:val="nil"/>
        <w:between w:val="nil"/>
        <w:bar w:val="nil"/>
      </w:pBdr>
      <w:rPr>
        <w:rFonts w:ascii="Calibri" w:eastAsia="Calibri" w:hAnsi="Calibri" w:cs="Arial"/>
        <w:bdr w:val="nil"/>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eastAsia="Calibri" w:cs="Arial"/>
        <w:bdr w:val="nil"/>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Pr="004A408E" w:rsidRDefault="00C05C05" w:rsidP="007A01AB">
    <w:pPr>
      <w:pBdr>
        <w:top w:val="nil"/>
        <w:left w:val="nil"/>
        <w:bottom w:val="nil"/>
        <w:right w:val="nil"/>
        <w:between w:val="nil"/>
        <w:bar w:val="nil"/>
      </w:pBdr>
      <w:rPr>
        <w:rFonts w:eastAsia="Calibri" w:cs="Arial"/>
        <w:i/>
        <w:sz w:val="20"/>
        <w:bdr w:val="nil"/>
      </w:rPr>
    </w:pPr>
    <w:r w:rsidRPr="004A408E">
      <w:rPr>
        <w:rFonts w:ascii="Book Antiqua" w:eastAsia="Calibri" w:hAnsi="Book Antiqua" w:cs="Arial"/>
        <w:i/>
        <w:sz w:val="20"/>
        <w:bdr w:val="nil"/>
      </w:rPr>
      <w:t xml:space="preserve">Portfolio </w:t>
    </w:r>
    <w:r>
      <w:rPr>
        <w:rFonts w:ascii="Book Antiqua" w:eastAsia="Calibri" w:hAnsi="Book Antiqua" w:cs="Arial"/>
        <w:i/>
        <w:sz w:val="20"/>
        <w:bdr w:val="nil"/>
      </w:rPr>
      <w:t>O</w:t>
    </w:r>
    <w:r w:rsidRPr="004A408E">
      <w:rPr>
        <w:rFonts w:ascii="Book Antiqua" w:eastAsia="Calibri" w:hAnsi="Book Antiqua" w:cs="Arial"/>
        <w:i/>
        <w:sz w:val="20"/>
        <w:bdr w:val="nil"/>
      </w:rPr>
      <w:t>verview</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Pr="004A408E" w:rsidRDefault="00C05C05" w:rsidP="004A408E">
    <w:pPr>
      <w:pBdr>
        <w:top w:val="nil"/>
        <w:left w:val="nil"/>
        <w:bottom w:val="nil"/>
        <w:right w:val="nil"/>
        <w:between w:val="nil"/>
        <w:bar w:val="nil"/>
      </w:pBdr>
      <w:jc w:val="right"/>
      <w:rPr>
        <w:rFonts w:eastAsia="Calibri" w:cs="Arial"/>
        <w:i/>
        <w:sz w:val="20"/>
        <w:bdr w:val="nil"/>
      </w:rPr>
    </w:pPr>
    <w:r w:rsidRPr="004A408E">
      <w:rPr>
        <w:rFonts w:ascii="Book Antiqua" w:eastAsia="Calibri" w:hAnsi="Book Antiqua" w:cs="Arial"/>
        <w:i/>
        <w:sz w:val="20"/>
        <w:bdr w:val="nil"/>
      </w:rPr>
      <w:t xml:space="preserve">Portfolio </w:t>
    </w:r>
    <w:r>
      <w:rPr>
        <w:rFonts w:ascii="Book Antiqua" w:eastAsia="Calibri" w:hAnsi="Book Antiqua" w:cs="Arial"/>
        <w:i/>
        <w:sz w:val="20"/>
        <w:bdr w:val="nil"/>
      </w:rPr>
      <w:t>O</w:t>
    </w:r>
    <w:r w:rsidRPr="004A408E">
      <w:rPr>
        <w:rFonts w:ascii="Book Antiqua" w:eastAsia="Calibri" w:hAnsi="Book Antiqua" w:cs="Arial"/>
        <w:i/>
        <w:sz w:val="20"/>
        <w:bdr w:val="nil"/>
      </w:rPr>
      <w:t>verview</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eastAsia="Calibri" w:cs="Arial"/>
        <w:bdr w:val="nil"/>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suppressLineNumbers/>
      <w:pBdr>
        <w:top w:val="nil"/>
        <w:left w:val="nil"/>
        <w:bottom w:val="nil"/>
        <w:right w:val="nil"/>
        <w:between w:val="nil"/>
        <w:bar w:val="nil"/>
      </w:pBdr>
      <w:spacing w:after="0" w:line="14" w:lineRule="exact"/>
      <w:contextualSpacing/>
      <w:rPr>
        <w:rFonts w:ascii="Calibri" w:eastAsia="Calibri" w:hAnsi="Calibri" w:cs="Arial"/>
        <w:bdr w:val="nil"/>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suppressLineNumbers/>
      <w:pBdr>
        <w:top w:val="nil"/>
        <w:left w:val="nil"/>
        <w:bottom w:val="nil"/>
        <w:right w:val="nil"/>
        <w:between w:val="nil"/>
        <w:bar w:val="nil"/>
      </w:pBdr>
      <w:spacing w:after="0" w:line="14" w:lineRule="exact"/>
      <w:contextualSpacing/>
      <w:rPr>
        <w:rFonts w:ascii="Calibri" w:eastAsia="Calibri" w:hAnsi="Calibri" w:cs="Arial"/>
        <w:bdr w:val="nil"/>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Pr="004A408E" w:rsidRDefault="00C05C05" w:rsidP="007A01AB">
    <w:pPr>
      <w:pBdr>
        <w:top w:val="nil"/>
        <w:left w:val="nil"/>
        <w:bottom w:val="nil"/>
        <w:right w:val="nil"/>
        <w:between w:val="nil"/>
        <w:bar w:val="nil"/>
      </w:pBdr>
      <w:rPr>
        <w:rFonts w:ascii="Book Antiqua" w:eastAsia="Calibri" w:hAnsi="Book Antiqua" w:cs="Arial"/>
        <w:i/>
        <w:sz w:val="20"/>
        <w:bdr w:val="nil"/>
      </w:rPr>
    </w:pPr>
    <w:r>
      <w:rPr>
        <w:rFonts w:ascii="Book Antiqua" w:eastAsia="Calibri" w:hAnsi="Book Antiqua" w:cs="Arial"/>
        <w:i/>
        <w:sz w:val="20"/>
        <w:bdr w:val="nil"/>
      </w:rPr>
      <w:t>Entity Additional Estimates Statements – Department of Social Services</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Pr="00845876" w:rsidRDefault="00C05C05" w:rsidP="00845876">
    <w:pPr>
      <w:pBdr>
        <w:top w:val="nil"/>
        <w:left w:val="nil"/>
        <w:bottom w:val="nil"/>
        <w:right w:val="nil"/>
        <w:between w:val="nil"/>
        <w:bar w:val="nil"/>
      </w:pBdr>
      <w:jc w:val="right"/>
      <w:rPr>
        <w:rFonts w:ascii="Book Antiqua" w:eastAsia="Calibri" w:hAnsi="Book Antiqua" w:cs="Arial"/>
        <w:i/>
        <w:sz w:val="20"/>
        <w:bdr w:val="nil"/>
      </w:rPr>
    </w:pPr>
    <w:r>
      <w:rPr>
        <w:rFonts w:ascii="Book Antiqua" w:eastAsia="Calibri" w:hAnsi="Book Antiqua" w:cs="Arial"/>
        <w:i/>
        <w:sz w:val="20"/>
        <w:bdr w:val="nil"/>
      </w:rPr>
      <w:t>Entity Additional Estimates Statements – Department of Social Services</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keepLines/>
      <w:pBdr>
        <w:top w:val="nil"/>
        <w:left w:val="nil"/>
        <w:bottom w:val="nil"/>
        <w:right w:val="nil"/>
        <w:between w:val="nil"/>
        <w:bar w:val="nil"/>
      </w:pBdr>
      <w:spacing w:after="240" w:line="260" w:lineRule="exact"/>
      <w:jc w:val="both"/>
      <w:rPr>
        <w:bdr w:val="nil"/>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keepLines/>
      <w:pBdr>
        <w:top w:val="nil"/>
        <w:left w:val="nil"/>
        <w:bottom w:val="nil"/>
        <w:right w:val="nil"/>
        <w:between w:val="nil"/>
        <w:bar w:val="nil"/>
      </w:pBdr>
      <w:spacing w:after="240" w:line="260" w:lineRule="exact"/>
      <w:jc w:val="both"/>
      <w:rPr>
        <w:bdr w:val="nil"/>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suppressLineNumbers/>
      <w:pBdr>
        <w:top w:val="nil"/>
        <w:left w:val="nil"/>
        <w:bottom w:val="nil"/>
        <w:right w:val="nil"/>
        <w:between w:val="nil"/>
        <w:bar w:val="nil"/>
      </w:pBdr>
      <w:spacing w:after="0" w:line="14" w:lineRule="exact"/>
      <w:contextualSpacing/>
      <w:rPr>
        <w:rFonts w:ascii="Calibri" w:eastAsia="Calibri" w:hAnsi="Calibri" w:cs="Arial"/>
        <w:bdr w:val="nil"/>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keepLines/>
      <w:pBdr>
        <w:top w:val="nil"/>
        <w:left w:val="nil"/>
        <w:bottom w:val="nil"/>
        <w:right w:val="nil"/>
        <w:between w:val="nil"/>
        <w:bar w:val="nil"/>
      </w:pBdr>
      <w:spacing w:after="240" w:line="260" w:lineRule="exact"/>
      <w:jc w:val="both"/>
      <w:rPr>
        <w:bdr w:val="nil"/>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Pr="004A408E" w:rsidRDefault="00C05C05" w:rsidP="00F4271F">
    <w:pPr>
      <w:pStyle w:val="Header"/>
      <w:keepLines/>
      <w:pBdr>
        <w:top w:val="nil"/>
        <w:left w:val="nil"/>
        <w:bottom w:val="nil"/>
        <w:right w:val="nil"/>
        <w:between w:val="nil"/>
        <w:bar w:val="nil"/>
      </w:pBdr>
      <w:rPr>
        <w:rFonts w:ascii="Book Antiqua" w:eastAsia="Times New Roman" w:hAnsi="Book Antiqua" w:cs="Times New Roman"/>
        <w:sz w:val="20"/>
        <w:szCs w:val="20"/>
        <w:bdr w:val="nil"/>
        <w:lang w:val="en-AU" w:eastAsia="en-AU"/>
      </w:rPr>
    </w:pPr>
    <w:r>
      <w:rPr>
        <w:rFonts w:ascii="Book Antiqua" w:eastAsia="Calibri" w:hAnsi="Book Antiqua" w:cs="Arial"/>
        <w:i/>
        <w:sz w:val="20"/>
        <w:bdr w:val="nil"/>
      </w:rPr>
      <w:t xml:space="preserve">Entity Additional Estimates Statements – </w:t>
    </w:r>
    <w:r>
      <w:rPr>
        <w:rFonts w:ascii="Book Antiqua" w:eastAsia="Times New Roman" w:hAnsi="Book Antiqua" w:cs="Times New Roman"/>
        <w:i/>
        <w:sz w:val="20"/>
        <w:szCs w:val="20"/>
        <w:bdr w:val="nil"/>
        <w:lang w:val="en-AU" w:eastAsia="en-AU"/>
      </w:rPr>
      <w:t>Services Australia</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Pr="00845876" w:rsidRDefault="00C05C05" w:rsidP="00B45A2C">
    <w:pPr>
      <w:pStyle w:val="Header"/>
      <w:keepLines/>
      <w:pBdr>
        <w:top w:val="nil"/>
        <w:left w:val="nil"/>
        <w:bottom w:val="nil"/>
        <w:right w:val="nil"/>
        <w:between w:val="nil"/>
        <w:bar w:val="nil"/>
      </w:pBdr>
      <w:jc w:val="right"/>
      <w:rPr>
        <w:rFonts w:ascii="Book Antiqua" w:eastAsia="Times New Roman" w:hAnsi="Book Antiqua" w:cs="Times New Roman"/>
        <w:sz w:val="20"/>
        <w:szCs w:val="20"/>
        <w:bdr w:val="nil"/>
        <w:lang w:val="en-AU" w:eastAsia="en-AU"/>
      </w:rPr>
    </w:pPr>
    <w:r>
      <w:rPr>
        <w:rFonts w:ascii="Book Antiqua" w:eastAsia="Calibri" w:hAnsi="Book Antiqua" w:cs="Arial"/>
        <w:i/>
        <w:sz w:val="20"/>
        <w:bdr w:val="nil"/>
      </w:rPr>
      <w:t xml:space="preserve">Entity Additional Estimates Statements – </w:t>
    </w:r>
    <w:r>
      <w:rPr>
        <w:rFonts w:ascii="Book Antiqua" w:eastAsia="Times New Roman" w:hAnsi="Book Antiqua" w:cs="Times New Roman"/>
        <w:i/>
        <w:sz w:val="20"/>
        <w:szCs w:val="20"/>
        <w:bdr w:val="nil"/>
        <w:lang w:val="en-AU" w:eastAsia="en-AU"/>
      </w:rPr>
      <w:t>Services Australia</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keepLines/>
      <w:pBdr>
        <w:top w:val="nil"/>
        <w:left w:val="nil"/>
        <w:bottom w:val="nil"/>
        <w:right w:val="nil"/>
        <w:between w:val="nil"/>
        <w:bar w:val="nil"/>
      </w:pBdr>
      <w:spacing w:after="240" w:line="260" w:lineRule="exact"/>
      <w:jc w:val="both"/>
      <w:rPr>
        <w:bdr w:val="nil"/>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Pr="005C3AA9" w:rsidRDefault="00C05C05" w:rsidP="00117521">
    <w:pPr>
      <w:keepLines/>
      <w:pBdr>
        <w:top w:val="nil"/>
        <w:left w:val="nil"/>
        <w:bottom w:val="nil"/>
        <w:right w:val="nil"/>
        <w:between w:val="nil"/>
        <w:bar w:val="nil"/>
      </w:pBdr>
      <w:spacing w:after="0" w:line="260" w:lineRule="exact"/>
      <w:jc w:val="both"/>
      <w:rPr>
        <w:rStyle w:val="BookTitle"/>
        <w:i w:val="0"/>
        <w:smallCaps w:val="0"/>
        <w:spacing w:val="0"/>
        <w:bdr w:val="nil"/>
        <w:lang w:val="en-AU"/>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Pr="005C3AA9" w:rsidRDefault="00C05C05" w:rsidP="00117521">
    <w:pPr>
      <w:keepLines/>
      <w:pBdr>
        <w:top w:val="nil"/>
        <w:left w:val="nil"/>
        <w:bottom w:val="nil"/>
        <w:right w:val="nil"/>
        <w:between w:val="nil"/>
        <w:bar w:val="nil"/>
      </w:pBdr>
      <w:spacing w:after="0" w:line="260" w:lineRule="exact"/>
      <w:jc w:val="both"/>
      <w:rPr>
        <w:rStyle w:val="BookTitle"/>
        <w:i w:val="0"/>
        <w:smallCaps w:val="0"/>
        <w:spacing w:val="0"/>
        <w:bdr w:val="nil"/>
        <w:lang w:val="en-AU"/>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keepLines/>
      <w:pBdr>
        <w:top w:val="nil"/>
        <w:left w:val="nil"/>
        <w:bottom w:val="nil"/>
        <w:right w:val="nil"/>
        <w:between w:val="nil"/>
        <w:bar w:val="nil"/>
      </w:pBdr>
      <w:spacing w:after="240" w:line="260" w:lineRule="exact"/>
      <w:jc w:val="both"/>
      <w:rPr>
        <w:bdr w:val="nil"/>
        <w:lang w:val="en-AU"/>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Pr="00C85B69" w:rsidRDefault="00C05C05" w:rsidP="00C85B69">
    <w:pPr>
      <w:keepLines/>
      <w:pBdr>
        <w:top w:val="nil"/>
        <w:left w:val="nil"/>
        <w:bottom w:val="nil"/>
        <w:right w:val="nil"/>
        <w:between w:val="nil"/>
        <w:bar w:val="nil"/>
      </w:pBdr>
      <w:spacing w:after="0" w:line="260" w:lineRule="exact"/>
      <w:rPr>
        <w:rStyle w:val="BookTitle"/>
        <w:smallCaps w:val="0"/>
        <w:spacing w:val="0"/>
        <w:bdr w:val="nil"/>
        <w:lang w:val="en-AU"/>
      </w:rPr>
    </w:pPr>
    <w:r>
      <w:rPr>
        <w:rStyle w:val="BookTitle"/>
        <w:rFonts w:ascii="Book Antiqua" w:eastAsia="Times New Roman" w:hAnsi="Book Antiqua"/>
        <w:smallCaps w:val="0"/>
        <w:spacing w:val="0"/>
        <w:sz w:val="20"/>
        <w:szCs w:val="20"/>
        <w:bdr w:val="nil"/>
        <w:lang w:val="en-AU" w:eastAsia="en-AU"/>
      </w:rPr>
      <w:t>Glossary</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suppressLineNumbers/>
      <w:pBdr>
        <w:top w:val="nil"/>
        <w:left w:val="nil"/>
        <w:bottom w:val="nil"/>
        <w:right w:val="nil"/>
        <w:between w:val="nil"/>
        <w:bar w:val="nil"/>
      </w:pBdr>
      <w:spacing w:after="0" w:line="14" w:lineRule="exact"/>
      <w:contextualSpacing/>
      <w:rPr>
        <w:rFonts w:ascii="Calibri" w:eastAsia="Calibri" w:hAnsi="Calibri" w:cs="Arial"/>
        <w:bdr w:val="nil"/>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Pr="00370B43" w:rsidRDefault="00C05C05" w:rsidP="00370B43">
    <w:pPr>
      <w:keepLines/>
      <w:pBdr>
        <w:top w:val="nil"/>
        <w:left w:val="nil"/>
        <w:bottom w:val="nil"/>
        <w:right w:val="nil"/>
        <w:between w:val="nil"/>
        <w:bar w:val="nil"/>
      </w:pBdr>
      <w:spacing w:after="0" w:line="260" w:lineRule="exact"/>
      <w:jc w:val="right"/>
      <w:rPr>
        <w:rStyle w:val="BookTitle"/>
        <w:smallCaps w:val="0"/>
        <w:spacing w:val="0"/>
        <w:bdr w:val="nil"/>
        <w:lang w:val="en-AU"/>
      </w:rPr>
    </w:pPr>
    <w:r>
      <w:rPr>
        <w:rStyle w:val="BookTitle"/>
        <w:rFonts w:ascii="Book Antiqua" w:eastAsia="Times New Roman" w:hAnsi="Book Antiqua"/>
        <w:smallCaps w:val="0"/>
        <w:spacing w:val="0"/>
        <w:sz w:val="20"/>
        <w:szCs w:val="20"/>
        <w:bdr w:val="nil"/>
        <w:lang w:val="en-AU" w:eastAsia="en-AU"/>
      </w:rPr>
      <w:t>Glossary</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keepLines/>
      <w:pBdr>
        <w:top w:val="nil"/>
        <w:left w:val="nil"/>
        <w:bottom w:val="nil"/>
        <w:right w:val="nil"/>
        <w:between w:val="nil"/>
        <w:bar w:val="nil"/>
      </w:pBdr>
      <w:spacing w:after="240" w:line="260" w:lineRule="exact"/>
      <w:jc w:val="both"/>
      <w:rPr>
        <w:bdr w:val="nil"/>
        <w:lang w:val="en-AU"/>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keepLines/>
      <w:pBdr>
        <w:top w:val="nil"/>
        <w:left w:val="nil"/>
        <w:bottom w:val="nil"/>
        <w:right w:val="nil"/>
        <w:between w:val="nil"/>
        <w:bar w:val="nil"/>
      </w:pBdr>
      <w:spacing w:after="240" w:line="260" w:lineRule="exact"/>
      <w:jc w:val="both"/>
      <w:rPr>
        <w:bdr w:val="nil"/>
        <w:lang w:val="en-AU"/>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C05" w:rsidRDefault="00C05C05">
    <w:pPr>
      <w:pBdr>
        <w:top w:val="nil"/>
        <w:left w:val="nil"/>
        <w:bottom w:val="nil"/>
        <w:right w:val="nil"/>
        <w:between w:val="nil"/>
        <w:bar w:val="nil"/>
      </w:pBdr>
      <w:rPr>
        <w:rFonts w:ascii="Calibri" w:eastAsia="Calibri" w:hAnsi="Calibri" w:cs="Arial"/>
        <w:bdr w:val="ni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62D0"/>
    <w:multiLevelType w:val="hybridMultilevel"/>
    <w:tmpl w:val="0C86D892"/>
    <w:lvl w:ilvl="0" w:tplc="9C3E7898">
      <w:start w:val="1"/>
      <w:numFmt w:val="bullet"/>
      <w:lvlText w:val=""/>
      <w:lvlJc w:val="left"/>
      <w:pPr>
        <w:ind w:left="360" w:hanging="360"/>
      </w:pPr>
      <w:rPr>
        <w:rFonts w:ascii="Symbol" w:hAnsi="Symbol" w:hint="default"/>
      </w:rPr>
    </w:lvl>
    <w:lvl w:ilvl="1" w:tplc="DB4EE570">
      <w:start w:val="1"/>
      <w:numFmt w:val="bullet"/>
      <w:lvlText w:val="o"/>
      <w:lvlJc w:val="left"/>
      <w:pPr>
        <w:ind w:left="1080" w:hanging="360"/>
      </w:pPr>
      <w:rPr>
        <w:rFonts w:ascii="Courier New" w:hAnsi="Courier New" w:cs="Courier New" w:hint="default"/>
      </w:rPr>
    </w:lvl>
    <w:lvl w:ilvl="2" w:tplc="8FDA3A94">
      <w:start w:val="1"/>
      <w:numFmt w:val="bullet"/>
      <w:lvlText w:val=""/>
      <w:lvlJc w:val="left"/>
      <w:pPr>
        <w:ind w:left="1800" w:hanging="360"/>
      </w:pPr>
      <w:rPr>
        <w:rFonts w:ascii="Wingdings" w:hAnsi="Wingdings" w:hint="default"/>
      </w:rPr>
    </w:lvl>
    <w:lvl w:ilvl="3" w:tplc="AD647588">
      <w:start w:val="1"/>
      <w:numFmt w:val="bullet"/>
      <w:lvlText w:val=""/>
      <w:lvlJc w:val="left"/>
      <w:pPr>
        <w:ind w:left="2520" w:hanging="360"/>
      </w:pPr>
      <w:rPr>
        <w:rFonts w:ascii="Symbol" w:hAnsi="Symbol" w:hint="default"/>
      </w:rPr>
    </w:lvl>
    <w:lvl w:ilvl="4" w:tplc="61903F30">
      <w:start w:val="1"/>
      <w:numFmt w:val="bullet"/>
      <w:lvlText w:val="o"/>
      <w:lvlJc w:val="left"/>
      <w:pPr>
        <w:ind w:left="3240" w:hanging="360"/>
      </w:pPr>
      <w:rPr>
        <w:rFonts w:ascii="Courier New" w:hAnsi="Courier New" w:cs="Courier New" w:hint="default"/>
      </w:rPr>
    </w:lvl>
    <w:lvl w:ilvl="5" w:tplc="8050EE6E">
      <w:start w:val="1"/>
      <w:numFmt w:val="bullet"/>
      <w:lvlText w:val=""/>
      <w:lvlJc w:val="left"/>
      <w:pPr>
        <w:ind w:left="3960" w:hanging="360"/>
      </w:pPr>
      <w:rPr>
        <w:rFonts w:ascii="Wingdings" w:hAnsi="Wingdings" w:hint="default"/>
      </w:rPr>
    </w:lvl>
    <w:lvl w:ilvl="6" w:tplc="7EA88A20">
      <w:start w:val="1"/>
      <w:numFmt w:val="bullet"/>
      <w:lvlText w:val=""/>
      <w:lvlJc w:val="left"/>
      <w:pPr>
        <w:ind w:left="4680" w:hanging="360"/>
      </w:pPr>
      <w:rPr>
        <w:rFonts w:ascii="Symbol" w:hAnsi="Symbol" w:hint="default"/>
      </w:rPr>
    </w:lvl>
    <w:lvl w:ilvl="7" w:tplc="79FC36CE">
      <w:start w:val="1"/>
      <w:numFmt w:val="bullet"/>
      <w:lvlText w:val="o"/>
      <w:lvlJc w:val="left"/>
      <w:pPr>
        <w:ind w:left="5400" w:hanging="360"/>
      </w:pPr>
      <w:rPr>
        <w:rFonts w:ascii="Courier New" w:hAnsi="Courier New" w:cs="Courier New" w:hint="default"/>
      </w:rPr>
    </w:lvl>
    <w:lvl w:ilvl="8" w:tplc="D1A646DA">
      <w:start w:val="1"/>
      <w:numFmt w:val="bullet"/>
      <w:lvlText w:val=""/>
      <w:lvlJc w:val="left"/>
      <w:pPr>
        <w:ind w:left="6120" w:hanging="360"/>
      </w:pPr>
      <w:rPr>
        <w:rFonts w:ascii="Wingdings" w:hAnsi="Wingdings" w:hint="default"/>
      </w:rPr>
    </w:lvl>
  </w:abstractNum>
  <w:abstractNum w:abstractNumId="1" w15:restartNumberingAfterBreak="0">
    <w:nsid w:val="04F43E0E"/>
    <w:multiLevelType w:val="hybridMultilevel"/>
    <w:tmpl w:val="44608AC4"/>
    <w:lvl w:ilvl="0" w:tplc="8040B872">
      <w:start w:val="1"/>
      <w:numFmt w:val="lowerLetter"/>
      <w:lvlText w:val="(%1)"/>
      <w:lvlJc w:val="left"/>
      <w:pPr>
        <w:ind w:left="405" w:hanging="360"/>
      </w:pPr>
      <w:rPr>
        <w:rFonts w:ascii="Arial" w:hAnsi="Arial" w:cs="Arial" w:hint="default"/>
        <w:i w:val="0"/>
        <w:color w:val="000000" w:themeColor="text1"/>
        <w:sz w:val="16"/>
      </w:rPr>
    </w:lvl>
    <w:lvl w:ilvl="1" w:tplc="A6801062" w:tentative="1">
      <w:start w:val="1"/>
      <w:numFmt w:val="lowerLetter"/>
      <w:lvlText w:val="%2."/>
      <w:lvlJc w:val="left"/>
      <w:pPr>
        <w:ind w:left="1125" w:hanging="360"/>
      </w:pPr>
    </w:lvl>
    <w:lvl w:ilvl="2" w:tplc="E30492F0" w:tentative="1">
      <w:start w:val="1"/>
      <w:numFmt w:val="lowerRoman"/>
      <w:lvlText w:val="%3."/>
      <w:lvlJc w:val="right"/>
      <w:pPr>
        <w:ind w:left="1845" w:hanging="180"/>
      </w:pPr>
    </w:lvl>
    <w:lvl w:ilvl="3" w:tplc="83C0D30C" w:tentative="1">
      <w:start w:val="1"/>
      <w:numFmt w:val="decimal"/>
      <w:lvlText w:val="%4."/>
      <w:lvlJc w:val="left"/>
      <w:pPr>
        <w:ind w:left="2565" w:hanging="360"/>
      </w:pPr>
    </w:lvl>
    <w:lvl w:ilvl="4" w:tplc="11380C82" w:tentative="1">
      <w:start w:val="1"/>
      <w:numFmt w:val="lowerLetter"/>
      <w:lvlText w:val="%5."/>
      <w:lvlJc w:val="left"/>
      <w:pPr>
        <w:ind w:left="3285" w:hanging="360"/>
      </w:pPr>
    </w:lvl>
    <w:lvl w:ilvl="5" w:tplc="295C35BC" w:tentative="1">
      <w:start w:val="1"/>
      <w:numFmt w:val="lowerRoman"/>
      <w:lvlText w:val="%6."/>
      <w:lvlJc w:val="right"/>
      <w:pPr>
        <w:ind w:left="4005" w:hanging="180"/>
      </w:pPr>
    </w:lvl>
    <w:lvl w:ilvl="6" w:tplc="E9920418" w:tentative="1">
      <w:start w:val="1"/>
      <w:numFmt w:val="decimal"/>
      <w:lvlText w:val="%7."/>
      <w:lvlJc w:val="left"/>
      <w:pPr>
        <w:ind w:left="4725" w:hanging="360"/>
      </w:pPr>
    </w:lvl>
    <w:lvl w:ilvl="7" w:tplc="845AFAEE" w:tentative="1">
      <w:start w:val="1"/>
      <w:numFmt w:val="lowerLetter"/>
      <w:lvlText w:val="%8."/>
      <w:lvlJc w:val="left"/>
      <w:pPr>
        <w:ind w:left="5445" w:hanging="360"/>
      </w:pPr>
    </w:lvl>
    <w:lvl w:ilvl="8" w:tplc="2B1E96E8" w:tentative="1">
      <w:start w:val="1"/>
      <w:numFmt w:val="lowerRoman"/>
      <w:lvlText w:val="%9."/>
      <w:lvlJc w:val="right"/>
      <w:pPr>
        <w:ind w:left="6165" w:hanging="180"/>
      </w:pPr>
    </w:lvl>
  </w:abstractNum>
  <w:abstractNum w:abstractNumId="2" w15:restartNumberingAfterBreak="0">
    <w:nsid w:val="086644B2"/>
    <w:multiLevelType w:val="hybridMultilevel"/>
    <w:tmpl w:val="B28C1314"/>
    <w:lvl w:ilvl="0" w:tplc="52C4A094">
      <w:start w:val="1"/>
      <w:numFmt w:val="lowerLetter"/>
      <w:lvlText w:val="(%1)"/>
      <w:lvlJc w:val="left"/>
      <w:pPr>
        <w:tabs>
          <w:tab w:val="num" w:pos="397"/>
        </w:tabs>
        <w:ind w:left="397" w:hanging="397"/>
      </w:pPr>
      <w:rPr>
        <w:rFonts w:ascii="Arial" w:hAnsi="Arial" w:cs="Times New Roman" w:hint="default"/>
        <w:b w:val="0"/>
        <w:i w:val="0"/>
        <w:sz w:val="16"/>
        <w:szCs w:val="16"/>
      </w:rPr>
    </w:lvl>
    <w:lvl w:ilvl="1" w:tplc="E2544A1E">
      <w:start w:val="1"/>
      <w:numFmt w:val="lowerLetter"/>
      <w:lvlText w:val="%2."/>
      <w:lvlJc w:val="left"/>
      <w:pPr>
        <w:ind w:left="1440" w:hanging="360"/>
      </w:pPr>
    </w:lvl>
    <w:lvl w:ilvl="2" w:tplc="BC9ACEE2">
      <w:start w:val="1"/>
      <w:numFmt w:val="lowerRoman"/>
      <w:lvlText w:val="%3."/>
      <w:lvlJc w:val="right"/>
      <w:pPr>
        <w:ind w:left="2160" w:hanging="180"/>
      </w:pPr>
    </w:lvl>
    <w:lvl w:ilvl="3" w:tplc="2CDA203E">
      <w:start w:val="1"/>
      <w:numFmt w:val="decimal"/>
      <w:lvlText w:val="%4."/>
      <w:lvlJc w:val="left"/>
      <w:pPr>
        <w:ind w:left="2880" w:hanging="360"/>
      </w:pPr>
    </w:lvl>
    <w:lvl w:ilvl="4" w:tplc="2B6E72E2">
      <w:start w:val="1"/>
      <w:numFmt w:val="lowerLetter"/>
      <w:lvlText w:val="%5."/>
      <w:lvlJc w:val="left"/>
      <w:pPr>
        <w:ind w:left="3600" w:hanging="360"/>
      </w:pPr>
    </w:lvl>
    <w:lvl w:ilvl="5" w:tplc="CECA9204">
      <w:start w:val="1"/>
      <w:numFmt w:val="lowerRoman"/>
      <w:lvlText w:val="%6."/>
      <w:lvlJc w:val="right"/>
      <w:pPr>
        <w:ind w:left="4320" w:hanging="180"/>
      </w:pPr>
    </w:lvl>
    <w:lvl w:ilvl="6" w:tplc="4E1E4F9C">
      <w:start w:val="1"/>
      <w:numFmt w:val="decimal"/>
      <w:lvlText w:val="%7."/>
      <w:lvlJc w:val="left"/>
      <w:pPr>
        <w:ind w:left="5040" w:hanging="360"/>
      </w:pPr>
    </w:lvl>
    <w:lvl w:ilvl="7" w:tplc="94224256">
      <w:start w:val="1"/>
      <w:numFmt w:val="lowerLetter"/>
      <w:lvlText w:val="%8."/>
      <w:lvlJc w:val="left"/>
      <w:pPr>
        <w:ind w:left="5760" w:hanging="360"/>
      </w:pPr>
    </w:lvl>
    <w:lvl w:ilvl="8" w:tplc="60FE8F26">
      <w:start w:val="1"/>
      <w:numFmt w:val="lowerRoman"/>
      <w:lvlText w:val="%9."/>
      <w:lvlJc w:val="right"/>
      <w:pPr>
        <w:ind w:left="6480" w:hanging="180"/>
      </w:pPr>
    </w:lvl>
  </w:abstractNum>
  <w:abstractNum w:abstractNumId="3" w15:restartNumberingAfterBreak="0">
    <w:nsid w:val="0C1241F6"/>
    <w:multiLevelType w:val="hybridMultilevel"/>
    <w:tmpl w:val="D3446106"/>
    <w:lvl w:ilvl="0" w:tplc="60702A38">
      <w:start w:val="1"/>
      <w:numFmt w:val="lowerLetter"/>
      <w:lvlText w:val="(%1)"/>
      <w:lvlJc w:val="left"/>
      <w:pPr>
        <w:ind w:left="360" w:hanging="360"/>
      </w:pPr>
      <w:rPr>
        <w:rFonts w:ascii="Arial" w:eastAsia="Times New Roman" w:hAnsi="Arial" w:cs="Arial" w:hint="default"/>
        <w:sz w:val="16"/>
        <w:szCs w:val="16"/>
      </w:rPr>
    </w:lvl>
    <w:lvl w:ilvl="1" w:tplc="257A27D2" w:tentative="1">
      <w:start w:val="1"/>
      <w:numFmt w:val="lowerLetter"/>
      <w:lvlText w:val="%2."/>
      <w:lvlJc w:val="left"/>
      <w:pPr>
        <w:ind w:left="1080" w:hanging="360"/>
      </w:pPr>
    </w:lvl>
    <w:lvl w:ilvl="2" w:tplc="0890DFC8" w:tentative="1">
      <w:start w:val="1"/>
      <w:numFmt w:val="lowerRoman"/>
      <w:lvlText w:val="%3."/>
      <w:lvlJc w:val="right"/>
      <w:pPr>
        <w:ind w:left="1800" w:hanging="180"/>
      </w:pPr>
    </w:lvl>
    <w:lvl w:ilvl="3" w:tplc="B0E868CA" w:tentative="1">
      <w:start w:val="1"/>
      <w:numFmt w:val="decimal"/>
      <w:lvlText w:val="%4."/>
      <w:lvlJc w:val="left"/>
      <w:pPr>
        <w:ind w:left="2520" w:hanging="360"/>
      </w:pPr>
    </w:lvl>
    <w:lvl w:ilvl="4" w:tplc="6F40488E" w:tentative="1">
      <w:start w:val="1"/>
      <w:numFmt w:val="lowerLetter"/>
      <w:lvlText w:val="%5."/>
      <w:lvlJc w:val="left"/>
      <w:pPr>
        <w:ind w:left="3240" w:hanging="360"/>
      </w:pPr>
    </w:lvl>
    <w:lvl w:ilvl="5" w:tplc="E3A4B38A" w:tentative="1">
      <w:start w:val="1"/>
      <w:numFmt w:val="lowerRoman"/>
      <w:lvlText w:val="%6."/>
      <w:lvlJc w:val="right"/>
      <w:pPr>
        <w:ind w:left="3960" w:hanging="180"/>
      </w:pPr>
    </w:lvl>
    <w:lvl w:ilvl="6" w:tplc="25A0D82E" w:tentative="1">
      <w:start w:val="1"/>
      <w:numFmt w:val="decimal"/>
      <w:lvlText w:val="%7."/>
      <w:lvlJc w:val="left"/>
      <w:pPr>
        <w:ind w:left="4680" w:hanging="360"/>
      </w:pPr>
    </w:lvl>
    <w:lvl w:ilvl="7" w:tplc="1BF295E0" w:tentative="1">
      <w:start w:val="1"/>
      <w:numFmt w:val="lowerLetter"/>
      <w:lvlText w:val="%8."/>
      <w:lvlJc w:val="left"/>
      <w:pPr>
        <w:ind w:left="5400" w:hanging="360"/>
      </w:pPr>
    </w:lvl>
    <w:lvl w:ilvl="8" w:tplc="211EEB48" w:tentative="1">
      <w:start w:val="1"/>
      <w:numFmt w:val="lowerRoman"/>
      <w:lvlText w:val="%9."/>
      <w:lvlJc w:val="right"/>
      <w:pPr>
        <w:ind w:left="6120" w:hanging="180"/>
      </w:pPr>
    </w:lvl>
  </w:abstractNum>
  <w:abstractNum w:abstractNumId="4" w15:restartNumberingAfterBreak="0">
    <w:nsid w:val="0DC91D19"/>
    <w:multiLevelType w:val="hybridMultilevel"/>
    <w:tmpl w:val="AA18EF34"/>
    <w:lvl w:ilvl="0" w:tplc="529A4318">
      <w:start w:val="1"/>
      <w:numFmt w:val="bullet"/>
      <w:lvlText w:val=""/>
      <w:lvlJc w:val="left"/>
      <w:pPr>
        <w:ind w:left="1211" w:hanging="360"/>
      </w:pPr>
      <w:rPr>
        <w:rFonts w:ascii="Symbol" w:hAnsi="Symbol" w:hint="default"/>
        <w:color w:val="auto"/>
      </w:rPr>
    </w:lvl>
    <w:lvl w:ilvl="1" w:tplc="8160DE42">
      <w:start w:val="1"/>
      <w:numFmt w:val="bullet"/>
      <w:lvlText w:val="o"/>
      <w:lvlJc w:val="left"/>
      <w:pPr>
        <w:ind w:left="1440" w:hanging="360"/>
      </w:pPr>
      <w:rPr>
        <w:rFonts w:ascii="Courier New" w:hAnsi="Courier New" w:cs="Courier New" w:hint="default"/>
      </w:rPr>
    </w:lvl>
    <w:lvl w:ilvl="2" w:tplc="42B6A360">
      <w:start w:val="1"/>
      <w:numFmt w:val="bullet"/>
      <w:lvlText w:val=""/>
      <w:lvlJc w:val="left"/>
      <w:pPr>
        <w:ind w:left="2160" w:hanging="360"/>
      </w:pPr>
      <w:rPr>
        <w:rFonts w:ascii="Wingdings" w:hAnsi="Wingdings" w:hint="default"/>
      </w:rPr>
    </w:lvl>
    <w:lvl w:ilvl="3" w:tplc="37EA907E">
      <w:start w:val="1"/>
      <w:numFmt w:val="bullet"/>
      <w:lvlText w:val=""/>
      <w:lvlJc w:val="left"/>
      <w:pPr>
        <w:ind w:left="2880" w:hanging="360"/>
      </w:pPr>
      <w:rPr>
        <w:rFonts w:ascii="Symbol" w:hAnsi="Symbol" w:hint="default"/>
      </w:rPr>
    </w:lvl>
    <w:lvl w:ilvl="4" w:tplc="A7C48E22">
      <w:start w:val="1"/>
      <w:numFmt w:val="bullet"/>
      <w:lvlText w:val="o"/>
      <w:lvlJc w:val="left"/>
      <w:pPr>
        <w:ind w:left="3600" w:hanging="360"/>
      </w:pPr>
      <w:rPr>
        <w:rFonts w:ascii="Courier New" w:hAnsi="Courier New" w:cs="Courier New" w:hint="default"/>
      </w:rPr>
    </w:lvl>
    <w:lvl w:ilvl="5" w:tplc="34CCF454">
      <w:start w:val="1"/>
      <w:numFmt w:val="bullet"/>
      <w:lvlText w:val=""/>
      <w:lvlJc w:val="left"/>
      <w:pPr>
        <w:ind w:left="4320" w:hanging="360"/>
      </w:pPr>
      <w:rPr>
        <w:rFonts w:ascii="Wingdings" w:hAnsi="Wingdings" w:hint="default"/>
      </w:rPr>
    </w:lvl>
    <w:lvl w:ilvl="6" w:tplc="BBC4F81A">
      <w:start w:val="1"/>
      <w:numFmt w:val="bullet"/>
      <w:lvlText w:val=""/>
      <w:lvlJc w:val="left"/>
      <w:pPr>
        <w:ind w:left="5040" w:hanging="360"/>
      </w:pPr>
      <w:rPr>
        <w:rFonts w:ascii="Symbol" w:hAnsi="Symbol" w:hint="default"/>
      </w:rPr>
    </w:lvl>
    <w:lvl w:ilvl="7" w:tplc="A9386058">
      <w:start w:val="1"/>
      <w:numFmt w:val="bullet"/>
      <w:lvlText w:val="o"/>
      <w:lvlJc w:val="left"/>
      <w:pPr>
        <w:ind w:left="5760" w:hanging="360"/>
      </w:pPr>
      <w:rPr>
        <w:rFonts w:ascii="Courier New" w:hAnsi="Courier New" w:cs="Courier New" w:hint="default"/>
      </w:rPr>
    </w:lvl>
    <w:lvl w:ilvl="8" w:tplc="9BC6640C">
      <w:start w:val="1"/>
      <w:numFmt w:val="bullet"/>
      <w:lvlText w:val=""/>
      <w:lvlJc w:val="left"/>
      <w:pPr>
        <w:ind w:left="6480" w:hanging="360"/>
      </w:pPr>
      <w:rPr>
        <w:rFonts w:ascii="Wingdings" w:hAnsi="Wingdings" w:hint="default"/>
      </w:rPr>
    </w:lvl>
  </w:abstractNum>
  <w:abstractNum w:abstractNumId="5" w15:restartNumberingAfterBreak="0">
    <w:nsid w:val="0EC42909"/>
    <w:multiLevelType w:val="multilevel"/>
    <w:tmpl w:val="9CEA5258"/>
    <w:lvl w:ilvl="0">
      <w:start w:val="1"/>
      <w:numFmt w:val="bullet"/>
      <w:pStyle w:val="Bullet"/>
      <w:lvlText w:val="•"/>
      <w:lvlJc w:val="left"/>
      <w:pPr>
        <w:tabs>
          <w:tab w:val="num" w:pos="283"/>
        </w:tabs>
        <w:ind w:left="283" w:hanging="283"/>
      </w:pPr>
      <w:rPr>
        <w:rFonts w:ascii="Times New Roman" w:hAnsi="Times New Roman"/>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6" w15:restartNumberingAfterBreak="0">
    <w:nsid w:val="0FFC747B"/>
    <w:multiLevelType w:val="hybridMultilevel"/>
    <w:tmpl w:val="2B70B83A"/>
    <w:lvl w:ilvl="0" w:tplc="3ABA5CA0">
      <w:start w:val="1"/>
      <w:numFmt w:val="lowerLetter"/>
      <w:lvlText w:val="(%1)"/>
      <w:lvlJc w:val="left"/>
      <w:pPr>
        <w:ind w:left="360" w:hanging="360"/>
      </w:pPr>
      <w:rPr>
        <w:rFonts w:ascii="Arial" w:hAnsi="Arial" w:cs="Arial" w:hint="default"/>
        <w:sz w:val="16"/>
      </w:rPr>
    </w:lvl>
    <w:lvl w:ilvl="1" w:tplc="1E121E44" w:tentative="1">
      <w:start w:val="1"/>
      <w:numFmt w:val="lowerLetter"/>
      <w:lvlText w:val="%2."/>
      <w:lvlJc w:val="left"/>
      <w:pPr>
        <w:ind w:left="1080" w:hanging="360"/>
      </w:pPr>
    </w:lvl>
    <w:lvl w:ilvl="2" w:tplc="6826F534" w:tentative="1">
      <w:start w:val="1"/>
      <w:numFmt w:val="lowerRoman"/>
      <w:lvlText w:val="%3."/>
      <w:lvlJc w:val="right"/>
      <w:pPr>
        <w:ind w:left="1800" w:hanging="180"/>
      </w:pPr>
    </w:lvl>
    <w:lvl w:ilvl="3" w:tplc="973AF620" w:tentative="1">
      <w:start w:val="1"/>
      <w:numFmt w:val="decimal"/>
      <w:lvlText w:val="%4."/>
      <w:lvlJc w:val="left"/>
      <w:pPr>
        <w:ind w:left="2520" w:hanging="360"/>
      </w:pPr>
    </w:lvl>
    <w:lvl w:ilvl="4" w:tplc="B4A82D6C" w:tentative="1">
      <w:start w:val="1"/>
      <w:numFmt w:val="lowerLetter"/>
      <w:lvlText w:val="%5."/>
      <w:lvlJc w:val="left"/>
      <w:pPr>
        <w:ind w:left="3240" w:hanging="360"/>
      </w:pPr>
    </w:lvl>
    <w:lvl w:ilvl="5" w:tplc="15F80F60" w:tentative="1">
      <w:start w:val="1"/>
      <w:numFmt w:val="lowerRoman"/>
      <w:lvlText w:val="%6."/>
      <w:lvlJc w:val="right"/>
      <w:pPr>
        <w:ind w:left="3960" w:hanging="180"/>
      </w:pPr>
    </w:lvl>
    <w:lvl w:ilvl="6" w:tplc="2CEA8B40" w:tentative="1">
      <w:start w:val="1"/>
      <w:numFmt w:val="decimal"/>
      <w:lvlText w:val="%7."/>
      <w:lvlJc w:val="left"/>
      <w:pPr>
        <w:ind w:left="4680" w:hanging="360"/>
      </w:pPr>
    </w:lvl>
    <w:lvl w:ilvl="7" w:tplc="77FA4AF0" w:tentative="1">
      <w:start w:val="1"/>
      <w:numFmt w:val="lowerLetter"/>
      <w:lvlText w:val="%8."/>
      <w:lvlJc w:val="left"/>
      <w:pPr>
        <w:ind w:left="5400" w:hanging="360"/>
      </w:pPr>
    </w:lvl>
    <w:lvl w:ilvl="8" w:tplc="39AE2FC2" w:tentative="1">
      <w:start w:val="1"/>
      <w:numFmt w:val="lowerRoman"/>
      <w:lvlText w:val="%9."/>
      <w:lvlJc w:val="right"/>
      <w:pPr>
        <w:ind w:left="6120" w:hanging="180"/>
      </w:pPr>
    </w:lvl>
  </w:abstractNum>
  <w:abstractNum w:abstractNumId="7" w15:restartNumberingAfterBreak="0">
    <w:nsid w:val="101CB9E6"/>
    <w:multiLevelType w:val="hybridMultilevel"/>
    <w:tmpl w:val="3BB27F20"/>
    <w:lvl w:ilvl="0" w:tplc="80FA55E0">
      <w:start w:val="1"/>
      <w:numFmt w:val="lowerLetter"/>
      <w:lvlText w:val="(%1)"/>
      <w:lvlJc w:val="left"/>
      <w:pPr>
        <w:ind w:left="360" w:hanging="360"/>
      </w:pPr>
      <w:rPr>
        <w:rFonts w:ascii="Arial" w:hAnsi="Arial" w:cs="Arial" w:hint="default"/>
      </w:rPr>
    </w:lvl>
    <w:lvl w:ilvl="1" w:tplc="0A8AAEEA">
      <w:start w:val="1"/>
      <w:numFmt w:val="lowerLetter"/>
      <w:lvlText w:val="%2."/>
      <w:lvlJc w:val="left"/>
      <w:pPr>
        <w:ind w:left="1080" w:hanging="360"/>
      </w:pPr>
    </w:lvl>
    <w:lvl w:ilvl="2" w:tplc="DA384056">
      <w:start w:val="1"/>
      <w:numFmt w:val="lowerRoman"/>
      <w:lvlText w:val="%3."/>
      <w:lvlJc w:val="right"/>
      <w:pPr>
        <w:ind w:left="1800" w:hanging="180"/>
      </w:pPr>
    </w:lvl>
    <w:lvl w:ilvl="3" w:tplc="7D4A209E">
      <w:start w:val="1"/>
      <w:numFmt w:val="decimal"/>
      <w:lvlText w:val="%4."/>
      <w:lvlJc w:val="left"/>
      <w:pPr>
        <w:ind w:left="2520" w:hanging="360"/>
      </w:pPr>
    </w:lvl>
    <w:lvl w:ilvl="4" w:tplc="A2ECB47A">
      <w:start w:val="1"/>
      <w:numFmt w:val="lowerLetter"/>
      <w:lvlText w:val="%5."/>
      <w:lvlJc w:val="left"/>
      <w:pPr>
        <w:ind w:left="3240" w:hanging="360"/>
      </w:pPr>
    </w:lvl>
    <w:lvl w:ilvl="5" w:tplc="47BA1AEC">
      <w:start w:val="1"/>
      <w:numFmt w:val="lowerRoman"/>
      <w:lvlText w:val="%6."/>
      <w:lvlJc w:val="right"/>
      <w:pPr>
        <w:ind w:left="3960" w:hanging="180"/>
      </w:pPr>
    </w:lvl>
    <w:lvl w:ilvl="6" w:tplc="1E7A973C">
      <w:start w:val="1"/>
      <w:numFmt w:val="decimal"/>
      <w:lvlText w:val="%7."/>
      <w:lvlJc w:val="left"/>
      <w:pPr>
        <w:ind w:left="4680" w:hanging="360"/>
      </w:pPr>
    </w:lvl>
    <w:lvl w:ilvl="7" w:tplc="7CA40734">
      <w:start w:val="1"/>
      <w:numFmt w:val="lowerLetter"/>
      <w:lvlText w:val="%8."/>
      <w:lvlJc w:val="left"/>
      <w:pPr>
        <w:ind w:left="5400" w:hanging="360"/>
      </w:pPr>
    </w:lvl>
    <w:lvl w:ilvl="8" w:tplc="D44CEC7E">
      <w:start w:val="1"/>
      <w:numFmt w:val="lowerRoman"/>
      <w:lvlText w:val="%9."/>
      <w:lvlJc w:val="right"/>
      <w:pPr>
        <w:ind w:left="6120" w:hanging="180"/>
      </w:pPr>
    </w:lvl>
  </w:abstractNum>
  <w:abstractNum w:abstractNumId="8" w15:restartNumberingAfterBreak="0">
    <w:nsid w:val="10496A66"/>
    <w:multiLevelType w:val="hybridMultilevel"/>
    <w:tmpl w:val="C98486A2"/>
    <w:lvl w:ilvl="0" w:tplc="12A6EB70">
      <w:start w:val="1"/>
      <w:numFmt w:val="bullet"/>
      <w:lvlText w:val=""/>
      <w:lvlJc w:val="left"/>
      <w:pPr>
        <w:ind w:left="227" w:hanging="227"/>
      </w:pPr>
      <w:rPr>
        <w:rFonts w:ascii="Symbol" w:hAnsi="Symbol" w:hint="default"/>
      </w:rPr>
    </w:lvl>
    <w:lvl w:ilvl="1" w:tplc="B35C77F8">
      <w:start w:val="1"/>
      <w:numFmt w:val="bullet"/>
      <w:lvlText w:val=""/>
      <w:lvlJc w:val="left"/>
      <w:pPr>
        <w:ind w:left="1080" w:hanging="360"/>
      </w:pPr>
      <w:rPr>
        <w:rFonts w:ascii="Symbol" w:hAnsi="Symbol" w:hint="default"/>
      </w:rPr>
    </w:lvl>
    <w:lvl w:ilvl="2" w:tplc="F0465836">
      <w:start w:val="1"/>
      <w:numFmt w:val="bullet"/>
      <w:lvlText w:val=""/>
      <w:lvlJc w:val="left"/>
      <w:pPr>
        <w:ind w:left="1800" w:hanging="360"/>
      </w:pPr>
      <w:rPr>
        <w:rFonts w:ascii="Wingdings" w:hAnsi="Wingdings" w:hint="default"/>
      </w:rPr>
    </w:lvl>
    <w:lvl w:ilvl="3" w:tplc="6DEC63F8">
      <w:start w:val="1"/>
      <w:numFmt w:val="bullet"/>
      <w:lvlText w:val=""/>
      <w:lvlJc w:val="left"/>
      <w:pPr>
        <w:ind w:left="2520" w:hanging="360"/>
      </w:pPr>
      <w:rPr>
        <w:rFonts w:ascii="Symbol" w:hAnsi="Symbol" w:hint="default"/>
      </w:rPr>
    </w:lvl>
    <w:lvl w:ilvl="4" w:tplc="891C7B36">
      <w:start w:val="1"/>
      <w:numFmt w:val="bullet"/>
      <w:lvlText w:val="o"/>
      <w:lvlJc w:val="left"/>
      <w:pPr>
        <w:ind w:left="3240" w:hanging="360"/>
      </w:pPr>
      <w:rPr>
        <w:rFonts w:ascii="Courier New" w:hAnsi="Courier New" w:cs="Courier New" w:hint="default"/>
      </w:rPr>
    </w:lvl>
    <w:lvl w:ilvl="5" w:tplc="6DE8EC8C">
      <w:start w:val="1"/>
      <w:numFmt w:val="bullet"/>
      <w:lvlText w:val=""/>
      <w:lvlJc w:val="left"/>
      <w:pPr>
        <w:ind w:left="3960" w:hanging="360"/>
      </w:pPr>
      <w:rPr>
        <w:rFonts w:ascii="Wingdings" w:hAnsi="Wingdings" w:hint="default"/>
      </w:rPr>
    </w:lvl>
    <w:lvl w:ilvl="6" w:tplc="442CE150">
      <w:start w:val="1"/>
      <w:numFmt w:val="bullet"/>
      <w:lvlText w:val=""/>
      <w:lvlJc w:val="left"/>
      <w:pPr>
        <w:ind w:left="4680" w:hanging="360"/>
      </w:pPr>
      <w:rPr>
        <w:rFonts w:ascii="Symbol" w:hAnsi="Symbol" w:hint="default"/>
      </w:rPr>
    </w:lvl>
    <w:lvl w:ilvl="7" w:tplc="71728288">
      <w:start w:val="1"/>
      <w:numFmt w:val="bullet"/>
      <w:lvlText w:val="o"/>
      <w:lvlJc w:val="left"/>
      <w:pPr>
        <w:ind w:left="5400" w:hanging="360"/>
      </w:pPr>
      <w:rPr>
        <w:rFonts w:ascii="Courier New" w:hAnsi="Courier New" w:cs="Courier New" w:hint="default"/>
      </w:rPr>
    </w:lvl>
    <w:lvl w:ilvl="8" w:tplc="F99A49C0">
      <w:start w:val="1"/>
      <w:numFmt w:val="bullet"/>
      <w:lvlText w:val=""/>
      <w:lvlJc w:val="left"/>
      <w:pPr>
        <w:ind w:left="6120" w:hanging="360"/>
      </w:pPr>
      <w:rPr>
        <w:rFonts w:ascii="Wingdings" w:hAnsi="Wingdings" w:hint="default"/>
      </w:rPr>
    </w:lvl>
  </w:abstractNum>
  <w:abstractNum w:abstractNumId="9" w15:restartNumberingAfterBreak="0">
    <w:nsid w:val="1055D39C"/>
    <w:multiLevelType w:val="hybridMultilevel"/>
    <w:tmpl w:val="B28C1314"/>
    <w:lvl w:ilvl="0" w:tplc="77B49C22">
      <w:start w:val="1"/>
      <w:numFmt w:val="lowerLetter"/>
      <w:lvlText w:val="(%1)"/>
      <w:lvlJc w:val="left"/>
      <w:pPr>
        <w:tabs>
          <w:tab w:val="num" w:pos="397"/>
        </w:tabs>
        <w:ind w:left="397" w:hanging="397"/>
      </w:pPr>
      <w:rPr>
        <w:rFonts w:ascii="Arial" w:hAnsi="Arial" w:cs="Times New Roman" w:hint="default"/>
        <w:b w:val="0"/>
        <w:i w:val="0"/>
        <w:sz w:val="16"/>
        <w:szCs w:val="16"/>
      </w:rPr>
    </w:lvl>
    <w:lvl w:ilvl="1" w:tplc="3F24DBA4">
      <w:start w:val="1"/>
      <w:numFmt w:val="lowerLetter"/>
      <w:lvlText w:val="%2."/>
      <w:lvlJc w:val="left"/>
      <w:pPr>
        <w:ind w:left="1440" w:hanging="360"/>
      </w:pPr>
    </w:lvl>
    <w:lvl w:ilvl="2" w:tplc="E37EF14E">
      <w:start w:val="1"/>
      <w:numFmt w:val="lowerRoman"/>
      <w:lvlText w:val="%3."/>
      <w:lvlJc w:val="right"/>
      <w:pPr>
        <w:ind w:left="2160" w:hanging="180"/>
      </w:pPr>
    </w:lvl>
    <w:lvl w:ilvl="3" w:tplc="06462DDC">
      <w:start w:val="1"/>
      <w:numFmt w:val="decimal"/>
      <w:lvlText w:val="%4."/>
      <w:lvlJc w:val="left"/>
      <w:pPr>
        <w:ind w:left="2880" w:hanging="360"/>
      </w:pPr>
    </w:lvl>
    <w:lvl w:ilvl="4" w:tplc="C57847B4">
      <w:start w:val="1"/>
      <w:numFmt w:val="lowerLetter"/>
      <w:lvlText w:val="%5."/>
      <w:lvlJc w:val="left"/>
      <w:pPr>
        <w:ind w:left="3600" w:hanging="360"/>
      </w:pPr>
    </w:lvl>
    <w:lvl w:ilvl="5" w:tplc="43C2DA9A">
      <w:start w:val="1"/>
      <w:numFmt w:val="lowerRoman"/>
      <w:lvlText w:val="%6."/>
      <w:lvlJc w:val="right"/>
      <w:pPr>
        <w:ind w:left="4320" w:hanging="180"/>
      </w:pPr>
    </w:lvl>
    <w:lvl w:ilvl="6" w:tplc="C12ADAD6">
      <w:start w:val="1"/>
      <w:numFmt w:val="decimal"/>
      <w:lvlText w:val="%7."/>
      <w:lvlJc w:val="left"/>
      <w:pPr>
        <w:ind w:left="5040" w:hanging="360"/>
      </w:pPr>
    </w:lvl>
    <w:lvl w:ilvl="7" w:tplc="CFEC134C">
      <w:start w:val="1"/>
      <w:numFmt w:val="lowerLetter"/>
      <w:lvlText w:val="%8."/>
      <w:lvlJc w:val="left"/>
      <w:pPr>
        <w:ind w:left="5760" w:hanging="360"/>
      </w:pPr>
    </w:lvl>
    <w:lvl w:ilvl="8" w:tplc="BA5A9182">
      <w:start w:val="1"/>
      <w:numFmt w:val="lowerRoman"/>
      <w:lvlText w:val="%9."/>
      <w:lvlJc w:val="right"/>
      <w:pPr>
        <w:ind w:left="6480" w:hanging="180"/>
      </w:pPr>
    </w:lvl>
  </w:abstractNum>
  <w:abstractNum w:abstractNumId="10" w15:restartNumberingAfterBreak="0">
    <w:nsid w:val="15715449"/>
    <w:multiLevelType w:val="hybridMultilevel"/>
    <w:tmpl w:val="8DD4961E"/>
    <w:lvl w:ilvl="0" w:tplc="C10EE6E6">
      <w:start w:val="1"/>
      <w:numFmt w:val="bullet"/>
      <w:lvlText w:val=""/>
      <w:lvlJc w:val="left"/>
      <w:pPr>
        <w:ind w:left="360" w:hanging="360"/>
      </w:pPr>
      <w:rPr>
        <w:rFonts w:ascii="Symbol" w:hAnsi="Symbol" w:hint="default"/>
      </w:rPr>
    </w:lvl>
    <w:lvl w:ilvl="1" w:tplc="C2D0577A">
      <w:start w:val="1"/>
      <w:numFmt w:val="bullet"/>
      <w:lvlText w:val="o"/>
      <w:lvlJc w:val="left"/>
      <w:pPr>
        <w:ind w:left="1080" w:hanging="360"/>
      </w:pPr>
      <w:rPr>
        <w:rFonts w:ascii="Courier New" w:hAnsi="Courier New" w:cs="Courier New" w:hint="default"/>
      </w:rPr>
    </w:lvl>
    <w:lvl w:ilvl="2" w:tplc="64E08266">
      <w:start w:val="1"/>
      <w:numFmt w:val="bullet"/>
      <w:lvlText w:val=""/>
      <w:lvlJc w:val="left"/>
      <w:pPr>
        <w:ind w:left="1800" w:hanging="360"/>
      </w:pPr>
      <w:rPr>
        <w:rFonts w:ascii="Wingdings" w:hAnsi="Wingdings" w:hint="default"/>
      </w:rPr>
    </w:lvl>
    <w:lvl w:ilvl="3" w:tplc="19CC244A">
      <w:start w:val="1"/>
      <w:numFmt w:val="bullet"/>
      <w:lvlText w:val=""/>
      <w:lvlJc w:val="left"/>
      <w:pPr>
        <w:ind w:left="2520" w:hanging="360"/>
      </w:pPr>
      <w:rPr>
        <w:rFonts w:ascii="Symbol" w:hAnsi="Symbol" w:hint="default"/>
      </w:rPr>
    </w:lvl>
    <w:lvl w:ilvl="4" w:tplc="A0686524">
      <w:start w:val="1"/>
      <w:numFmt w:val="bullet"/>
      <w:lvlText w:val="o"/>
      <w:lvlJc w:val="left"/>
      <w:pPr>
        <w:ind w:left="3240" w:hanging="360"/>
      </w:pPr>
      <w:rPr>
        <w:rFonts w:ascii="Courier New" w:hAnsi="Courier New" w:cs="Courier New" w:hint="default"/>
      </w:rPr>
    </w:lvl>
    <w:lvl w:ilvl="5" w:tplc="B60C84CC">
      <w:start w:val="1"/>
      <w:numFmt w:val="bullet"/>
      <w:lvlText w:val=""/>
      <w:lvlJc w:val="left"/>
      <w:pPr>
        <w:ind w:left="3960" w:hanging="360"/>
      </w:pPr>
      <w:rPr>
        <w:rFonts w:ascii="Wingdings" w:hAnsi="Wingdings" w:hint="default"/>
      </w:rPr>
    </w:lvl>
    <w:lvl w:ilvl="6" w:tplc="1D801162">
      <w:start w:val="1"/>
      <w:numFmt w:val="bullet"/>
      <w:lvlText w:val=""/>
      <w:lvlJc w:val="left"/>
      <w:pPr>
        <w:ind w:left="4680" w:hanging="360"/>
      </w:pPr>
      <w:rPr>
        <w:rFonts w:ascii="Symbol" w:hAnsi="Symbol" w:hint="default"/>
      </w:rPr>
    </w:lvl>
    <w:lvl w:ilvl="7" w:tplc="41BEABB6">
      <w:start w:val="1"/>
      <w:numFmt w:val="bullet"/>
      <w:lvlText w:val="o"/>
      <w:lvlJc w:val="left"/>
      <w:pPr>
        <w:ind w:left="5400" w:hanging="360"/>
      </w:pPr>
      <w:rPr>
        <w:rFonts w:ascii="Courier New" w:hAnsi="Courier New" w:cs="Courier New" w:hint="default"/>
      </w:rPr>
    </w:lvl>
    <w:lvl w:ilvl="8" w:tplc="177A141A">
      <w:start w:val="1"/>
      <w:numFmt w:val="bullet"/>
      <w:lvlText w:val=""/>
      <w:lvlJc w:val="left"/>
      <w:pPr>
        <w:ind w:left="6120" w:hanging="360"/>
      </w:pPr>
      <w:rPr>
        <w:rFonts w:ascii="Wingdings" w:hAnsi="Wingdings" w:hint="default"/>
      </w:rPr>
    </w:lvl>
  </w:abstractNum>
  <w:abstractNum w:abstractNumId="11" w15:restartNumberingAfterBreak="0">
    <w:nsid w:val="15F04AA6"/>
    <w:multiLevelType w:val="hybridMultilevel"/>
    <w:tmpl w:val="8620EA36"/>
    <w:lvl w:ilvl="0" w:tplc="9B081BF0">
      <w:start w:val="1"/>
      <w:numFmt w:val="lowerLetter"/>
      <w:lvlText w:val="(%1)"/>
      <w:lvlJc w:val="left"/>
      <w:pPr>
        <w:ind w:left="360" w:hanging="360"/>
      </w:pPr>
      <w:rPr>
        <w:rFonts w:ascii="Arial" w:eastAsia="Times New Roman" w:hAnsi="Arial" w:cs="Arial"/>
      </w:rPr>
    </w:lvl>
    <w:lvl w:ilvl="1" w:tplc="3DFC56BA">
      <w:start w:val="1"/>
      <w:numFmt w:val="lowerLetter"/>
      <w:lvlText w:val="%2."/>
      <w:lvlJc w:val="left"/>
      <w:pPr>
        <w:ind w:left="1080" w:hanging="360"/>
      </w:pPr>
    </w:lvl>
    <w:lvl w:ilvl="2" w:tplc="9A60DA90">
      <w:start w:val="1"/>
      <w:numFmt w:val="lowerRoman"/>
      <w:lvlText w:val="%3."/>
      <w:lvlJc w:val="right"/>
      <w:pPr>
        <w:ind w:left="1800" w:hanging="180"/>
      </w:pPr>
    </w:lvl>
    <w:lvl w:ilvl="3" w:tplc="7E0C2700">
      <w:start w:val="1"/>
      <w:numFmt w:val="decimal"/>
      <w:lvlText w:val="%4."/>
      <w:lvlJc w:val="left"/>
      <w:pPr>
        <w:ind w:left="2520" w:hanging="360"/>
      </w:pPr>
    </w:lvl>
    <w:lvl w:ilvl="4" w:tplc="A7BE93FE">
      <w:start w:val="1"/>
      <w:numFmt w:val="lowerLetter"/>
      <w:lvlText w:val="%5."/>
      <w:lvlJc w:val="left"/>
      <w:pPr>
        <w:ind w:left="3240" w:hanging="360"/>
      </w:pPr>
    </w:lvl>
    <w:lvl w:ilvl="5" w:tplc="1F6829C2">
      <w:start w:val="1"/>
      <w:numFmt w:val="lowerRoman"/>
      <w:lvlText w:val="%6."/>
      <w:lvlJc w:val="right"/>
      <w:pPr>
        <w:ind w:left="3960" w:hanging="180"/>
      </w:pPr>
    </w:lvl>
    <w:lvl w:ilvl="6" w:tplc="678AB97C">
      <w:start w:val="1"/>
      <w:numFmt w:val="decimal"/>
      <w:lvlText w:val="%7."/>
      <w:lvlJc w:val="left"/>
      <w:pPr>
        <w:ind w:left="4680" w:hanging="360"/>
      </w:pPr>
    </w:lvl>
    <w:lvl w:ilvl="7" w:tplc="5B50A408">
      <w:start w:val="1"/>
      <w:numFmt w:val="lowerLetter"/>
      <w:lvlText w:val="%8."/>
      <w:lvlJc w:val="left"/>
      <w:pPr>
        <w:ind w:left="5400" w:hanging="360"/>
      </w:pPr>
    </w:lvl>
    <w:lvl w:ilvl="8" w:tplc="2EA27C12">
      <w:start w:val="1"/>
      <w:numFmt w:val="lowerRoman"/>
      <w:lvlText w:val="%9."/>
      <w:lvlJc w:val="right"/>
      <w:pPr>
        <w:ind w:left="6120" w:hanging="180"/>
      </w:pPr>
    </w:lvl>
  </w:abstractNum>
  <w:abstractNum w:abstractNumId="12" w15:restartNumberingAfterBreak="0">
    <w:nsid w:val="16782FB2"/>
    <w:multiLevelType w:val="hybridMultilevel"/>
    <w:tmpl w:val="C6DA2DDC"/>
    <w:lvl w:ilvl="0" w:tplc="D04A5AFA">
      <w:start w:val="1"/>
      <w:numFmt w:val="lowerLetter"/>
      <w:lvlText w:val="(%1)"/>
      <w:lvlJc w:val="left"/>
      <w:pPr>
        <w:ind w:left="360" w:hanging="360"/>
      </w:pPr>
      <w:rPr>
        <w:rFonts w:ascii="Arial" w:hAnsi="Arial" w:cs="Arial" w:hint="default"/>
        <w:sz w:val="16"/>
      </w:rPr>
    </w:lvl>
    <w:lvl w:ilvl="1" w:tplc="E46EE78E" w:tentative="1">
      <w:start w:val="1"/>
      <w:numFmt w:val="lowerLetter"/>
      <w:lvlText w:val="%2."/>
      <w:lvlJc w:val="left"/>
      <w:pPr>
        <w:ind w:left="1080" w:hanging="360"/>
      </w:pPr>
    </w:lvl>
    <w:lvl w:ilvl="2" w:tplc="D9589202" w:tentative="1">
      <w:start w:val="1"/>
      <w:numFmt w:val="lowerRoman"/>
      <w:lvlText w:val="%3."/>
      <w:lvlJc w:val="right"/>
      <w:pPr>
        <w:ind w:left="1800" w:hanging="180"/>
      </w:pPr>
    </w:lvl>
    <w:lvl w:ilvl="3" w:tplc="DDC0C4B8" w:tentative="1">
      <w:start w:val="1"/>
      <w:numFmt w:val="decimal"/>
      <w:lvlText w:val="%4."/>
      <w:lvlJc w:val="left"/>
      <w:pPr>
        <w:ind w:left="2520" w:hanging="360"/>
      </w:pPr>
    </w:lvl>
    <w:lvl w:ilvl="4" w:tplc="5364B3C8" w:tentative="1">
      <w:start w:val="1"/>
      <w:numFmt w:val="lowerLetter"/>
      <w:lvlText w:val="%5."/>
      <w:lvlJc w:val="left"/>
      <w:pPr>
        <w:ind w:left="3240" w:hanging="360"/>
      </w:pPr>
    </w:lvl>
    <w:lvl w:ilvl="5" w:tplc="A462F578" w:tentative="1">
      <w:start w:val="1"/>
      <w:numFmt w:val="lowerRoman"/>
      <w:lvlText w:val="%6."/>
      <w:lvlJc w:val="right"/>
      <w:pPr>
        <w:ind w:left="3960" w:hanging="180"/>
      </w:pPr>
    </w:lvl>
    <w:lvl w:ilvl="6" w:tplc="A49C8766" w:tentative="1">
      <w:start w:val="1"/>
      <w:numFmt w:val="decimal"/>
      <w:lvlText w:val="%7."/>
      <w:lvlJc w:val="left"/>
      <w:pPr>
        <w:ind w:left="4680" w:hanging="360"/>
      </w:pPr>
    </w:lvl>
    <w:lvl w:ilvl="7" w:tplc="ED4031C6" w:tentative="1">
      <w:start w:val="1"/>
      <w:numFmt w:val="lowerLetter"/>
      <w:lvlText w:val="%8."/>
      <w:lvlJc w:val="left"/>
      <w:pPr>
        <w:ind w:left="5400" w:hanging="360"/>
      </w:pPr>
    </w:lvl>
    <w:lvl w:ilvl="8" w:tplc="FD02F9C2" w:tentative="1">
      <w:start w:val="1"/>
      <w:numFmt w:val="lowerRoman"/>
      <w:lvlText w:val="%9."/>
      <w:lvlJc w:val="right"/>
      <w:pPr>
        <w:ind w:left="6120" w:hanging="180"/>
      </w:pPr>
    </w:lvl>
  </w:abstractNum>
  <w:abstractNum w:abstractNumId="13" w15:restartNumberingAfterBreak="0">
    <w:nsid w:val="18745AD5"/>
    <w:multiLevelType w:val="hybridMultilevel"/>
    <w:tmpl w:val="D7AED64C"/>
    <w:lvl w:ilvl="0" w:tplc="C52A6514">
      <w:start w:val="1"/>
      <w:numFmt w:val="bullet"/>
      <w:lvlText w:val=""/>
      <w:lvlJc w:val="left"/>
      <w:pPr>
        <w:ind w:left="360" w:hanging="360"/>
      </w:pPr>
      <w:rPr>
        <w:rFonts w:ascii="Symbol" w:hAnsi="Symbol" w:hint="default"/>
      </w:rPr>
    </w:lvl>
    <w:lvl w:ilvl="1" w:tplc="4B6CDDF4">
      <w:start w:val="1"/>
      <w:numFmt w:val="bullet"/>
      <w:lvlText w:val="o"/>
      <w:lvlJc w:val="left"/>
      <w:pPr>
        <w:ind w:left="1080" w:hanging="360"/>
      </w:pPr>
      <w:rPr>
        <w:rFonts w:ascii="Courier New" w:hAnsi="Courier New" w:cs="Courier New" w:hint="default"/>
      </w:rPr>
    </w:lvl>
    <w:lvl w:ilvl="2" w:tplc="7E62F164">
      <w:start w:val="1"/>
      <w:numFmt w:val="bullet"/>
      <w:lvlText w:val=""/>
      <w:lvlJc w:val="left"/>
      <w:pPr>
        <w:ind w:left="1800" w:hanging="360"/>
      </w:pPr>
      <w:rPr>
        <w:rFonts w:ascii="Wingdings" w:hAnsi="Wingdings" w:hint="default"/>
      </w:rPr>
    </w:lvl>
    <w:lvl w:ilvl="3" w:tplc="15BE669A">
      <w:start w:val="1"/>
      <w:numFmt w:val="bullet"/>
      <w:lvlText w:val=""/>
      <w:lvlJc w:val="left"/>
      <w:pPr>
        <w:ind w:left="2520" w:hanging="360"/>
      </w:pPr>
      <w:rPr>
        <w:rFonts w:ascii="Symbol" w:hAnsi="Symbol" w:hint="default"/>
      </w:rPr>
    </w:lvl>
    <w:lvl w:ilvl="4" w:tplc="7988E656">
      <w:start w:val="1"/>
      <w:numFmt w:val="bullet"/>
      <w:lvlText w:val="o"/>
      <w:lvlJc w:val="left"/>
      <w:pPr>
        <w:ind w:left="3240" w:hanging="360"/>
      </w:pPr>
      <w:rPr>
        <w:rFonts w:ascii="Courier New" w:hAnsi="Courier New" w:cs="Courier New" w:hint="default"/>
      </w:rPr>
    </w:lvl>
    <w:lvl w:ilvl="5" w:tplc="222C7CE6">
      <w:start w:val="1"/>
      <w:numFmt w:val="bullet"/>
      <w:lvlText w:val=""/>
      <w:lvlJc w:val="left"/>
      <w:pPr>
        <w:ind w:left="3960" w:hanging="360"/>
      </w:pPr>
      <w:rPr>
        <w:rFonts w:ascii="Wingdings" w:hAnsi="Wingdings" w:hint="default"/>
      </w:rPr>
    </w:lvl>
    <w:lvl w:ilvl="6" w:tplc="04F48884">
      <w:start w:val="1"/>
      <w:numFmt w:val="bullet"/>
      <w:lvlText w:val=""/>
      <w:lvlJc w:val="left"/>
      <w:pPr>
        <w:ind w:left="4680" w:hanging="360"/>
      </w:pPr>
      <w:rPr>
        <w:rFonts w:ascii="Symbol" w:hAnsi="Symbol" w:hint="default"/>
      </w:rPr>
    </w:lvl>
    <w:lvl w:ilvl="7" w:tplc="A6E89E58">
      <w:start w:val="1"/>
      <w:numFmt w:val="bullet"/>
      <w:lvlText w:val="o"/>
      <w:lvlJc w:val="left"/>
      <w:pPr>
        <w:ind w:left="5400" w:hanging="360"/>
      </w:pPr>
      <w:rPr>
        <w:rFonts w:ascii="Courier New" w:hAnsi="Courier New" w:cs="Courier New" w:hint="default"/>
      </w:rPr>
    </w:lvl>
    <w:lvl w:ilvl="8" w:tplc="24D0CB34">
      <w:start w:val="1"/>
      <w:numFmt w:val="bullet"/>
      <w:lvlText w:val=""/>
      <w:lvlJc w:val="left"/>
      <w:pPr>
        <w:ind w:left="6120" w:hanging="360"/>
      </w:pPr>
      <w:rPr>
        <w:rFonts w:ascii="Wingdings" w:hAnsi="Wingdings" w:hint="default"/>
      </w:rPr>
    </w:lvl>
  </w:abstractNum>
  <w:abstractNum w:abstractNumId="14" w15:restartNumberingAfterBreak="0">
    <w:nsid w:val="1882695D"/>
    <w:multiLevelType w:val="hybridMultilevel"/>
    <w:tmpl w:val="EB3AD7FE"/>
    <w:lvl w:ilvl="0" w:tplc="E440F518">
      <w:start w:val="1"/>
      <w:numFmt w:val="lowerLetter"/>
      <w:lvlText w:val="(%1)"/>
      <w:lvlJc w:val="left"/>
      <w:pPr>
        <w:ind w:left="360" w:hanging="360"/>
      </w:pPr>
      <w:rPr>
        <w:rFonts w:ascii="Arial" w:hAnsi="Arial" w:cs="Arial" w:hint="default"/>
      </w:rPr>
    </w:lvl>
    <w:lvl w:ilvl="1" w:tplc="FC76F86A" w:tentative="1">
      <w:start w:val="1"/>
      <w:numFmt w:val="lowerLetter"/>
      <w:lvlText w:val="%2."/>
      <w:lvlJc w:val="left"/>
      <w:pPr>
        <w:ind w:left="1080" w:hanging="360"/>
      </w:pPr>
    </w:lvl>
    <w:lvl w:ilvl="2" w:tplc="AC7C9388" w:tentative="1">
      <w:start w:val="1"/>
      <w:numFmt w:val="lowerRoman"/>
      <w:lvlText w:val="%3."/>
      <w:lvlJc w:val="right"/>
      <w:pPr>
        <w:ind w:left="1800" w:hanging="180"/>
      </w:pPr>
    </w:lvl>
    <w:lvl w:ilvl="3" w:tplc="390C0364" w:tentative="1">
      <w:start w:val="1"/>
      <w:numFmt w:val="decimal"/>
      <w:lvlText w:val="%4."/>
      <w:lvlJc w:val="left"/>
      <w:pPr>
        <w:ind w:left="2520" w:hanging="360"/>
      </w:pPr>
    </w:lvl>
    <w:lvl w:ilvl="4" w:tplc="67E05742" w:tentative="1">
      <w:start w:val="1"/>
      <w:numFmt w:val="lowerLetter"/>
      <w:lvlText w:val="%5."/>
      <w:lvlJc w:val="left"/>
      <w:pPr>
        <w:ind w:left="3240" w:hanging="360"/>
      </w:pPr>
    </w:lvl>
    <w:lvl w:ilvl="5" w:tplc="EB48E54E" w:tentative="1">
      <w:start w:val="1"/>
      <w:numFmt w:val="lowerRoman"/>
      <w:lvlText w:val="%6."/>
      <w:lvlJc w:val="right"/>
      <w:pPr>
        <w:ind w:left="3960" w:hanging="180"/>
      </w:pPr>
    </w:lvl>
    <w:lvl w:ilvl="6" w:tplc="6F08137C" w:tentative="1">
      <w:start w:val="1"/>
      <w:numFmt w:val="decimal"/>
      <w:lvlText w:val="%7."/>
      <w:lvlJc w:val="left"/>
      <w:pPr>
        <w:ind w:left="4680" w:hanging="360"/>
      </w:pPr>
    </w:lvl>
    <w:lvl w:ilvl="7" w:tplc="EE6C6474" w:tentative="1">
      <w:start w:val="1"/>
      <w:numFmt w:val="lowerLetter"/>
      <w:lvlText w:val="%8."/>
      <w:lvlJc w:val="left"/>
      <w:pPr>
        <w:ind w:left="5400" w:hanging="360"/>
      </w:pPr>
    </w:lvl>
    <w:lvl w:ilvl="8" w:tplc="1A3A9D0E" w:tentative="1">
      <w:start w:val="1"/>
      <w:numFmt w:val="lowerRoman"/>
      <w:lvlText w:val="%9."/>
      <w:lvlJc w:val="right"/>
      <w:pPr>
        <w:ind w:left="6120" w:hanging="180"/>
      </w:pPr>
    </w:lvl>
  </w:abstractNum>
  <w:abstractNum w:abstractNumId="15" w15:restartNumberingAfterBreak="0">
    <w:nsid w:val="1A0FE49A"/>
    <w:multiLevelType w:val="hybridMultilevel"/>
    <w:tmpl w:val="AA18EF34"/>
    <w:lvl w:ilvl="0" w:tplc="114AB502">
      <w:start w:val="1"/>
      <w:numFmt w:val="bullet"/>
      <w:lvlText w:val=""/>
      <w:lvlJc w:val="left"/>
      <w:pPr>
        <w:ind w:left="1211" w:hanging="360"/>
      </w:pPr>
      <w:rPr>
        <w:rFonts w:ascii="Symbol" w:hAnsi="Symbol" w:hint="default"/>
        <w:color w:val="auto"/>
      </w:rPr>
    </w:lvl>
    <w:lvl w:ilvl="1" w:tplc="89CCDB64">
      <w:start w:val="1"/>
      <w:numFmt w:val="bullet"/>
      <w:lvlText w:val="o"/>
      <w:lvlJc w:val="left"/>
      <w:pPr>
        <w:ind w:left="1440" w:hanging="360"/>
      </w:pPr>
      <w:rPr>
        <w:rFonts w:ascii="Courier New" w:hAnsi="Courier New" w:cs="Courier New" w:hint="default"/>
      </w:rPr>
    </w:lvl>
    <w:lvl w:ilvl="2" w:tplc="4E965566">
      <w:start w:val="1"/>
      <w:numFmt w:val="bullet"/>
      <w:lvlText w:val=""/>
      <w:lvlJc w:val="left"/>
      <w:pPr>
        <w:ind w:left="2160" w:hanging="360"/>
      </w:pPr>
      <w:rPr>
        <w:rFonts w:ascii="Wingdings" w:hAnsi="Wingdings" w:hint="default"/>
      </w:rPr>
    </w:lvl>
    <w:lvl w:ilvl="3" w:tplc="C46ABF1E">
      <w:start w:val="1"/>
      <w:numFmt w:val="bullet"/>
      <w:lvlText w:val=""/>
      <w:lvlJc w:val="left"/>
      <w:pPr>
        <w:ind w:left="2880" w:hanging="360"/>
      </w:pPr>
      <w:rPr>
        <w:rFonts w:ascii="Symbol" w:hAnsi="Symbol" w:hint="default"/>
      </w:rPr>
    </w:lvl>
    <w:lvl w:ilvl="4" w:tplc="7522FDD0">
      <w:start w:val="1"/>
      <w:numFmt w:val="bullet"/>
      <w:lvlText w:val="o"/>
      <w:lvlJc w:val="left"/>
      <w:pPr>
        <w:ind w:left="3600" w:hanging="360"/>
      </w:pPr>
      <w:rPr>
        <w:rFonts w:ascii="Courier New" w:hAnsi="Courier New" w:cs="Courier New" w:hint="default"/>
      </w:rPr>
    </w:lvl>
    <w:lvl w:ilvl="5" w:tplc="C5C49C3E">
      <w:start w:val="1"/>
      <w:numFmt w:val="bullet"/>
      <w:lvlText w:val=""/>
      <w:lvlJc w:val="left"/>
      <w:pPr>
        <w:ind w:left="4320" w:hanging="360"/>
      </w:pPr>
      <w:rPr>
        <w:rFonts w:ascii="Wingdings" w:hAnsi="Wingdings" w:hint="default"/>
      </w:rPr>
    </w:lvl>
    <w:lvl w:ilvl="6" w:tplc="6C08F668">
      <w:start w:val="1"/>
      <w:numFmt w:val="bullet"/>
      <w:lvlText w:val=""/>
      <w:lvlJc w:val="left"/>
      <w:pPr>
        <w:ind w:left="5040" w:hanging="360"/>
      </w:pPr>
      <w:rPr>
        <w:rFonts w:ascii="Symbol" w:hAnsi="Symbol" w:hint="default"/>
      </w:rPr>
    </w:lvl>
    <w:lvl w:ilvl="7" w:tplc="AE80D2EE">
      <w:start w:val="1"/>
      <w:numFmt w:val="bullet"/>
      <w:lvlText w:val="o"/>
      <w:lvlJc w:val="left"/>
      <w:pPr>
        <w:ind w:left="5760" w:hanging="360"/>
      </w:pPr>
      <w:rPr>
        <w:rFonts w:ascii="Courier New" w:hAnsi="Courier New" w:cs="Courier New" w:hint="default"/>
      </w:rPr>
    </w:lvl>
    <w:lvl w:ilvl="8" w:tplc="99D02B22">
      <w:start w:val="1"/>
      <w:numFmt w:val="bullet"/>
      <w:lvlText w:val=""/>
      <w:lvlJc w:val="left"/>
      <w:pPr>
        <w:ind w:left="6480" w:hanging="360"/>
      </w:pPr>
      <w:rPr>
        <w:rFonts w:ascii="Wingdings" w:hAnsi="Wingdings" w:hint="default"/>
      </w:rPr>
    </w:lvl>
  </w:abstractNum>
  <w:abstractNum w:abstractNumId="16" w15:restartNumberingAfterBreak="0">
    <w:nsid w:val="21C87CB1"/>
    <w:multiLevelType w:val="hybridMultilevel"/>
    <w:tmpl w:val="B28C1314"/>
    <w:lvl w:ilvl="0" w:tplc="224065B6">
      <w:start w:val="1"/>
      <w:numFmt w:val="lowerLetter"/>
      <w:lvlText w:val="(%1)"/>
      <w:lvlJc w:val="left"/>
      <w:pPr>
        <w:tabs>
          <w:tab w:val="num" w:pos="397"/>
        </w:tabs>
        <w:ind w:left="397" w:hanging="397"/>
      </w:pPr>
      <w:rPr>
        <w:rFonts w:ascii="Arial" w:hAnsi="Arial" w:cs="Times New Roman" w:hint="default"/>
        <w:b w:val="0"/>
        <w:i w:val="0"/>
        <w:sz w:val="16"/>
        <w:szCs w:val="16"/>
      </w:rPr>
    </w:lvl>
    <w:lvl w:ilvl="1" w:tplc="78249596">
      <w:start w:val="1"/>
      <w:numFmt w:val="lowerLetter"/>
      <w:lvlText w:val="%2."/>
      <w:lvlJc w:val="left"/>
      <w:pPr>
        <w:ind w:left="1440" w:hanging="360"/>
      </w:pPr>
    </w:lvl>
    <w:lvl w:ilvl="2" w:tplc="1CB47172">
      <w:start w:val="1"/>
      <w:numFmt w:val="lowerRoman"/>
      <w:lvlText w:val="%3."/>
      <w:lvlJc w:val="right"/>
      <w:pPr>
        <w:ind w:left="2160" w:hanging="180"/>
      </w:pPr>
    </w:lvl>
    <w:lvl w:ilvl="3" w:tplc="A724BCE0">
      <w:start w:val="1"/>
      <w:numFmt w:val="decimal"/>
      <w:lvlText w:val="%4."/>
      <w:lvlJc w:val="left"/>
      <w:pPr>
        <w:ind w:left="2880" w:hanging="360"/>
      </w:pPr>
    </w:lvl>
    <w:lvl w:ilvl="4" w:tplc="5896CFD0">
      <w:start w:val="1"/>
      <w:numFmt w:val="lowerLetter"/>
      <w:lvlText w:val="%5."/>
      <w:lvlJc w:val="left"/>
      <w:pPr>
        <w:ind w:left="3600" w:hanging="360"/>
      </w:pPr>
    </w:lvl>
    <w:lvl w:ilvl="5" w:tplc="1728B0AE">
      <w:start w:val="1"/>
      <w:numFmt w:val="lowerRoman"/>
      <w:lvlText w:val="%6."/>
      <w:lvlJc w:val="right"/>
      <w:pPr>
        <w:ind w:left="4320" w:hanging="180"/>
      </w:pPr>
    </w:lvl>
    <w:lvl w:ilvl="6" w:tplc="A822AF6A">
      <w:start w:val="1"/>
      <w:numFmt w:val="decimal"/>
      <w:lvlText w:val="%7."/>
      <w:lvlJc w:val="left"/>
      <w:pPr>
        <w:ind w:left="5040" w:hanging="360"/>
      </w:pPr>
    </w:lvl>
    <w:lvl w:ilvl="7" w:tplc="F7C86F4A">
      <w:start w:val="1"/>
      <w:numFmt w:val="lowerLetter"/>
      <w:lvlText w:val="%8."/>
      <w:lvlJc w:val="left"/>
      <w:pPr>
        <w:ind w:left="5760" w:hanging="360"/>
      </w:pPr>
    </w:lvl>
    <w:lvl w:ilvl="8" w:tplc="C89CB0DE">
      <w:start w:val="1"/>
      <w:numFmt w:val="lowerRoman"/>
      <w:lvlText w:val="%9."/>
      <w:lvlJc w:val="right"/>
      <w:pPr>
        <w:ind w:left="6480" w:hanging="180"/>
      </w:pPr>
    </w:lvl>
  </w:abstractNum>
  <w:abstractNum w:abstractNumId="17" w15:restartNumberingAfterBreak="0">
    <w:nsid w:val="22FB1EFF"/>
    <w:multiLevelType w:val="hybridMultilevel"/>
    <w:tmpl w:val="286AAF3E"/>
    <w:lvl w:ilvl="0" w:tplc="4FCA846A">
      <w:start w:val="1"/>
      <w:numFmt w:val="lowerLetter"/>
      <w:lvlText w:val="(%1)"/>
      <w:lvlJc w:val="left"/>
      <w:pPr>
        <w:ind w:left="360" w:hanging="360"/>
      </w:pPr>
      <w:rPr>
        <w:rFonts w:ascii="Arial" w:eastAsia="Times New Roman" w:hAnsi="Arial" w:cs="Times New Roman"/>
      </w:rPr>
    </w:lvl>
    <w:lvl w:ilvl="1" w:tplc="5FEE94BC">
      <w:start w:val="1"/>
      <w:numFmt w:val="lowerLetter"/>
      <w:lvlText w:val="%2."/>
      <w:lvlJc w:val="left"/>
      <w:pPr>
        <w:ind w:left="1080" w:hanging="360"/>
      </w:pPr>
    </w:lvl>
    <w:lvl w:ilvl="2" w:tplc="74626EE4">
      <w:start w:val="1"/>
      <w:numFmt w:val="lowerRoman"/>
      <w:lvlText w:val="%3."/>
      <w:lvlJc w:val="right"/>
      <w:pPr>
        <w:ind w:left="1800" w:hanging="180"/>
      </w:pPr>
    </w:lvl>
    <w:lvl w:ilvl="3" w:tplc="798C8EE2">
      <w:start w:val="1"/>
      <w:numFmt w:val="decimal"/>
      <w:lvlText w:val="%4."/>
      <w:lvlJc w:val="left"/>
      <w:pPr>
        <w:ind w:left="2520" w:hanging="360"/>
      </w:pPr>
    </w:lvl>
    <w:lvl w:ilvl="4" w:tplc="FFE8326C">
      <w:start w:val="1"/>
      <w:numFmt w:val="lowerLetter"/>
      <w:lvlText w:val="%5."/>
      <w:lvlJc w:val="left"/>
      <w:pPr>
        <w:ind w:left="3240" w:hanging="360"/>
      </w:pPr>
    </w:lvl>
    <w:lvl w:ilvl="5" w:tplc="BCB60DA6">
      <w:start w:val="1"/>
      <w:numFmt w:val="lowerRoman"/>
      <w:lvlText w:val="%6."/>
      <w:lvlJc w:val="right"/>
      <w:pPr>
        <w:ind w:left="3960" w:hanging="180"/>
      </w:pPr>
    </w:lvl>
    <w:lvl w:ilvl="6" w:tplc="F378EC3C">
      <w:start w:val="1"/>
      <w:numFmt w:val="decimal"/>
      <w:lvlText w:val="%7."/>
      <w:lvlJc w:val="left"/>
      <w:pPr>
        <w:ind w:left="4680" w:hanging="360"/>
      </w:pPr>
    </w:lvl>
    <w:lvl w:ilvl="7" w:tplc="684A3E04">
      <w:start w:val="1"/>
      <w:numFmt w:val="lowerLetter"/>
      <w:lvlText w:val="%8."/>
      <w:lvlJc w:val="left"/>
      <w:pPr>
        <w:ind w:left="5400" w:hanging="360"/>
      </w:pPr>
    </w:lvl>
    <w:lvl w:ilvl="8" w:tplc="83C21124">
      <w:start w:val="1"/>
      <w:numFmt w:val="lowerRoman"/>
      <w:lvlText w:val="%9."/>
      <w:lvlJc w:val="right"/>
      <w:pPr>
        <w:ind w:left="6120" w:hanging="180"/>
      </w:pPr>
    </w:lvl>
  </w:abstractNum>
  <w:abstractNum w:abstractNumId="18" w15:restartNumberingAfterBreak="0">
    <w:nsid w:val="24B27D87"/>
    <w:multiLevelType w:val="hybridMultilevel"/>
    <w:tmpl w:val="F1F83D32"/>
    <w:lvl w:ilvl="0" w:tplc="D83E848E">
      <w:start w:val="1"/>
      <w:numFmt w:val="lowerLetter"/>
      <w:lvlText w:val="(%1)"/>
      <w:lvlJc w:val="left"/>
      <w:pPr>
        <w:ind w:left="360" w:hanging="360"/>
      </w:pPr>
      <w:rPr>
        <w:rFonts w:ascii="Arial" w:eastAsia="Times New Roman" w:hAnsi="Arial" w:cs="Times New Roman"/>
      </w:rPr>
    </w:lvl>
    <w:lvl w:ilvl="1" w:tplc="B5842B42" w:tentative="1">
      <w:start w:val="1"/>
      <w:numFmt w:val="lowerLetter"/>
      <w:lvlText w:val="%2."/>
      <w:lvlJc w:val="left"/>
      <w:pPr>
        <w:ind w:left="1080" w:hanging="360"/>
      </w:pPr>
    </w:lvl>
    <w:lvl w:ilvl="2" w:tplc="E6225E08" w:tentative="1">
      <w:start w:val="1"/>
      <w:numFmt w:val="lowerRoman"/>
      <w:lvlText w:val="%3."/>
      <w:lvlJc w:val="right"/>
      <w:pPr>
        <w:ind w:left="1800" w:hanging="180"/>
      </w:pPr>
    </w:lvl>
    <w:lvl w:ilvl="3" w:tplc="E5EAD234" w:tentative="1">
      <w:start w:val="1"/>
      <w:numFmt w:val="decimal"/>
      <w:lvlText w:val="%4."/>
      <w:lvlJc w:val="left"/>
      <w:pPr>
        <w:ind w:left="2520" w:hanging="360"/>
      </w:pPr>
    </w:lvl>
    <w:lvl w:ilvl="4" w:tplc="C6D2FE2E" w:tentative="1">
      <w:start w:val="1"/>
      <w:numFmt w:val="lowerLetter"/>
      <w:lvlText w:val="%5."/>
      <w:lvlJc w:val="left"/>
      <w:pPr>
        <w:ind w:left="3240" w:hanging="360"/>
      </w:pPr>
    </w:lvl>
    <w:lvl w:ilvl="5" w:tplc="F1969978" w:tentative="1">
      <w:start w:val="1"/>
      <w:numFmt w:val="lowerRoman"/>
      <w:lvlText w:val="%6."/>
      <w:lvlJc w:val="right"/>
      <w:pPr>
        <w:ind w:left="3960" w:hanging="180"/>
      </w:pPr>
    </w:lvl>
    <w:lvl w:ilvl="6" w:tplc="3058EBAA" w:tentative="1">
      <w:start w:val="1"/>
      <w:numFmt w:val="decimal"/>
      <w:lvlText w:val="%7."/>
      <w:lvlJc w:val="left"/>
      <w:pPr>
        <w:ind w:left="4680" w:hanging="360"/>
      </w:pPr>
    </w:lvl>
    <w:lvl w:ilvl="7" w:tplc="94864E72" w:tentative="1">
      <w:start w:val="1"/>
      <w:numFmt w:val="lowerLetter"/>
      <w:lvlText w:val="%8."/>
      <w:lvlJc w:val="left"/>
      <w:pPr>
        <w:ind w:left="5400" w:hanging="360"/>
      </w:pPr>
    </w:lvl>
    <w:lvl w:ilvl="8" w:tplc="F7FAB716" w:tentative="1">
      <w:start w:val="1"/>
      <w:numFmt w:val="lowerRoman"/>
      <w:lvlText w:val="%9."/>
      <w:lvlJc w:val="right"/>
      <w:pPr>
        <w:ind w:left="6120" w:hanging="180"/>
      </w:pPr>
    </w:lvl>
  </w:abstractNum>
  <w:abstractNum w:abstractNumId="19" w15:restartNumberingAfterBreak="0">
    <w:nsid w:val="25124F7B"/>
    <w:multiLevelType w:val="hybridMultilevel"/>
    <w:tmpl w:val="F6EC5DF6"/>
    <w:lvl w:ilvl="0" w:tplc="A6BE564C">
      <w:start w:val="1"/>
      <w:numFmt w:val="bullet"/>
      <w:lvlText w:val=""/>
      <w:lvlJc w:val="left"/>
      <w:pPr>
        <w:ind w:left="720" w:hanging="360"/>
      </w:pPr>
      <w:rPr>
        <w:rFonts w:ascii="Symbol" w:hAnsi="Symbol" w:hint="default"/>
        <w:color w:val="000000" w:themeColor="text1"/>
        <w:sz w:val="20"/>
        <w:szCs w:val="20"/>
      </w:rPr>
    </w:lvl>
    <w:lvl w:ilvl="1" w:tplc="39BC65D0">
      <w:start w:val="1"/>
      <w:numFmt w:val="bullet"/>
      <w:lvlText w:val="o"/>
      <w:lvlJc w:val="left"/>
      <w:pPr>
        <w:ind w:left="1440" w:hanging="360"/>
      </w:pPr>
      <w:rPr>
        <w:rFonts w:ascii="Courier New" w:hAnsi="Courier New" w:cs="Courier New" w:hint="default"/>
      </w:rPr>
    </w:lvl>
    <w:lvl w:ilvl="2" w:tplc="621C4638">
      <w:start w:val="1"/>
      <w:numFmt w:val="bullet"/>
      <w:lvlText w:val=""/>
      <w:lvlJc w:val="left"/>
      <w:pPr>
        <w:ind w:left="2160" w:hanging="360"/>
      </w:pPr>
      <w:rPr>
        <w:rFonts w:ascii="Wingdings" w:hAnsi="Wingdings" w:hint="default"/>
      </w:rPr>
    </w:lvl>
    <w:lvl w:ilvl="3" w:tplc="2A0C6ADE">
      <w:start w:val="1"/>
      <w:numFmt w:val="bullet"/>
      <w:lvlText w:val=""/>
      <w:lvlJc w:val="left"/>
      <w:pPr>
        <w:ind w:left="2880" w:hanging="360"/>
      </w:pPr>
      <w:rPr>
        <w:rFonts w:ascii="Symbol" w:hAnsi="Symbol" w:hint="default"/>
      </w:rPr>
    </w:lvl>
    <w:lvl w:ilvl="4" w:tplc="48EC1E22">
      <w:start w:val="1"/>
      <w:numFmt w:val="bullet"/>
      <w:lvlText w:val="o"/>
      <w:lvlJc w:val="left"/>
      <w:pPr>
        <w:ind w:left="3600" w:hanging="360"/>
      </w:pPr>
      <w:rPr>
        <w:rFonts w:ascii="Courier New" w:hAnsi="Courier New" w:cs="Courier New" w:hint="default"/>
      </w:rPr>
    </w:lvl>
    <w:lvl w:ilvl="5" w:tplc="56C4F91C">
      <w:start w:val="1"/>
      <w:numFmt w:val="bullet"/>
      <w:lvlText w:val=""/>
      <w:lvlJc w:val="left"/>
      <w:pPr>
        <w:ind w:left="4320" w:hanging="360"/>
      </w:pPr>
      <w:rPr>
        <w:rFonts w:ascii="Wingdings" w:hAnsi="Wingdings" w:hint="default"/>
      </w:rPr>
    </w:lvl>
    <w:lvl w:ilvl="6" w:tplc="4BD0E676">
      <w:start w:val="1"/>
      <w:numFmt w:val="bullet"/>
      <w:lvlText w:val=""/>
      <w:lvlJc w:val="left"/>
      <w:pPr>
        <w:ind w:left="5040" w:hanging="360"/>
      </w:pPr>
      <w:rPr>
        <w:rFonts w:ascii="Symbol" w:hAnsi="Symbol" w:hint="default"/>
      </w:rPr>
    </w:lvl>
    <w:lvl w:ilvl="7" w:tplc="BAB67DF8">
      <w:start w:val="1"/>
      <w:numFmt w:val="bullet"/>
      <w:lvlText w:val="o"/>
      <w:lvlJc w:val="left"/>
      <w:pPr>
        <w:ind w:left="5760" w:hanging="360"/>
      </w:pPr>
      <w:rPr>
        <w:rFonts w:ascii="Courier New" w:hAnsi="Courier New" w:cs="Courier New" w:hint="default"/>
      </w:rPr>
    </w:lvl>
    <w:lvl w:ilvl="8" w:tplc="3554374C">
      <w:start w:val="1"/>
      <w:numFmt w:val="bullet"/>
      <w:lvlText w:val=""/>
      <w:lvlJc w:val="left"/>
      <w:pPr>
        <w:ind w:left="6480" w:hanging="360"/>
      </w:pPr>
      <w:rPr>
        <w:rFonts w:ascii="Wingdings" w:hAnsi="Wingdings" w:hint="default"/>
      </w:rPr>
    </w:lvl>
  </w:abstractNum>
  <w:abstractNum w:abstractNumId="20" w15:restartNumberingAfterBreak="0">
    <w:nsid w:val="25BC5B1A"/>
    <w:multiLevelType w:val="hybridMultilevel"/>
    <w:tmpl w:val="9D2887FE"/>
    <w:lvl w:ilvl="0" w:tplc="7982EB9E">
      <w:start w:val="1"/>
      <w:numFmt w:val="lowerLetter"/>
      <w:lvlText w:val="(%1)"/>
      <w:lvlJc w:val="left"/>
      <w:pPr>
        <w:ind w:left="360" w:hanging="360"/>
      </w:pPr>
    </w:lvl>
    <w:lvl w:ilvl="1" w:tplc="B254E948" w:tentative="1">
      <w:start w:val="1"/>
      <w:numFmt w:val="lowerLetter"/>
      <w:lvlText w:val="%2."/>
      <w:lvlJc w:val="left"/>
      <w:pPr>
        <w:ind w:left="1080" w:hanging="360"/>
      </w:pPr>
    </w:lvl>
    <w:lvl w:ilvl="2" w:tplc="F2D8EC96" w:tentative="1">
      <w:start w:val="1"/>
      <w:numFmt w:val="lowerRoman"/>
      <w:lvlText w:val="%3."/>
      <w:lvlJc w:val="right"/>
      <w:pPr>
        <w:ind w:left="1800" w:hanging="180"/>
      </w:pPr>
    </w:lvl>
    <w:lvl w:ilvl="3" w:tplc="FEA81190" w:tentative="1">
      <w:start w:val="1"/>
      <w:numFmt w:val="decimal"/>
      <w:lvlText w:val="%4."/>
      <w:lvlJc w:val="left"/>
      <w:pPr>
        <w:ind w:left="2520" w:hanging="360"/>
      </w:pPr>
    </w:lvl>
    <w:lvl w:ilvl="4" w:tplc="486253B0" w:tentative="1">
      <w:start w:val="1"/>
      <w:numFmt w:val="lowerLetter"/>
      <w:lvlText w:val="%5."/>
      <w:lvlJc w:val="left"/>
      <w:pPr>
        <w:ind w:left="3240" w:hanging="360"/>
      </w:pPr>
    </w:lvl>
    <w:lvl w:ilvl="5" w:tplc="FC2CC1C4" w:tentative="1">
      <w:start w:val="1"/>
      <w:numFmt w:val="lowerRoman"/>
      <w:lvlText w:val="%6."/>
      <w:lvlJc w:val="right"/>
      <w:pPr>
        <w:ind w:left="3960" w:hanging="180"/>
      </w:pPr>
    </w:lvl>
    <w:lvl w:ilvl="6" w:tplc="1326D886" w:tentative="1">
      <w:start w:val="1"/>
      <w:numFmt w:val="decimal"/>
      <w:lvlText w:val="%7."/>
      <w:lvlJc w:val="left"/>
      <w:pPr>
        <w:ind w:left="4680" w:hanging="360"/>
      </w:pPr>
    </w:lvl>
    <w:lvl w:ilvl="7" w:tplc="32AC4E84" w:tentative="1">
      <w:start w:val="1"/>
      <w:numFmt w:val="lowerLetter"/>
      <w:lvlText w:val="%8."/>
      <w:lvlJc w:val="left"/>
      <w:pPr>
        <w:ind w:left="5400" w:hanging="360"/>
      </w:pPr>
    </w:lvl>
    <w:lvl w:ilvl="8" w:tplc="B4B41046" w:tentative="1">
      <w:start w:val="1"/>
      <w:numFmt w:val="lowerRoman"/>
      <w:lvlText w:val="%9."/>
      <w:lvlJc w:val="right"/>
      <w:pPr>
        <w:ind w:left="6120" w:hanging="180"/>
      </w:pPr>
    </w:lvl>
  </w:abstractNum>
  <w:abstractNum w:abstractNumId="21" w15:restartNumberingAfterBreak="0">
    <w:nsid w:val="267F1D4A"/>
    <w:multiLevelType w:val="hybridMultilevel"/>
    <w:tmpl w:val="382E9C3C"/>
    <w:lvl w:ilvl="0" w:tplc="7800F3D6">
      <w:start w:val="1"/>
      <w:numFmt w:val="lowerLetter"/>
      <w:lvlText w:val="(%1)"/>
      <w:lvlJc w:val="left"/>
      <w:pPr>
        <w:ind w:left="360" w:hanging="360"/>
      </w:pPr>
      <w:rPr>
        <w:rFonts w:hint="default"/>
      </w:rPr>
    </w:lvl>
    <w:lvl w:ilvl="1" w:tplc="EB84A786" w:tentative="1">
      <w:start w:val="1"/>
      <w:numFmt w:val="lowerLetter"/>
      <w:lvlText w:val="%2."/>
      <w:lvlJc w:val="left"/>
      <w:pPr>
        <w:ind w:left="1080" w:hanging="360"/>
      </w:pPr>
    </w:lvl>
    <w:lvl w:ilvl="2" w:tplc="33ACAC82" w:tentative="1">
      <w:start w:val="1"/>
      <w:numFmt w:val="lowerRoman"/>
      <w:lvlText w:val="%3."/>
      <w:lvlJc w:val="right"/>
      <w:pPr>
        <w:ind w:left="1800" w:hanging="180"/>
      </w:pPr>
    </w:lvl>
    <w:lvl w:ilvl="3" w:tplc="95741016" w:tentative="1">
      <w:start w:val="1"/>
      <w:numFmt w:val="decimal"/>
      <w:lvlText w:val="%4."/>
      <w:lvlJc w:val="left"/>
      <w:pPr>
        <w:ind w:left="2520" w:hanging="360"/>
      </w:pPr>
    </w:lvl>
    <w:lvl w:ilvl="4" w:tplc="6C7432AC" w:tentative="1">
      <w:start w:val="1"/>
      <w:numFmt w:val="lowerLetter"/>
      <w:lvlText w:val="%5."/>
      <w:lvlJc w:val="left"/>
      <w:pPr>
        <w:ind w:left="3240" w:hanging="360"/>
      </w:pPr>
    </w:lvl>
    <w:lvl w:ilvl="5" w:tplc="4B707B6C" w:tentative="1">
      <w:start w:val="1"/>
      <w:numFmt w:val="lowerRoman"/>
      <w:lvlText w:val="%6."/>
      <w:lvlJc w:val="right"/>
      <w:pPr>
        <w:ind w:left="3960" w:hanging="180"/>
      </w:pPr>
    </w:lvl>
    <w:lvl w:ilvl="6" w:tplc="5DB66884" w:tentative="1">
      <w:start w:val="1"/>
      <w:numFmt w:val="decimal"/>
      <w:lvlText w:val="%7."/>
      <w:lvlJc w:val="left"/>
      <w:pPr>
        <w:ind w:left="4680" w:hanging="360"/>
      </w:pPr>
    </w:lvl>
    <w:lvl w:ilvl="7" w:tplc="278A5BCC" w:tentative="1">
      <w:start w:val="1"/>
      <w:numFmt w:val="lowerLetter"/>
      <w:lvlText w:val="%8."/>
      <w:lvlJc w:val="left"/>
      <w:pPr>
        <w:ind w:left="5400" w:hanging="360"/>
      </w:pPr>
    </w:lvl>
    <w:lvl w:ilvl="8" w:tplc="0AB03DDA" w:tentative="1">
      <w:start w:val="1"/>
      <w:numFmt w:val="lowerRoman"/>
      <w:lvlText w:val="%9."/>
      <w:lvlJc w:val="right"/>
      <w:pPr>
        <w:ind w:left="6120" w:hanging="180"/>
      </w:pPr>
    </w:lvl>
  </w:abstractNum>
  <w:abstractNum w:abstractNumId="22" w15:restartNumberingAfterBreak="0">
    <w:nsid w:val="27DA0504"/>
    <w:multiLevelType w:val="hybridMultilevel"/>
    <w:tmpl w:val="D6DA1DC6"/>
    <w:lvl w:ilvl="0" w:tplc="C07A8ABE">
      <w:start w:val="1"/>
      <w:numFmt w:val="bullet"/>
      <w:lvlText w:val=""/>
      <w:lvlJc w:val="left"/>
      <w:pPr>
        <w:ind w:left="720" w:hanging="360"/>
      </w:pPr>
      <w:rPr>
        <w:rFonts w:ascii="Symbol" w:hAnsi="Symbol" w:hint="default"/>
        <w:color w:val="auto"/>
      </w:rPr>
    </w:lvl>
    <w:lvl w:ilvl="1" w:tplc="28E68386">
      <w:start w:val="1"/>
      <w:numFmt w:val="bullet"/>
      <w:lvlText w:val="o"/>
      <w:lvlJc w:val="left"/>
      <w:pPr>
        <w:ind w:left="1440" w:hanging="360"/>
      </w:pPr>
      <w:rPr>
        <w:rFonts w:ascii="Courier New" w:hAnsi="Courier New" w:cs="Courier New" w:hint="default"/>
      </w:rPr>
    </w:lvl>
    <w:lvl w:ilvl="2" w:tplc="329E6790">
      <w:start w:val="1"/>
      <w:numFmt w:val="bullet"/>
      <w:lvlText w:val=""/>
      <w:lvlJc w:val="left"/>
      <w:pPr>
        <w:ind w:left="2160" w:hanging="360"/>
      </w:pPr>
      <w:rPr>
        <w:rFonts w:ascii="Wingdings" w:hAnsi="Wingdings" w:hint="default"/>
      </w:rPr>
    </w:lvl>
    <w:lvl w:ilvl="3" w:tplc="927C3E42">
      <w:start w:val="1"/>
      <w:numFmt w:val="bullet"/>
      <w:lvlText w:val=""/>
      <w:lvlJc w:val="left"/>
      <w:pPr>
        <w:ind w:left="2880" w:hanging="360"/>
      </w:pPr>
      <w:rPr>
        <w:rFonts w:ascii="Symbol" w:hAnsi="Symbol" w:hint="default"/>
      </w:rPr>
    </w:lvl>
    <w:lvl w:ilvl="4" w:tplc="D702211A">
      <w:start w:val="1"/>
      <w:numFmt w:val="bullet"/>
      <w:lvlText w:val="o"/>
      <w:lvlJc w:val="left"/>
      <w:pPr>
        <w:ind w:left="3600" w:hanging="360"/>
      </w:pPr>
      <w:rPr>
        <w:rFonts w:ascii="Courier New" w:hAnsi="Courier New" w:cs="Courier New" w:hint="default"/>
      </w:rPr>
    </w:lvl>
    <w:lvl w:ilvl="5" w:tplc="26DE96C4">
      <w:start w:val="1"/>
      <w:numFmt w:val="bullet"/>
      <w:lvlText w:val=""/>
      <w:lvlJc w:val="left"/>
      <w:pPr>
        <w:ind w:left="4320" w:hanging="360"/>
      </w:pPr>
      <w:rPr>
        <w:rFonts w:ascii="Wingdings" w:hAnsi="Wingdings" w:hint="default"/>
      </w:rPr>
    </w:lvl>
    <w:lvl w:ilvl="6" w:tplc="41FA8EDC">
      <w:start w:val="1"/>
      <w:numFmt w:val="bullet"/>
      <w:lvlText w:val=""/>
      <w:lvlJc w:val="left"/>
      <w:pPr>
        <w:ind w:left="5040" w:hanging="360"/>
      </w:pPr>
      <w:rPr>
        <w:rFonts w:ascii="Symbol" w:hAnsi="Symbol" w:hint="default"/>
      </w:rPr>
    </w:lvl>
    <w:lvl w:ilvl="7" w:tplc="21504002">
      <w:start w:val="1"/>
      <w:numFmt w:val="bullet"/>
      <w:lvlText w:val="o"/>
      <w:lvlJc w:val="left"/>
      <w:pPr>
        <w:ind w:left="5760" w:hanging="360"/>
      </w:pPr>
      <w:rPr>
        <w:rFonts w:ascii="Courier New" w:hAnsi="Courier New" w:cs="Courier New" w:hint="default"/>
      </w:rPr>
    </w:lvl>
    <w:lvl w:ilvl="8" w:tplc="1AC44F80">
      <w:start w:val="1"/>
      <w:numFmt w:val="bullet"/>
      <w:lvlText w:val=""/>
      <w:lvlJc w:val="left"/>
      <w:pPr>
        <w:ind w:left="6480" w:hanging="360"/>
      </w:pPr>
      <w:rPr>
        <w:rFonts w:ascii="Wingdings" w:hAnsi="Wingdings" w:hint="default"/>
      </w:rPr>
    </w:lvl>
  </w:abstractNum>
  <w:abstractNum w:abstractNumId="23" w15:restartNumberingAfterBreak="0">
    <w:nsid w:val="2A215D5D"/>
    <w:multiLevelType w:val="hybridMultilevel"/>
    <w:tmpl w:val="F610635C"/>
    <w:lvl w:ilvl="0" w:tplc="A25AD140">
      <w:start w:val="1"/>
      <w:numFmt w:val="bullet"/>
      <w:lvlText w:val=""/>
      <w:lvlJc w:val="left"/>
      <w:pPr>
        <w:ind w:left="720" w:hanging="360"/>
      </w:pPr>
      <w:rPr>
        <w:rFonts w:ascii="Symbol" w:hAnsi="Symbol" w:hint="default"/>
      </w:rPr>
    </w:lvl>
    <w:lvl w:ilvl="1" w:tplc="2820C126">
      <w:start w:val="1"/>
      <w:numFmt w:val="bullet"/>
      <w:lvlText w:val="o"/>
      <w:lvlJc w:val="left"/>
      <w:pPr>
        <w:ind w:left="1440" w:hanging="360"/>
      </w:pPr>
      <w:rPr>
        <w:rFonts w:ascii="Courier New" w:hAnsi="Courier New" w:cs="Courier New" w:hint="default"/>
      </w:rPr>
    </w:lvl>
    <w:lvl w:ilvl="2" w:tplc="40D0CC32">
      <w:start w:val="1"/>
      <w:numFmt w:val="bullet"/>
      <w:lvlText w:val=""/>
      <w:lvlJc w:val="left"/>
      <w:pPr>
        <w:ind w:left="2160" w:hanging="360"/>
      </w:pPr>
      <w:rPr>
        <w:rFonts w:ascii="Wingdings" w:hAnsi="Wingdings" w:hint="default"/>
      </w:rPr>
    </w:lvl>
    <w:lvl w:ilvl="3" w:tplc="1166B23A">
      <w:start w:val="1"/>
      <w:numFmt w:val="bullet"/>
      <w:lvlText w:val=""/>
      <w:lvlJc w:val="left"/>
      <w:pPr>
        <w:ind w:left="2880" w:hanging="360"/>
      </w:pPr>
      <w:rPr>
        <w:rFonts w:ascii="Symbol" w:hAnsi="Symbol" w:hint="default"/>
      </w:rPr>
    </w:lvl>
    <w:lvl w:ilvl="4" w:tplc="C90A1B38">
      <w:start w:val="1"/>
      <w:numFmt w:val="bullet"/>
      <w:lvlText w:val="o"/>
      <w:lvlJc w:val="left"/>
      <w:pPr>
        <w:ind w:left="3600" w:hanging="360"/>
      </w:pPr>
      <w:rPr>
        <w:rFonts w:ascii="Courier New" w:hAnsi="Courier New" w:cs="Courier New" w:hint="default"/>
      </w:rPr>
    </w:lvl>
    <w:lvl w:ilvl="5" w:tplc="8DDE26EC">
      <w:start w:val="1"/>
      <w:numFmt w:val="bullet"/>
      <w:lvlText w:val=""/>
      <w:lvlJc w:val="left"/>
      <w:pPr>
        <w:ind w:left="4320" w:hanging="360"/>
      </w:pPr>
      <w:rPr>
        <w:rFonts w:ascii="Wingdings" w:hAnsi="Wingdings" w:hint="default"/>
      </w:rPr>
    </w:lvl>
    <w:lvl w:ilvl="6" w:tplc="9FBA2CE0">
      <w:start w:val="1"/>
      <w:numFmt w:val="bullet"/>
      <w:lvlText w:val=""/>
      <w:lvlJc w:val="left"/>
      <w:pPr>
        <w:ind w:left="5040" w:hanging="360"/>
      </w:pPr>
      <w:rPr>
        <w:rFonts w:ascii="Symbol" w:hAnsi="Symbol" w:hint="default"/>
      </w:rPr>
    </w:lvl>
    <w:lvl w:ilvl="7" w:tplc="EA80C33A">
      <w:start w:val="1"/>
      <w:numFmt w:val="bullet"/>
      <w:lvlText w:val="o"/>
      <w:lvlJc w:val="left"/>
      <w:pPr>
        <w:ind w:left="5760" w:hanging="360"/>
      </w:pPr>
      <w:rPr>
        <w:rFonts w:ascii="Courier New" w:hAnsi="Courier New" w:cs="Courier New" w:hint="default"/>
      </w:rPr>
    </w:lvl>
    <w:lvl w:ilvl="8" w:tplc="0F4E772A">
      <w:start w:val="1"/>
      <w:numFmt w:val="bullet"/>
      <w:lvlText w:val=""/>
      <w:lvlJc w:val="left"/>
      <w:pPr>
        <w:ind w:left="6480" w:hanging="360"/>
      </w:pPr>
      <w:rPr>
        <w:rFonts w:ascii="Wingdings" w:hAnsi="Wingdings" w:hint="default"/>
      </w:rPr>
    </w:lvl>
  </w:abstractNum>
  <w:abstractNum w:abstractNumId="24" w15:restartNumberingAfterBreak="0">
    <w:nsid w:val="2F877D7D"/>
    <w:multiLevelType w:val="hybridMultilevel"/>
    <w:tmpl w:val="E02ED160"/>
    <w:lvl w:ilvl="0" w:tplc="F650E326">
      <w:start w:val="1"/>
      <w:numFmt w:val="bullet"/>
      <w:lvlText w:val=""/>
      <w:lvlJc w:val="left"/>
      <w:pPr>
        <w:ind w:left="720" w:hanging="360"/>
      </w:pPr>
      <w:rPr>
        <w:rFonts w:ascii="Symbol" w:hAnsi="Symbol" w:hint="default"/>
        <w:sz w:val="20"/>
        <w:szCs w:val="20"/>
      </w:rPr>
    </w:lvl>
    <w:lvl w:ilvl="1" w:tplc="E076C99E">
      <w:start w:val="1"/>
      <w:numFmt w:val="bullet"/>
      <w:lvlText w:val="o"/>
      <w:lvlJc w:val="left"/>
      <w:pPr>
        <w:ind w:left="1440" w:hanging="360"/>
      </w:pPr>
      <w:rPr>
        <w:rFonts w:ascii="Courier New" w:hAnsi="Courier New" w:cs="Courier New" w:hint="default"/>
      </w:rPr>
    </w:lvl>
    <w:lvl w:ilvl="2" w:tplc="314A3118">
      <w:start w:val="1"/>
      <w:numFmt w:val="bullet"/>
      <w:lvlText w:val=""/>
      <w:lvlJc w:val="left"/>
      <w:pPr>
        <w:ind w:left="2160" w:hanging="360"/>
      </w:pPr>
      <w:rPr>
        <w:rFonts w:ascii="Wingdings" w:hAnsi="Wingdings" w:hint="default"/>
      </w:rPr>
    </w:lvl>
    <w:lvl w:ilvl="3" w:tplc="C1C2D03A">
      <w:start w:val="1"/>
      <w:numFmt w:val="bullet"/>
      <w:lvlText w:val=""/>
      <w:lvlJc w:val="left"/>
      <w:pPr>
        <w:ind w:left="2880" w:hanging="360"/>
      </w:pPr>
      <w:rPr>
        <w:rFonts w:ascii="Symbol" w:hAnsi="Symbol" w:hint="default"/>
      </w:rPr>
    </w:lvl>
    <w:lvl w:ilvl="4" w:tplc="C638E07A">
      <w:start w:val="1"/>
      <w:numFmt w:val="bullet"/>
      <w:lvlText w:val="o"/>
      <w:lvlJc w:val="left"/>
      <w:pPr>
        <w:ind w:left="3600" w:hanging="360"/>
      </w:pPr>
      <w:rPr>
        <w:rFonts w:ascii="Courier New" w:hAnsi="Courier New" w:cs="Courier New" w:hint="default"/>
      </w:rPr>
    </w:lvl>
    <w:lvl w:ilvl="5" w:tplc="2C0C495C">
      <w:start w:val="1"/>
      <w:numFmt w:val="bullet"/>
      <w:lvlText w:val=""/>
      <w:lvlJc w:val="left"/>
      <w:pPr>
        <w:ind w:left="4320" w:hanging="360"/>
      </w:pPr>
      <w:rPr>
        <w:rFonts w:ascii="Wingdings" w:hAnsi="Wingdings" w:hint="default"/>
      </w:rPr>
    </w:lvl>
    <w:lvl w:ilvl="6" w:tplc="DFB60134">
      <w:start w:val="1"/>
      <w:numFmt w:val="bullet"/>
      <w:lvlText w:val=""/>
      <w:lvlJc w:val="left"/>
      <w:pPr>
        <w:ind w:left="5040" w:hanging="360"/>
      </w:pPr>
      <w:rPr>
        <w:rFonts w:ascii="Symbol" w:hAnsi="Symbol" w:hint="default"/>
      </w:rPr>
    </w:lvl>
    <w:lvl w:ilvl="7" w:tplc="97400590">
      <w:start w:val="1"/>
      <w:numFmt w:val="bullet"/>
      <w:lvlText w:val="o"/>
      <w:lvlJc w:val="left"/>
      <w:pPr>
        <w:ind w:left="5760" w:hanging="360"/>
      </w:pPr>
      <w:rPr>
        <w:rFonts w:ascii="Courier New" w:hAnsi="Courier New" w:cs="Courier New" w:hint="default"/>
      </w:rPr>
    </w:lvl>
    <w:lvl w:ilvl="8" w:tplc="AA786DF6">
      <w:start w:val="1"/>
      <w:numFmt w:val="bullet"/>
      <w:lvlText w:val=""/>
      <w:lvlJc w:val="left"/>
      <w:pPr>
        <w:ind w:left="6480" w:hanging="360"/>
      </w:pPr>
      <w:rPr>
        <w:rFonts w:ascii="Wingdings" w:hAnsi="Wingdings" w:hint="default"/>
      </w:rPr>
    </w:lvl>
  </w:abstractNum>
  <w:abstractNum w:abstractNumId="25" w15:restartNumberingAfterBreak="0">
    <w:nsid w:val="3005AE3B"/>
    <w:multiLevelType w:val="hybridMultilevel"/>
    <w:tmpl w:val="7CA4FBAA"/>
    <w:lvl w:ilvl="0" w:tplc="A0F8F366">
      <w:start w:val="1"/>
      <w:numFmt w:val="bullet"/>
      <w:lvlText w:val=""/>
      <w:lvlJc w:val="left"/>
      <w:pPr>
        <w:ind w:left="360" w:hanging="360"/>
      </w:pPr>
      <w:rPr>
        <w:rFonts w:ascii="Symbol" w:hAnsi="Symbol" w:hint="default"/>
      </w:rPr>
    </w:lvl>
    <w:lvl w:ilvl="1" w:tplc="33686650">
      <w:start w:val="1"/>
      <w:numFmt w:val="bullet"/>
      <w:lvlText w:val=""/>
      <w:lvlJc w:val="left"/>
      <w:pPr>
        <w:ind w:left="1080" w:hanging="360"/>
      </w:pPr>
      <w:rPr>
        <w:rFonts w:ascii="Symbol" w:hAnsi="Symbol" w:hint="default"/>
      </w:rPr>
    </w:lvl>
    <w:lvl w:ilvl="2" w:tplc="6FC44948">
      <w:start w:val="1"/>
      <w:numFmt w:val="bullet"/>
      <w:lvlText w:val=""/>
      <w:lvlJc w:val="left"/>
      <w:pPr>
        <w:ind w:left="1800" w:hanging="360"/>
      </w:pPr>
      <w:rPr>
        <w:rFonts w:ascii="Wingdings" w:hAnsi="Wingdings" w:hint="default"/>
      </w:rPr>
    </w:lvl>
    <w:lvl w:ilvl="3" w:tplc="BE58E2E0">
      <w:start w:val="1"/>
      <w:numFmt w:val="bullet"/>
      <w:lvlText w:val=""/>
      <w:lvlJc w:val="left"/>
      <w:pPr>
        <w:ind w:left="2520" w:hanging="360"/>
      </w:pPr>
      <w:rPr>
        <w:rFonts w:ascii="Symbol" w:hAnsi="Symbol" w:hint="default"/>
      </w:rPr>
    </w:lvl>
    <w:lvl w:ilvl="4" w:tplc="653AF352">
      <w:start w:val="1"/>
      <w:numFmt w:val="bullet"/>
      <w:lvlText w:val="o"/>
      <w:lvlJc w:val="left"/>
      <w:pPr>
        <w:ind w:left="3240" w:hanging="360"/>
      </w:pPr>
      <w:rPr>
        <w:rFonts w:ascii="Courier New" w:hAnsi="Courier New" w:cs="Courier New" w:hint="default"/>
      </w:rPr>
    </w:lvl>
    <w:lvl w:ilvl="5" w:tplc="4D52BE0A">
      <w:start w:val="1"/>
      <w:numFmt w:val="bullet"/>
      <w:lvlText w:val=""/>
      <w:lvlJc w:val="left"/>
      <w:pPr>
        <w:ind w:left="3960" w:hanging="360"/>
      </w:pPr>
      <w:rPr>
        <w:rFonts w:ascii="Wingdings" w:hAnsi="Wingdings" w:hint="default"/>
      </w:rPr>
    </w:lvl>
    <w:lvl w:ilvl="6" w:tplc="0708FE50">
      <w:start w:val="1"/>
      <w:numFmt w:val="bullet"/>
      <w:lvlText w:val=""/>
      <w:lvlJc w:val="left"/>
      <w:pPr>
        <w:ind w:left="4680" w:hanging="360"/>
      </w:pPr>
      <w:rPr>
        <w:rFonts w:ascii="Symbol" w:hAnsi="Symbol" w:hint="default"/>
      </w:rPr>
    </w:lvl>
    <w:lvl w:ilvl="7" w:tplc="0818E1C2">
      <w:start w:val="1"/>
      <w:numFmt w:val="bullet"/>
      <w:lvlText w:val="o"/>
      <w:lvlJc w:val="left"/>
      <w:pPr>
        <w:ind w:left="5400" w:hanging="360"/>
      </w:pPr>
      <w:rPr>
        <w:rFonts w:ascii="Courier New" w:hAnsi="Courier New" w:cs="Courier New" w:hint="default"/>
      </w:rPr>
    </w:lvl>
    <w:lvl w:ilvl="8" w:tplc="4D82CAE2">
      <w:start w:val="1"/>
      <w:numFmt w:val="bullet"/>
      <w:lvlText w:val=""/>
      <w:lvlJc w:val="left"/>
      <w:pPr>
        <w:ind w:left="6120" w:hanging="360"/>
      </w:pPr>
      <w:rPr>
        <w:rFonts w:ascii="Wingdings" w:hAnsi="Wingdings" w:hint="default"/>
      </w:rPr>
    </w:lvl>
  </w:abstractNum>
  <w:abstractNum w:abstractNumId="26" w15:restartNumberingAfterBreak="0">
    <w:nsid w:val="3A691BC2"/>
    <w:multiLevelType w:val="hybridMultilevel"/>
    <w:tmpl w:val="2230E08A"/>
    <w:lvl w:ilvl="0" w:tplc="D520B928">
      <w:start w:val="1"/>
      <w:numFmt w:val="bullet"/>
      <w:lvlText w:val=""/>
      <w:lvlJc w:val="left"/>
      <w:pPr>
        <w:ind w:left="360" w:hanging="360"/>
      </w:pPr>
      <w:rPr>
        <w:rFonts w:ascii="Symbol" w:hAnsi="Symbol" w:hint="default"/>
      </w:rPr>
    </w:lvl>
    <w:lvl w:ilvl="1" w:tplc="C8BA339E">
      <w:start w:val="1"/>
      <w:numFmt w:val="bullet"/>
      <w:lvlText w:val="o"/>
      <w:lvlJc w:val="left"/>
      <w:pPr>
        <w:ind w:left="1080" w:hanging="360"/>
      </w:pPr>
      <w:rPr>
        <w:rFonts w:ascii="Courier New" w:hAnsi="Courier New" w:cs="Courier New" w:hint="default"/>
      </w:rPr>
    </w:lvl>
    <w:lvl w:ilvl="2" w:tplc="925C4BDE">
      <w:start w:val="1"/>
      <w:numFmt w:val="bullet"/>
      <w:lvlText w:val=""/>
      <w:lvlJc w:val="left"/>
      <w:pPr>
        <w:ind w:left="1800" w:hanging="360"/>
      </w:pPr>
      <w:rPr>
        <w:rFonts w:ascii="Wingdings" w:hAnsi="Wingdings" w:hint="default"/>
      </w:rPr>
    </w:lvl>
    <w:lvl w:ilvl="3" w:tplc="1722D83C">
      <w:start w:val="1"/>
      <w:numFmt w:val="bullet"/>
      <w:lvlText w:val=""/>
      <w:lvlJc w:val="left"/>
      <w:pPr>
        <w:ind w:left="2520" w:hanging="360"/>
      </w:pPr>
      <w:rPr>
        <w:rFonts w:ascii="Symbol" w:hAnsi="Symbol" w:hint="default"/>
      </w:rPr>
    </w:lvl>
    <w:lvl w:ilvl="4" w:tplc="27AC5332">
      <w:start w:val="1"/>
      <w:numFmt w:val="bullet"/>
      <w:lvlText w:val="o"/>
      <w:lvlJc w:val="left"/>
      <w:pPr>
        <w:ind w:left="3240" w:hanging="360"/>
      </w:pPr>
      <w:rPr>
        <w:rFonts w:ascii="Courier New" w:hAnsi="Courier New" w:cs="Courier New" w:hint="default"/>
      </w:rPr>
    </w:lvl>
    <w:lvl w:ilvl="5" w:tplc="400A0FD2">
      <w:start w:val="1"/>
      <w:numFmt w:val="bullet"/>
      <w:lvlText w:val=""/>
      <w:lvlJc w:val="left"/>
      <w:pPr>
        <w:ind w:left="3960" w:hanging="360"/>
      </w:pPr>
      <w:rPr>
        <w:rFonts w:ascii="Wingdings" w:hAnsi="Wingdings" w:hint="default"/>
      </w:rPr>
    </w:lvl>
    <w:lvl w:ilvl="6" w:tplc="4A9E05B6">
      <w:start w:val="1"/>
      <w:numFmt w:val="bullet"/>
      <w:lvlText w:val=""/>
      <w:lvlJc w:val="left"/>
      <w:pPr>
        <w:ind w:left="4680" w:hanging="360"/>
      </w:pPr>
      <w:rPr>
        <w:rFonts w:ascii="Symbol" w:hAnsi="Symbol" w:hint="default"/>
      </w:rPr>
    </w:lvl>
    <w:lvl w:ilvl="7" w:tplc="9754F392">
      <w:start w:val="1"/>
      <w:numFmt w:val="bullet"/>
      <w:lvlText w:val="o"/>
      <w:lvlJc w:val="left"/>
      <w:pPr>
        <w:ind w:left="5400" w:hanging="360"/>
      </w:pPr>
      <w:rPr>
        <w:rFonts w:ascii="Courier New" w:hAnsi="Courier New" w:cs="Courier New" w:hint="default"/>
      </w:rPr>
    </w:lvl>
    <w:lvl w:ilvl="8" w:tplc="E370DBA2">
      <w:start w:val="1"/>
      <w:numFmt w:val="bullet"/>
      <w:lvlText w:val=""/>
      <w:lvlJc w:val="left"/>
      <w:pPr>
        <w:ind w:left="6120" w:hanging="360"/>
      </w:pPr>
      <w:rPr>
        <w:rFonts w:ascii="Wingdings" w:hAnsi="Wingdings" w:hint="default"/>
      </w:rPr>
    </w:lvl>
  </w:abstractNum>
  <w:abstractNum w:abstractNumId="27" w15:restartNumberingAfterBreak="0">
    <w:nsid w:val="3BC359B7"/>
    <w:multiLevelType w:val="hybridMultilevel"/>
    <w:tmpl w:val="AD2E6FE4"/>
    <w:lvl w:ilvl="0" w:tplc="980ECC22">
      <w:start w:val="1"/>
      <w:numFmt w:val="lowerLetter"/>
      <w:lvlText w:val="(%1)"/>
      <w:lvlJc w:val="left"/>
      <w:pPr>
        <w:ind w:left="720" w:hanging="360"/>
      </w:pPr>
    </w:lvl>
    <w:lvl w:ilvl="1" w:tplc="BF64E578">
      <w:start w:val="1"/>
      <w:numFmt w:val="lowerLetter"/>
      <w:lvlText w:val="%2."/>
      <w:lvlJc w:val="left"/>
      <w:pPr>
        <w:ind w:left="1440" w:hanging="360"/>
      </w:pPr>
    </w:lvl>
    <w:lvl w:ilvl="2" w:tplc="E2845E48">
      <w:start w:val="1"/>
      <w:numFmt w:val="lowerRoman"/>
      <w:lvlText w:val="%3."/>
      <w:lvlJc w:val="right"/>
      <w:pPr>
        <w:ind w:left="2160" w:hanging="180"/>
      </w:pPr>
    </w:lvl>
    <w:lvl w:ilvl="3" w:tplc="5810E238">
      <w:start w:val="1"/>
      <w:numFmt w:val="decimal"/>
      <w:lvlText w:val="%4."/>
      <w:lvlJc w:val="left"/>
      <w:pPr>
        <w:ind w:left="2880" w:hanging="360"/>
      </w:pPr>
    </w:lvl>
    <w:lvl w:ilvl="4" w:tplc="31946C14">
      <w:start w:val="1"/>
      <w:numFmt w:val="lowerLetter"/>
      <w:lvlText w:val="%5."/>
      <w:lvlJc w:val="left"/>
      <w:pPr>
        <w:ind w:left="3600" w:hanging="360"/>
      </w:pPr>
    </w:lvl>
    <w:lvl w:ilvl="5" w:tplc="ABFC76AC">
      <w:start w:val="1"/>
      <w:numFmt w:val="lowerRoman"/>
      <w:lvlText w:val="%6."/>
      <w:lvlJc w:val="right"/>
      <w:pPr>
        <w:ind w:left="4320" w:hanging="180"/>
      </w:pPr>
    </w:lvl>
    <w:lvl w:ilvl="6" w:tplc="38EE8FC6">
      <w:start w:val="1"/>
      <w:numFmt w:val="decimal"/>
      <w:lvlText w:val="%7."/>
      <w:lvlJc w:val="left"/>
      <w:pPr>
        <w:ind w:left="5040" w:hanging="360"/>
      </w:pPr>
    </w:lvl>
    <w:lvl w:ilvl="7" w:tplc="2DC0A7CE">
      <w:start w:val="1"/>
      <w:numFmt w:val="lowerLetter"/>
      <w:lvlText w:val="%8."/>
      <w:lvlJc w:val="left"/>
      <w:pPr>
        <w:ind w:left="5760" w:hanging="360"/>
      </w:pPr>
    </w:lvl>
    <w:lvl w:ilvl="8" w:tplc="F7169D4A">
      <w:start w:val="1"/>
      <w:numFmt w:val="lowerRoman"/>
      <w:lvlText w:val="%9."/>
      <w:lvlJc w:val="right"/>
      <w:pPr>
        <w:ind w:left="6480" w:hanging="180"/>
      </w:pPr>
    </w:lvl>
  </w:abstractNum>
  <w:abstractNum w:abstractNumId="28" w15:restartNumberingAfterBreak="0">
    <w:nsid w:val="3D7D3443"/>
    <w:multiLevelType w:val="hybridMultilevel"/>
    <w:tmpl w:val="5A0CFFB6"/>
    <w:lvl w:ilvl="0" w:tplc="E7483368">
      <w:start w:val="1"/>
      <w:numFmt w:val="bullet"/>
      <w:lvlText w:val=""/>
      <w:lvlJc w:val="left"/>
      <w:pPr>
        <w:ind w:left="720" w:hanging="360"/>
      </w:pPr>
      <w:rPr>
        <w:rFonts w:ascii="Symbol" w:hAnsi="Symbol" w:hint="default"/>
      </w:rPr>
    </w:lvl>
    <w:lvl w:ilvl="1" w:tplc="A1F4AE98">
      <w:start w:val="1"/>
      <w:numFmt w:val="bullet"/>
      <w:lvlText w:val="o"/>
      <w:lvlJc w:val="left"/>
      <w:pPr>
        <w:ind w:left="1440" w:hanging="360"/>
      </w:pPr>
      <w:rPr>
        <w:rFonts w:ascii="Courier New" w:hAnsi="Courier New" w:cs="Courier New" w:hint="default"/>
      </w:rPr>
    </w:lvl>
    <w:lvl w:ilvl="2" w:tplc="9F86768E">
      <w:start w:val="1"/>
      <w:numFmt w:val="bullet"/>
      <w:lvlText w:val=""/>
      <w:lvlJc w:val="left"/>
      <w:pPr>
        <w:ind w:left="2160" w:hanging="360"/>
      </w:pPr>
      <w:rPr>
        <w:rFonts w:ascii="Wingdings" w:hAnsi="Wingdings" w:hint="default"/>
      </w:rPr>
    </w:lvl>
    <w:lvl w:ilvl="3" w:tplc="A628CE88">
      <w:start w:val="1"/>
      <w:numFmt w:val="bullet"/>
      <w:lvlText w:val=""/>
      <w:lvlJc w:val="left"/>
      <w:pPr>
        <w:ind w:left="2880" w:hanging="360"/>
      </w:pPr>
      <w:rPr>
        <w:rFonts w:ascii="Symbol" w:hAnsi="Symbol" w:hint="default"/>
      </w:rPr>
    </w:lvl>
    <w:lvl w:ilvl="4" w:tplc="CAF25618">
      <w:start w:val="1"/>
      <w:numFmt w:val="bullet"/>
      <w:lvlText w:val="o"/>
      <w:lvlJc w:val="left"/>
      <w:pPr>
        <w:ind w:left="3600" w:hanging="360"/>
      </w:pPr>
      <w:rPr>
        <w:rFonts w:ascii="Courier New" w:hAnsi="Courier New" w:cs="Courier New" w:hint="default"/>
      </w:rPr>
    </w:lvl>
    <w:lvl w:ilvl="5" w:tplc="69D805B4">
      <w:start w:val="1"/>
      <w:numFmt w:val="bullet"/>
      <w:lvlText w:val=""/>
      <w:lvlJc w:val="left"/>
      <w:pPr>
        <w:ind w:left="4320" w:hanging="360"/>
      </w:pPr>
      <w:rPr>
        <w:rFonts w:ascii="Wingdings" w:hAnsi="Wingdings" w:hint="default"/>
      </w:rPr>
    </w:lvl>
    <w:lvl w:ilvl="6" w:tplc="24DA22FC">
      <w:start w:val="1"/>
      <w:numFmt w:val="bullet"/>
      <w:lvlText w:val=""/>
      <w:lvlJc w:val="left"/>
      <w:pPr>
        <w:ind w:left="5040" w:hanging="360"/>
      </w:pPr>
      <w:rPr>
        <w:rFonts w:ascii="Symbol" w:hAnsi="Symbol" w:hint="default"/>
      </w:rPr>
    </w:lvl>
    <w:lvl w:ilvl="7" w:tplc="7E10887E">
      <w:start w:val="1"/>
      <w:numFmt w:val="bullet"/>
      <w:lvlText w:val="o"/>
      <w:lvlJc w:val="left"/>
      <w:pPr>
        <w:ind w:left="5760" w:hanging="360"/>
      </w:pPr>
      <w:rPr>
        <w:rFonts w:ascii="Courier New" w:hAnsi="Courier New" w:cs="Courier New" w:hint="default"/>
      </w:rPr>
    </w:lvl>
    <w:lvl w:ilvl="8" w:tplc="EE722DBA">
      <w:start w:val="1"/>
      <w:numFmt w:val="bullet"/>
      <w:lvlText w:val=""/>
      <w:lvlJc w:val="left"/>
      <w:pPr>
        <w:ind w:left="6480" w:hanging="360"/>
      </w:pPr>
      <w:rPr>
        <w:rFonts w:ascii="Wingdings" w:hAnsi="Wingdings" w:hint="default"/>
      </w:rPr>
    </w:lvl>
  </w:abstractNum>
  <w:abstractNum w:abstractNumId="29" w15:restartNumberingAfterBreak="0">
    <w:nsid w:val="3EEA4E9E"/>
    <w:multiLevelType w:val="hybridMultilevel"/>
    <w:tmpl w:val="EEA83A80"/>
    <w:lvl w:ilvl="0" w:tplc="0748A50C">
      <w:start w:val="1"/>
      <w:numFmt w:val="lowerLetter"/>
      <w:lvlText w:val="(%1)"/>
      <w:lvlJc w:val="left"/>
      <w:pPr>
        <w:ind w:left="360" w:hanging="360"/>
      </w:pPr>
      <w:rPr>
        <w:rFonts w:cs="Arial"/>
        <w:color w:val="000000" w:themeColor="text1"/>
        <w:sz w:val="16"/>
      </w:rPr>
    </w:lvl>
    <w:lvl w:ilvl="1" w:tplc="5524B802">
      <w:start w:val="1"/>
      <w:numFmt w:val="lowerLetter"/>
      <w:lvlText w:val="%2."/>
      <w:lvlJc w:val="left"/>
      <w:pPr>
        <w:ind w:left="1080" w:hanging="360"/>
      </w:pPr>
    </w:lvl>
    <w:lvl w:ilvl="2" w:tplc="B2DA04EE">
      <w:start w:val="1"/>
      <w:numFmt w:val="lowerRoman"/>
      <w:lvlText w:val="%3."/>
      <w:lvlJc w:val="right"/>
      <w:pPr>
        <w:ind w:left="1800" w:hanging="180"/>
      </w:pPr>
    </w:lvl>
    <w:lvl w:ilvl="3" w:tplc="94CC00F4">
      <w:start w:val="1"/>
      <w:numFmt w:val="decimal"/>
      <w:lvlText w:val="%4."/>
      <w:lvlJc w:val="left"/>
      <w:pPr>
        <w:ind w:left="2520" w:hanging="360"/>
      </w:pPr>
    </w:lvl>
    <w:lvl w:ilvl="4" w:tplc="E1D43842">
      <w:start w:val="1"/>
      <w:numFmt w:val="lowerLetter"/>
      <w:lvlText w:val="%5."/>
      <w:lvlJc w:val="left"/>
      <w:pPr>
        <w:ind w:left="3240" w:hanging="360"/>
      </w:pPr>
    </w:lvl>
    <w:lvl w:ilvl="5" w:tplc="9E884140">
      <w:start w:val="1"/>
      <w:numFmt w:val="lowerRoman"/>
      <w:lvlText w:val="%6."/>
      <w:lvlJc w:val="right"/>
      <w:pPr>
        <w:ind w:left="3960" w:hanging="180"/>
      </w:pPr>
    </w:lvl>
    <w:lvl w:ilvl="6" w:tplc="8B00E6CE">
      <w:start w:val="1"/>
      <w:numFmt w:val="decimal"/>
      <w:lvlText w:val="%7."/>
      <w:lvlJc w:val="left"/>
      <w:pPr>
        <w:ind w:left="4680" w:hanging="360"/>
      </w:pPr>
    </w:lvl>
    <w:lvl w:ilvl="7" w:tplc="1AA2297C">
      <w:start w:val="1"/>
      <w:numFmt w:val="lowerLetter"/>
      <w:lvlText w:val="%8."/>
      <w:lvlJc w:val="left"/>
      <w:pPr>
        <w:ind w:left="5400" w:hanging="360"/>
      </w:pPr>
    </w:lvl>
    <w:lvl w:ilvl="8" w:tplc="02667ACC">
      <w:start w:val="1"/>
      <w:numFmt w:val="lowerRoman"/>
      <w:lvlText w:val="%9."/>
      <w:lvlJc w:val="right"/>
      <w:pPr>
        <w:ind w:left="6120" w:hanging="180"/>
      </w:pPr>
    </w:lvl>
  </w:abstractNum>
  <w:abstractNum w:abstractNumId="30" w15:restartNumberingAfterBreak="0">
    <w:nsid w:val="43D7519D"/>
    <w:multiLevelType w:val="hybridMultilevel"/>
    <w:tmpl w:val="2D8E24F4"/>
    <w:lvl w:ilvl="0" w:tplc="F1ACD288">
      <w:start w:val="1"/>
      <w:numFmt w:val="lowerLetter"/>
      <w:lvlText w:val="(%1)"/>
      <w:lvlJc w:val="left"/>
      <w:pPr>
        <w:ind w:left="360" w:hanging="360"/>
      </w:pPr>
      <w:rPr>
        <w:rFonts w:ascii="Arial" w:hAnsi="Arial" w:cs="Arial" w:hint="default"/>
      </w:rPr>
    </w:lvl>
    <w:lvl w:ilvl="1" w:tplc="990CF038" w:tentative="1">
      <w:start w:val="1"/>
      <w:numFmt w:val="lowerLetter"/>
      <w:lvlText w:val="%2."/>
      <w:lvlJc w:val="left"/>
      <w:pPr>
        <w:ind w:left="1080" w:hanging="360"/>
      </w:pPr>
    </w:lvl>
    <w:lvl w:ilvl="2" w:tplc="35FE9D4A" w:tentative="1">
      <w:start w:val="1"/>
      <w:numFmt w:val="lowerRoman"/>
      <w:lvlText w:val="%3."/>
      <w:lvlJc w:val="right"/>
      <w:pPr>
        <w:ind w:left="1800" w:hanging="180"/>
      </w:pPr>
    </w:lvl>
    <w:lvl w:ilvl="3" w:tplc="BB22BD9A" w:tentative="1">
      <w:start w:val="1"/>
      <w:numFmt w:val="decimal"/>
      <w:lvlText w:val="%4."/>
      <w:lvlJc w:val="left"/>
      <w:pPr>
        <w:ind w:left="2520" w:hanging="360"/>
      </w:pPr>
    </w:lvl>
    <w:lvl w:ilvl="4" w:tplc="7124E3A2" w:tentative="1">
      <w:start w:val="1"/>
      <w:numFmt w:val="lowerLetter"/>
      <w:lvlText w:val="%5."/>
      <w:lvlJc w:val="left"/>
      <w:pPr>
        <w:ind w:left="3240" w:hanging="360"/>
      </w:pPr>
    </w:lvl>
    <w:lvl w:ilvl="5" w:tplc="80CC8AF6" w:tentative="1">
      <w:start w:val="1"/>
      <w:numFmt w:val="lowerRoman"/>
      <w:lvlText w:val="%6."/>
      <w:lvlJc w:val="right"/>
      <w:pPr>
        <w:ind w:left="3960" w:hanging="180"/>
      </w:pPr>
    </w:lvl>
    <w:lvl w:ilvl="6" w:tplc="6E706248" w:tentative="1">
      <w:start w:val="1"/>
      <w:numFmt w:val="decimal"/>
      <w:lvlText w:val="%7."/>
      <w:lvlJc w:val="left"/>
      <w:pPr>
        <w:ind w:left="4680" w:hanging="360"/>
      </w:pPr>
    </w:lvl>
    <w:lvl w:ilvl="7" w:tplc="D8EC626E" w:tentative="1">
      <w:start w:val="1"/>
      <w:numFmt w:val="lowerLetter"/>
      <w:lvlText w:val="%8."/>
      <w:lvlJc w:val="left"/>
      <w:pPr>
        <w:ind w:left="5400" w:hanging="360"/>
      </w:pPr>
    </w:lvl>
    <w:lvl w:ilvl="8" w:tplc="8BD84CD0" w:tentative="1">
      <w:start w:val="1"/>
      <w:numFmt w:val="lowerRoman"/>
      <w:lvlText w:val="%9."/>
      <w:lvlJc w:val="right"/>
      <w:pPr>
        <w:ind w:left="6120" w:hanging="180"/>
      </w:pPr>
    </w:lvl>
  </w:abstractNum>
  <w:abstractNum w:abstractNumId="31" w15:restartNumberingAfterBreak="0">
    <w:nsid w:val="47E9D0AB"/>
    <w:multiLevelType w:val="hybridMultilevel"/>
    <w:tmpl w:val="AA18EF34"/>
    <w:lvl w:ilvl="0" w:tplc="F24C0626">
      <w:start w:val="1"/>
      <w:numFmt w:val="bullet"/>
      <w:lvlText w:val=""/>
      <w:lvlJc w:val="left"/>
      <w:pPr>
        <w:ind w:left="1211" w:hanging="360"/>
      </w:pPr>
      <w:rPr>
        <w:rFonts w:ascii="Symbol" w:hAnsi="Symbol" w:hint="default"/>
        <w:color w:val="auto"/>
      </w:rPr>
    </w:lvl>
    <w:lvl w:ilvl="1" w:tplc="5502B84C">
      <w:start w:val="1"/>
      <w:numFmt w:val="bullet"/>
      <w:lvlText w:val="o"/>
      <w:lvlJc w:val="left"/>
      <w:pPr>
        <w:ind w:left="1440" w:hanging="360"/>
      </w:pPr>
      <w:rPr>
        <w:rFonts w:ascii="Courier New" w:hAnsi="Courier New" w:cs="Courier New" w:hint="default"/>
      </w:rPr>
    </w:lvl>
    <w:lvl w:ilvl="2" w:tplc="B2CCDDC6">
      <w:start w:val="1"/>
      <w:numFmt w:val="bullet"/>
      <w:lvlText w:val=""/>
      <w:lvlJc w:val="left"/>
      <w:pPr>
        <w:ind w:left="2160" w:hanging="360"/>
      </w:pPr>
      <w:rPr>
        <w:rFonts w:ascii="Wingdings" w:hAnsi="Wingdings" w:hint="default"/>
      </w:rPr>
    </w:lvl>
    <w:lvl w:ilvl="3" w:tplc="8ED89334">
      <w:start w:val="1"/>
      <w:numFmt w:val="bullet"/>
      <w:lvlText w:val=""/>
      <w:lvlJc w:val="left"/>
      <w:pPr>
        <w:ind w:left="2880" w:hanging="360"/>
      </w:pPr>
      <w:rPr>
        <w:rFonts w:ascii="Symbol" w:hAnsi="Symbol" w:hint="default"/>
      </w:rPr>
    </w:lvl>
    <w:lvl w:ilvl="4" w:tplc="B9F46FDE">
      <w:start w:val="1"/>
      <w:numFmt w:val="bullet"/>
      <w:lvlText w:val="o"/>
      <w:lvlJc w:val="left"/>
      <w:pPr>
        <w:ind w:left="3600" w:hanging="360"/>
      </w:pPr>
      <w:rPr>
        <w:rFonts w:ascii="Courier New" w:hAnsi="Courier New" w:cs="Courier New" w:hint="default"/>
      </w:rPr>
    </w:lvl>
    <w:lvl w:ilvl="5" w:tplc="2A78C6C0">
      <w:start w:val="1"/>
      <w:numFmt w:val="bullet"/>
      <w:lvlText w:val=""/>
      <w:lvlJc w:val="left"/>
      <w:pPr>
        <w:ind w:left="4320" w:hanging="360"/>
      </w:pPr>
      <w:rPr>
        <w:rFonts w:ascii="Wingdings" w:hAnsi="Wingdings" w:hint="default"/>
      </w:rPr>
    </w:lvl>
    <w:lvl w:ilvl="6" w:tplc="371C7BB8">
      <w:start w:val="1"/>
      <w:numFmt w:val="bullet"/>
      <w:lvlText w:val=""/>
      <w:lvlJc w:val="left"/>
      <w:pPr>
        <w:ind w:left="5040" w:hanging="360"/>
      </w:pPr>
      <w:rPr>
        <w:rFonts w:ascii="Symbol" w:hAnsi="Symbol" w:hint="default"/>
      </w:rPr>
    </w:lvl>
    <w:lvl w:ilvl="7" w:tplc="B6DED6BC">
      <w:start w:val="1"/>
      <w:numFmt w:val="bullet"/>
      <w:lvlText w:val="o"/>
      <w:lvlJc w:val="left"/>
      <w:pPr>
        <w:ind w:left="5760" w:hanging="360"/>
      </w:pPr>
      <w:rPr>
        <w:rFonts w:ascii="Courier New" w:hAnsi="Courier New" w:cs="Courier New" w:hint="default"/>
      </w:rPr>
    </w:lvl>
    <w:lvl w:ilvl="8" w:tplc="6786FFE2">
      <w:start w:val="1"/>
      <w:numFmt w:val="bullet"/>
      <w:lvlText w:val=""/>
      <w:lvlJc w:val="left"/>
      <w:pPr>
        <w:ind w:left="6480" w:hanging="360"/>
      </w:pPr>
      <w:rPr>
        <w:rFonts w:ascii="Wingdings" w:hAnsi="Wingdings" w:hint="default"/>
      </w:rPr>
    </w:lvl>
  </w:abstractNum>
  <w:abstractNum w:abstractNumId="32" w15:restartNumberingAfterBreak="0">
    <w:nsid w:val="49AD67EC"/>
    <w:multiLevelType w:val="hybridMultilevel"/>
    <w:tmpl w:val="B28C1314"/>
    <w:lvl w:ilvl="0" w:tplc="E4D449D4">
      <w:start w:val="1"/>
      <w:numFmt w:val="lowerLetter"/>
      <w:lvlText w:val="(%1)"/>
      <w:lvlJc w:val="left"/>
      <w:pPr>
        <w:tabs>
          <w:tab w:val="num" w:pos="397"/>
        </w:tabs>
        <w:ind w:left="397" w:hanging="397"/>
      </w:pPr>
      <w:rPr>
        <w:rFonts w:ascii="Arial" w:hAnsi="Arial" w:cs="Times New Roman" w:hint="default"/>
        <w:b w:val="0"/>
        <w:i w:val="0"/>
        <w:sz w:val="16"/>
        <w:szCs w:val="16"/>
      </w:rPr>
    </w:lvl>
    <w:lvl w:ilvl="1" w:tplc="C232AE3C">
      <w:start w:val="1"/>
      <w:numFmt w:val="lowerLetter"/>
      <w:lvlText w:val="%2."/>
      <w:lvlJc w:val="left"/>
      <w:pPr>
        <w:ind w:left="1440" w:hanging="360"/>
      </w:pPr>
    </w:lvl>
    <w:lvl w:ilvl="2" w:tplc="DE2CC616">
      <w:start w:val="1"/>
      <w:numFmt w:val="lowerRoman"/>
      <w:lvlText w:val="%3."/>
      <w:lvlJc w:val="right"/>
      <w:pPr>
        <w:ind w:left="2160" w:hanging="180"/>
      </w:pPr>
    </w:lvl>
    <w:lvl w:ilvl="3" w:tplc="ABECF3B6">
      <w:start w:val="1"/>
      <w:numFmt w:val="decimal"/>
      <w:lvlText w:val="%4."/>
      <w:lvlJc w:val="left"/>
      <w:pPr>
        <w:ind w:left="2880" w:hanging="360"/>
      </w:pPr>
    </w:lvl>
    <w:lvl w:ilvl="4" w:tplc="0E8097B0">
      <w:start w:val="1"/>
      <w:numFmt w:val="lowerLetter"/>
      <w:lvlText w:val="%5."/>
      <w:lvlJc w:val="left"/>
      <w:pPr>
        <w:ind w:left="3600" w:hanging="360"/>
      </w:pPr>
    </w:lvl>
    <w:lvl w:ilvl="5" w:tplc="E57A3E56">
      <w:start w:val="1"/>
      <w:numFmt w:val="lowerRoman"/>
      <w:lvlText w:val="%6."/>
      <w:lvlJc w:val="right"/>
      <w:pPr>
        <w:ind w:left="4320" w:hanging="180"/>
      </w:pPr>
    </w:lvl>
    <w:lvl w:ilvl="6" w:tplc="C8AACEDC">
      <w:start w:val="1"/>
      <w:numFmt w:val="decimal"/>
      <w:lvlText w:val="%7."/>
      <w:lvlJc w:val="left"/>
      <w:pPr>
        <w:ind w:left="5040" w:hanging="360"/>
      </w:pPr>
    </w:lvl>
    <w:lvl w:ilvl="7" w:tplc="5BFC4D92">
      <w:start w:val="1"/>
      <w:numFmt w:val="lowerLetter"/>
      <w:lvlText w:val="%8."/>
      <w:lvlJc w:val="left"/>
      <w:pPr>
        <w:ind w:left="5760" w:hanging="360"/>
      </w:pPr>
    </w:lvl>
    <w:lvl w:ilvl="8" w:tplc="4FE69FC8">
      <w:start w:val="1"/>
      <w:numFmt w:val="lowerRoman"/>
      <w:lvlText w:val="%9."/>
      <w:lvlJc w:val="right"/>
      <w:pPr>
        <w:ind w:left="6480" w:hanging="180"/>
      </w:pPr>
    </w:lvl>
  </w:abstractNum>
  <w:abstractNum w:abstractNumId="33" w15:restartNumberingAfterBreak="0">
    <w:nsid w:val="515D0455"/>
    <w:multiLevelType w:val="hybridMultilevel"/>
    <w:tmpl w:val="B28C1314"/>
    <w:lvl w:ilvl="0" w:tplc="DBFCD114">
      <w:start w:val="1"/>
      <w:numFmt w:val="lowerLetter"/>
      <w:lvlText w:val="(%1)"/>
      <w:lvlJc w:val="left"/>
      <w:pPr>
        <w:tabs>
          <w:tab w:val="num" w:pos="397"/>
        </w:tabs>
        <w:ind w:left="397" w:hanging="397"/>
      </w:pPr>
      <w:rPr>
        <w:rFonts w:ascii="Arial" w:hAnsi="Arial" w:cs="Times New Roman" w:hint="default"/>
        <w:b w:val="0"/>
        <w:i w:val="0"/>
        <w:sz w:val="16"/>
        <w:szCs w:val="16"/>
      </w:rPr>
    </w:lvl>
    <w:lvl w:ilvl="1" w:tplc="8FCAB748">
      <w:start w:val="1"/>
      <w:numFmt w:val="lowerLetter"/>
      <w:lvlText w:val="%2."/>
      <w:lvlJc w:val="left"/>
      <w:pPr>
        <w:ind w:left="1440" w:hanging="360"/>
      </w:pPr>
    </w:lvl>
    <w:lvl w:ilvl="2" w:tplc="FC806424">
      <w:start w:val="1"/>
      <w:numFmt w:val="lowerRoman"/>
      <w:lvlText w:val="%3."/>
      <w:lvlJc w:val="right"/>
      <w:pPr>
        <w:ind w:left="2160" w:hanging="180"/>
      </w:pPr>
    </w:lvl>
    <w:lvl w:ilvl="3" w:tplc="1EFE393A">
      <w:start w:val="1"/>
      <w:numFmt w:val="decimal"/>
      <w:lvlText w:val="%4."/>
      <w:lvlJc w:val="left"/>
      <w:pPr>
        <w:ind w:left="2880" w:hanging="360"/>
      </w:pPr>
    </w:lvl>
    <w:lvl w:ilvl="4" w:tplc="D45A13C2">
      <w:start w:val="1"/>
      <w:numFmt w:val="lowerLetter"/>
      <w:lvlText w:val="%5."/>
      <w:lvlJc w:val="left"/>
      <w:pPr>
        <w:ind w:left="3600" w:hanging="360"/>
      </w:pPr>
    </w:lvl>
    <w:lvl w:ilvl="5" w:tplc="3A44A910">
      <w:start w:val="1"/>
      <w:numFmt w:val="lowerRoman"/>
      <w:lvlText w:val="%6."/>
      <w:lvlJc w:val="right"/>
      <w:pPr>
        <w:ind w:left="4320" w:hanging="180"/>
      </w:pPr>
    </w:lvl>
    <w:lvl w:ilvl="6" w:tplc="69AC8D9C">
      <w:start w:val="1"/>
      <w:numFmt w:val="decimal"/>
      <w:lvlText w:val="%7."/>
      <w:lvlJc w:val="left"/>
      <w:pPr>
        <w:ind w:left="5040" w:hanging="360"/>
      </w:pPr>
    </w:lvl>
    <w:lvl w:ilvl="7" w:tplc="21368984">
      <w:start w:val="1"/>
      <w:numFmt w:val="lowerLetter"/>
      <w:lvlText w:val="%8."/>
      <w:lvlJc w:val="left"/>
      <w:pPr>
        <w:ind w:left="5760" w:hanging="360"/>
      </w:pPr>
    </w:lvl>
    <w:lvl w:ilvl="8" w:tplc="0A049EE8">
      <w:start w:val="1"/>
      <w:numFmt w:val="lowerRoman"/>
      <w:lvlText w:val="%9."/>
      <w:lvlJc w:val="right"/>
      <w:pPr>
        <w:ind w:left="6480" w:hanging="180"/>
      </w:pPr>
    </w:lvl>
  </w:abstractNum>
  <w:abstractNum w:abstractNumId="34" w15:restartNumberingAfterBreak="0">
    <w:nsid w:val="52D33620"/>
    <w:multiLevelType w:val="hybridMultilevel"/>
    <w:tmpl w:val="5E2E8AFC"/>
    <w:lvl w:ilvl="0" w:tplc="5D76FD32">
      <w:start w:val="1"/>
      <w:numFmt w:val="lowerLetter"/>
      <w:lvlText w:val="(%1)"/>
      <w:lvlJc w:val="left"/>
      <w:pPr>
        <w:ind w:left="360" w:hanging="360"/>
      </w:pPr>
      <w:rPr>
        <w:rFonts w:ascii="Arial" w:hAnsi="Arial" w:cs="Arial" w:hint="default"/>
        <w:sz w:val="16"/>
      </w:rPr>
    </w:lvl>
    <w:lvl w:ilvl="1" w:tplc="68CA79B0" w:tentative="1">
      <w:start w:val="1"/>
      <w:numFmt w:val="lowerLetter"/>
      <w:lvlText w:val="%2."/>
      <w:lvlJc w:val="left"/>
      <w:pPr>
        <w:ind w:left="1080" w:hanging="360"/>
      </w:pPr>
    </w:lvl>
    <w:lvl w:ilvl="2" w:tplc="C5B2E3FA" w:tentative="1">
      <w:start w:val="1"/>
      <w:numFmt w:val="lowerRoman"/>
      <w:lvlText w:val="%3."/>
      <w:lvlJc w:val="right"/>
      <w:pPr>
        <w:ind w:left="1800" w:hanging="180"/>
      </w:pPr>
    </w:lvl>
    <w:lvl w:ilvl="3" w:tplc="9C0879E6" w:tentative="1">
      <w:start w:val="1"/>
      <w:numFmt w:val="decimal"/>
      <w:lvlText w:val="%4."/>
      <w:lvlJc w:val="left"/>
      <w:pPr>
        <w:ind w:left="2520" w:hanging="360"/>
      </w:pPr>
    </w:lvl>
    <w:lvl w:ilvl="4" w:tplc="E70C3F9C" w:tentative="1">
      <w:start w:val="1"/>
      <w:numFmt w:val="lowerLetter"/>
      <w:lvlText w:val="%5."/>
      <w:lvlJc w:val="left"/>
      <w:pPr>
        <w:ind w:left="3240" w:hanging="360"/>
      </w:pPr>
    </w:lvl>
    <w:lvl w:ilvl="5" w:tplc="A23096F0" w:tentative="1">
      <w:start w:val="1"/>
      <w:numFmt w:val="lowerRoman"/>
      <w:lvlText w:val="%6."/>
      <w:lvlJc w:val="right"/>
      <w:pPr>
        <w:ind w:left="3960" w:hanging="180"/>
      </w:pPr>
    </w:lvl>
    <w:lvl w:ilvl="6" w:tplc="EDDE1134" w:tentative="1">
      <w:start w:val="1"/>
      <w:numFmt w:val="decimal"/>
      <w:lvlText w:val="%7."/>
      <w:lvlJc w:val="left"/>
      <w:pPr>
        <w:ind w:left="4680" w:hanging="360"/>
      </w:pPr>
    </w:lvl>
    <w:lvl w:ilvl="7" w:tplc="49803CFA" w:tentative="1">
      <w:start w:val="1"/>
      <w:numFmt w:val="lowerLetter"/>
      <w:lvlText w:val="%8."/>
      <w:lvlJc w:val="left"/>
      <w:pPr>
        <w:ind w:left="5400" w:hanging="360"/>
      </w:pPr>
    </w:lvl>
    <w:lvl w:ilvl="8" w:tplc="9FDEB3DC" w:tentative="1">
      <w:start w:val="1"/>
      <w:numFmt w:val="lowerRoman"/>
      <w:lvlText w:val="%9."/>
      <w:lvlJc w:val="right"/>
      <w:pPr>
        <w:ind w:left="6120" w:hanging="180"/>
      </w:pPr>
    </w:lvl>
  </w:abstractNum>
  <w:abstractNum w:abstractNumId="35" w15:restartNumberingAfterBreak="0">
    <w:nsid w:val="53B887C7"/>
    <w:multiLevelType w:val="hybridMultilevel"/>
    <w:tmpl w:val="8DD4961E"/>
    <w:lvl w:ilvl="0" w:tplc="B56C5E14">
      <w:start w:val="1"/>
      <w:numFmt w:val="bullet"/>
      <w:lvlText w:val=""/>
      <w:lvlJc w:val="left"/>
      <w:pPr>
        <w:ind w:left="360" w:hanging="360"/>
      </w:pPr>
      <w:rPr>
        <w:rFonts w:ascii="Symbol" w:hAnsi="Symbol" w:hint="default"/>
      </w:rPr>
    </w:lvl>
    <w:lvl w:ilvl="1" w:tplc="9C6C5820">
      <w:start w:val="1"/>
      <w:numFmt w:val="bullet"/>
      <w:lvlText w:val="o"/>
      <w:lvlJc w:val="left"/>
      <w:pPr>
        <w:ind w:left="1080" w:hanging="360"/>
      </w:pPr>
      <w:rPr>
        <w:rFonts w:ascii="Courier New" w:hAnsi="Courier New" w:cs="Courier New" w:hint="default"/>
      </w:rPr>
    </w:lvl>
    <w:lvl w:ilvl="2" w:tplc="48EC0F48">
      <w:start w:val="1"/>
      <w:numFmt w:val="bullet"/>
      <w:lvlText w:val=""/>
      <w:lvlJc w:val="left"/>
      <w:pPr>
        <w:ind w:left="1800" w:hanging="360"/>
      </w:pPr>
      <w:rPr>
        <w:rFonts w:ascii="Wingdings" w:hAnsi="Wingdings" w:hint="default"/>
      </w:rPr>
    </w:lvl>
    <w:lvl w:ilvl="3" w:tplc="957C24AE">
      <w:start w:val="1"/>
      <w:numFmt w:val="bullet"/>
      <w:lvlText w:val=""/>
      <w:lvlJc w:val="left"/>
      <w:pPr>
        <w:ind w:left="2520" w:hanging="360"/>
      </w:pPr>
      <w:rPr>
        <w:rFonts w:ascii="Symbol" w:hAnsi="Symbol" w:hint="default"/>
      </w:rPr>
    </w:lvl>
    <w:lvl w:ilvl="4" w:tplc="8DB02CD2">
      <w:start w:val="1"/>
      <w:numFmt w:val="bullet"/>
      <w:lvlText w:val="o"/>
      <w:lvlJc w:val="left"/>
      <w:pPr>
        <w:ind w:left="3240" w:hanging="360"/>
      </w:pPr>
      <w:rPr>
        <w:rFonts w:ascii="Courier New" w:hAnsi="Courier New" w:cs="Courier New" w:hint="default"/>
      </w:rPr>
    </w:lvl>
    <w:lvl w:ilvl="5" w:tplc="E5160EBE">
      <w:start w:val="1"/>
      <w:numFmt w:val="bullet"/>
      <w:lvlText w:val=""/>
      <w:lvlJc w:val="left"/>
      <w:pPr>
        <w:ind w:left="3960" w:hanging="360"/>
      </w:pPr>
      <w:rPr>
        <w:rFonts w:ascii="Wingdings" w:hAnsi="Wingdings" w:hint="default"/>
      </w:rPr>
    </w:lvl>
    <w:lvl w:ilvl="6" w:tplc="ED44F766">
      <w:start w:val="1"/>
      <w:numFmt w:val="bullet"/>
      <w:lvlText w:val=""/>
      <w:lvlJc w:val="left"/>
      <w:pPr>
        <w:ind w:left="4680" w:hanging="360"/>
      </w:pPr>
      <w:rPr>
        <w:rFonts w:ascii="Symbol" w:hAnsi="Symbol" w:hint="default"/>
      </w:rPr>
    </w:lvl>
    <w:lvl w:ilvl="7" w:tplc="C10EEC1A">
      <w:start w:val="1"/>
      <w:numFmt w:val="bullet"/>
      <w:lvlText w:val="o"/>
      <w:lvlJc w:val="left"/>
      <w:pPr>
        <w:ind w:left="5400" w:hanging="360"/>
      </w:pPr>
      <w:rPr>
        <w:rFonts w:ascii="Courier New" w:hAnsi="Courier New" w:cs="Courier New" w:hint="default"/>
      </w:rPr>
    </w:lvl>
    <w:lvl w:ilvl="8" w:tplc="48AAF278">
      <w:start w:val="1"/>
      <w:numFmt w:val="bullet"/>
      <w:lvlText w:val=""/>
      <w:lvlJc w:val="left"/>
      <w:pPr>
        <w:ind w:left="6120" w:hanging="360"/>
      </w:pPr>
      <w:rPr>
        <w:rFonts w:ascii="Wingdings" w:hAnsi="Wingdings" w:hint="default"/>
      </w:rPr>
    </w:lvl>
  </w:abstractNum>
  <w:abstractNum w:abstractNumId="36" w15:restartNumberingAfterBreak="0">
    <w:nsid w:val="5CCC490A"/>
    <w:multiLevelType w:val="hybridMultilevel"/>
    <w:tmpl w:val="59128F58"/>
    <w:lvl w:ilvl="0" w:tplc="9F90C294">
      <w:start w:val="1"/>
      <w:numFmt w:val="lowerLetter"/>
      <w:lvlText w:val="(%1)"/>
      <w:lvlJc w:val="left"/>
      <w:pPr>
        <w:ind w:left="360" w:hanging="360"/>
      </w:pPr>
      <w:rPr>
        <w:rFonts w:ascii="Arial" w:hAnsi="Arial" w:cs="Arial" w:hint="default"/>
        <w:sz w:val="16"/>
      </w:rPr>
    </w:lvl>
    <w:lvl w:ilvl="1" w:tplc="79F674CA" w:tentative="1">
      <w:start w:val="1"/>
      <w:numFmt w:val="lowerLetter"/>
      <w:lvlText w:val="%2."/>
      <w:lvlJc w:val="left"/>
      <w:pPr>
        <w:ind w:left="1080" w:hanging="360"/>
      </w:pPr>
    </w:lvl>
    <w:lvl w:ilvl="2" w:tplc="E83CC2F2" w:tentative="1">
      <w:start w:val="1"/>
      <w:numFmt w:val="lowerRoman"/>
      <w:lvlText w:val="%3."/>
      <w:lvlJc w:val="right"/>
      <w:pPr>
        <w:ind w:left="1800" w:hanging="180"/>
      </w:pPr>
    </w:lvl>
    <w:lvl w:ilvl="3" w:tplc="6AA01B3C" w:tentative="1">
      <w:start w:val="1"/>
      <w:numFmt w:val="decimal"/>
      <w:lvlText w:val="%4."/>
      <w:lvlJc w:val="left"/>
      <w:pPr>
        <w:ind w:left="2520" w:hanging="360"/>
      </w:pPr>
    </w:lvl>
    <w:lvl w:ilvl="4" w:tplc="37D07EC2" w:tentative="1">
      <w:start w:val="1"/>
      <w:numFmt w:val="lowerLetter"/>
      <w:lvlText w:val="%5."/>
      <w:lvlJc w:val="left"/>
      <w:pPr>
        <w:ind w:left="3240" w:hanging="360"/>
      </w:pPr>
    </w:lvl>
    <w:lvl w:ilvl="5" w:tplc="55E47308" w:tentative="1">
      <w:start w:val="1"/>
      <w:numFmt w:val="lowerRoman"/>
      <w:lvlText w:val="%6."/>
      <w:lvlJc w:val="right"/>
      <w:pPr>
        <w:ind w:left="3960" w:hanging="180"/>
      </w:pPr>
    </w:lvl>
    <w:lvl w:ilvl="6" w:tplc="5FCCAD92" w:tentative="1">
      <w:start w:val="1"/>
      <w:numFmt w:val="decimal"/>
      <w:lvlText w:val="%7."/>
      <w:lvlJc w:val="left"/>
      <w:pPr>
        <w:ind w:left="4680" w:hanging="360"/>
      </w:pPr>
    </w:lvl>
    <w:lvl w:ilvl="7" w:tplc="4F06FB2E" w:tentative="1">
      <w:start w:val="1"/>
      <w:numFmt w:val="lowerLetter"/>
      <w:lvlText w:val="%8."/>
      <w:lvlJc w:val="left"/>
      <w:pPr>
        <w:ind w:left="5400" w:hanging="360"/>
      </w:pPr>
    </w:lvl>
    <w:lvl w:ilvl="8" w:tplc="DC80A2B6" w:tentative="1">
      <w:start w:val="1"/>
      <w:numFmt w:val="lowerRoman"/>
      <w:lvlText w:val="%9."/>
      <w:lvlJc w:val="right"/>
      <w:pPr>
        <w:ind w:left="6120" w:hanging="180"/>
      </w:pPr>
    </w:lvl>
  </w:abstractNum>
  <w:abstractNum w:abstractNumId="37" w15:restartNumberingAfterBreak="0">
    <w:nsid w:val="5D060B9D"/>
    <w:multiLevelType w:val="hybridMultilevel"/>
    <w:tmpl w:val="C64E2C9C"/>
    <w:lvl w:ilvl="0" w:tplc="CE8C6B76">
      <w:start w:val="1"/>
      <w:numFmt w:val="lowerLetter"/>
      <w:lvlText w:val="(%1)"/>
      <w:lvlJc w:val="left"/>
      <w:pPr>
        <w:ind w:left="360" w:hanging="360"/>
      </w:pPr>
      <w:rPr>
        <w:rFonts w:ascii="Arial" w:hAnsi="Arial" w:cs="Arial" w:hint="default"/>
      </w:rPr>
    </w:lvl>
    <w:lvl w:ilvl="1" w:tplc="96CA416C" w:tentative="1">
      <w:start w:val="1"/>
      <w:numFmt w:val="lowerLetter"/>
      <w:lvlText w:val="%2."/>
      <w:lvlJc w:val="left"/>
      <w:pPr>
        <w:ind w:left="1080" w:hanging="360"/>
      </w:pPr>
    </w:lvl>
    <w:lvl w:ilvl="2" w:tplc="44CCA4B4" w:tentative="1">
      <w:start w:val="1"/>
      <w:numFmt w:val="lowerRoman"/>
      <w:lvlText w:val="%3."/>
      <w:lvlJc w:val="right"/>
      <w:pPr>
        <w:ind w:left="1800" w:hanging="180"/>
      </w:pPr>
    </w:lvl>
    <w:lvl w:ilvl="3" w:tplc="1C765638" w:tentative="1">
      <w:start w:val="1"/>
      <w:numFmt w:val="decimal"/>
      <w:lvlText w:val="%4."/>
      <w:lvlJc w:val="left"/>
      <w:pPr>
        <w:ind w:left="2520" w:hanging="360"/>
      </w:pPr>
    </w:lvl>
    <w:lvl w:ilvl="4" w:tplc="0BE0CECA" w:tentative="1">
      <w:start w:val="1"/>
      <w:numFmt w:val="lowerLetter"/>
      <w:lvlText w:val="%5."/>
      <w:lvlJc w:val="left"/>
      <w:pPr>
        <w:ind w:left="3240" w:hanging="360"/>
      </w:pPr>
    </w:lvl>
    <w:lvl w:ilvl="5" w:tplc="AD700E48" w:tentative="1">
      <w:start w:val="1"/>
      <w:numFmt w:val="lowerRoman"/>
      <w:lvlText w:val="%6."/>
      <w:lvlJc w:val="right"/>
      <w:pPr>
        <w:ind w:left="3960" w:hanging="180"/>
      </w:pPr>
    </w:lvl>
    <w:lvl w:ilvl="6" w:tplc="2376DEF8" w:tentative="1">
      <w:start w:val="1"/>
      <w:numFmt w:val="decimal"/>
      <w:lvlText w:val="%7."/>
      <w:lvlJc w:val="left"/>
      <w:pPr>
        <w:ind w:left="4680" w:hanging="360"/>
      </w:pPr>
    </w:lvl>
    <w:lvl w:ilvl="7" w:tplc="869448A4" w:tentative="1">
      <w:start w:val="1"/>
      <w:numFmt w:val="lowerLetter"/>
      <w:lvlText w:val="%8."/>
      <w:lvlJc w:val="left"/>
      <w:pPr>
        <w:ind w:left="5400" w:hanging="360"/>
      </w:pPr>
    </w:lvl>
    <w:lvl w:ilvl="8" w:tplc="0C86E498" w:tentative="1">
      <w:start w:val="1"/>
      <w:numFmt w:val="lowerRoman"/>
      <w:lvlText w:val="%9."/>
      <w:lvlJc w:val="right"/>
      <w:pPr>
        <w:ind w:left="6120" w:hanging="180"/>
      </w:pPr>
    </w:lvl>
  </w:abstractNum>
  <w:abstractNum w:abstractNumId="38" w15:restartNumberingAfterBreak="0">
    <w:nsid w:val="5DA66C19"/>
    <w:multiLevelType w:val="hybridMultilevel"/>
    <w:tmpl w:val="67048826"/>
    <w:lvl w:ilvl="0" w:tplc="0F2EA136">
      <w:start w:val="1"/>
      <w:numFmt w:val="bullet"/>
      <w:lvlText w:val=""/>
      <w:lvlJc w:val="left"/>
      <w:pPr>
        <w:ind w:left="360" w:hanging="360"/>
      </w:pPr>
      <w:rPr>
        <w:rFonts w:ascii="Symbol" w:hAnsi="Symbol" w:hint="default"/>
        <w:color w:val="auto"/>
      </w:rPr>
    </w:lvl>
    <w:lvl w:ilvl="1" w:tplc="0976415E">
      <w:start w:val="1"/>
      <w:numFmt w:val="bullet"/>
      <w:lvlText w:val="o"/>
      <w:lvlJc w:val="left"/>
      <w:pPr>
        <w:ind w:left="1080" w:hanging="360"/>
      </w:pPr>
      <w:rPr>
        <w:rFonts w:ascii="Courier New" w:hAnsi="Courier New" w:cs="Courier New" w:hint="default"/>
      </w:rPr>
    </w:lvl>
    <w:lvl w:ilvl="2" w:tplc="356E4316">
      <w:start w:val="1"/>
      <w:numFmt w:val="bullet"/>
      <w:lvlText w:val=""/>
      <w:lvlJc w:val="left"/>
      <w:pPr>
        <w:ind w:left="1800" w:hanging="360"/>
      </w:pPr>
      <w:rPr>
        <w:rFonts w:ascii="Wingdings" w:hAnsi="Wingdings" w:hint="default"/>
      </w:rPr>
    </w:lvl>
    <w:lvl w:ilvl="3" w:tplc="1332A984">
      <w:start w:val="1"/>
      <w:numFmt w:val="bullet"/>
      <w:lvlText w:val=""/>
      <w:lvlJc w:val="left"/>
      <w:pPr>
        <w:ind w:left="2520" w:hanging="360"/>
      </w:pPr>
      <w:rPr>
        <w:rFonts w:ascii="Symbol" w:hAnsi="Symbol" w:hint="default"/>
      </w:rPr>
    </w:lvl>
    <w:lvl w:ilvl="4" w:tplc="AB2C288C">
      <w:start w:val="1"/>
      <w:numFmt w:val="bullet"/>
      <w:lvlText w:val="o"/>
      <w:lvlJc w:val="left"/>
      <w:pPr>
        <w:ind w:left="3240" w:hanging="360"/>
      </w:pPr>
      <w:rPr>
        <w:rFonts w:ascii="Courier New" w:hAnsi="Courier New" w:cs="Courier New" w:hint="default"/>
      </w:rPr>
    </w:lvl>
    <w:lvl w:ilvl="5" w:tplc="CB2CF8B2">
      <w:start w:val="1"/>
      <w:numFmt w:val="bullet"/>
      <w:lvlText w:val=""/>
      <w:lvlJc w:val="left"/>
      <w:pPr>
        <w:ind w:left="3960" w:hanging="360"/>
      </w:pPr>
      <w:rPr>
        <w:rFonts w:ascii="Wingdings" w:hAnsi="Wingdings" w:hint="default"/>
      </w:rPr>
    </w:lvl>
    <w:lvl w:ilvl="6" w:tplc="5C582342">
      <w:start w:val="1"/>
      <w:numFmt w:val="bullet"/>
      <w:lvlText w:val=""/>
      <w:lvlJc w:val="left"/>
      <w:pPr>
        <w:ind w:left="4680" w:hanging="360"/>
      </w:pPr>
      <w:rPr>
        <w:rFonts w:ascii="Symbol" w:hAnsi="Symbol" w:hint="default"/>
      </w:rPr>
    </w:lvl>
    <w:lvl w:ilvl="7" w:tplc="E2C2E2D2">
      <w:start w:val="1"/>
      <w:numFmt w:val="bullet"/>
      <w:lvlText w:val="o"/>
      <w:lvlJc w:val="left"/>
      <w:pPr>
        <w:ind w:left="5400" w:hanging="360"/>
      </w:pPr>
      <w:rPr>
        <w:rFonts w:ascii="Courier New" w:hAnsi="Courier New" w:cs="Courier New" w:hint="default"/>
      </w:rPr>
    </w:lvl>
    <w:lvl w:ilvl="8" w:tplc="35C071C6">
      <w:start w:val="1"/>
      <w:numFmt w:val="bullet"/>
      <w:lvlText w:val=""/>
      <w:lvlJc w:val="left"/>
      <w:pPr>
        <w:ind w:left="6120" w:hanging="360"/>
      </w:pPr>
      <w:rPr>
        <w:rFonts w:ascii="Wingdings" w:hAnsi="Wingdings" w:hint="default"/>
      </w:rPr>
    </w:lvl>
  </w:abstractNum>
  <w:abstractNum w:abstractNumId="39" w15:restartNumberingAfterBreak="0">
    <w:nsid w:val="5F063381"/>
    <w:multiLevelType w:val="hybridMultilevel"/>
    <w:tmpl w:val="905CAF5A"/>
    <w:lvl w:ilvl="0" w:tplc="AE08DF04">
      <w:start w:val="1"/>
      <w:numFmt w:val="lowerLetter"/>
      <w:lvlText w:val="(%1)"/>
      <w:lvlJc w:val="left"/>
      <w:pPr>
        <w:ind w:left="360" w:hanging="360"/>
      </w:pPr>
      <w:rPr>
        <w:rFonts w:ascii="Arial" w:eastAsia="Calibri" w:hAnsi="Arial" w:cs="Arial" w:hint="default"/>
      </w:rPr>
    </w:lvl>
    <w:lvl w:ilvl="1" w:tplc="E13406BA" w:tentative="1">
      <w:start w:val="1"/>
      <w:numFmt w:val="lowerLetter"/>
      <w:lvlText w:val="%2."/>
      <w:lvlJc w:val="left"/>
      <w:pPr>
        <w:ind w:left="1080" w:hanging="360"/>
      </w:pPr>
    </w:lvl>
    <w:lvl w:ilvl="2" w:tplc="47225E00" w:tentative="1">
      <w:start w:val="1"/>
      <w:numFmt w:val="lowerRoman"/>
      <w:lvlText w:val="%3."/>
      <w:lvlJc w:val="right"/>
      <w:pPr>
        <w:ind w:left="1800" w:hanging="180"/>
      </w:pPr>
    </w:lvl>
    <w:lvl w:ilvl="3" w:tplc="A55A0066" w:tentative="1">
      <w:start w:val="1"/>
      <w:numFmt w:val="decimal"/>
      <w:lvlText w:val="%4."/>
      <w:lvlJc w:val="left"/>
      <w:pPr>
        <w:ind w:left="2520" w:hanging="360"/>
      </w:pPr>
    </w:lvl>
    <w:lvl w:ilvl="4" w:tplc="C02E1862" w:tentative="1">
      <w:start w:val="1"/>
      <w:numFmt w:val="lowerLetter"/>
      <w:lvlText w:val="%5."/>
      <w:lvlJc w:val="left"/>
      <w:pPr>
        <w:ind w:left="3240" w:hanging="360"/>
      </w:pPr>
    </w:lvl>
    <w:lvl w:ilvl="5" w:tplc="D8ACDFDC" w:tentative="1">
      <w:start w:val="1"/>
      <w:numFmt w:val="lowerRoman"/>
      <w:lvlText w:val="%6."/>
      <w:lvlJc w:val="right"/>
      <w:pPr>
        <w:ind w:left="3960" w:hanging="180"/>
      </w:pPr>
    </w:lvl>
    <w:lvl w:ilvl="6" w:tplc="883E52CE" w:tentative="1">
      <w:start w:val="1"/>
      <w:numFmt w:val="decimal"/>
      <w:lvlText w:val="%7."/>
      <w:lvlJc w:val="left"/>
      <w:pPr>
        <w:ind w:left="4680" w:hanging="360"/>
      </w:pPr>
    </w:lvl>
    <w:lvl w:ilvl="7" w:tplc="15A0EE64" w:tentative="1">
      <w:start w:val="1"/>
      <w:numFmt w:val="lowerLetter"/>
      <w:lvlText w:val="%8."/>
      <w:lvlJc w:val="left"/>
      <w:pPr>
        <w:ind w:left="5400" w:hanging="360"/>
      </w:pPr>
    </w:lvl>
    <w:lvl w:ilvl="8" w:tplc="244A826E" w:tentative="1">
      <w:start w:val="1"/>
      <w:numFmt w:val="lowerRoman"/>
      <w:lvlText w:val="%9."/>
      <w:lvlJc w:val="right"/>
      <w:pPr>
        <w:ind w:left="6120" w:hanging="180"/>
      </w:pPr>
    </w:lvl>
  </w:abstractNum>
  <w:abstractNum w:abstractNumId="40" w15:restartNumberingAfterBreak="0">
    <w:nsid w:val="5F48504A"/>
    <w:multiLevelType w:val="hybridMultilevel"/>
    <w:tmpl w:val="EA8229BA"/>
    <w:lvl w:ilvl="0" w:tplc="D8FE14E4">
      <w:start w:val="1"/>
      <w:numFmt w:val="lowerLetter"/>
      <w:lvlText w:val="(%1)"/>
      <w:lvlJc w:val="left"/>
      <w:pPr>
        <w:ind w:left="360" w:hanging="360"/>
      </w:pPr>
      <w:rPr>
        <w:rFonts w:ascii="Arial" w:eastAsia="Times New Roman" w:hAnsi="Arial" w:cs="Arial"/>
      </w:rPr>
    </w:lvl>
    <w:lvl w:ilvl="1" w:tplc="BE4E558C">
      <w:start w:val="1"/>
      <w:numFmt w:val="lowerLetter"/>
      <w:lvlText w:val="%2."/>
      <w:lvlJc w:val="left"/>
      <w:pPr>
        <w:ind w:left="1080" w:hanging="360"/>
      </w:pPr>
    </w:lvl>
    <w:lvl w:ilvl="2" w:tplc="48DA531A">
      <w:start w:val="1"/>
      <w:numFmt w:val="lowerRoman"/>
      <w:lvlText w:val="%3."/>
      <w:lvlJc w:val="right"/>
      <w:pPr>
        <w:ind w:left="1800" w:hanging="180"/>
      </w:pPr>
    </w:lvl>
    <w:lvl w:ilvl="3" w:tplc="5E20459E">
      <w:start w:val="1"/>
      <w:numFmt w:val="decimal"/>
      <w:lvlText w:val="%4."/>
      <w:lvlJc w:val="left"/>
      <w:pPr>
        <w:ind w:left="2520" w:hanging="360"/>
      </w:pPr>
    </w:lvl>
    <w:lvl w:ilvl="4" w:tplc="4ECAFB92">
      <w:start w:val="1"/>
      <w:numFmt w:val="lowerLetter"/>
      <w:lvlText w:val="%5."/>
      <w:lvlJc w:val="left"/>
      <w:pPr>
        <w:ind w:left="3240" w:hanging="360"/>
      </w:pPr>
    </w:lvl>
    <w:lvl w:ilvl="5" w:tplc="999ED280">
      <w:start w:val="1"/>
      <w:numFmt w:val="lowerRoman"/>
      <w:lvlText w:val="%6."/>
      <w:lvlJc w:val="right"/>
      <w:pPr>
        <w:ind w:left="3960" w:hanging="180"/>
      </w:pPr>
    </w:lvl>
    <w:lvl w:ilvl="6" w:tplc="EE282E5C">
      <w:start w:val="1"/>
      <w:numFmt w:val="decimal"/>
      <w:lvlText w:val="%7."/>
      <w:lvlJc w:val="left"/>
      <w:pPr>
        <w:ind w:left="4680" w:hanging="360"/>
      </w:pPr>
    </w:lvl>
    <w:lvl w:ilvl="7" w:tplc="CCBE0B16">
      <w:start w:val="1"/>
      <w:numFmt w:val="lowerLetter"/>
      <w:lvlText w:val="%8."/>
      <w:lvlJc w:val="left"/>
      <w:pPr>
        <w:ind w:left="5400" w:hanging="360"/>
      </w:pPr>
    </w:lvl>
    <w:lvl w:ilvl="8" w:tplc="BBD8F23A">
      <w:start w:val="1"/>
      <w:numFmt w:val="lowerRoman"/>
      <w:lvlText w:val="%9."/>
      <w:lvlJc w:val="right"/>
      <w:pPr>
        <w:ind w:left="6120" w:hanging="180"/>
      </w:pPr>
    </w:lvl>
  </w:abstractNum>
  <w:abstractNum w:abstractNumId="41" w15:restartNumberingAfterBreak="0">
    <w:nsid w:val="60213025"/>
    <w:multiLevelType w:val="multilevel"/>
    <w:tmpl w:val="627A5E4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41B2CD5"/>
    <w:multiLevelType w:val="hybridMultilevel"/>
    <w:tmpl w:val="4A421A46"/>
    <w:lvl w:ilvl="0" w:tplc="20E41892">
      <w:start w:val="1"/>
      <w:numFmt w:val="bullet"/>
      <w:lvlText w:val=""/>
      <w:lvlJc w:val="left"/>
      <w:pPr>
        <w:ind w:left="360" w:hanging="360"/>
      </w:pPr>
      <w:rPr>
        <w:rFonts w:ascii="Symbol" w:hAnsi="Symbol" w:hint="default"/>
      </w:rPr>
    </w:lvl>
    <w:lvl w:ilvl="1" w:tplc="E626DE1C">
      <w:start w:val="1"/>
      <w:numFmt w:val="bullet"/>
      <w:lvlText w:val="o"/>
      <w:lvlJc w:val="left"/>
      <w:pPr>
        <w:ind w:left="1440" w:hanging="360"/>
      </w:pPr>
      <w:rPr>
        <w:rFonts w:ascii="Courier New" w:hAnsi="Courier New" w:cs="Courier New" w:hint="default"/>
      </w:rPr>
    </w:lvl>
    <w:lvl w:ilvl="2" w:tplc="7E7828AC">
      <w:start w:val="1"/>
      <w:numFmt w:val="bullet"/>
      <w:lvlText w:val=""/>
      <w:lvlJc w:val="left"/>
      <w:pPr>
        <w:ind w:left="2160" w:hanging="360"/>
      </w:pPr>
      <w:rPr>
        <w:rFonts w:ascii="Wingdings" w:hAnsi="Wingdings" w:hint="default"/>
      </w:rPr>
    </w:lvl>
    <w:lvl w:ilvl="3" w:tplc="AA60A78A">
      <w:start w:val="1"/>
      <w:numFmt w:val="bullet"/>
      <w:lvlText w:val=""/>
      <w:lvlJc w:val="left"/>
      <w:pPr>
        <w:ind w:left="2880" w:hanging="360"/>
      </w:pPr>
      <w:rPr>
        <w:rFonts w:ascii="Symbol" w:hAnsi="Symbol" w:hint="default"/>
      </w:rPr>
    </w:lvl>
    <w:lvl w:ilvl="4" w:tplc="F8CC653C">
      <w:start w:val="1"/>
      <w:numFmt w:val="bullet"/>
      <w:lvlText w:val="o"/>
      <w:lvlJc w:val="left"/>
      <w:pPr>
        <w:ind w:left="3600" w:hanging="360"/>
      </w:pPr>
      <w:rPr>
        <w:rFonts w:ascii="Courier New" w:hAnsi="Courier New" w:cs="Courier New" w:hint="default"/>
      </w:rPr>
    </w:lvl>
    <w:lvl w:ilvl="5" w:tplc="25DA829A">
      <w:start w:val="1"/>
      <w:numFmt w:val="bullet"/>
      <w:lvlText w:val=""/>
      <w:lvlJc w:val="left"/>
      <w:pPr>
        <w:ind w:left="4320" w:hanging="360"/>
      </w:pPr>
      <w:rPr>
        <w:rFonts w:ascii="Wingdings" w:hAnsi="Wingdings" w:hint="default"/>
      </w:rPr>
    </w:lvl>
    <w:lvl w:ilvl="6" w:tplc="D884C36C">
      <w:start w:val="1"/>
      <w:numFmt w:val="bullet"/>
      <w:lvlText w:val=""/>
      <w:lvlJc w:val="left"/>
      <w:pPr>
        <w:ind w:left="5040" w:hanging="360"/>
      </w:pPr>
      <w:rPr>
        <w:rFonts w:ascii="Symbol" w:hAnsi="Symbol" w:hint="default"/>
      </w:rPr>
    </w:lvl>
    <w:lvl w:ilvl="7" w:tplc="BBC28B2E">
      <w:start w:val="1"/>
      <w:numFmt w:val="bullet"/>
      <w:lvlText w:val="o"/>
      <w:lvlJc w:val="left"/>
      <w:pPr>
        <w:ind w:left="5760" w:hanging="360"/>
      </w:pPr>
      <w:rPr>
        <w:rFonts w:ascii="Courier New" w:hAnsi="Courier New" w:cs="Courier New" w:hint="default"/>
      </w:rPr>
    </w:lvl>
    <w:lvl w:ilvl="8" w:tplc="D33C2D00">
      <w:start w:val="1"/>
      <w:numFmt w:val="bullet"/>
      <w:lvlText w:val=""/>
      <w:lvlJc w:val="left"/>
      <w:pPr>
        <w:ind w:left="6480" w:hanging="360"/>
      </w:pPr>
      <w:rPr>
        <w:rFonts w:ascii="Wingdings" w:hAnsi="Wingdings" w:hint="default"/>
      </w:rPr>
    </w:lvl>
  </w:abstractNum>
  <w:abstractNum w:abstractNumId="43" w15:restartNumberingAfterBreak="0">
    <w:nsid w:val="66977EA1"/>
    <w:multiLevelType w:val="hybridMultilevel"/>
    <w:tmpl w:val="B28C1314"/>
    <w:lvl w:ilvl="0" w:tplc="44DADF56">
      <w:start w:val="1"/>
      <w:numFmt w:val="lowerLetter"/>
      <w:pStyle w:val="ChartandTableFootnoteAlpha"/>
      <w:lvlText w:val="(%1)"/>
      <w:lvlJc w:val="left"/>
      <w:pPr>
        <w:tabs>
          <w:tab w:val="num" w:pos="397"/>
        </w:tabs>
        <w:ind w:left="397" w:hanging="397"/>
      </w:pPr>
      <w:rPr>
        <w:rFonts w:ascii="Arial" w:hAnsi="Arial" w:cs="Times New Roman" w:hint="default"/>
        <w:b w:val="0"/>
        <w:i w:val="0"/>
        <w:sz w:val="16"/>
        <w:szCs w:val="16"/>
      </w:rPr>
    </w:lvl>
    <w:lvl w:ilvl="1" w:tplc="729EB06A">
      <w:start w:val="1"/>
      <w:numFmt w:val="lowerLetter"/>
      <w:lvlText w:val="%2."/>
      <w:lvlJc w:val="left"/>
      <w:pPr>
        <w:ind w:left="1440" w:hanging="360"/>
      </w:pPr>
    </w:lvl>
    <w:lvl w:ilvl="2" w:tplc="665434FA">
      <w:start w:val="1"/>
      <w:numFmt w:val="lowerRoman"/>
      <w:lvlText w:val="%3."/>
      <w:lvlJc w:val="right"/>
      <w:pPr>
        <w:ind w:left="2160" w:hanging="180"/>
      </w:pPr>
    </w:lvl>
    <w:lvl w:ilvl="3" w:tplc="C3F62BE4">
      <w:start w:val="1"/>
      <w:numFmt w:val="decimal"/>
      <w:lvlText w:val="%4."/>
      <w:lvlJc w:val="left"/>
      <w:pPr>
        <w:ind w:left="2880" w:hanging="360"/>
      </w:pPr>
    </w:lvl>
    <w:lvl w:ilvl="4" w:tplc="5372D25A">
      <w:start w:val="1"/>
      <w:numFmt w:val="lowerLetter"/>
      <w:lvlText w:val="%5."/>
      <w:lvlJc w:val="left"/>
      <w:pPr>
        <w:ind w:left="3600" w:hanging="360"/>
      </w:pPr>
    </w:lvl>
    <w:lvl w:ilvl="5" w:tplc="583EA09A">
      <w:start w:val="1"/>
      <w:numFmt w:val="lowerRoman"/>
      <w:lvlText w:val="%6."/>
      <w:lvlJc w:val="right"/>
      <w:pPr>
        <w:ind w:left="4320" w:hanging="180"/>
      </w:pPr>
    </w:lvl>
    <w:lvl w:ilvl="6" w:tplc="CECCE56C">
      <w:start w:val="1"/>
      <w:numFmt w:val="decimal"/>
      <w:lvlText w:val="%7."/>
      <w:lvlJc w:val="left"/>
      <w:pPr>
        <w:ind w:left="5040" w:hanging="360"/>
      </w:pPr>
    </w:lvl>
    <w:lvl w:ilvl="7" w:tplc="18C6BEF2">
      <w:start w:val="1"/>
      <w:numFmt w:val="lowerLetter"/>
      <w:lvlText w:val="%8."/>
      <w:lvlJc w:val="left"/>
      <w:pPr>
        <w:ind w:left="5760" w:hanging="360"/>
      </w:pPr>
    </w:lvl>
    <w:lvl w:ilvl="8" w:tplc="EE724BA8">
      <w:start w:val="1"/>
      <w:numFmt w:val="lowerRoman"/>
      <w:lvlText w:val="%9."/>
      <w:lvlJc w:val="right"/>
      <w:pPr>
        <w:ind w:left="6480" w:hanging="180"/>
      </w:pPr>
    </w:lvl>
  </w:abstractNum>
  <w:abstractNum w:abstractNumId="44" w15:restartNumberingAfterBreak="0">
    <w:nsid w:val="68F42FBB"/>
    <w:multiLevelType w:val="hybridMultilevel"/>
    <w:tmpl w:val="AC6A0004"/>
    <w:lvl w:ilvl="0" w:tplc="05BA12C0">
      <w:start w:val="1"/>
      <w:numFmt w:val="bullet"/>
      <w:lvlText w:val=""/>
      <w:lvlJc w:val="left"/>
      <w:pPr>
        <w:ind w:left="360" w:hanging="360"/>
      </w:pPr>
      <w:rPr>
        <w:rFonts w:ascii="Symbol" w:hAnsi="Symbol" w:hint="default"/>
      </w:rPr>
    </w:lvl>
    <w:lvl w:ilvl="1" w:tplc="BAE68AC0">
      <w:start w:val="1"/>
      <w:numFmt w:val="bullet"/>
      <w:lvlText w:val="o"/>
      <w:lvlJc w:val="left"/>
      <w:pPr>
        <w:ind w:left="1080" w:hanging="360"/>
      </w:pPr>
      <w:rPr>
        <w:rFonts w:ascii="Courier New" w:hAnsi="Courier New" w:cs="Courier New" w:hint="default"/>
      </w:rPr>
    </w:lvl>
    <w:lvl w:ilvl="2" w:tplc="7E24A01A">
      <w:start w:val="1"/>
      <w:numFmt w:val="bullet"/>
      <w:lvlText w:val=""/>
      <w:lvlJc w:val="left"/>
      <w:pPr>
        <w:ind w:left="1800" w:hanging="360"/>
      </w:pPr>
      <w:rPr>
        <w:rFonts w:ascii="Wingdings" w:hAnsi="Wingdings" w:hint="default"/>
      </w:rPr>
    </w:lvl>
    <w:lvl w:ilvl="3" w:tplc="A940909C">
      <w:start w:val="1"/>
      <w:numFmt w:val="bullet"/>
      <w:lvlText w:val=""/>
      <w:lvlJc w:val="left"/>
      <w:pPr>
        <w:ind w:left="2520" w:hanging="360"/>
      </w:pPr>
      <w:rPr>
        <w:rFonts w:ascii="Symbol" w:hAnsi="Symbol" w:hint="default"/>
      </w:rPr>
    </w:lvl>
    <w:lvl w:ilvl="4" w:tplc="2EFAA484">
      <w:start w:val="1"/>
      <w:numFmt w:val="bullet"/>
      <w:lvlText w:val="o"/>
      <w:lvlJc w:val="left"/>
      <w:pPr>
        <w:ind w:left="3240" w:hanging="360"/>
      </w:pPr>
      <w:rPr>
        <w:rFonts w:ascii="Courier New" w:hAnsi="Courier New" w:cs="Courier New" w:hint="default"/>
      </w:rPr>
    </w:lvl>
    <w:lvl w:ilvl="5" w:tplc="E77AB4F2">
      <w:start w:val="1"/>
      <w:numFmt w:val="bullet"/>
      <w:lvlText w:val=""/>
      <w:lvlJc w:val="left"/>
      <w:pPr>
        <w:ind w:left="3960" w:hanging="360"/>
      </w:pPr>
      <w:rPr>
        <w:rFonts w:ascii="Wingdings" w:hAnsi="Wingdings" w:hint="default"/>
      </w:rPr>
    </w:lvl>
    <w:lvl w:ilvl="6" w:tplc="3E60586A">
      <w:start w:val="1"/>
      <w:numFmt w:val="bullet"/>
      <w:lvlText w:val=""/>
      <w:lvlJc w:val="left"/>
      <w:pPr>
        <w:ind w:left="4680" w:hanging="360"/>
      </w:pPr>
      <w:rPr>
        <w:rFonts w:ascii="Symbol" w:hAnsi="Symbol" w:hint="default"/>
      </w:rPr>
    </w:lvl>
    <w:lvl w:ilvl="7" w:tplc="553A2270">
      <w:start w:val="1"/>
      <w:numFmt w:val="bullet"/>
      <w:lvlText w:val="o"/>
      <w:lvlJc w:val="left"/>
      <w:pPr>
        <w:ind w:left="5400" w:hanging="360"/>
      </w:pPr>
      <w:rPr>
        <w:rFonts w:ascii="Courier New" w:hAnsi="Courier New" w:cs="Courier New" w:hint="default"/>
      </w:rPr>
    </w:lvl>
    <w:lvl w:ilvl="8" w:tplc="9F02A65C">
      <w:start w:val="1"/>
      <w:numFmt w:val="bullet"/>
      <w:lvlText w:val=""/>
      <w:lvlJc w:val="left"/>
      <w:pPr>
        <w:ind w:left="6120" w:hanging="360"/>
      </w:pPr>
      <w:rPr>
        <w:rFonts w:ascii="Wingdings" w:hAnsi="Wingdings" w:hint="default"/>
      </w:rPr>
    </w:lvl>
  </w:abstractNum>
  <w:abstractNum w:abstractNumId="45" w15:restartNumberingAfterBreak="0">
    <w:nsid w:val="6D9D7347"/>
    <w:multiLevelType w:val="hybridMultilevel"/>
    <w:tmpl w:val="CBD89A96"/>
    <w:lvl w:ilvl="0" w:tplc="B42EF166">
      <w:start w:val="1"/>
      <w:numFmt w:val="lowerLetter"/>
      <w:lvlText w:val="(%1)"/>
      <w:lvlJc w:val="left"/>
      <w:pPr>
        <w:ind w:left="360" w:hanging="360"/>
      </w:pPr>
      <w:rPr>
        <w:rFonts w:hint="default"/>
      </w:rPr>
    </w:lvl>
    <w:lvl w:ilvl="1" w:tplc="731A1BFC" w:tentative="1">
      <w:start w:val="1"/>
      <w:numFmt w:val="lowerLetter"/>
      <w:lvlText w:val="%2."/>
      <w:lvlJc w:val="left"/>
      <w:pPr>
        <w:ind w:left="1080" w:hanging="360"/>
      </w:pPr>
    </w:lvl>
    <w:lvl w:ilvl="2" w:tplc="F9083E6C" w:tentative="1">
      <w:start w:val="1"/>
      <w:numFmt w:val="lowerRoman"/>
      <w:lvlText w:val="%3."/>
      <w:lvlJc w:val="right"/>
      <w:pPr>
        <w:ind w:left="1800" w:hanging="180"/>
      </w:pPr>
    </w:lvl>
    <w:lvl w:ilvl="3" w:tplc="49B06668" w:tentative="1">
      <w:start w:val="1"/>
      <w:numFmt w:val="decimal"/>
      <w:lvlText w:val="%4."/>
      <w:lvlJc w:val="left"/>
      <w:pPr>
        <w:ind w:left="2520" w:hanging="360"/>
      </w:pPr>
    </w:lvl>
    <w:lvl w:ilvl="4" w:tplc="05C46BF8" w:tentative="1">
      <w:start w:val="1"/>
      <w:numFmt w:val="lowerLetter"/>
      <w:lvlText w:val="%5."/>
      <w:lvlJc w:val="left"/>
      <w:pPr>
        <w:ind w:left="3240" w:hanging="360"/>
      </w:pPr>
    </w:lvl>
    <w:lvl w:ilvl="5" w:tplc="7E14331C" w:tentative="1">
      <w:start w:val="1"/>
      <w:numFmt w:val="lowerRoman"/>
      <w:lvlText w:val="%6."/>
      <w:lvlJc w:val="right"/>
      <w:pPr>
        <w:ind w:left="3960" w:hanging="180"/>
      </w:pPr>
    </w:lvl>
    <w:lvl w:ilvl="6" w:tplc="35460C6E" w:tentative="1">
      <w:start w:val="1"/>
      <w:numFmt w:val="decimal"/>
      <w:lvlText w:val="%7."/>
      <w:lvlJc w:val="left"/>
      <w:pPr>
        <w:ind w:left="4680" w:hanging="360"/>
      </w:pPr>
    </w:lvl>
    <w:lvl w:ilvl="7" w:tplc="5D3E9740" w:tentative="1">
      <w:start w:val="1"/>
      <w:numFmt w:val="lowerLetter"/>
      <w:lvlText w:val="%8."/>
      <w:lvlJc w:val="left"/>
      <w:pPr>
        <w:ind w:left="5400" w:hanging="360"/>
      </w:pPr>
    </w:lvl>
    <w:lvl w:ilvl="8" w:tplc="1DA8FE1E" w:tentative="1">
      <w:start w:val="1"/>
      <w:numFmt w:val="lowerRoman"/>
      <w:lvlText w:val="%9."/>
      <w:lvlJc w:val="right"/>
      <w:pPr>
        <w:ind w:left="6120" w:hanging="180"/>
      </w:pPr>
    </w:lvl>
  </w:abstractNum>
  <w:abstractNum w:abstractNumId="46" w15:restartNumberingAfterBreak="0">
    <w:nsid w:val="6DCD1F47"/>
    <w:multiLevelType w:val="hybridMultilevel"/>
    <w:tmpl w:val="87B25482"/>
    <w:lvl w:ilvl="0" w:tplc="4BD22060">
      <w:start w:val="1"/>
      <w:numFmt w:val="lowerLetter"/>
      <w:lvlText w:val="(%1)"/>
      <w:lvlJc w:val="left"/>
      <w:pPr>
        <w:ind w:left="360" w:hanging="360"/>
      </w:pPr>
      <w:rPr>
        <w:rFonts w:hint="default"/>
      </w:rPr>
    </w:lvl>
    <w:lvl w:ilvl="1" w:tplc="797045AA" w:tentative="1">
      <w:start w:val="1"/>
      <w:numFmt w:val="lowerLetter"/>
      <w:lvlText w:val="%2."/>
      <w:lvlJc w:val="left"/>
      <w:pPr>
        <w:ind w:left="1080" w:hanging="360"/>
      </w:pPr>
    </w:lvl>
    <w:lvl w:ilvl="2" w:tplc="0A666FFC" w:tentative="1">
      <w:start w:val="1"/>
      <w:numFmt w:val="lowerRoman"/>
      <w:lvlText w:val="%3."/>
      <w:lvlJc w:val="right"/>
      <w:pPr>
        <w:ind w:left="1800" w:hanging="180"/>
      </w:pPr>
    </w:lvl>
    <w:lvl w:ilvl="3" w:tplc="A672106E" w:tentative="1">
      <w:start w:val="1"/>
      <w:numFmt w:val="decimal"/>
      <w:lvlText w:val="%4."/>
      <w:lvlJc w:val="left"/>
      <w:pPr>
        <w:ind w:left="2520" w:hanging="360"/>
      </w:pPr>
    </w:lvl>
    <w:lvl w:ilvl="4" w:tplc="932443B0" w:tentative="1">
      <w:start w:val="1"/>
      <w:numFmt w:val="lowerLetter"/>
      <w:lvlText w:val="%5."/>
      <w:lvlJc w:val="left"/>
      <w:pPr>
        <w:ind w:left="3240" w:hanging="360"/>
      </w:pPr>
    </w:lvl>
    <w:lvl w:ilvl="5" w:tplc="25B0366E" w:tentative="1">
      <w:start w:val="1"/>
      <w:numFmt w:val="lowerRoman"/>
      <w:lvlText w:val="%6."/>
      <w:lvlJc w:val="right"/>
      <w:pPr>
        <w:ind w:left="3960" w:hanging="180"/>
      </w:pPr>
    </w:lvl>
    <w:lvl w:ilvl="6" w:tplc="880A67D6" w:tentative="1">
      <w:start w:val="1"/>
      <w:numFmt w:val="decimal"/>
      <w:lvlText w:val="%7."/>
      <w:lvlJc w:val="left"/>
      <w:pPr>
        <w:ind w:left="4680" w:hanging="360"/>
      </w:pPr>
    </w:lvl>
    <w:lvl w:ilvl="7" w:tplc="17AECCE2" w:tentative="1">
      <w:start w:val="1"/>
      <w:numFmt w:val="lowerLetter"/>
      <w:lvlText w:val="%8."/>
      <w:lvlJc w:val="left"/>
      <w:pPr>
        <w:ind w:left="5400" w:hanging="360"/>
      </w:pPr>
    </w:lvl>
    <w:lvl w:ilvl="8" w:tplc="88B2C004" w:tentative="1">
      <w:start w:val="1"/>
      <w:numFmt w:val="lowerRoman"/>
      <w:lvlText w:val="%9."/>
      <w:lvlJc w:val="right"/>
      <w:pPr>
        <w:ind w:left="6120" w:hanging="180"/>
      </w:pPr>
    </w:lvl>
  </w:abstractNum>
  <w:abstractNum w:abstractNumId="47" w15:restartNumberingAfterBreak="0">
    <w:nsid w:val="6E02E163"/>
    <w:multiLevelType w:val="hybridMultilevel"/>
    <w:tmpl w:val="AA18EF34"/>
    <w:lvl w:ilvl="0" w:tplc="0486EE38">
      <w:start w:val="1"/>
      <w:numFmt w:val="bullet"/>
      <w:lvlText w:val=""/>
      <w:lvlJc w:val="left"/>
      <w:pPr>
        <w:ind w:left="1211" w:hanging="360"/>
      </w:pPr>
      <w:rPr>
        <w:rFonts w:ascii="Symbol" w:hAnsi="Symbol" w:hint="default"/>
        <w:color w:val="auto"/>
      </w:rPr>
    </w:lvl>
    <w:lvl w:ilvl="1" w:tplc="7BB40B1A">
      <w:start w:val="1"/>
      <w:numFmt w:val="bullet"/>
      <w:lvlText w:val="o"/>
      <w:lvlJc w:val="left"/>
      <w:pPr>
        <w:ind w:left="1440" w:hanging="360"/>
      </w:pPr>
      <w:rPr>
        <w:rFonts w:ascii="Courier New" w:hAnsi="Courier New" w:cs="Courier New" w:hint="default"/>
      </w:rPr>
    </w:lvl>
    <w:lvl w:ilvl="2" w:tplc="2E748660">
      <w:start w:val="1"/>
      <w:numFmt w:val="bullet"/>
      <w:lvlText w:val=""/>
      <w:lvlJc w:val="left"/>
      <w:pPr>
        <w:ind w:left="2160" w:hanging="360"/>
      </w:pPr>
      <w:rPr>
        <w:rFonts w:ascii="Wingdings" w:hAnsi="Wingdings" w:hint="default"/>
      </w:rPr>
    </w:lvl>
    <w:lvl w:ilvl="3" w:tplc="9E5A6ECA">
      <w:start w:val="1"/>
      <w:numFmt w:val="bullet"/>
      <w:lvlText w:val=""/>
      <w:lvlJc w:val="left"/>
      <w:pPr>
        <w:ind w:left="2880" w:hanging="360"/>
      </w:pPr>
      <w:rPr>
        <w:rFonts w:ascii="Symbol" w:hAnsi="Symbol" w:hint="default"/>
      </w:rPr>
    </w:lvl>
    <w:lvl w:ilvl="4" w:tplc="9982A100">
      <w:start w:val="1"/>
      <w:numFmt w:val="bullet"/>
      <w:lvlText w:val="o"/>
      <w:lvlJc w:val="left"/>
      <w:pPr>
        <w:ind w:left="3600" w:hanging="360"/>
      </w:pPr>
      <w:rPr>
        <w:rFonts w:ascii="Courier New" w:hAnsi="Courier New" w:cs="Courier New" w:hint="default"/>
      </w:rPr>
    </w:lvl>
    <w:lvl w:ilvl="5" w:tplc="205A796C">
      <w:start w:val="1"/>
      <w:numFmt w:val="bullet"/>
      <w:lvlText w:val=""/>
      <w:lvlJc w:val="left"/>
      <w:pPr>
        <w:ind w:left="4320" w:hanging="360"/>
      </w:pPr>
      <w:rPr>
        <w:rFonts w:ascii="Wingdings" w:hAnsi="Wingdings" w:hint="default"/>
      </w:rPr>
    </w:lvl>
    <w:lvl w:ilvl="6" w:tplc="BE182536">
      <w:start w:val="1"/>
      <w:numFmt w:val="bullet"/>
      <w:lvlText w:val=""/>
      <w:lvlJc w:val="left"/>
      <w:pPr>
        <w:ind w:left="5040" w:hanging="360"/>
      </w:pPr>
      <w:rPr>
        <w:rFonts w:ascii="Symbol" w:hAnsi="Symbol" w:hint="default"/>
      </w:rPr>
    </w:lvl>
    <w:lvl w:ilvl="7" w:tplc="CDB084BC">
      <w:start w:val="1"/>
      <w:numFmt w:val="bullet"/>
      <w:lvlText w:val="o"/>
      <w:lvlJc w:val="left"/>
      <w:pPr>
        <w:ind w:left="5760" w:hanging="360"/>
      </w:pPr>
      <w:rPr>
        <w:rFonts w:ascii="Courier New" w:hAnsi="Courier New" w:cs="Courier New" w:hint="default"/>
      </w:rPr>
    </w:lvl>
    <w:lvl w:ilvl="8" w:tplc="BCAA7DBA">
      <w:start w:val="1"/>
      <w:numFmt w:val="bullet"/>
      <w:lvlText w:val=""/>
      <w:lvlJc w:val="left"/>
      <w:pPr>
        <w:ind w:left="6480" w:hanging="360"/>
      </w:pPr>
      <w:rPr>
        <w:rFonts w:ascii="Wingdings" w:hAnsi="Wingdings" w:hint="default"/>
      </w:rPr>
    </w:lvl>
  </w:abstractNum>
  <w:abstractNum w:abstractNumId="48" w15:restartNumberingAfterBreak="0">
    <w:nsid w:val="6F55B1B7"/>
    <w:multiLevelType w:val="hybridMultilevel"/>
    <w:tmpl w:val="8EFCDBEE"/>
    <w:lvl w:ilvl="0" w:tplc="7D825BCC">
      <w:start w:val="1"/>
      <w:numFmt w:val="lowerLetter"/>
      <w:lvlText w:val="(%1)"/>
      <w:lvlJc w:val="left"/>
      <w:pPr>
        <w:ind w:left="360" w:hanging="360"/>
      </w:pPr>
    </w:lvl>
    <w:lvl w:ilvl="1" w:tplc="25D83F5A">
      <w:start w:val="1"/>
      <w:numFmt w:val="lowerLetter"/>
      <w:lvlText w:val="%2."/>
      <w:lvlJc w:val="left"/>
      <w:pPr>
        <w:ind w:left="1080" w:hanging="360"/>
      </w:pPr>
    </w:lvl>
    <w:lvl w:ilvl="2" w:tplc="BF9C7D04">
      <w:start w:val="1"/>
      <w:numFmt w:val="lowerRoman"/>
      <w:lvlText w:val="%3."/>
      <w:lvlJc w:val="right"/>
      <w:pPr>
        <w:ind w:left="1800" w:hanging="180"/>
      </w:pPr>
    </w:lvl>
    <w:lvl w:ilvl="3" w:tplc="991AE5E8">
      <w:start w:val="1"/>
      <w:numFmt w:val="decimal"/>
      <w:lvlText w:val="%4."/>
      <w:lvlJc w:val="left"/>
      <w:pPr>
        <w:ind w:left="2520" w:hanging="360"/>
      </w:pPr>
    </w:lvl>
    <w:lvl w:ilvl="4" w:tplc="99A4D83A">
      <w:start w:val="1"/>
      <w:numFmt w:val="lowerLetter"/>
      <w:lvlText w:val="%5."/>
      <w:lvlJc w:val="left"/>
      <w:pPr>
        <w:ind w:left="3240" w:hanging="360"/>
      </w:pPr>
    </w:lvl>
    <w:lvl w:ilvl="5" w:tplc="D4B6EE30">
      <w:start w:val="1"/>
      <w:numFmt w:val="lowerRoman"/>
      <w:lvlText w:val="%6."/>
      <w:lvlJc w:val="right"/>
      <w:pPr>
        <w:ind w:left="3960" w:hanging="180"/>
      </w:pPr>
    </w:lvl>
    <w:lvl w:ilvl="6" w:tplc="5D46ACCE">
      <w:start w:val="1"/>
      <w:numFmt w:val="decimal"/>
      <w:lvlText w:val="%7."/>
      <w:lvlJc w:val="left"/>
      <w:pPr>
        <w:ind w:left="4680" w:hanging="360"/>
      </w:pPr>
    </w:lvl>
    <w:lvl w:ilvl="7" w:tplc="E78C7B0A">
      <w:start w:val="1"/>
      <w:numFmt w:val="lowerLetter"/>
      <w:lvlText w:val="%8."/>
      <w:lvlJc w:val="left"/>
      <w:pPr>
        <w:ind w:left="5400" w:hanging="360"/>
      </w:pPr>
    </w:lvl>
    <w:lvl w:ilvl="8" w:tplc="C1EE693E">
      <w:start w:val="1"/>
      <w:numFmt w:val="lowerRoman"/>
      <w:lvlText w:val="%9."/>
      <w:lvlJc w:val="right"/>
      <w:pPr>
        <w:ind w:left="6120" w:hanging="180"/>
      </w:pPr>
    </w:lvl>
  </w:abstractNum>
  <w:abstractNum w:abstractNumId="49" w15:restartNumberingAfterBreak="0">
    <w:nsid w:val="726E3273"/>
    <w:multiLevelType w:val="hybridMultilevel"/>
    <w:tmpl w:val="27D20DC2"/>
    <w:lvl w:ilvl="0" w:tplc="79DC524C">
      <w:start w:val="1"/>
      <w:numFmt w:val="bullet"/>
      <w:pStyle w:val="Bullets"/>
      <w:lvlText w:val=""/>
      <w:lvlJc w:val="left"/>
      <w:pPr>
        <w:ind w:left="360" w:hanging="360"/>
      </w:pPr>
      <w:rPr>
        <w:rFonts w:ascii="Symbol" w:hAnsi="Symbol" w:hint="default"/>
      </w:rPr>
    </w:lvl>
    <w:lvl w:ilvl="1" w:tplc="A07E8E02" w:tentative="1">
      <w:start w:val="1"/>
      <w:numFmt w:val="bullet"/>
      <w:lvlText w:val="o"/>
      <w:lvlJc w:val="left"/>
      <w:pPr>
        <w:ind w:left="1080" w:hanging="360"/>
      </w:pPr>
      <w:rPr>
        <w:rFonts w:ascii="Courier New" w:hAnsi="Courier New" w:cs="Courier New" w:hint="default"/>
      </w:rPr>
    </w:lvl>
    <w:lvl w:ilvl="2" w:tplc="86A84470" w:tentative="1">
      <w:start w:val="1"/>
      <w:numFmt w:val="bullet"/>
      <w:lvlText w:val=""/>
      <w:lvlJc w:val="left"/>
      <w:pPr>
        <w:ind w:left="1800" w:hanging="360"/>
      </w:pPr>
      <w:rPr>
        <w:rFonts w:ascii="Wingdings" w:hAnsi="Wingdings" w:hint="default"/>
      </w:rPr>
    </w:lvl>
    <w:lvl w:ilvl="3" w:tplc="0C487822" w:tentative="1">
      <w:start w:val="1"/>
      <w:numFmt w:val="bullet"/>
      <w:lvlText w:val=""/>
      <w:lvlJc w:val="left"/>
      <w:pPr>
        <w:ind w:left="2520" w:hanging="360"/>
      </w:pPr>
      <w:rPr>
        <w:rFonts w:ascii="Symbol" w:hAnsi="Symbol" w:hint="default"/>
      </w:rPr>
    </w:lvl>
    <w:lvl w:ilvl="4" w:tplc="433CA1DC" w:tentative="1">
      <w:start w:val="1"/>
      <w:numFmt w:val="bullet"/>
      <w:lvlText w:val="o"/>
      <w:lvlJc w:val="left"/>
      <w:pPr>
        <w:ind w:left="3240" w:hanging="360"/>
      </w:pPr>
      <w:rPr>
        <w:rFonts w:ascii="Courier New" w:hAnsi="Courier New" w:cs="Courier New" w:hint="default"/>
      </w:rPr>
    </w:lvl>
    <w:lvl w:ilvl="5" w:tplc="186AE9AC" w:tentative="1">
      <w:start w:val="1"/>
      <w:numFmt w:val="bullet"/>
      <w:lvlText w:val=""/>
      <w:lvlJc w:val="left"/>
      <w:pPr>
        <w:ind w:left="3960" w:hanging="360"/>
      </w:pPr>
      <w:rPr>
        <w:rFonts w:ascii="Wingdings" w:hAnsi="Wingdings" w:hint="default"/>
      </w:rPr>
    </w:lvl>
    <w:lvl w:ilvl="6" w:tplc="21226844" w:tentative="1">
      <w:start w:val="1"/>
      <w:numFmt w:val="bullet"/>
      <w:lvlText w:val=""/>
      <w:lvlJc w:val="left"/>
      <w:pPr>
        <w:ind w:left="4680" w:hanging="360"/>
      </w:pPr>
      <w:rPr>
        <w:rFonts w:ascii="Symbol" w:hAnsi="Symbol" w:hint="default"/>
      </w:rPr>
    </w:lvl>
    <w:lvl w:ilvl="7" w:tplc="845EB0D0" w:tentative="1">
      <w:start w:val="1"/>
      <w:numFmt w:val="bullet"/>
      <w:lvlText w:val="o"/>
      <w:lvlJc w:val="left"/>
      <w:pPr>
        <w:ind w:left="5400" w:hanging="360"/>
      </w:pPr>
      <w:rPr>
        <w:rFonts w:ascii="Courier New" w:hAnsi="Courier New" w:cs="Courier New" w:hint="default"/>
      </w:rPr>
    </w:lvl>
    <w:lvl w:ilvl="8" w:tplc="934080D4" w:tentative="1">
      <w:start w:val="1"/>
      <w:numFmt w:val="bullet"/>
      <w:lvlText w:val=""/>
      <w:lvlJc w:val="left"/>
      <w:pPr>
        <w:ind w:left="6120" w:hanging="360"/>
      </w:pPr>
      <w:rPr>
        <w:rFonts w:ascii="Wingdings" w:hAnsi="Wingdings" w:hint="default"/>
      </w:rPr>
    </w:lvl>
  </w:abstractNum>
  <w:abstractNum w:abstractNumId="50" w15:restartNumberingAfterBreak="0">
    <w:nsid w:val="72E20FE4"/>
    <w:multiLevelType w:val="hybridMultilevel"/>
    <w:tmpl w:val="D2801946"/>
    <w:lvl w:ilvl="0" w:tplc="25B02EB6">
      <w:start w:val="1"/>
      <w:numFmt w:val="bullet"/>
      <w:lvlText w:val=""/>
      <w:lvlJc w:val="left"/>
      <w:pPr>
        <w:ind w:left="360" w:hanging="360"/>
      </w:pPr>
      <w:rPr>
        <w:rFonts w:ascii="Symbol" w:eastAsia="Times New Roman" w:hAnsi="Symbol" w:cs="BookAntiqua" w:hint="default"/>
      </w:rPr>
    </w:lvl>
    <w:lvl w:ilvl="1" w:tplc="67EE9C22">
      <w:start w:val="1"/>
      <w:numFmt w:val="bullet"/>
      <w:lvlText w:val="o"/>
      <w:lvlJc w:val="left"/>
      <w:pPr>
        <w:ind w:left="1080" w:hanging="360"/>
      </w:pPr>
      <w:rPr>
        <w:rFonts w:ascii="Courier New" w:hAnsi="Courier New" w:cs="Courier New" w:hint="default"/>
      </w:rPr>
    </w:lvl>
    <w:lvl w:ilvl="2" w:tplc="6A442E74">
      <w:start w:val="1"/>
      <w:numFmt w:val="bullet"/>
      <w:lvlText w:val=""/>
      <w:lvlJc w:val="left"/>
      <w:pPr>
        <w:ind w:left="1800" w:hanging="360"/>
      </w:pPr>
      <w:rPr>
        <w:rFonts w:ascii="Wingdings" w:hAnsi="Wingdings" w:hint="default"/>
      </w:rPr>
    </w:lvl>
    <w:lvl w:ilvl="3" w:tplc="5F966B2A">
      <w:start w:val="1"/>
      <w:numFmt w:val="bullet"/>
      <w:lvlText w:val=""/>
      <w:lvlJc w:val="left"/>
      <w:pPr>
        <w:ind w:left="2520" w:hanging="360"/>
      </w:pPr>
      <w:rPr>
        <w:rFonts w:ascii="Symbol" w:hAnsi="Symbol" w:hint="default"/>
      </w:rPr>
    </w:lvl>
    <w:lvl w:ilvl="4" w:tplc="AF3AE080">
      <w:start w:val="1"/>
      <w:numFmt w:val="bullet"/>
      <w:lvlText w:val="o"/>
      <w:lvlJc w:val="left"/>
      <w:pPr>
        <w:ind w:left="3240" w:hanging="360"/>
      </w:pPr>
      <w:rPr>
        <w:rFonts w:ascii="Courier New" w:hAnsi="Courier New" w:cs="Courier New" w:hint="default"/>
      </w:rPr>
    </w:lvl>
    <w:lvl w:ilvl="5" w:tplc="38AEFAAC">
      <w:start w:val="1"/>
      <w:numFmt w:val="bullet"/>
      <w:lvlText w:val=""/>
      <w:lvlJc w:val="left"/>
      <w:pPr>
        <w:ind w:left="3960" w:hanging="360"/>
      </w:pPr>
      <w:rPr>
        <w:rFonts w:ascii="Wingdings" w:hAnsi="Wingdings" w:hint="default"/>
      </w:rPr>
    </w:lvl>
    <w:lvl w:ilvl="6" w:tplc="4C56F684">
      <w:start w:val="1"/>
      <w:numFmt w:val="bullet"/>
      <w:lvlText w:val=""/>
      <w:lvlJc w:val="left"/>
      <w:pPr>
        <w:ind w:left="4680" w:hanging="360"/>
      </w:pPr>
      <w:rPr>
        <w:rFonts w:ascii="Symbol" w:hAnsi="Symbol" w:hint="default"/>
      </w:rPr>
    </w:lvl>
    <w:lvl w:ilvl="7" w:tplc="B46872CE">
      <w:start w:val="1"/>
      <w:numFmt w:val="bullet"/>
      <w:lvlText w:val="o"/>
      <w:lvlJc w:val="left"/>
      <w:pPr>
        <w:ind w:left="5400" w:hanging="360"/>
      </w:pPr>
      <w:rPr>
        <w:rFonts w:ascii="Courier New" w:hAnsi="Courier New" w:cs="Courier New" w:hint="default"/>
      </w:rPr>
    </w:lvl>
    <w:lvl w:ilvl="8" w:tplc="C7F6B268">
      <w:start w:val="1"/>
      <w:numFmt w:val="bullet"/>
      <w:lvlText w:val=""/>
      <w:lvlJc w:val="left"/>
      <w:pPr>
        <w:ind w:left="6120" w:hanging="360"/>
      </w:pPr>
      <w:rPr>
        <w:rFonts w:ascii="Wingdings" w:hAnsi="Wingdings" w:hint="default"/>
      </w:rPr>
    </w:lvl>
  </w:abstractNum>
  <w:abstractNum w:abstractNumId="51" w15:restartNumberingAfterBreak="0">
    <w:nsid w:val="77584B3A"/>
    <w:multiLevelType w:val="hybridMultilevel"/>
    <w:tmpl w:val="3DD0A25C"/>
    <w:lvl w:ilvl="0" w:tplc="A3E2A9D4">
      <w:start w:val="1"/>
      <w:numFmt w:val="lowerLetter"/>
      <w:lvlText w:val="(%1)"/>
      <w:lvlJc w:val="left"/>
      <w:pPr>
        <w:ind w:left="360" w:hanging="360"/>
      </w:pPr>
      <w:rPr>
        <w:rFonts w:hint="default"/>
      </w:rPr>
    </w:lvl>
    <w:lvl w:ilvl="1" w:tplc="B312454A" w:tentative="1">
      <w:start w:val="1"/>
      <w:numFmt w:val="lowerLetter"/>
      <w:lvlText w:val="%2."/>
      <w:lvlJc w:val="left"/>
      <w:pPr>
        <w:ind w:left="1080" w:hanging="360"/>
      </w:pPr>
    </w:lvl>
    <w:lvl w:ilvl="2" w:tplc="9CB8E73C" w:tentative="1">
      <w:start w:val="1"/>
      <w:numFmt w:val="lowerRoman"/>
      <w:lvlText w:val="%3."/>
      <w:lvlJc w:val="right"/>
      <w:pPr>
        <w:ind w:left="1800" w:hanging="180"/>
      </w:pPr>
    </w:lvl>
    <w:lvl w:ilvl="3" w:tplc="A8F0859C" w:tentative="1">
      <w:start w:val="1"/>
      <w:numFmt w:val="decimal"/>
      <w:lvlText w:val="%4."/>
      <w:lvlJc w:val="left"/>
      <w:pPr>
        <w:ind w:left="2520" w:hanging="360"/>
      </w:pPr>
    </w:lvl>
    <w:lvl w:ilvl="4" w:tplc="56A0B422" w:tentative="1">
      <w:start w:val="1"/>
      <w:numFmt w:val="lowerLetter"/>
      <w:lvlText w:val="%5."/>
      <w:lvlJc w:val="left"/>
      <w:pPr>
        <w:ind w:left="3240" w:hanging="360"/>
      </w:pPr>
    </w:lvl>
    <w:lvl w:ilvl="5" w:tplc="13B44DA8" w:tentative="1">
      <w:start w:val="1"/>
      <w:numFmt w:val="lowerRoman"/>
      <w:lvlText w:val="%6."/>
      <w:lvlJc w:val="right"/>
      <w:pPr>
        <w:ind w:left="3960" w:hanging="180"/>
      </w:pPr>
    </w:lvl>
    <w:lvl w:ilvl="6" w:tplc="73B2FC9A" w:tentative="1">
      <w:start w:val="1"/>
      <w:numFmt w:val="decimal"/>
      <w:lvlText w:val="%7."/>
      <w:lvlJc w:val="left"/>
      <w:pPr>
        <w:ind w:left="4680" w:hanging="360"/>
      </w:pPr>
    </w:lvl>
    <w:lvl w:ilvl="7" w:tplc="247C3512" w:tentative="1">
      <w:start w:val="1"/>
      <w:numFmt w:val="lowerLetter"/>
      <w:lvlText w:val="%8."/>
      <w:lvlJc w:val="left"/>
      <w:pPr>
        <w:ind w:left="5400" w:hanging="360"/>
      </w:pPr>
    </w:lvl>
    <w:lvl w:ilvl="8" w:tplc="419ED31C" w:tentative="1">
      <w:start w:val="1"/>
      <w:numFmt w:val="lowerRoman"/>
      <w:lvlText w:val="%9."/>
      <w:lvlJc w:val="right"/>
      <w:pPr>
        <w:ind w:left="6120" w:hanging="180"/>
      </w:pPr>
    </w:lvl>
  </w:abstractNum>
  <w:abstractNum w:abstractNumId="52" w15:restartNumberingAfterBreak="0">
    <w:nsid w:val="775F4E57"/>
    <w:multiLevelType w:val="hybridMultilevel"/>
    <w:tmpl w:val="070A525E"/>
    <w:lvl w:ilvl="0" w:tplc="C64CC73C">
      <w:start w:val="1"/>
      <w:numFmt w:val="lowerLetter"/>
      <w:lvlText w:val="(%1)"/>
      <w:lvlJc w:val="left"/>
      <w:pPr>
        <w:ind w:left="360" w:hanging="360"/>
      </w:pPr>
    </w:lvl>
    <w:lvl w:ilvl="1" w:tplc="DBD87FF0">
      <w:start w:val="1"/>
      <w:numFmt w:val="lowerLetter"/>
      <w:lvlText w:val="%2."/>
      <w:lvlJc w:val="left"/>
      <w:pPr>
        <w:ind w:left="1080" w:hanging="360"/>
      </w:pPr>
    </w:lvl>
    <w:lvl w:ilvl="2" w:tplc="895648C2">
      <w:start w:val="1"/>
      <w:numFmt w:val="lowerRoman"/>
      <w:lvlText w:val="%3."/>
      <w:lvlJc w:val="right"/>
      <w:pPr>
        <w:ind w:left="1800" w:hanging="180"/>
      </w:pPr>
    </w:lvl>
    <w:lvl w:ilvl="3" w:tplc="BD60C68A">
      <w:start w:val="1"/>
      <w:numFmt w:val="decimal"/>
      <w:lvlText w:val="%4."/>
      <w:lvlJc w:val="left"/>
      <w:pPr>
        <w:ind w:left="2520" w:hanging="360"/>
      </w:pPr>
    </w:lvl>
    <w:lvl w:ilvl="4" w:tplc="1332DB8C">
      <w:start w:val="1"/>
      <w:numFmt w:val="lowerLetter"/>
      <w:lvlText w:val="%5."/>
      <w:lvlJc w:val="left"/>
      <w:pPr>
        <w:ind w:left="3240" w:hanging="360"/>
      </w:pPr>
    </w:lvl>
    <w:lvl w:ilvl="5" w:tplc="0DE2F334">
      <w:start w:val="1"/>
      <w:numFmt w:val="lowerRoman"/>
      <w:lvlText w:val="%6."/>
      <w:lvlJc w:val="right"/>
      <w:pPr>
        <w:ind w:left="3960" w:hanging="180"/>
      </w:pPr>
    </w:lvl>
    <w:lvl w:ilvl="6" w:tplc="DC1E2A46">
      <w:start w:val="1"/>
      <w:numFmt w:val="decimal"/>
      <w:lvlText w:val="%7."/>
      <w:lvlJc w:val="left"/>
      <w:pPr>
        <w:ind w:left="4680" w:hanging="360"/>
      </w:pPr>
    </w:lvl>
    <w:lvl w:ilvl="7" w:tplc="4470F5DC">
      <w:start w:val="1"/>
      <w:numFmt w:val="lowerLetter"/>
      <w:lvlText w:val="%8."/>
      <w:lvlJc w:val="left"/>
      <w:pPr>
        <w:ind w:left="5400" w:hanging="360"/>
      </w:pPr>
    </w:lvl>
    <w:lvl w:ilvl="8" w:tplc="A608FB58">
      <w:start w:val="1"/>
      <w:numFmt w:val="lowerRoman"/>
      <w:lvlText w:val="%9."/>
      <w:lvlJc w:val="right"/>
      <w:pPr>
        <w:ind w:left="6120" w:hanging="180"/>
      </w:pPr>
    </w:lvl>
  </w:abstractNum>
  <w:abstractNum w:abstractNumId="53" w15:restartNumberingAfterBreak="0">
    <w:nsid w:val="78D13F36"/>
    <w:multiLevelType w:val="hybridMultilevel"/>
    <w:tmpl w:val="8EFCDBEE"/>
    <w:lvl w:ilvl="0" w:tplc="E520A95E">
      <w:start w:val="1"/>
      <w:numFmt w:val="lowerLetter"/>
      <w:lvlText w:val="(%1)"/>
      <w:lvlJc w:val="left"/>
      <w:pPr>
        <w:ind w:left="360" w:hanging="360"/>
      </w:pPr>
      <w:rPr>
        <w:rFonts w:hint="default"/>
      </w:rPr>
    </w:lvl>
    <w:lvl w:ilvl="1" w:tplc="E6F4B00A" w:tentative="1">
      <w:start w:val="1"/>
      <w:numFmt w:val="lowerLetter"/>
      <w:lvlText w:val="%2."/>
      <w:lvlJc w:val="left"/>
      <w:pPr>
        <w:ind w:left="1080" w:hanging="360"/>
      </w:pPr>
    </w:lvl>
    <w:lvl w:ilvl="2" w:tplc="0ACA2F62" w:tentative="1">
      <w:start w:val="1"/>
      <w:numFmt w:val="lowerRoman"/>
      <w:lvlText w:val="%3."/>
      <w:lvlJc w:val="right"/>
      <w:pPr>
        <w:ind w:left="1800" w:hanging="180"/>
      </w:pPr>
    </w:lvl>
    <w:lvl w:ilvl="3" w:tplc="1C0E898E" w:tentative="1">
      <w:start w:val="1"/>
      <w:numFmt w:val="decimal"/>
      <w:lvlText w:val="%4."/>
      <w:lvlJc w:val="left"/>
      <w:pPr>
        <w:ind w:left="2520" w:hanging="360"/>
      </w:pPr>
    </w:lvl>
    <w:lvl w:ilvl="4" w:tplc="888E4A3C" w:tentative="1">
      <w:start w:val="1"/>
      <w:numFmt w:val="lowerLetter"/>
      <w:lvlText w:val="%5."/>
      <w:lvlJc w:val="left"/>
      <w:pPr>
        <w:ind w:left="3240" w:hanging="360"/>
      </w:pPr>
    </w:lvl>
    <w:lvl w:ilvl="5" w:tplc="77B268CC" w:tentative="1">
      <w:start w:val="1"/>
      <w:numFmt w:val="lowerRoman"/>
      <w:lvlText w:val="%6."/>
      <w:lvlJc w:val="right"/>
      <w:pPr>
        <w:ind w:left="3960" w:hanging="180"/>
      </w:pPr>
    </w:lvl>
    <w:lvl w:ilvl="6" w:tplc="E9A02346" w:tentative="1">
      <w:start w:val="1"/>
      <w:numFmt w:val="decimal"/>
      <w:lvlText w:val="%7."/>
      <w:lvlJc w:val="left"/>
      <w:pPr>
        <w:ind w:left="4680" w:hanging="360"/>
      </w:pPr>
    </w:lvl>
    <w:lvl w:ilvl="7" w:tplc="AB068F3C" w:tentative="1">
      <w:start w:val="1"/>
      <w:numFmt w:val="lowerLetter"/>
      <w:lvlText w:val="%8."/>
      <w:lvlJc w:val="left"/>
      <w:pPr>
        <w:ind w:left="5400" w:hanging="360"/>
      </w:pPr>
    </w:lvl>
    <w:lvl w:ilvl="8" w:tplc="7DCEDCD6" w:tentative="1">
      <w:start w:val="1"/>
      <w:numFmt w:val="lowerRoman"/>
      <w:lvlText w:val="%9."/>
      <w:lvlJc w:val="right"/>
      <w:pPr>
        <w:ind w:left="6120" w:hanging="180"/>
      </w:pPr>
    </w:lvl>
  </w:abstractNum>
  <w:abstractNum w:abstractNumId="54" w15:restartNumberingAfterBreak="0">
    <w:nsid w:val="78E2543A"/>
    <w:multiLevelType w:val="hybridMultilevel"/>
    <w:tmpl w:val="8EFCDBEE"/>
    <w:lvl w:ilvl="0" w:tplc="0A9081E0">
      <w:start w:val="1"/>
      <w:numFmt w:val="lowerLetter"/>
      <w:lvlText w:val="(%1)"/>
      <w:lvlJc w:val="left"/>
      <w:pPr>
        <w:ind w:left="360" w:hanging="360"/>
      </w:pPr>
      <w:rPr>
        <w:rFonts w:hint="default"/>
      </w:rPr>
    </w:lvl>
    <w:lvl w:ilvl="1" w:tplc="F85A4AAC" w:tentative="1">
      <w:start w:val="1"/>
      <w:numFmt w:val="lowerLetter"/>
      <w:lvlText w:val="%2."/>
      <w:lvlJc w:val="left"/>
      <w:pPr>
        <w:ind w:left="1080" w:hanging="360"/>
      </w:pPr>
    </w:lvl>
    <w:lvl w:ilvl="2" w:tplc="F78C8256" w:tentative="1">
      <w:start w:val="1"/>
      <w:numFmt w:val="lowerRoman"/>
      <w:lvlText w:val="%3."/>
      <w:lvlJc w:val="right"/>
      <w:pPr>
        <w:ind w:left="1800" w:hanging="180"/>
      </w:pPr>
    </w:lvl>
    <w:lvl w:ilvl="3" w:tplc="AD7CDDE4" w:tentative="1">
      <w:start w:val="1"/>
      <w:numFmt w:val="decimal"/>
      <w:lvlText w:val="%4."/>
      <w:lvlJc w:val="left"/>
      <w:pPr>
        <w:ind w:left="2520" w:hanging="360"/>
      </w:pPr>
    </w:lvl>
    <w:lvl w:ilvl="4" w:tplc="327AC21A" w:tentative="1">
      <w:start w:val="1"/>
      <w:numFmt w:val="lowerLetter"/>
      <w:lvlText w:val="%5."/>
      <w:lvlJc w:val="left"/>
      <w:pPr>
        <w:ind w:left="3240" w:hanging="360"/>
      </w:pPr>
    </w:lvl>
    <w:lvl w:ilvl="5" w:tplc="D5EE937C" w:tentative="1">
      <w:start w:val="1"/>
      <w:numFmt w:val="lowerRoman"/>
      <w:lvlText w:val="%6."/>
      <w:lvlJc w:val="right"/>
      <w:pPr>
        <w:ind w:left="3960" w:hanging="180"/>
      </w:pPr>
    </w:lvl>
    <w:lvl w:ilvl="6" w:tplc="6932065E" w:tentative="1">
      <w:start w:val="1"/>
      <w:numFmt w:val="decimal"/>
      <w:lvlText w:val="%7."/>
      <w:lvlJc w:val="left"/>
      <w:pPr>
        <w:ind w:left="4680" w:hanging="360"/>
      </w:pPr>
    </w:lvl>
    <w:lvl w:ilvl="7" w:tplc="B2A623FE" w:tentative="1">
      <w:start w:val="1"/>
      <w:numFmt w:val="lowerLetter"/>
      <w:lvlText w:val="%8."/>
      <w:lvlJc w:val="left"/>
      <w:pPr>
        <w:ind w:left="5400" w:hanging="360"/>
      </w:pPr>
    </w:lvl>
    <w:lvl w:ilvl="8" w:tplc="3030317A" w:tentative="1">
      <w:start w:val="1"/>
      <w:numFmt w:val="lowerRoman"/>
      <w:lvlText w:val="%9."/>
      <w:lvlJc w:val="right"/>
      <w:pPr>
        <w:ind w:left="6120" w:hanging="180"/>
      </w:pPr>
    </w:lvl>
  </w:abstractNum>
  <w:abstractNum w:abstractNumId="55" w15:restartNumberingAfterBreak="0">
    <w:nsid w:val="7A6E2E1A"/>
    <w:multiLevelType w:val="singleLevel"/>
    <w:tmpl w:val="DE063986"/>
    <w:lvl w:ilvl="0">
      <w:start w:val="1"/>
      <w:numFmt w:val="lowerLetter"/>
      <w:lvlText w:val="(%1)"/>
      <w:lvlJc w:val="left"/>
      <w:pPr>
        <w:ind w:left="360" w:hanging="360"/>
      </w:pPr>
      <w:rPr>
        <w:rFonts w:ascii="Arial" w:eastAsia="Calibri" w:hAnsi="Arial" w:cs="Arial"/>
        <w:b w:val="0"/>
        <w:i w:val="0"/>
        <w:color w:val="000000"/>
        <w:sz w:val="16"/>
      </w:rPr>
    </w:lvl>
  </w:abstractNum>
  <w:abstractNum w:abstractNumId="56" w15:restartNumberingAfterBreak="0">
    <w:nsid w:val="7E33506F"/>
    <w:multiLevelType w:val="hybridMultilevel"/>
    <w:tmpl w:val="FAB0FB52"/>
    <w:lvl w:ilvl="0" w:tplc="5490B2A0">
      <w:start w:val="1"/>
      <w:numFmt w:val="lowerLetter"/>
      <w:lvlText w:val="(%1)"/>
      <w:lvlJc w:val="left"/>
      <w:pPr>
        <w:ind w:left="360" w:hanging="360"/>
      </w:pPr>
      <w:rPr>
        <w:rFonts w:hint="default"/>
        <w:sz w:val="16"/>
      </w:rPr>
    </w:lvl>
    <w:lvl w:ilvl="1" w:tplc="4038255C" w:tentative="1">
      <w:start w:val="1"/>
      <w:numFmt w:val="lowerLetter"/>
      <w:lvlText w:val="%2."/>
      <w:lvlJc w:val="left"/>
      <w:pPr>
        <w:ind w:left="1080" w:hanging="360"/>
      </w:pPr>
    </w:lvl>
    <w:lvl w:ilvl="2" w:tplc="A4F87002" w:tentative="1">
      <w:start w:val="1"/>
      <w:numFmt w:val="lowerRoman"/>
      <w:lvlText w:val="%3."/>
      <w:lvlJc w:val="right"/>
      <w:pPr>
        <w:ind w:left="1800" w:hanging="180"/>
      </w:pPr>
    </w:lvl>
    <w:lvl w:ilvl="3" w:tplc="608E84D8" w:tentative="1">
      <w:start w:val="1"/>
      <w:numFmt w:val="decimal"/>
      <w:lvlText w:val="%4."/>
      <w:lvlJc w:val="left"/>
      <w:pPr>
        <w:ind w:left="2520" w:hanging="360"/>
      </w:pPr>
    </w:lvl>
    <w:lvl w:ilvl="4" w:tplc="B716539E" w:tentative="1">
      <w:start w:val="1"/>
      <w:numFmt w:val="lowerLetter"/>
      <w:lvlText w:val="%5."/>
      <w:lvlJc w:val="left"/>
      <w:pPr>
        <w:ind w:left="3240" w:hanging="360"/>
      </w:pPr>
    </w:lvl>
    <w:lvl w:ilvl="5" w:tplc="548E2BCA" w:tentative="1">
      <w:start w:val="1"/>
      <w:numFmt w:val="lowerRoman"/>
      <w:lvlText w:val="%6."/>
      <w:lvlJc w:val="right"/>
      <w:pPr>
        <w:ind w:left="3960" w:hanging="180"/>
      </w:pPr>
    </w:lvl>
    <w:lvl w:ilvl="6" w:tplc="4710B16C" w:tentative="1">
      <w:start w:val="1"/>
      <w:numFmt w:val="decimal"/>
      <w:lvlText w:val="%7."/>
      <w:lvlJc w:val="left"/>
      <w:pPr>
        <w:ind w:left="4680" w:hanging="360"/>
      </w:pPr>
    </w:lvl>
    <w:lvl w:ilvl="7" w:tplc="EE5CBE08" w:tentative="1">
      <w:start w:val="1"/>
      <w:numFmt w:val="lowerLetter"/>
      <w:lvlText w:val="%8."/>
      <w:lvlJc w:val="left"/>
      <w:pPr>
        <w:ind w:left="5400" w:hanging="360"/>
      </w:pPr>
    </w:lvl>
    <w:lvl w:ilvl="8" w:tplc="D18EEBD8" w:tentative="1">
      <w:start w:val="1"/>
      <w:numFmt w:val="lowerRoman"/>
      <w:lvlText w:val="%9."/>
      <w:lvlJc w:val="right"/>
      <w:pPr>
        <w:ind w:left="6120" w:hanging="180"/>
      </w:pPr>
    </w:lvl>
  </w:abstractNum>
  <w:num w:numId="1">
    <w:abstractNumId w:val="28"/>
  </w:num>
  <w:num w:numId="2">
    <w:abstractNumId w:val="50"/>
  </w:num>
  <w:num w:numId="3">
    <w:abstractNumId w:val="52"/>
  </w:num>
  <w:num w:numId="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4"/>
  </w:num>
  <w:num w:numId="7">
    <w:abstractNumId w:val="46"/>
  </w:num>
  <w:num w:numId="8">
    <w:abstractNumId w:val="3"/>
  </w:num>
  <w:num w:numId="9">
    <w:abstractNumId w:val="36"/>
  </w:num>
  <w:num w:numId="10">
    <w:abstractNumId w:val="6"/>
  </w:num>
  <w:num w:numId="11">
    <w:abstractNumId w:val="12"/>
  </w:num>
  <w:num w:numId="12">
    <w:abstractNumId w:val="54"/>
  </w:num>
  <w:num w:numId="13">
    <w:abstractNumId w:val="53"/>
  </w:num>
  <w:num w:numId="14">
    <w:abstractNumId w:val="38"/>
  </w:num>
  <w:num w:numId="15">
    <w:abstractNumId w:val="0"/>
  </w:num>
  <w:num w:numId="16">
    <w:abstractNumId w:val="26"/>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39"/>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num>
  <w:num w:numId="22">
    <w:abstractNumId w:val="10"/>
  </w:num>
  <w:num w:numId="23">
    <w:abstractNumId w:val="42"/>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8"/>
  </w:num>
  <w:num w:numId="30">
    <w:abstractNumId w:val="31"/>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5"/>
  </w:num>
  <w:num w:numId="34">
    <w:abstractNumId w:val="35"/>
  </w:num>
  <w:num w:numId="35">
    <w:abstractNumId w:val="37"/>
  </w:num>
  <w:num w:numId="36">
    <w:abstractNumId w:val="14"/>
  </w:num>
  <w:num w:numId="37">
    <w:abstractNumId w:val="56"/>
  </w:num>
  <w:num w:numId="38">
    <w:abstractNumId w:val="41"/>
  </w:num>
  <w:num w:numId="39">
    <w:abstractNumId w:val="17"/>
  </w:num>
  <w:num w:numId="40">
    <w:abstractNumId w:val="18"/>
  </w:num>
  <w:num w:numId="41">
    <w:abstractNumId w:val="34"/>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22"/>
  </w:num>
  <w:num w:numId="47">
    <w:abstractNumId w:val="5"/>
  </w:num>
  <w:num w:numId="48">
    <w:abstractNumId w:val="19"/>
  </w:num>
  <w:num w:numId="49">
    <w:abstractNumId w:val="23"/>
  </w:num>
  <w:num w:numId="50">
    <w:abstractNumId w:val="24"/>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lvlOverride w:ilvl="0">
      <w:startOverride w:val="1"/>
    </w:lvlOverride>
  </w:num>
  <w:num w:numId="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972"/>
    <w:rsid w:val="00001298"/>
    <w:rsid w:val="000061FC"/>
    <w:rsid w:val="00006C7B"/>
    <w:rsid w:val="00010972"/>
    <w:rsid w:val="000126B6"/>
    <w:rsid w:val="0001562E"/>
    <w:rsid w:val="00032B18"/>
    <w:rsid w:val="00046E83"/>
    <w:rsid w:val="0004762F"/>
    <w:rsid w:val="00051025"/>
    <w:rsid w:val="000537CD"/>
    <w:rsid w:val="00054064"/>
    <w:rsid w:val="00057750"/>
    <w:rsid w:val="00063192"/>
    <w:rsid w:val="0006492D"/>
    <w:rsid w:val="00064EB2"/>
    <w:rsid w:val="00066A92"/>
    <w:rsid w:val="00072526"/>
    <w:rsid w:val="00074598"/>
    <w:rsid w:val="000773F0"/>
    <w:rsid w:val="00084361"/>
    <w:rsid w:val="000871BF"/>
    <w:rsid w:val="000941FD"/>
    <w:rsid w:val="000A1073"/>
    <w:rsid w:val="000B1384"/>
    <w:rsid w:val="000B7F5D"/>
    <w:rsid w:val="000D010B"/>
    <w:rsid w:val="000D48EF"/>
    <w:rsid w:val="000E3E52"/>
    <w:rsid w:val="000E551C"/>
    <w:rsid w:val="000F5949"/>
    <w:rsid w:val="001011E2"/>
    <w:rsid w:val="00102381"/>
    <w:rsid w:val="00102850"/>
    <w:rsid w:val="00105C18"/>
    <w:rsid w:val="00106F18"/>
    <w:rsid w:val="001117A2"/>
    <w:rsid w:val="00117521"/>
    <w:rsid w:val="00122893"/>
    <w:rsid w:val="00122A50"/>
    <w:rsid w:val="00127379"/>
    <w:rsid w:val="00130F32"/>
    <w:rsid w:val="001314FA"/>
    <w:rsid w:val="001319A4"/>
    <w:rsid w:val="00132695"/>
    <w:rsid w:val="0013525D"/>
    <w:rsid w:val="00136D78"/>
    <w:rsid w:val="001460ED"/>
    <w:rsid w:val="001472B7"/>
    <w:rsid w:val="00155128"/>
    <w:rsid w:val="00155303"/>
    <w:rsid w:val="0015622A"/>
    <w:rsid w:val="00156591"/>
    <w:rsid w:val="001570B2"/>
    <w:rsid w:val="00163885"/>
    <w:rsid w:val="001672B7"/>
    <w:rsid w:val="001709AE"/>
    <w:rsid w:val="00177B1F"/>
    <w:rsid w:val="00181150"/>
    <w:rsid w:val="00182A4D"/>
    <w:rsid w:val="00185C80"/>
    <w:rsid w:val="00186DBF"/>
    <w:rsid w:val="001947B6"/>
    <w:rsid w:val="001958CE"/>
    <w:rsid w:val="001A1B62"/>
    <w:rsid w:val="001A1C6B"/>
    <w:rsid w:val="001A1F6C"/>
    <w:rsid w:val="001A2675"/>
    <w:rsid w:val="001A3A41"/>
    <w:rsid w:val="001B2A9A"/>
    <w:rsid w:val="001B4943"/>
    <w:rsid w:val="001B5316"/>
    <w:rsid w:val="001B5E5B"/>
    <w:rsid w:val="001B7E06"/>
    <w:rsid w:val="001C0CD0"/>
    <w:rsid w:val="001C1629"/>
    <w:rsid w:val="001C19E8"/>
    <w:rsid w:val="001C1C19"/>
    <w:rsid w:val="001C36D0"/>
    <w:rsid w:val="001C4A1A"/>
    <w:rsid w:val="001C500B"/>
    <w:rsid w:val="001C56C9"/>
    <w:rsid w:val="001C5D5F"/>
    <w:rsid w:val="001D2D38"/>
    <w:rsid w:val="001D3B27"/>
    <w:rsid w:val="001D7B3A"/>
    <w:rsid w:val="001E15F9"/>
    <w:rsid w:val="001E610A"/>
    <w:rsid w:val="00201A2D"/>
    <w:rsid w:val="00204F98"/>
    <w:rsid w:val="00210A85"/>
    <w:rsid w:val="002112D8"/>
    <w:rsid w:val="00212B8B"/>
    <w:rsid w:val="00222FDB"/>
    <w:rsid w:val="002247E0"/>
    <w:rsid w:val="00232995"/>
    <w:rsid w:val="00236912"/>
    <w:rsid w:val="002409F3"/>
    <w:rsid w:val="00241A74"/>
    <w:rsid w:val="00241B17"/>
    <w:rsid w:val="002459B5"/>
    <w:rsid w:val="00247A36"/>
    <w:rsid w:val="0025266A"/>
    <w:rsid w:val="002542E8"/>
    <w:rsid w:val="002547FA"/>
    <w:rsid w:val="0026077D"/>
    <w:rsid w:val="00266E85"/>
    <w:rsid w:val="00274EEE"/>
    <w:rsid w:val="00280BD8"/>
    <w:rsid w:val="002859ED"/>
    <w:rsid w:val="00286E43"/>
    <w:rsid w:val="002872BB"/>
    <w:rsid w:val="0029163A"/>
    <w:rsid w:val="0029301F"/>
    <w:rsid w:val="00295789"/>
    <w:rsid w:val="002A3CF9"/>
    <w:rsid w:val="002A6CCD"/>
    <w:rsid w:val="002A7B0C"/>
    <w:rsid w:val="002B2129"/>
    <w:rsid w:val="002B6D29"/>
    <w:rsid w:val="002C32C5"/>
    <w:rsid w:val="002C4038"/>
    <w:rsid w:val="002C45AD"/>
    <w:rsid w:val="002C581B"/>
    <w:rsid w:val="002D0016"/>
    <w:rsid w:val="002D0DBC"/>
    <w:rsid w:val="002E2000"/>
    <w:rsid w:val="002E2971"/>
    <w:rsid w:val="002E3447"/>
    <w:rsid w:val="002E6B3D"/>
    <w:rsid w:val="002E7D0B"/>
    <w:rsid w:val="002F7C42"/>
    <w:rsid w:val="003049E9"/>
    <w:rsid w:val="00305008"/>
    <w:rsid w:val="003052E5"/>
    <w:rsid w:val="0031435B"/>
    <w:rsid w:val="003156FA"/>
    <w:rsid w:val="00315A9E"/>
    <w:rsid w:val="00317B3E"/>
    <w:rsid w:val="003202B0"/>
    <w:rsid w:val="0032326C"/>
    <w:rsid w:val="00324DED"/>
    <w:rsid w:val="00327F45"/>
    <w:rsid w:val="00333188"/>
    <w:rsid w:val="00342BA2"/>
    <w:rsid w:val="003448DE"/>
    <w:rsid w:val="00345CA6"/>
    <w:rsid w:val="00345F57"/>
    <w:rsid w:val="0034624F"/>
    <w:rsid w:val="00347CB4"/>
    <w:rsid w:val="003527A9"/>
    <w:rsid w:val="00353C1B"/>
    <w:rsid w:val="00354F1C"/>
    <w:rsid w:val="003560E9"/>
    <w:rsid w:val="003561E1"/>
    <w:rsid w:val="00356495"/>
    <w:rsid w:val="00357ACC"/>
    <w:rsid w:val="003622A9"/>
    <w:rsid w:val="00363BAA"/>
    <w:rsid w:val="00364411"/>
    <w:rsid w:val="00370421"/>
    <w:rsid w:val="00370B43"/>
    <w:rsid w:val="00371743"/>
    <w:rsid w:val="00374050"/>
    <w:rsid w:val="00375DFD"/>
    <w:rsid w:val="00377D53"/>
    <w:rsid w:val="003800F4"/>
    <w:rsid w:val="003826A4"/>
    <w:rsid w:val="00383A98"/>
    <w:rsid w:val="00384D01"/>
    <w:rsid w:val="003862E5"/>
    <w:rsid w:val="00386906"/>
    <w:rsid w:val="00395390"/>
    <w:rsid w:val="0039571F"/>
    <w:rsid w:val="0039605A"/>
    <w:rsid w:val="0039617E"/>
    <w:rsid w:val="003B06C4"/>
    <w:rsid w:val="003B28C3"/>
    <w:rsid w:val="003B31D0"/>
    <w:rsid w:val="003C0F83"/>
    <w:rsid w:val="003C2E59"/>
    <w:rsid w:val="003D226A"/>
    <w:rsid w:val="003D25EC"/>
    <w:rsid w:val="003D35E4"/>
    <w:rsid w:val="003D50F8"/>
    <w:rsid w:val="003E027B"/>
    <w:rsid w:val="003E54EC"/>
    <w:rsid w:val="003E57D1"/>
    <w:rsid w:val="003F0842"/>
    <w:rsid w:val="003F5648"/>
    <w:rsid w:val="003F6D55"/>
    <w:rsid w:val="003F7D72"/>
    <w:rsid w:val="00402773"/>
    <w:rsid w:val="0040508A"/>
    <w:rsid w:val="00412D52"/>
    <w:rsid w:val="0041477B"/>
    <w:rsid w:val="004264DE"/>
    <w:rsid w:val="00430A3D"/>
    <w:rsid w:val="00433854"/>
    <w:rsid w:val="004408B9"/>
    <w:rsid w:val="004431D5"/>
    <w:rsid w:val="00452F98"/>
    <w:rsid w:val="004540F4"/>
    <w:rsid w:val="00470378"/>
    <w:rsid w:val="00473E94"/>
    <w:rsid w:val="0047558D"/>
    <w:rsid w:val="00484E6D"/>
    <w:rsid w:val="00485E05"/>
    <w:rsid w:val="00491960"/>
    <w:rsid w:val="00495BB4"/>
    <w:rsid w:val="004974A0"/>
    <w:rsid w:val="004A2131"/>
    <w:rsid w:val="004A3A5E"/>
    <w:rsid w:val="004A408E"/>
    <w:rsid w:val="004A4207"/>
    <w:rsid w:val="004A5203"/>
    <w:rsid w:val="004B29E2"/>
    <w:rsid w:val="004B6871"/>
    <w:rsid w:val="004C2526"/>
    <w:rsid w:val="004C30BE"/>
    <w:rsid w:val="004C73CC"/>
    <w:rsid w:val="004D0F5B"/>
    <w:rsid w:val="004D2590"/>
    <w:rsid w:val="004D3107"/>
    <w:rsid w:val="004D7C73"/>
    <w:rsid w:val="004E0F25"/>
    <w:rsid w:val="004E3232"/>
    <w:rsid w:val="004E47BC"/>
    <w:rsid w:val="004F08FE"/>
    <w:rsid w:val="004F689D"/>
    <w:rsid w:val="004F6A3E"/>
    <w:rsid w:val="00507327"/>
    <w:rsid w:val="0051209A"/>
    <w:rsid w:val="0052486A"/>
    <w:rsid w:val="00536D48"/>
    <w:rsid w:val="00541C19"/>
    <w:rsid w:val="0054426B"/>
    <w:rsid w:val="005453C3"/>
    <w:rsid w:val="00547485"/>
    <w:rsid w:val="00551AF7"/>
    <w:rsid w:val="00551F66"/>
    <w:rsid w:val="005544C5"/>
    <w:rsid w:val="005556E7"/>
    <w:rsid w:val="00556DF7"/>
    <w:rsid w:val="00562B4F"/>
    <w:rsid w:val="00562DDF"/>
    <w:rsid w:val="00562F4B"/>
    <w:rsid w:val="00565303"/>
    <w:rsid w:val="005767FE"/>
    <w:rsid w:val="00582074"/>
    <w:rsid w:val="005823B9"/>
    <w:rsid w:val="0058575B"/>
    <w:rsid w:val="00587062"/>
    <w:rsid w:val="00587C31"/>
    <w:rsid w:val="00587D48"/>
    <w:rsid w:val="005A1789"/>
    <w:rsid w:val="005A4D6B"/>
    <w:rsid w:val="005A6D20"/>
    <w:rsid w:val="005B3B57"/>
    <w:rsid w:val="005B3C1E"/>
    <w:rsid w:val="005B3F89"/>
    <w:rsid w:val="005C1D11"/>
    <w:rsid w:val="005C2BC3"/>
    <w:rsid w:val="005C3AA9"/>
    <w:rsid w:val="005D2FB7"/>
    <w:rsid w:val="005D2FCD"/>
    <w:rsid w:val="005D41A0"/>
    <w:rsid w:val="005D5A8C"/>
    <w:rsid w:val="005E0A0F"/>
    <w:rsid w:val="005E1B58"/>
    <w:rsid w:val="005E3209"/>
    <w:rsid w:val="005E7F55"/>
    <w:rsid w:val="005F09CB"/>
    <w:rsid w:val="005F6A6C"/>
    <w:rsid w:val="005F7C40"/>
    <w:rsid w:val="00605E3F"/>
    <w:rsid w:val="006063DC"/>
    <w:rsid w:val="006149CC"/>
    <w:rsid w:val="006212D2"/>
    <w:rsid w:val="00621E10"/>
    <w:rsid w:val="0062427E"/>
    <w:rsid w:val="00630C07"/>
    <w:rsid w:val="00632338"/>
    <w:rsid w:val="00653491"/>
    <w:rsid w:val="00656B65"/>
    <w:rsid w:val="00657DF0"/>
    <w:rsid w:val="00661573"/>
    <w:rsid w:val="0066404C"/>
    <w:rsid w:val="00675C65"/>
    <w:rsid w:val="00687AEE"/>
    <w:rsid w:val="006913DA"/>
    <w:rsid w:val="006930C0"/>
    <w:rsid w:val="006942A6"/>
    <w:rsid w:val="00697814"/>
    <w:rsid w:val="006A04E8"/>
    <w:rsid w:val="006A17AA"/>
    <w:rsid w:val="006A23DB"/>
    <w:rsid w:val="006A5827"/>
    <w:rsid w:val="006A5B55"/>
    <w:rsid w:val="006B0187"/>
    <w:rsid w:val="006B33C5"/>
    <w:rsid w:val="006B3A48"/>
    <w:rsid w:val="006B3CBA"/>
    <w:rsid w:val="006B4242"/>
    <w:rsid w:val="006B6EF0"/>
    <w:rsid w:val="006B6F42"/>
    <w:rsid w:val="006C1F23"/>
    <w:rsid w:val="006C4F26"/>
    <w:rsid w:val="006D59CC"/>
    <w:rsid w:val="006D6214"/>
    <w:rsid w:val="006E0341"/>
    <w:rsid w:val="006E3253"/>
    <w:rsid w:val="006F0217"/>
    <w:rsid w:val="006F1B5C"/>
    <w:rsid w:val="006F54B7"/>
    <w:rsid w:val="006F5BE1"/>
    <w:rsid w:val="006F5F97"/>
    <w:rsid w:val="006F6E47"/>
    <w:rsid w:val="0070088B"/>
    <w:rsid w:val="00702889"/>
    <w:rsid w:val="00702DC6"/>
    <w:rsid w:val="00704A12"/>
    <w:rsid w:val="00706E22"/>
    <w:rsid w:val="0070703B"/>
    <w:rsid w:val="00712060"/>
    <w:rsid w:val="00716A39"/>
    <w:rsid w:val="0072057B"/>
    <w:rsid w:val="007217A2"/>
    <w:rsid w:val="00722D28"/>
    <w:rsid w:val="0074173D"/>
    <w:rsid w:val="0074218D"/>
    <w:rsid w:val="007428E5"/>
    <w:rsid w:val="00744E71"/>
    <w:rsid w:val="00745E2A"/>
    <w:rsid w:val="00746CF0"/>
    <w:rsid w:val="007479ED"/>
    <w:rsid w:val="007544FA"/>
    <w:rsid w:val="0076351B"/>
    <w:rsid w:val="00765388"/>
    <w:rsid w:val="00766DEB"/>
    <w:rsid w:val="00767CF5"/>
    <w:rsid w:val="00782AE7"/>
    <w:rsid w:val="00782CA5"/>
    <w:rsid w:val="00785215"/>
    <w:rsid w:val="0079287A"/>
    <w:rsid w:val="0079515F"/>
    <w:rsid w:val="007A01AB"/>
    <w:rsid w:val="007A1A37"/>
    <w:rsid w:val="007A3B94"/>
    <w:rsid w:val="007A4EA1"/>
    <w:rsid w:val="007B0256"/>
    <w:rsid w:val="007B495D"/>
    <w:rsid w:val="007B4A62"/>
    <w:rsid w:val="007B6552"/>
    <w:rsid w:val="007C0492"/>
    <w:rsid w:val="007C214F"/>
    <w:rsid w:val="007D19F8"/>
    <w:rsid w:val="007D5696"/>
    <w:rsid w:val="007E17C0"/>
    <w:rsid w:val="007E1878"/>
    <w:rsid w:val="007E2384"/>
    <w:rsid w:val="007E6680"/>
    <w:rsid w:val="00803533"/>
    <w:rsid w:val="00814166"/>
    <w:rsid w:val="0081759B"/>
    <w:rsid w:val="00823F6E"/>
    <w:rsid w:val="00826BEB"/>
    <w:rsid w:val="0083161A"/>
    <w:rsid w:val="008323FC"/>
    <w:rsid w:val="00832611"/>
    <w:rsid w:val="00832AC5"/>
    <w:rsid w:val="00845876"/>
    <w:rsid w:val="00846FBC"/>
    <w:rsid w:val="008523B9"/>
    <w:rsid w:val="0085463F"/>
    <w:rsid w:val="00855482"/>
    <w:rsid w:val="008557A6"/>
    <w:rsid w:val="00855DCC"/>
    <w:rsid w:val="0086073A"/>
    <w:rsid w:val="00873C03"/>
    <w:rsid w:val="00877210"/>
    <w:rsid w:val="008814DB"/>
    <w:rsid w:val="00881F23"/>
    <w:rsid w:val="00887854"/>
    <w:rsid w:val="00891BFF"/>
    <w:rsid w:val="00893078"/>
    <w:rsid w:val="00895246"/>
    <w:rsid w:val="008A013C"/>
    <w:rsid w:val="008A07CA"/>
    <w:rsid w:val="008A0BA8"/>
    <w:rsid w:val="008A2043"/>
    <w:rsid w:val="008A3DAD"/>
    <w:rsid w:val="008A788F"/>
    <w:rsid w:val="008B0B9F"/>
    <w:rsid w:val="008B0FA4"/>
    <w:rsid w:val="008B20C0"/>
    <w:rsid w:val="008B274E"/>
    <w:rsid w:val="008B30AD"/>
    <w:rsid w:val="008B6037"/>
    <w:rsid w:val="008B69CF"/>
    <w:rsid w:val="008C078B"/>
    <w:rsid w:val="008D7A4D"/>
    <w:rsid w:val="008E1C8A"/>
    <w:rsid w:val="008F0FF3"/>
    <w:rsid w:val="00913FE8"/>
    <w:rsid w:val="00914936"/>
    <w:rsid w:val="009205E4"/>
    <w:rsid w:val="0092574C"/>
    <w:rsid w:val="00926402"/>
    <w:rsid w:val="0092707B"/>
    <w:rsid w:val="0093155D"/>
    <w:rsid w:val="00931ED1"/>
    <w:rsid w:val="00932621"/>
    <w:rsid w:val="00932ADA"/>
    <w:rsid w:val="0093354C"/>
    <w:rsid w:val="009340CE"/>
    <w:rsid w:val="00935348"/>
    <w:rsid w:val="009420CE"/>
    <w:rsid w:val="00942D20"/>
    <w:rsid w:val="00950457"/>
    <w:rsid w:val="0095457C"/>
    <w:rsid w:val="00955AE0"/>
    <w:rsid w:val="00957B32"/>
    <w:rsid w:val="00963CB9"/>
    <w:rsid w:val="00973B38"/>
    <w:rsid w:val="00980118"/>
    <w:rsid w:val="00980672"/>
    <w:rsid w:val="00986B53"/>
    <w:rsid w:val="009A1AEC"/>
    <w:rsid w:val="009A451E"/>
    <w:rsid w:val="009A756E"/>
    <w:rsid w:val="009B530C"/>
    <w:rsid w:val="009B5B50"/>
    <w:rsid w:val="009B7C27"/>
    <w:rsid w:val="009B7C35"/>
    <w:rsid w:val="009C0E15"/>
    <w:rsid w:val="009C1B49"/>
    <w:rsid w:val="009C34BB"/>
    <w:rsid w:val="009C39E3"/>
    <w:rsid w:val="009C51D1"/>
    <w:rsid w:val="009C5242"/>
    <w:rsid w:val="009C60AB"/>
    <w:rsid w:val="009C6387"/>
    <w:rsid w:val="009D175B"/>
    <w:rsid w:val="009D4AB0"/>
    <w:rsid w:val="009D61A1"/>
    <w:rsid w:val="009D65B4"/>
    <w:rsid w:val="009D7D0D"/>
    <w:rsid w:val="009E22F4"/>
    <w:rsid w:val="009E3851"/>
    <w:rsid w:val="009E3FA2"/>
    <w:rsid w:val="009F410F"/>
    <w:rsid w:val="00A0435E"/>
    <w:rsid w:val="00A10D55"/>
    <w:rsid w:val="00A16E9F"/>
    <w:rsid w:val="00A2293B"/>
    <w:rsid w:val="00A22EB5"/>
    <w:rsid w:val="00A24D85"/>
    <w:rsid w:val="00A27E35"/>
    <w:rsid w:val="00A31A84"/>
    <w:rsid w:val="00A31BA2"/>
    <w:rsid w:val="00A33ED4"/>
    <w:rsid w:val="00A357EA"/>
    <w:rsid w:val="00A375C2"/>
    <w:rsid w:val="00A42CA2"/>
    <w:rsid w:val="00A47F3A"/>
    <w:rsid w:val="00A51081"/>
    <w:rsid w:val="00A5248F"/>
    <w:rsid w:val="00A55406"/>
    <w:rsid w:val="00A64D17"/>
    <w:rsid w:val="00A65F67"/>
    <w:rsid w:val="00A6798F"/>
    <w:rsid w:val="00A76132"/>
    <w:rsid w:val="00A7732B"/>
    <w:rsid w:val="00A8389B"/>
    <w:rsid w:val="00A85152"/>
    <w:rsid w:val="00A870C6"/>
    <w:rsid w:val="00A878CD"/>
    <w:rsid w:val="00A93DB0"/>
    <w:rsid w:val="00AA1373"/>
    <w:rsid w:val="00AB0E7B"/>
    <w:rsid w:val="00AB116D"/>
    <w:rsid w:val="00AB258A"/>
    <w:rsid w:val="00AB2CBA"/>
    <w:rsid w:val="00AB4936"/>
    <w:rsid w:val="00AC1070"/>
    <w:rsid w:val="00AC7663"/>
    <w:rsid w:val="00AD321C"/>
    <w:rsid w:val="00AD3BC9"/>
    <w:rsid w:val="00AD7E60"/>
    <w:rsid w:val="00AE21A3"/>
    <w:rsid w:val="00AE3EFD"/>
    <w:rsid w:val="00AE4053"/>
    <w:rsid w:val="00AE5F3D"/>
    <w:rsid w:val="00AE6B33"/>
    <w:rsid w:val="00AF02F3"/>
    <w:rsid w:val="00AF690E"/>
    <w:rsid w:val="00B0288F"/>
    <w:rsid w:val="00B13691"/>
    <w:rsid w:val="00B13B93"/>
    <w:rsid w:val="00B214F8"/>
    <w:rsid w:val="00B319A9"/>
    <w:rsid w:val="00B33BD8"/>
    <w:rsid w:val="00B353C4"/>
    <w:rsid w:val="00B3639E"/>
    <w:rsid w:val="00B36B2A"/>
    <w:rsid w:val="00B40078"/>
    <w:rsid w:val="00B45A2C"/>
    <w:rsid w:val="00B511FF"/>
    <w:rsid w:val="00B54094"/>
    <w:rsid w:val="00B565CF"/>
    <w:rsid w:val="00B66A9F"/>
    <w:rsid w:val="00B70730"/>
    <w:rsid w:val="00B710DA"/>
    <w:rsid w:val="00B75654"/>
    <w:rsid w:val="00B778D7"/>
    <w:rsid w:val="00B82A1E"/>
    <w:rsid w:val="00B90967"/>
    <w:rsid w:val="00B94650"/>
    <w:rsid w:val="00BA0209"/>
    <w:rsid w:val="00BA33F7"/>
    <w:rsid w:val="00BA3C19"/>
    <w:rsid w:val="00BA53D0"/>
    <w:rsid w:val="00BB19FC"/>
    <w:rsid w:val="00BB4601"/>
    <w:rsid w:val="00BB7814"/>
    <w:rsid w:val="00BC1B90"/>
    <w:rsid w:val="00BC5770"/>
    <w:rsid w:val="00BC7940"/>
    <w:rsid w:val="00BD23D2"/>
    <w:rsid w:val="00BD45AB"/>
    <w:rsid w:val="00BE438B"/>
    <w:rsid w:val="00BE686D"/>
    <w:rsid w:val="00BE7B98"/>
    <w:rsid w:val="00BF1F39"/>
    <w:rsid w:val="00BF2F71"/>
    <w:rsid w:val="00BF76CA"/>
    <w:rsid w:val="00C02521"/>
    <w:rsid w:val="00C02B9A"/>
    <w:rsid w:val="00C05C05"/>
    <w:rsid w:val="00C06332"/>
    <w:rsid w:val="00C073D5"/>
    <w:rsid w:val="00C10A17"/>
    <w:rsid w:val="00C167DF"/>
    <w:rsid w:val="00C26AA0"/>
    <w:rsid w:val="00C407FC"/>
    <w:rsid w:val="00C50AB5"/>
    <w:rsid w:val="00C50CE3"/>
    <w:rsid w:val="00C5172A"/>
    <w:rsid w:val="00C53787"/>
    <w:rsid w:val="00C6538C"/>
    <w:rsid w:val="00C66C7D"/>
    <w:rsid w:val="00C67DB8"/>
    <w:rsid w:val="00C707B1"/>
    <w:rsid w:val="00C716A9"/>
    <w:rsid w:val="00C72DDE"/>
    <w:rsid w:val="00C80635"/>
    <w:rsid w:val="00C830C0"/>
    <w:rsid w:val="00C85B69"/>
    <w:rsid w:val="00C85D93"/>
    <w:rsid w:val="00C91D52"/>
    <w:rsid w:val="00C92247"/>
    <w:rsid w:val="00C923E5"/>
    <w:rsid w:val="00C95DC9"/>
    <w:rsid w:val="00CA0CF0"/>
    <w:rsid w:val="00CA3A38"/>
    <w:rsid w:val="00CB7666"/>
    <w:rsid w:val="00CC2F55"/>
    <w:rsid w:val="00CC5FC1"/>
    <w:rsid w:val="00CD10A1"/>
    <w:rsid w:val="00CD4580"/>
    <w:rsid w:val="00CD78EF"/>
    <w:rsid w:val="00CE25A4"/>
    <w:rsid w:val="00CE4332"/>
    <w:rsid w:val="00CF2AA9"/>
    <w:rsid w:val="00D02E2D"/>
    <w:rsid w:val="00D03AF1"/>
    <w:rsid w:val="00D10F22"/>
    <w:rsid w:val="00D11A17"/>
    <w:rsid w:val="00D145BE"/>
    <w:rsid w:val="00D1584B"/>
    <w:rsid w:val="00D15CE2"/>
    <w:rsid w:val="00D20B97"/>
    <w:rsid w:val="00D239AD"/>
    <w:rsid w:val="00D244DD"/>
    <w:rsid w:val="00D2528B"/>
    <w:rsid w:val="00D27591"/>
    <w:rsid w:val="00D30097"/>
    <w:rsid w:val="00D3629B"/>
    <w:rsid w:val="00D4080E"/>
    <w:rsid w:val="00D415B7"/>
    <w:rsid w:val="00D43E67"/>
    <w:rsid w:val="00D46240"/>
    <w:rsid w:val="00D4650D"/>
    <w:rsid w:val="00D472BF"/>
    <w:rsid w:val="00D50377"/>
    <w:rsid w:val="00D5189F"/>
    <w:rsid w:val="00D5482E"/>
    <w:rsid w:val="00D57835"/>
    <w:rsid w:val="00D62869"/>
    <w:rsid w:val="00D62AD7"/>
    <w:rsid w:val="00D71BFC"/>
    <w:rsid w:val="00D74910"/>
    <w:rsid w:val="00D81640"/>
    <w:rsid w:val="00D83EBE"/>
    <w:rsid w:val="00D84073"/>
    <w:rsid w:val="00D85104"/>
    <w:rsid w:val="00D86095"/>
    <w:rsid w:val="00D87356"/>
    <w:rsid w:val="00D90F85"/>
    <w:rsid w:val="00D91095"/>
    <w:rsid w:val="00D974C5"/>
    <w:rsid w:val="00D97C83"/>
    <w:rsid w:val="00DA4A6F"/>
    <w:rsid w:val="00DA7468"/>
    <w:rsid w:val="00DB20D6"/>
    <w:rsid w:val="00DC2FEC"/>
    <w:rsid w:val="00DC35F9"/>
    <w:rsid w:val="00DC6A9E"/>
    <w:rsid w:val="00DC76AC"/>
    <w:rsid w:val="00DC7A59"/>
    <w:rsid w:val="00DC7D49"/>
    <w:rsid w:val="00DD145C"/>
    <w:rsid w:val="00DD3CD1"/>
    <w:rsid w:val="00DD5C1B"/>
    <w:rsid w:val="00DE34D5"/>
    <w:rsid w:val="00DE6FE8"/>
    <w:rsid w:val="00DF0802"/>
    <w:rsid w:val="00DF4646"/>
    <w:rsid w:val="00DF5E52"/>
    <w:rsid w:val="00E01CFA"/>
    <w:rsid w:val="00E0345B"/>
    <w:rsid w:val="00E05CDA"/>
    <w:rsid w:val="00E11ACB"/>
    <w:rsid w:val="00E159CD"/>
    <w:rsid w:val="00E1661D"/>
    <w:rsid w:val="00E23F56"/>
    <w:rsid w:val="00E24C77"/>
    <w:rsid w:val="00E331B4"/>
    <w:rsid w:val="00E35324"/>
    <w:rsid w:val="00E36EDC"/>
    <w:rsid w:val="00E42292"/>
    <w:rsid w:val="00E46949"/>
    <w:rsid w:val="00E525A4"/>
    <w:rsid w:val="00E62D1E"/>
    <w:rsid w:val="00E72847"/>
    <w:rsid w:val="00E7470E"/>
    <w:rsid w:val="00E74FD9"/>
    <w:rsid w:val="00E75F88"/>
    <w:rsid w:val="00E77462"/>
    <w:rsid w:val="00E8098B"/>
    <w:rsid w:val="00E838F8"/>
    <w:rsid w:val="00E840F5"/>
    <w:rsid w:val="00E86B73"/>
    <w:rsid w:val="00E87899"/>
    <w:rsid w:val="00E915B3"/>
    <w:rsid w:val="00E969EE"/>
    <w:rsid w:val="00EA156A"/>
    <w:rsid w:val="00EA786A"/>
    <w:rsid w:val="00EB4AE6"/>
    <w:rsid w:val="00EB6968"/>
    <w:rsid w:val="00EB7026"/>
    <w:rsid w:val="00EC2B3D"/>
    <w:rsid w:val="00EC7C07"/>
    <w:rsid w:val="00ED0A54"/>
    <w:rsid w:val="00ED1058"/>
    <w:rsid w:val="00ED4174"/>
    <w:rsid w:val="00ED4BDD"/>
    <w:rsid w:val="00ED4C2C"/>
    <w:rsid w:val="00ED6C65"/>
    <w:rsid w:val="00EE0B6A"/>
    <w:rsid w:val="00EE41B9"/>
    <w:rsid w:val="00EF1139"/>
    <w:rsid w:val="00EF24A2"/>
    <w:rsid w:val="00F04D0C"/>
    <w:rsid w:val="00F14F11"/>
    <w:rsid w:val="00F2198F"/>
    <w:rsid w:val="00F3064F"/>
    <w:rsid w:val="00F32AA8"/>
    <w:rsid w:val="00F34424"/>
    <w:rsid w:val="00F4271F"/>
    <w:rsid w:val="00F5114A"/>
    <w:rsid w:val="00F539FC"/>
    <w:rsid w:val="00F5777D"/>
    <w:rsid w:val="00F57D35"/>
    <w:rsid w:val="00F60019"/>
    <w:rsid w:val="00F61904"/>
    <w:rsid w:val="00F61E8B"/>
    <w:rsid w:val="00F6784D"/>
    <w:rsid w:val="00F7411F"/>
    <w:rsid w:val="00F745FD"/>
    <w:rsid w:val="00F74D89"/>
    <w:rsid w:val="00F80C65"/>
    <w:rsid w:val="00F826CB"/>
    <w:rsid w:val="00F84F94"/>
    <w:rsid w:val="00F9499E"/>
    <w:rsid w:val="00FA15D4"/>
    <w:rsid w:val="00FA466B"/>
    <w:rsid w:val="00FA6C3E"/>
    <w:rsid w:val="00FB0B0A"/>
    <w:rsid w:val="00FB3260"/>
    <w:rsid w:val="00FB75AD"/>
    <w:rsid w:val="00FB7F4B"/>
    <w:rsid w:val="00FC260A"/>
    <w:rsid w:val="00FC4090"/>
    <w:rsid w:val="00FD0B8D"/>
    <w:rsid w:val="00FD54DD"/>
    <w:rsid w:val="00FD7E4B"/>
    <w:rsid w:val="00FE00F7"/>
    <w:rsid w:val="00FF0A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EADBA9"/>
  <w15:docId w15:val="{CED2E218-8EFD-40C5-8D82-9A44678A9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095"/>
  </w:style>
  <w:style w:type="paragraph" w:styleId="Heading1">
    <w:name w:val="heading 1"/>
    <w:basedOn w:val="Normal"/>
    <w:next w:val="Normal"/>
    <w:link w:val="Heading1Char"/>
    <w:qFormat/>
    <w:rsid w:val="00DC6A9E"/>
    <w:pPr>
      <w:keepNext/>
      <w:keepLines/>
      <w:spacing w:after="240" w:line="240" w:lineRule="auto"/>
      <w:jc w:val="center"/>
      <w:outlineLvl w:val="0"/>
    </w:pPr>
    <w:rPr>
      <w:rFonts w:ascii="Arial" w:eastAsia="Times New Roman" w:hAnsi="Arial" w:cs="Times New Roman"/>
      <w:b/>
      <w:smallCaps/>
      <w:kern w:val="28"/>
      <w:sz w:val="34"/>
      <w:szCs w:val="20"/>
      <w:lang w:val="en-AU" w:eastAsia="en-AU"/>
    </w:rPr>
  </w:style>
  <w:style w:type="paragraph" w:styleId="Heading2">
    <w:name w:val="heading 2"/>
    <w:basedOn w:val="Normal"/>
    <w:next w:val="Normal"/>
    <w:link w:val="Heading2Char"/>
    <w:semiHidden/>
    <w:unhideWhenUsed/>
    <w:qFormat/>
    <w:rsid w:val="00A24D85"/>
    <w:pPr>
      <w:keepNext/>
      <w:keepLines/>
      <w:spacing w:before="360" w:after="360" w:line="240" w:lineRule="auto"/>
      <w:outlineLvl w:val="1"/>
    </w:pPr>
    <w:rPr>
      <w:rFonts w:ascii="Arial" w:eastAsia="Times New Roman" w:hAnsi="Arial" w:cs="Times New Roman"/>
      <w:sz w:val="30"/>
      <w:szCs w:val="20"/>
      <w:lang w:val="en-AU" w:eastAsia="en-AU"/>
    </w:rPr>
  </w:style>
  <w:style w:type="paragraph" w:styleId="Heading3">
    <w:name w:val="heading 3"/>
    <w:basedOn w:val="Normal"/>
    <w:next w:val="Normal"/>
    <w:link w:val="Heading3Char"/>
    <w:uiPriority w:val="9"/>
    <w:qFormat/>
    <w:rsid w:val="005D5A8C"/>
    <w:pPr>
      <w:keepNext/>
      <w:keepLines/>
      <w:tabs>
        <w:tab w:val="left" w:pos="709"/>
      </w:tabs>
      <w:spacing w:before="240" w:after="240" w:line="240" w:lineRule="auto"/>
      <w:outlineLvl w:val="2"/>
    </w:pPr>
    <w:rPr>
      <w:rFonts w:ascii="Arial" w:eastAsia="Times New Roman" w:hAnsi="Arial" w:cs="Times New Roman"/>
      <w:b/>
      <w:smallCaps/>
      <w:sz w:val="26"/>
      <w:szCs w:val="20"/>
      <w:lang w:val="en-AU" w:eastAsia="en-AU"/>
    </w:rPr>
  </w:style>
  <w:style w:type="paragraph" w:styleId="Heading4">
    <w:name w:val="heading 4"/>
    <w:basedOn w:val="Normal"/>
    <w:next w:val="Normal"/>
    <w:link w:val="Heading4Char"/>
    <w:qFormat/>
    <w:rsid w:val="0031589C"/>
    <w:pPr>
      <w:keepNext/>
      <w:keepLines/>
      <w:spacing w:before="120" w:after="120" w:line="240" w:lineRule="auto"/>
      <w:outlineLvl w:val="3"/>
    </w:pPr>
    <w:rPr>
      <w:rFonts w:ascii="Arial" w:eastAsia="Times New Roman" w:hAnsi="Arial" w:cs="Times New Roman"/>
      <w:b/>
      <w:bCs/>
      <w:szCs w:val="20"/>
      <w:lang w:val="en-AU" w:eastAsia="en-AU"/>
    </w:rPr>
  </w:style>
  <w:style w:type="paragraph" w:styleId="Heading5">
    <w:name w:val="heading 5"/>
    <w:basedOn w:val="Normal"/>
    <w:next w:val="Normal"/>
    <w:link w:val="Heading5Char"/>
    <w:qFormat/>
    <w:rsid w:val="0031589C"/>
    <w:pPr>
      <w:keepLines/>
      <w:spacing w:after="120" w:line="260" w:lineRule="exact"/>
      <w:jc w:val="both"/>
      <w:outlineLvl w:val="4"/>
    </w:pPr>
    <w:rPr>
      <w:rFonts w:ascii="Arial" w:eastAsia="Times New Roman" w:hAnsi="Arial" w:cs="Times New Roman"/>
      <w:b/>
      <w:bCs/>
      <w:iCs/>
      <w:sz w:val="20"/>
      <w:szCs w:val="26"/>
      <w:lang w:val="en-AU" w:eastAsia="en-AU"/>
    </w:rPr>
  </w:style>
  <w:style w:type="paragraph" w:styleId="Heading6">
    <w:name w:val="heading 6"/>
    <w:basedOn w:val="Normal"/>
    <w:next w:val="Normal"/>
    <w:link w:val="Heading6Char"/>
    <w:unhideWhenUsed/>
    <w:qFormat/>
    <w:rsid w:val="004B54CA"/>
    <w:pPr>
      <w:spacing w:after="0" w:line="271" w:lineRule="auto"/>
      <w:outlineLvl w:val="5"/>
    </w:pPr>
    <w:rPr>
      <w:rFonts w:ascii="Arial" w:eastAsia="Times New Roman" w:hAnsi="Arial" w:cs="Times New Roman"/>
      <w:b/>
      <w:bCs/>
      <w:i/>
      <w:iCs/>
      <w:color w:val="7F7F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872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72BB"/>
  </w:style>
  <w:style w:type="paragraph" w:styleId="Footer">
    <w:name w:val="footer"/>
    <w:basedOn w:val="Normal"/>
    <w:link w:val="FooterChar"/>
    <w:uiPriority w:val="99"/>
    <w:semiHidden/>
    <w:unhideWhenUsed/>
    <w:rsid w:val="002872B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72BB"/>
  </w:style>
  <w:style w:type="paragraph" w:customStyle="1" w:styleId="TPHeading1">
    <w:name w:val="TP Heading 1"/>
    <w:basedOn w:val="Normal"/>
    <w:rsid w:val="00587062"/>
    <w:pPr>
      <w:keepNext/>
      <w:keepLines/>
      <w:spacing w:after="0" w:line="240" w:lineRule="auto"/>
      <w:ind w:left="1418"/>
    </w:pPr>
    <w:rPr>
      <w:rFonts w:ascii="Arial" w:eastAsia="Times New Roman" w:hAnsi="Arial" w:cs="Arial"/>
      <w:b/>
      <w:caps/>
      <w:sz w:val="28"/>
      <w:szCs w:val="32"/>
      <w:lang w:val="en-AU" w:eastAsia="en-AU"/>
    </w:rPr>
  </w:style>
  <w:style w:type="paragraph" w:customStyle="1" w:styleId="TPHeading2">
    <w:name w:val="TP Heading 2"/>
    <w:basedOn w:val="TPHeading1"/>
    <w:rsid w:val="00587062"/>
    <w:rPr>
      <w:b w:val="0"/>
    </w:rPr>
  </w:style>
  <w:style w:type="paragraph" w:customStyle="1" w:styleId="TPHeading3">
    <w:name w:val="TP Heading 3"/>
    <w:basedOn w:val="Normal"/>
    <w:rsid w:val="00587062"/>
    <w:pPr>
      <w:keepNext/>
      <w:keepLines/>
      <w:spacing w:after="0" w:line="240" w:lineRule="auto"/>
      <w:ind w:left="1418"/>
    </w:pPr>
    <w:rPr>
      <w:rFonts w:ascii="Arial" w:eastAsia="Times New Roman" w:hAnsi="Arial" w:cs="Arial"/>
      <w:caps/>
      <w:sz w:val="24"/>
      <w:szCs w:val="20"/>
      <w:lang w:val="en-AU" w:eastAsia="en-AU"/>
    </w:rPr>
  </w:style>
  <w:style w:type="character" w:customStyle="1" w:styleId="ExampletextCharChar">
    <w:name w:val="Example text Char Char"/>
    <w:link w:val="Exampletext"/>
    <w:locked/>
    <w:rsid w:val="00C92247"/>
    <w:rPr>
      <w:rFonts w:ascii="Book Antiqua" w:eastAsia="Times New Roman" w:hAnsi="Book Antiqua" w:cs="Times New Roman"/>
      <w:i/>
      <w:color w:val="FF0000"/>
      <w:sz w:val="20"/>
      <w:szCs w:val="20"/>
      <w:lang w:val="en-AU" w:eastAsia="en-AU"/>
    </w:rPr>
  </w:style>
  <w:style w:type="paragraph" w:customStyle="1" w:styleId="Exampletext">
    <w:name w:val="Example text"/>
    <w:basedOn w:val="Normal"/>
    <w:link w:val="ExampletextCharChar"/>
    <w:rsid w:val="00C92247"/>
    <w:pPr>
      <w:keepLines/>
      <w:spacing w:after="240" w:line="260" w:lineRule="exact"/>
      <w:jc w:val="both"/>
    </w:pPr>
    <w:rPr>
      <w:rFonts w:ascii="Book Antiqua" w:eastAsia="Times New Roman" w:hAnsi="Book Antiqua" w:cs="Times New Roman"/>
      <w:i/>
      <w:color w:val="FF0000"/>
      <w:sz w:val="20"/>
      <w:szCs w:val="20"/>
      <w:lang w:val="en-AU" w:eastAsia="en-AU"/>
    </w:rPr>
  </w:style>
  <w:style w:type="character" w:customStyle="1" w:styleId="A5">
    <w:name w:val="A5"/>
    <w:uiPriority w:val="99"/>
    <w:rsid w:val="00C92247"/>
    <w:rPr>
      <w:rFonts w:ascii="Swiss 721 BT" w:hAnsi="Swiss 721 BT"/>
      <w:color w:val="000000"/>
      <w:sz w:val="20"/>
    </w:rPr>
  </w:style>
  <w:style w:type="character" w:styleId="Hyperlink">
    <w:name w:val="Hyperlink"/>
    <w:basedOn w:val="DefaultParagraphFont"/>
    <w:uiPriority w:val="99"/>
    <w:unhideWhenUsed/>
    <w:rsid w:val="00C92247"/>
    <w:rPr>
      <w:rFonts w:ascii="Book Antiqua" w:hAnsi="Book Antiqua"/>
      <w:color w:val="auto"/>
      <w:sz w:val="20"/>
      <w:u w:val="none"/>
    </w:rPr>
  </w:style>
  <w:style w:type="table" w:styleId="TableGrid">
    <w:name w:val="Table Grid"/>
    <w:basedOn w:val="TableNormal"/>
    <w:uiPriority w:val="59"/>
    <w:rsid w:val="001709AE"/>
    <w:pPr>
      <w:spacing w:after="0" w:line="240" w:lineRule="auto"/>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liamentHouse">
    <w:name w:val="Parliament House"/>
    <w:basedOn w:val="Header"/>
    <w:rsid w:val="001709AE"/>
    <w:pPr>
      <w:tabs>
        <w:tab w:val="clear" w:pos="4680"/>
        <w:tab w:val="clear" w:pos="9360"/>
        <w:tab w:val="center" w:pos="4153"/>
        <w:tab w:val="right" w:pos="8306"/>
        <w:tab w:val="right" w:pos="9639"/>
      </w:tabs>
      <w:spacing w:before="240" w:after="120"/>
      <w:jc w:val="right"/>
    </w:pPr>
    <w:rPr>
      <w:rFonts w:ascii="Times" w:eastAsia="Times New Roman" w:hAnsi="Times" w:cs="Times New Roman"/>
      <w:b/>
      <w:caps/>
      <w:sz w:val="16"/>
      <w:szCs w:val="16"/>
      <w:lang w:val="x-none" w:eastAsia="en-AU"/>
    </w:rPr>
  </w:style>
  <w:style w:type="character" w:customStyle="1" w:styleId="Heading3Char">
    <w:name w:val="Heading 3 Char"/>
    <w:basedOn w:val="DefaultParagraphFont"/>
    <w:link w:val="Heading3"/>
    <w:uiPriority w:val="9"/>
    <w:rsid w:val="005D5A8C"/>
    <w:rPr>
      <w:rFonts w:ascii="Arial" w:eastAsia="Times New Roman" w:hAnsi="Arial" w:cs="Times New Roman"/>
      <w:b/>
      <w:smallCaps/>
      <w:sz w:val="26"/>
      <w:szCs w:val="20"/>
      <w:lang w:val="en-AU" w:eastAsia="en-AU"/>
    </w:rPr>
  </w:style>
  <w:style w:type="paragraph" w:customStyle="1" w:styleId="PartHeading-NoTOC">
    <w:name w:val="Part Heading - No TOC"/>
    <w:basedOn w:val="Normal"/>
    <w:rsid w:val="009F410F"/>
    <w:pPr>
      <w:spacing w:before="240" w:after="240" w:line="240" w:lineRule="auto"/>
      <w:jc w:val="center"/>
    </w:pPr>
    <w:rPr>
      <w:rFonts w:ascii="Arial Bold" w:eastAsia="Times New Roman" w:hAnsi="Arial Bold" w:cs="Arial"/>
      <w:b/>
      <w:smallCaps/>
      <w:sz w:val="48"/>
      <w:szCs w:val="20"/>
      <w:lang w:val="en-AU" w:eastAsia="en-AU"/>
    </w:rPr>
  </w:style>
  <w:style w:type="character" w:customStyle="1" w:styleId="Heading1Char">
    <w:name w:val="Heading 1 Char"/>
    <w:basedOn w:val="DefaultParagraphFont"/>
    <w:link w:val="Heading1"/>
    <w:rsid w:val="00DC6A9E"/>
    <w:rPr>
      <w:rFonts w:ascii="Arial" w:eastAsia="Times New Roman" w:hAnsi="Arial" w:cs="Times New Roman"/>
      <w:b/>
      <w:smallCaps/>
      <w:kern w:val="28"/>
      <w:sz w:val="34"/>
      <w:szCs w:val="20"/>
      <w:lang w:val="en-AU" w:eastAsia="en-AU"/>
    </w:rPr>
  </w:style>
  <w:style w:type="character" w:customStyle="1" w:styleId="Heading2Char">
    <w:name w:val="Heading 2 Char"/>
    <w:basedOn w:val="DefaultParagraphFont"/>
    <w:link w:val="Heading2"/>
    <w:semiHidden/>
    <w:rsid w:val="00A24D85"/>
    <w:rPr>
      <w:rFonts w:ascii="Arial" w:eastAsia="Times New Roman" w:hAnsi="Arial" w:cs="Times New Roman"/>
      <w:sz w:val="30"/>
      <w:szCs w:val="20"/>
      <w:lang w:val="en-AU" w:eastAsia="en-AU"/>
    </w:rPr>
  </w:style>
  <w:style w:type="paragraph" w:customStyle="1" w:styleId="ContentsHeading">
    <w:name w:val="Contents Heading"/>
    <w:basedOn w:val="Normal"/>
    <w:next w:val="Normal"/>
    <w:rsid w:val="001E610A"/>
    <w:pPr>
      <w:keepNext/>
      <w:keepLines/>
      <w:spacing w:after="360" w:line="240" w:lineRule="auto"/>
      <w:jc w:val="center"/>
    </w:pPr>
    <w:rPr>
      <w:rFonts w:ascii="Arial" w:eastAsia="Times New Roman" w:hAnsi="Arial" w:cs="Times New Roman"/>
      <w:b/>
      <w:smallCaps/>
      <w:sz w:val="34"/>
      <w:szCs w:val="20"/>
      <w:lang w:val="en-AU" w:eastAsia="en-AU"/>
    </w:rPr>
  </w:style>
  <w:style w:type="paragraph" w:styleId="TOC1">
    <w:name w:val="toc 1"/>
    <w:basedOn w:val="Normal"/>
    <w:next w:val="Normal"/>
    <w:autoRedefine/>
    <w:semiHidden/>
    <w:unhideWhenUsed/>
    <w:rsid w:val="001E610A"/>
    <w:pPr>
      <w:keepLines/>
      <w:tabs>
        <w:tab w:val="right" w:leader="dot" w:pos="7700"/>
      </w:tabs>
      <w:spacing w:before="240" w:after="0" w:line="240" w:lineRule="auto"/>
      <w:ind w:right="851"/>
    </w:pPr>
    <w:rPr>
      <w:rFonts w:ascii="Arial" w:eastAsia="Times New Roman" w:hAnsi="Arial" w:cs="Times New Roman"/>
      <w:b/>
      <w:sz w:val="20"/>
      <w:szCs w:val="20"/>
      <w:lang w:val="en-AU" w:eastAsia="en-AU"/>
    </w:rPr>
  </w:style>
  <w:style w:type="paragraph" w:styleId="TOC2">
    <w:name w:val="toc 2"/>
    <w:basedOn w:val="Normal"/>
    <w:next w:val="Normal"/>
    <w:autoRedefine/>
    <w:unhideWhenUsed/>
    <w:rsid w:val="001E610A"/>
    <w:pPr>
      <w:keepNext/>
      <w:keepLines/>
      <w:tabs>
        <w:tab w:val="right" w:leader="dot" w:pos="7700"/>
      </w:tabs>
      <w:spacing w:before="80" w:after="0" w:line="240" w:lineRule="auto"/>
      <w:ind w:right="851"/>
    </w:pPr>
    <w:rPr>
      <w:rFonts w:ascii="Arial" w:eastAsia="Times New Roman" w:hAnsi="Arial" w:cs="Times New Roman"/>
      <w:sz w:val="20"/>
      <w:szCs w:val="20"/>
      <w:lang w:val="en-AU" w:eastAsia="en-AU"/>
    </w:rPr>
  </w:style>
  <w:style w:type="paragraph" w:customStyle="1" w:styleId="PartHeading">
    <w:name w:val="Part Heading"/>
    <w:basedOn w:val="Normal"/>
    <w:next w:val="Normal"/>
    <w:rsid w:val="00D5189F"/>
    <w:pPr>
      <w:keepLines/>
      <w:spacing w:before="240" w:after="240" w:line="240" w:lineRule="auto"/>
      <w:jc w:val="center"/>
    </w:pPr>
    <w:rPr>
      <w:rFonts w:ascii="Arial Bold" w:eastAsia="Times New Roman" w:hAnsi="Arial Bold" w:cs="Arial"/>
      <w:b/>
      <w:smallCaps/>
      <w:sz w:val="52"/>
      <w:szCs w:val="20"/>
      <w:lang w:val="en-AU" w:eastAsia="en-AU"/>
    </w:rPr>
  </w:style>
  <w:style w:type="paragraph" w:styleId="ListParagraph">
    <w:name w:val="List Paragraph"/>
    <w:basedOn w:val="Normal"/>
    <w:uiPriority w:val="34"/>
    <w:qFormat/>
    <w:rsid w:val="00927B54"/>
    <w:pPr>
      <w:ind w:left="720"/>
      <w:contextualSpacing/>
    </w:pPr>
    <w:rPr>
      <w:rFonts w:ascii="Book Antiqua" w:hAnsi="Book Antiqua"/>
    </w:rPr>
  </w:style>
  <w:style w:type="paragraph" w:customStyle="1" w:styleId="Normal0">
    <w:name w:val="Normal_0"/>
    <w:basedOn w:val="Normal"/>
    <w:rsid w:val="005D3BDC"/>
    <w:rPr>
      <w:rFonts w:ascii="Book Antiqua" w:hAnsi="Book Antiqua" w:cs="Times New Roman"/>
      <w:lang w:val="en-AU"/>
    </w:rPr>
  </w:style>
  <w:style w:type="paragraph" w:customStyle="1" w:styleId="TableHeading">
    <w:name w:val="Table Heading"/>
    <w:basedOn w:val="Normal"/>
    <w:next w:val="TableGraphic"/>
    <w:link w:val="TableHeadingChar"/>
    <w:rsid w:val="00A64635"/>
    <w:pPr>
      <w:keepNext/>
      <w:spacing w:before="120" w:after="20" w:line="240" w:lineRule="auto"/>
    </w:pPr>
    <w:rPr>
      <w:rFonts w:ascii="Arial" w:eastAsia="Times New Roman" w:hAnsi="Arial" w:cs="Times New Roman"/>
      <w:b/>
      <w:sz w:val="20"/>
      <w:szCs w:val="20"/>
      <w:lang w:val="en-AU" w:eastAsia="en-AU"/>
    </w:rPr>
  </w:style>
  <w:style w:type="paragraph" w:customStyle="1" w:styleId="TableGraphic">
    <w:name w:val="Table Graphic"/>
    <w:basedOn w:val="Normal"/>
    <w:next w:val="Normal"/>
    <w:uiPriority w:val="99"/>
    <w:rsid w:val="00A64635"/>
    <w:pPr>
      <w:spacing w:after="0" w:line="240" w:lineRule="auto"/>
      <w:ind w:right="-113"/>
      <w:jc w:val="both"/>
    </w:pPr>
    <w:rPr>
      <w:rFonts w:ascii="Book Antiqua" w:eastAsia="Times New Roman" w:hAnsi="Book Antiqua" w:cs="Times New Roman"/>
      <w:i/>
      <w:color w:val="FF0000"/>
      <w:sz w:val="20"/>
      <w:szCs w:val="20"/>
      <w:lang w:val="en-AU" w:eastAsia="en-AU"/>
    </w:rPr>
  </w:style>
  <w:style w:type="character" w:customStyle="1" w:styleId="TableHeadingChar">
    <w:name w:val="Table Heading Char"/>
    <w:link w:val="TableHeading"/>
    <w:rsid w:val="00A64635"/>
    <w:rPr>
      <w:rFonts w:ascii="Arial" w:eastAsia="Times New Roman" w:hAnsi="Arial" w:cs="Times New Roman"/>
      <w:b/>
      <w:sz w:val="20"/>
      <w:szCs w:val="20"/>
      <w:lang w:val="en-AU" w:eastAsia="en-AU"/>
    </w:rPr>
  </w:style>
  <w:style w:type="paragraph" w:customStyle="1" w:styleId="Normal2">
    <w:name w:val="Normal_2"/>
    <w:qFormat/>
    <w:rsid w:val="00562F4B"/>
    <w:pPr>
      <w:keepLines/>
      <w:spacing w:after="240" w:line="260" w:lineRule="exact"/>
      <w:jc w:val="both"/>
    </w:pPr>
    <w:rPr>
      <w:rFonts w:ascii="Book Antiqua" w:eastAsia="Times New Roman" w:hAnsi="Book Antiqua" w:cs="Times New Roman"/>
      <w:sz w:val="20"/>
      <w:szCs w:val="20"/>
      <w:lang w:val="en-AU" w:eastAsia="en-AU"/>
    </w:rPr>
  </w:style>
  <w:style w:type="table" w:customStyle="1" w:styleId="CDMRange1">
    <w:name w:val="CDM Range 1"/>
    <w:basedOn w:val="TableNormal"/>
    <w:next w:val="TableNormal"/>
    <w:uiPriority w:val="99"/>
    <w:semiHidden/>
    <w:unhideWhenUsed/>
    <w:tblPr/>
  </w:style>
  <w:style w:type="table" w:customStyle="1" w:styleId="CDMRange2">
    <w:name w:val="CDM Range 2"/>
    <w:basedOn w:val="TableNormal"/>
    <w:next w:val="TableNormal"/>
    <w:uiPriority w:val="99"/>
    <w:semiHidden/>
    <w:unhideWhenUsed/>
    <w:tblPr/>
  </w:style>
  <w:style w:type="paragraph" w:customStyle="1" w:styleId="ChartandTableFootnoteAlpha">
    <w:name w:val="Chart and Table Footnote Alpha"/>
    <w:basedOn w:val="Normal"/>
    <w:next w:val="Normal"/>
    <w:rsid w:val="004540F4"/>
    <w:pPr>
      <w:numPr>
        <w:numId w:val="4"/>
      </w:numPr>
      <w:spacing w:after="20" w:line="240" w:lineRule="auto"/>
      <w:jc w:val="both"/>
    </w:pPr>
    <w:rPr>
      <w:rFonts w:ascii="Arial" w:eastAsia="Times New Roman" w:hAnsi="Arial" w:cs="Times New Roman"/>
      <w:sz w:val="16"/>
      <w:szCs w:val="20"/>
      <w:lang w:val="en-AU" w:eastAsia="en-AU"/>
    </w:rPr>
  </w:style>
  <w:style w:type="paragraph" w:customStyle="1" w:styleId="ChartandTableFootnote">
    <w:name w:val="Chart and Table Footnote"/>
    <w:basedOn w:val="Normal"/>
    <w:next w:val="Normal"/>
    <w:link w:val="ChartandTableFootnoteChar"/>
    <w:rsid w:val="00FE0009"/>
    <w:pPr>
      <w:keepLines/>
      <w:tabs>
        <w:tab w:val="left" w:pos="284"/>
      </w:tabs>
      <w:spacing w:after="0" w:line="240" w:lineRule="auto"/>
      <w:ind w:left="284" w:hanging="284"/>
      <w:jc w:val="both"/>
    </w:pPr>
    <w:rPr>
      <w:rFonts w:ascii="Arial" w:eastAsia="Times New Roman" w:hAnsi="Arial" w:cs="Times New Roman"/>
      <w:sz w:val="16"/>
      <w:szCs w:val="20"/>
      <w:lang w:val="en-AU" w:eastAsia="en-AU"/>
    </w:rPr>
  </w:style>
  <w:style w:type="character" w:customStyle="1" w:styleId="ChartandTableFootnoteChar">
    <w:name w:val="Chart and Table Footnote Char"/>
    <w:link w:val="ChartandTableFootnote"/>
    <w:rsid w:val="00FE0009"/>
    <w:rPr>
      <w:rFonts w:ascii="Arial" w:eastAsia="Times New Roman" w:hAnsi="Arial" w:cs="Times New Roman"/>
      <w:sz w:val="16"/>
      <w:szCs w:val="20"/>
      <w:lang w:val="en-AU" w:eastAsia="en-AU"/>
    </w:rPr>
  </w:style>
  <w:style w:type="character" w:styleId="BookTitle">
    <w:name w:val="Book Title"/>
    <w:uiPriority w:val="33"/>
    <w:qFormat/>
    <w:rsid w:val="00FE0009"/>
    <w:rPr>
      <w:rFonts w:cs="Times New Roman"/>
      <w:i/>
      <w:smallCaps/>
      <w:spacing w:val="5"/>
    </w:rPr>
  </w:style>
  <w:style w:type="character" w:customStyle="1" w:styleId="Heading4Char">
    <w:name w:val="Heading 4 Char"/>
    <w:link w:val="Heading4"/>
    <w:rsid w:val="0031589C"/>
    <w:rPr>
      <w:rFonts w:ascii="Arial" w:eastAsia="Times New Roman" w:hAnsi="Arial" w:cs="Times New Roman"/>
      <w:b/>
      <w:bCs/>
      <w:szCs w:val="20"/>
      <w:lang w:val="en-AU" w:eastAsia="en-AU"/>
    </w:rPr>
  </w:style>
  <w:style w:type="paragraph" w:customStyle="1" w:styleId="ExampleText0">
    <w:name w:val="Example Text"/>
    <w:basedOn w:val="Normal"/>
    <w:rsid w:val="0031589C"/>
    <w:pPr>
      <w:keepLines/>
      <w:spacing w:after="240" w:line="260" w:lineRule="exact"/>
    </w:pPr>
    <w:rPr>
      <w:rFonts w:ascii="Book Antiqua" w:eastAsia="Times New Roman" w:hAnsi="Book Antiqua" w:cs="Times New Roman"/>
      <w:i/>
      <w:color w:val="FF0000"/>
      <w:sz w:val="20"/>
      <w:szCs w:val="20"/>
      <w:lang w:val="en-AU" w:eastAsia="en-AU"/>
    </w:rPr>
  </w:style>
  <w:style w:type="character" w:customStyle="1" w:styleId="Heading5Char">
    <w:name w:val="Heading 5 Char"/>
    <w:link w:val="Heading5"/>
    <w:rsid w:val="0031589C"/>
    <w:rPr>
      <w:rFonts w:ascii="Arial" w:eastAsia="Times New Roman" w:hAnsi="Arial" w:cs="Times New Roman"/>
      <w:b/>
      <w:bCs/>
      <w:iCs/>
      <w:sz w:val="20"/>
      <w:szCs w:val="26"/>
      <w:lang w:val="en-AU" w:eastAsia="en-AU"/>
    </w:rPr>
  </w:style>
  <w:style w:type="paragraph" w:styleId="FootnoteText">
    <w:name w:val="footnote text"/>
    <w:basedOn w:val="Normal"/>
    <w:link w:val="FootnoteTextChar"/>
    <w:uiPriority w:val="99"/>
    <w:rsid w:val="0031589C"/>
    <w:pPr>
      <w:keepLines/>
      <w:spacing w:after="60" w:line="240" w:lineRule="auto"/>
      <w:ind w:left="108" w:hanging="108"/>
    </w:pPr>
    <w:rPr>
      <w:rFonts w:ascii="Book Antiqua" w:eastAsia="Times New Roman" w:hAnsi="Book Antiqua" w:cs="Times New Roman"/>
      <w:sz w:val="16"/>
      <w:szCs w:val="20"/>
      <w:lang w:val="en-AU" w:eastAsia="en-AU"/>
    </w:rPr>
  </w:style>
  <w:style w:type="character" w:customStyle="1" w:styleId="FootnoteTextChar">
    <w:name w:val="Footnote Text Char"/>
    <w:link w:val="FootnoteText"/>
    <w:uiPriority w:val="99"/>
    <w:rsid w:val="0031589C"/>
    <w:rPr>
      <w:rFonts w:ascii="Book Antiqua" w:eastAsia="Times New Roman" w:hAnsi="Book Antiqua" w:cs="Times New Roman"/>
      <w:sz w:val="16"/>
      <w:szCs w:val="20"/>
      <w:lang w:val="en-AU" w:eastAsia="en-AU"/>
    </w:rPr>
  </w:style>
  <w:style w:type="character" w:customStyle="1" w:styleId="BodyTextChar">
    <w:name w:val="Body Text Char"/>
    <w:link w:val="BodyText"/>
    <w:rsid w:val="0031589C"/>
    <w:rPr>
      <w:rFonts w:ascii="Book Antiqua" w:eastAsia="Times New Roman" w:hAnsi="Book Antiqua" w:cs="Times New Roman"/>
      <w:sz w:val="20"/>
      <w:szCs w:val="20"/>
      <w:lang w:val="en-AU" w:eastAsia="en-AU"/>
    </w:rPr>
  </w:style>
  <w:style w:type="paragraph" w:styleId="BodyText">
    <w:name w:val="Body Text"/>
    <w:basedOn w:val="Normal0"/>
    <w:link w:val="BodyTextChar"/>
    <w:rsid w:val="0031589C"/>
    <w:pPr>
      <w:keepLines/>
      <w:spacing w:after="120" w:line="260" w:lineRule="exact"/>
      <w:jc w:val="both"/>
    </w:pPr>
    <w:rPr>
      <w:rFonts w:eastAsia="Times New Roman"/>
      <w:sz w:val="20"/>
      <w:szCs w:val="20"/>
      <w:lang w:eastAsia="en-AU"/>
    </w:rPr>
  </w:style>
  <w:style w:type="paragraph" w:customStyle="1" w:styleId="Normal00">
    <w:name w:val="Normal_0_0"/>
    <w:qFormat/>
    <w:rsid w:val="00764B38"/>
    <w:pPr>
      <w:keepLines/>
      <w:spacing w:after="240" w:line="260" w:lineRule="exact"/>
      <w:jc w:val="both"/>
    </w:pPr>
    <w:rPr>
      <w:rFonts w:ascii="Book Antiqua" w:eastAsia="Times New Roman" w:hAnsi="Book Antiqua" w:cs="Times New Roman"/>
      <w:sz w:val="20"/>
      <w:szCs w:val="20"/>
      <w:lang w:val="en-AU" w:eastAsia="en-AU"/>
    </w:rPr>
  </w:style>
  <w:style w:type="paragraph" w:customStyle="1" w:styleId="Outcomeheading">
    <w:name w:val="Outcome heading"/>
    <w:basedOn w:val="Heading3"/>
    <w:next w:val="NormalOutcome"/>
    <w:rsid w:val="0031589C"/>
    <w:pPr>
      <w:spacing w:before="60" w:after="60"/>
    </w:pPr>
    <w:rPr>
      <w:smallCaps w:val="0"/>
      <w:sz w:val="22"/>
    </w:rPr>
  </w:style>
  <w:style w:type="paragraph" w:customStyle="1" w:styleId="NormalOutcome">
    <w:name w:val="Normal Outcome"/>
    <w:basedOn w:val="Normal"/>
    <w:next w:val="Heading4"/>
    <w:autoRedefine/>
    <w:qFormat/>
    <w:rsid w:val="00AB374C"/>
    <w:pPr>
      <w:keepLines/>
      <w:spacing w:before="60" w:after="60" w:line="240" w:lineRule="auto"/>
      <w:jc w:val="both"/>
    </w:pPr>
    <w:rPr>
      <w:rFonts w:ascii="Arial" w:eastAsia="Times New Roman" w:hAnsi="Arial" w:cs="Times New Roman"/>
      <w:b/>
      <w:sz w:val="20"/>
      <w:szCs w:val="20"/>
      <w:lang w:val="en-AU" w:eastAsia="en-AU"/>
    </w:rPr>
  </w:style>
  <w:style w:type="paragraph" w:customStyle="1" w:styleId="ProgramHeading1">
    <w:name w:val="Program Heading 1"/>
    <w:basedOn w:val="Normal"/>
    <w:next w:val="NoSpacing"/>
    <w:uiPriority w:val="99"/>
    <w:rsid w:val="0031589C"/>
    <w:pPr>
      <w:keepNext/>
      <w:keepLines/>
      <w:spacing w:before="120" w:after="120" w:line="240" w:lineRule="auto"/>
    </w:pPr>
    <w:rPr>
      <w:rFonts w:ascii="Arial" w:eastAsia="Times New Roman" w:hAnsi="Arial" w:cs="Times New Roman"/>
      <w:b/>
      <w:sz w:val="20"/>
      <w:szCs w:val="20"/>
      <w:lang w:val="en-AU" w:eastAsia="en-AU"/>
    </w:rPr>
  </w:style>
  <w:style w:type="paragraph" w:styleId="NoSpacing">
    <w:name w:val="No Spacing"/>
    <w:uiPriority w:val="1"/>
    <w:qFormat/>
    <w:rsid w:val="0031589C"/>
    <w:pPr>
      <w:spacing w:after="0" w:line="240" w:lineRule="auto"/>
      <w:jc w:val="both"/>
    </w:pPr>
    <w:rPr>
      <w:rFonts w:ascii="Book Antiqua" w:eastAsia="Times New Roman" w:hAnsi="Book Antiqua" w:cs="Times New Roman"/>
      <w:sz w:val="20"/>
      <w:szCs w:val="20"/>
      <w:lang w:val="en-AU" w:eastAsia="en-AU"/>
    </w:rPr>
  </w:style>
  <w:style w:type="paragraph" w:customStyle="1" w:styleId="TableColumnHeadingLeft">
    <w:name w:val="Table Column Heading Left"/>
    <w:basedOn w:val="Normal0"/>
    <w:autoRedefine/>
    <w:rsid w:val="00156591"/>
    <w:pPr>
      <w:keepLines/>
      <w:spacing w:before="60" w:after="60"/>
      <w:jc w:val="both"/>
    </w:pPr>
    <w:rPr>
      <w:rFonts w:ascii="Arial" w:eastAsia="Times New Roman" w:hAnsi="Arial"/>
      <w:b/>
      <w:color w:val="000000"/>
      <w:sz w:val="20"/>
      <w:szCs w:val="20"/>
      <w:lang w:eastAsia="en-AU"/>
    </w:rPr>
  </w:style>
  <w:style w:type="paragraph" w:customStyle="1" w:styleId="Normal01">
    <w:name w:val="Normal_0_1"/>
    <w:qFormat/>
    <w:rsid w:val="000B1935"/>
    <w:pPr>
      <w:keepLines/>
      <w:spacing w:after="240" w:line="260" w:lineRule="exact"/>
      <w:jc w:val="both"/>
    </w:pPr>
    <w:rPr>
      <w:rFonts w:ascii="Book Antiqua" w:eastAsia="Times New Roman" w:hAnsi="Book Antiqua" w:cs="Times New Roman"/>
      <w:sz w:val="20"/>
      <w:szCs w:val="20"/>
      <w:lang w:val="en-AU" w:eastAsia="en-AU"/>
    </w:rPr>
  </w:style>
  <w:style w:type="character" w:customStyle="1" w:styleId="ExampletextCharChar2">
    <w:name w:val="Example text Char Char_2"/>
    <w:basedOn w:val="DefaultParagraphFont"/>
    <w:link w:val="Exampletext2"/>
    <w:locked/>
    <w:rsid w:val="00EB0969"/>
    <w:rPr>
      <w:rFonts w:ascii="Book Antiqua" w:hAnsi="Book Antiqua"/>
      <w:i/>
      <w:iCs/>
      <w:color w:val="FF0000"/>
    </w:rPr>
  </w:style>
  <w:style w:type="paragraph" w:customStyle="1" w:styleId="Exampletext2">
    <w:name w:val="Example text_2"/>
    <w:basedOn w:val="Normal"/>
    <w:link w:val="ExampletextCharChar2"/>
    <w:rsid w:val="00EB0969"/>
    <w:pPr>
      <w:spacing w:after="240" w:line="260" w:lineRule="exact"/>
      <w:jc w:val="both"/>
    </w:pPr>
    <w:rPr>
      <w:rFonts w:ascii="Book Antiqua" w:hAnsi="Book Antiqua"/>
      <w:i/>
      <w:iCs/>
      <w:color w:val="FF0000"/>
    </w:rPr>
  </w:style>
  <w:style w:type="paragraph" w:customStyle="1" w:styleId="Normal04">
    <w:name w:val="Normal_0_4"/>
    <w:qFormat/>
    <w:rsid w:val="00C83DDA"/>
    <w:pPr>
      <w:keepLines/>
      <w:spacing w:after="240" w:line="260" w:lineRule="exact"/>
      <w:jc w:val="both"/>
    </w:pPr>
    <w:rPr>
      <w:rFonts w:ascii="Book Antiqua" w:eastAsia="Times New Roman" w:hAnsi="Book Antiqua" w:cs="Times New Roman"/>
      <w:sz w:val="20"/>
      <w:szCs w:val="20"/>
      <w:lang w:val="en-AU" w:eastAsia="en-AU"/>
    </w:rPr>
  </w:style>
  <w:style w:type="character" w:customStyle="1" w:styleId="Heading6Char">
    <w:name w:val="Heading 6 Char"/>
    <w:basedOn w:val="DefaultParagraphFont"/>
    <w:link w:val="Heading6"/>
    <w:uiPriority w:val="9"/>
    <w:rsid w:val="004B54CA"/>
    <w:rPr>
      <w:rFonts w:ascii="Arial" w:eastAsia="Times New Roman" w:hAnsi="Arial" w:cs="Times New Roman"/>
      <w:b/>
      <w:bCs/>
      <w:i/>
      <w:iCs/>
      <w:color w:val="7F7F7F"/>
      <w:lang w:val="en-AU"/>
    </w:rPr>
  </w:style>
  <w:style w:type="paragraph" w:customStyle="1" w:styleId="Department">
    <w:name w:val="Department"/>
    <w:basedOn w:val="Normal"/>
    <w:rsid w:val="000E545B"/>
    <w:pPr>
      <w:keepLines/>
      <w:spacing w:after="0" w:line="240" w:lineRule="auto"/>
      <w:jc w:val="center"/>
    </w:pPr>
    <w:rPr>
      <w:rFonts w:ascii="Arial" w:eastAsia="Times New Roman" w:hAnsi="Arial" w:cs="Times New Roman"/>
      <w:b/>
      <w:sz w:val="52"/>
      <w:szCs w:val="20"/>
      <w:lang w:val="en-AU" w:eastAsia="en-AU"/>
    </w:rPr>
  </w:style>
  <w:style w:type="paragraph" w:customStyle="1" w:styleId="PartHeading-TOC">
    <w:name w:val="Part Heading - TOC"/>
    <w:basedOn w:val="PartHeading"/>
    <w:rsid w:val="00FA15D4"/>
    <w:pPr>
      <w:keepLines w:val="0"/>
      <w:spacing w:before="0" w:after="480"/>
    </w:pPr>
    <w:rPr>
      <w:rFonts w:ascii="Arial" w:hAnsi="Arial"/>
      <w:bCs/>
      <w:kern w:val="28"/>
      <w:szCs w:val="32"/>
    </w:rPr>
  </w:style>
  <w:style w:type="paragraph" w:customStyle="1" w:styleId="Source">
    <w:name w:val="Source"/>
    <w:basedOn w:val="Normal"/>
    <w:rsid w:val="00037375"/>
    <w:pPr>
      <w:keepLines/>
      <w:tabs>
        <w:tab w:val="left" w:pos="284"/>
      </w:tabs>
      <w:spacing w:after="0" w:line="240" w:lineRule="auto"/>
      <w:jc w:val="both"/>
    </w:pPr>
    <w:rPr>
      <w:rFonts w:ascii="Arial" w:eastAsia="Times New Roman" w:hAnsi="Arial" w:cs="Times New Roman"/>
      <w:sz w:val="16"/>
      <w:szCs w:val="20"/>
      <w:lang w:val="en-AU" w:eastAsia="en-AU"/>
    </w:rPr>
  </w:style>
  <w:style w:type="paragraph" w:customStyle="1" w:styleId="Bullet">
    <w:name w:val="Bullet"/>
    <w:basedOn w:val="Normal"/>
    <w:link w:val="BulletChar"/>
    <w:uiPriority w:val="99"/>
    <w:rsid w:val="007D76B1"/>
    <w:pPr>
      <w:keepLines/>
      <w:numPr>
        <w:numId w:val="47"/>
      </w:numPr>
      <w:spacing w:after="120" w:line="260" w:lineRule="exact"/>
      <w:jc w:val="both"/>
    </w:pPr>
    <w:rPr>
      <w:rFonts w:ascii="Book Antiqua" w:eastAsia="Times New Roman" w:hAnsi="Book Antiqua" w:cs="Times New Roman"/>
      <w:sz w:val="20"/>
      <w:szCs w:val="20"/>
      <w:lang w:val="en-AU" w:eastAsia="en-AU"/>
    </w:rPr>
  </w:style>
  <w:style w:type="character" w:customStyle="1" w:styleId="BulletChar">
    <w:name w:val="Bullet Char"/>
    <w:link w:val="Bullet"/>
    <w:uiPriority w:val="99"/>
    <w:locked/>
    <w:rsid w:val="007D76B1"/>
    <w:rPr>
      <w:rFonts w:ascii="Book Antiqua" w:eastAsia="Times New Roman" w:hAnsi="Book Antiqua" w:cs="Times New Roman"/>
      <w:sz w:val="20"/>
      <w:szCs w:val="20"/>
      <w:lang w:val="en-AU" w:eastAsia="en-AU"/>
    </w:rPr>
  </w:style>
  <w:style w:type="paragraph" w:customStyle="1" w:styleId="BulletBox">
    <w:name w:val="Bullet Box"/>
    <w:basedOn w:val="Bullet"/>
    <w:qFormat/>
    <w:rsid w:val="007D76B1"/>
    <w:pPr>
      <w:numPr>
        <w:numId w:val="0"/>
      </w:numPr>
      <w:spacing w:after="60"/>
    </w:pPr>
    <w:rPr>
      <w:lang w:val="en-GB"/>
    </w:rPr>
  </w:style>
  <w:style w:type="paragraph" w:customStyle="1" w:styleId="Heading2-TOC">
    <w:name w:val="Heading 2 - TOC"/>
    <w:rsid w:val="007D19F8"/>
    <w:pPr>
      <w:spacing w:before="360" w:after="360" w:line="240" w:lineRule="auto"/>
      <w:outlineLvl w:val="1"/>
    </w:pPr>
    <w:rPr>
      <w:rFonts w:ascii="Arial" w:eastAsia="Times New Roman" w:hAnsi="Arial" w:cs="Times New Roman"/>
      <w:b/>
      <w:sz w:val="30"/>
      <w:szCs w:val="20"/>
      <w:lang w:val="en-AU" w:eastAsia="en-AU"/>
    </w:rPr>
  </w:style>
  <w:style w:type="paragraph" w:customStyle="1" w:styleId="Bullets">
    <w:name w:val="Bullets"/>
    <w:basedOn w:val="Normal"/>
    <w:qFormat/>
    <w:rsid w:val="00362199"/>
    <w:pPr>
      <w:keepLines/>
      <w:numPr>
        <w:numId w:val="58"/>
      </w:numPr>
      <w:spacing w:after="120" w:line="260" w:lineRule="exact"/>
      <w:jc w:val="both"/>
    </w:pPr>
    <w:rPr>
      <w:rFonts w:ascii="Book Antiqua" w:eastAsia="Times New Roman" w:hAnsi="Book Antiqua" w:cs="Times New Roman"/>
      <w:sz w:val="20"/>
      <w:szCs w:val="20"/>
      <w:lang w:val="en-AU"/>
    </w:rPr>
  </w:style>
  <w:style w:type="paragraph" w:customStyle="1" w:styleId="Normal1">
    <w:name w:val="Normal_1"/>
    <w:qFormat/>
    <w:rsid w:val="00EA786A"/>
    <w:pPr>
      <w:keepLines/>
      <w:spacing w:after="240" w:line="260" w:lineRule="exact"/>
      <w:jc w:val="both"/>
    </w:pPr>
    <w:rPr>
      <w:rFonts w:ascii="Book Antiqua" w:eastAsia="Times New Roman" w:hAnsi="Book Antiqua" w:cs="Times New Roman"/>
      <w:sz w:val="20"/>
      <w:szCs w:val="20"/>
      <w:lang w:val="en-AU" w:eastAsia="en-AU"/>
    </w:rPr>
  </w:style>
  <w:style w:type="paragraph" w:customStyle="1" w:styleId="NormalBox">
    <w:name w:val="Normal Box"/>
    <w:basedOn w:val="Normal"/>
    <w:next w:val="Normal"/>
    <w:qFormat/>
    <w:rsid w:val="0093354C"/>
    <w:pPr>
      <w:keepLines/>
      <w:spacing w:after="120" w:line="260" w:lineRule="exact"/>
      <w:jc w:val="both"/>
    </w:pPr>
    <w:rPr>
      <w:rFonts w:ascii="Book Antiqua" w:eastAsia="Times New Roman" w:hAnsi="Book Antiqua" w:cs="Times New Roman"/>
      <w:sz w:val="20"/>
      <w:szCs w:val="20"/>
      <w:lang w:val="en-GB" w:eastAsia="en-AU"/>
    </w:rPr>
  </w:style>
  <w:style w:type="paragraph" w:styleId="BalloonText">
    <w:name w:val="Balloon Text"/>
    <w:basedOn w:val="Normal"/>
    <w:link w:val="BalloonTextChar"/>
    <w:uiPriority w:val="99"/>
    <w:semiHidden/>
    <w:unhideWhenUsed/>
    <w:rsid w:val="002C45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5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3.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footer" Target="footer28.xml"/><Relationship Id="rId84" Type="http://schemas.openxmlformats.org/officeDocument/2006/relationships/header" Target="header37.xml"/><Relationship Id="rId89" Type="http://schemas.openxmlformats.org/officeDocument/2006/relationships/footer" Target="footer39.xml"/><Relationship Id="rId112" Type="http://schemas.openxmlformats.org/officeDocument/2006/relationships/header" Target="header51.xml"/><Relationship Id="rId133" Type="http://schemas.openxmlformats.org/officeDocument/2006/relationships/header" Target="header62.xml"/><Relationship Id="rId138" Type="http://schemas.openxmlformats.org/officeDocument/2006/relationships/header" Target="header64.xml"/><Relationship Id="rId154" Type="http://schemas.openxmlformats.org/officeDocument/2006/relationships/header" Target="header72.xml"/><Relationship Id="rId159" Type="http://schemas.openxmlformats.org/officeDocument/2006/relationships/footer" Target="footer74.xml"/><Relationship Id="rId175" Type="http://schemas.openxmlformats.org/officeDocument/2006/relationships/header" Target="header83.xml"/><Relationship Id="rId170" Type="http://schemas.openxmlformats.org/officeDocument/2006/relationships/footer" Target="footer79.xml"/><Relationship Id="rId16" Type="http://schemas.microsoft.com/office/2007/relationships/hdphoto" Target="media/hdphoto1.wdp"/><Relationship Id="rId107" Type="http://schemas.openxmlformats.org/officeDocument/2006/relationships/footer" Target="footer48.xml"/><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footer" Target="footer21.xml"/><Relationship Id="rId58" Type="http://schemas.openxmlformats.org/officeDocument/2006/relationships/header" Target="header24.xml"/><Relationship Id="rId74" Type="http://schemas.openxmlformats.org/officeDocument/2006/relationships/footer" Target="footer31.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28" Type="http://schemas.openxmlformats.org/officeDocument/2006/relationships/footer" Target="footer58.xml"/><Relationship Id="rId144" Type="http://schemas.openxmlformats.org/officeDocument/2006/relationships/header" Target="header67.xml"/><Relationship Id="rId149" Type="http://schemas.openxmlformats.org/officeDocument/2006/relationships/footer" Target="footer69.xml"/><Relationship Id="rId5" Type="http://schemas.openxmlformats.org/officeDocument/2006/relationships/footnotes" Target="footnotes.xml"/><Relationship Id="rId90" Type="http://schemas.openxmlformats.org/officeDocument/2006/relationships/header" Target="header40.xml"/><Relationship Id="rId95" Type="http://schemas.openxmlformats.org/officeDocument/2006/relationships/footer" Target="footer42.xml"/><Relationship Id="rId160" Type="http://schemas.openxmlformats.org/officeDocument/2006/relationships/header" Target="header75.xml"/><Relationship Id="rId165" Type="http://schemas.openxmlformats.org/officeDocument/2006/relationships/footer" Target="footer77.xml"/><Relationship Id="rId181" Type="http://schemas.openxmlformats.org/officeDocument/2006/relationships/glossaryDocument" Target="glossary/document.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eader" Target="header17.xml"/><Relationship Id="rId48" Type="http://schemas.openxmlformats.org/officeDocument/2006/relationships/header" Target="header19.xml"/><Relationship Id="rId64" Type="http://schemas.openxmlformats.org/officeDocument/2006/relationships/header" Target="header27.xml"/><Relationship Id="rId69" Type="http://schemas.openxmlformats.org/officeDocument/2006/relationships/footer" Target="footer29.xml"/><Relationship Id="rId113" Type="http://schemas.openxmlformats.org/officeDocument/2006/relationships/footer" Target="footer51.xml"/><Relationship Id="rId118" Type="http://schemas.openxmlformats.org/officeDocument/2006/relationships/header" Target="header54.xml"/><Relationship Id="rId134" Type="http://schemas.openxmlformats.org/officeDocument/2006/relationships/footer" Target="footer61.xml"/><Relationship Id="rId139" Type="http://schemas.openxmlformats.org/officeDocument/2006/relationships/header" Target="header65.xml"/><Relationship Id="rId80" Type="http://schemas.openxmlformats.org/officeDocument/2006/relationships/footer" Target="footer34.xml"/><Relationship Id="rId85" Type="http://schemas.openxmlformats.org/officeDocument/2006/relationships/header" Target="header38.xml"/><Relationship Id="rId150" Type="http://schemas.openxmlformats.org/officeDocument/2006/relationships/header" Target="header70.xml"/><Relationship Id="rId155" Type="http://schemas.openxmlformats.org/officeDocument/2006/relationships/footer" Target="footer72.xml"/><Relationship Id="rId171" Type="http://schemas.openxmlformats.org/officeDocument/2006/relationships/footer" Target="footer80.xml"/><Relationship Id="rId176" Type="http://schemas.openxmlformats.org/officeDocument/2006/relationships/footer" Target="footer82.xml"/><Relationship Id="rId12" Type="http://schemas.openxmlformats.org/officeDocument/2006/relationships/footer" Target="footer2.xml"/><Relationship Id="rId17" Type="http://schemas.openxmlformats.org/officeDocument/2006/relationships/hyperlink" Target="http://www.budget.gov.au" TargetMode="Externa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header" Target="header47.xml"/><Relationship Id="rId108" Type="http://schemas.openxmlformats.org/officeDocument/2006/relationships/header" Target="header49.xml"/><Relationship Id="rId124" Type="http://schemas.openxmlformats.org/officeDocument/2006/relationships/header" Target="header57.xml"/><Relationship Id="rId129" Type="http://schemas.openxmlformats.org/officeDocument/2006/relationships/footer" Target="footer59.xml"/><Relationship Id="rId54" Type="http://schemas.openxmlformats.org/officeDocument/2006/relationships/header" Target="header22.xml"/><Relationship Id="rId70" Type="http://schemas.openxmlformats.org/officeDocument/2006/relationships/header" Target="header30.xml"/><Relationship Id="rId75" Type="http://schemas.openxmlformats.org/officeDocument/2006/relationships/footer" Target="footer32.xml"/><Relationship Id="rId91" Type="http://schemas.openxmlformats.org/officeDocument/2006/relationships/header" Target="header41.xml"/><Relationship Id="rId96" Type="http://schemas.openxmlformats.org/officeDocument/2006/relationships/header" Target="header43.xml"/><Relationship Id="rId140" Type="http://schemas.openxmlformats.org/officeDocument/2006/relationships/footer" Target="footer64.xml"/><Relationship Id="rId145" Type="http://schemas.openxmlformats.org/officeDocument/2006/relationships/header" Target="header68.xml"/><Relationship Id="rId161" Type="http://schemas.openxmlformats.org/officeDocument/2006/relationships/footer" Target="footer75.xml"/><Relationship Id="rId166" Type="http://schemas.openxmlformats.org/officeDocument/2006/relationships/header" Target="header78.xm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header" Target="header20.xml"/><Relationship Id="rId114" Type="http://schemas.openxmlformats.org/officeDocument/2006/relationships/header" Target="header52.xml"/><Relationship Id="rId119" Type="http://schemas.openxmlformats.org/officeDocument/2006/relationships/footer" Target="footer54.xml"/><Relationship Id="rId44" Type="http://schemas.openxmlformats.org/officeDocument/2006/relationships/footer" Target="footer16.xml"/><Relationship Id="rId60" Type="http://schemas.openxmlformats.org/officeDocument/2006/relationships/header" Target="header25.xml"/><Relationship Id="rId65" Type="http://schemas.openxmlformats.org/officeDocument/2006/relationships/footer" Target="footer27.xml"/><Relationship Id="rId81" Type="http://schemas.openxmlformats.org/officeDocument/2006/relationships/footer" Target="footer35.xml"/><Relationship Id="rId86" Type="http://schemas.openxmlformats.org/officeDocument/2006/relationships/footer" Target="footer37.xml"/><Relationship Id="rId130" Type="http://schemas.openxmlformats.org/officeDocument/2006/relationships/header" Target="header60.xml"/><Relationship Id="rId135" Type="http://schemas.openxmlformats.org/officeDocument/2006/relationships/footer" Target="footer62.xml"/><Relationship Id="rId151" Type="http://schemas.openxmlformats.org/officeDocument/2006/relationships/header" Target="header71.xml"/><Relationship Id="rId156" Type="http://schemas.openxmlformats.org/officeDocument/2006/relationships/header" Target="header73.xml"/><Relationship Id="rId177" Type="http://schemas.openxmlformats.org/officeDocument/2006/relationships/footer" Target="footer83.xml"/><Relationship Id="rId4" Type="http://schemas.openxmlformats.org/officeDocument/2006/relationships/webSettings" Target="webSettings.xml"/><Relationship Id="rId9" Type="http://schemas.openxmlformats.org/officeDocument/2006/relationships/header" Target="header1.xml"/><Relationship Id="rId172" Type="http://schemas.openxmlformats.org/officeDocument/2006/relationships/header" Target="header81.xml"/><Relationship Id="rId180"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eader" Target="header50.xml"/><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header" Target="header44.xml"/><Relationship Id="rId104" Type="http://schemas.openxmlformats.org/officeDocument/2006/relationships/footer" Target="footer46.xml"/><Relationship Id="rId120" Type="http://schemas.openxmlformats.org/officeDocument/2006/relationships/header" Target="header55.xml"/><Relationship Id="rId125" Type="http://schemas.openxmlformats.org/officeDocument/2006/relationships/footer" Target="footer57.xml"/><Relationship Id="rId141" Type="http://schemas.openxmlformats.org/officeDocument/2006/relationships/footer" Target="footer65.xml"/><Relationship Id="rId146" Type="http://schemas.openxmlformats.org/officeDocument/2006/relationships/footer" Target="footer67.xml"/><Relationship Id="rId167" Type="http://schemas.openxmlformats.org/officeDocument/2006/relationships/footer" Target="footer78.xml"/><Relationship Id="rId7" Type="http://schemas.openxmlformats.org/officeDocument/2006/relationships/hyperlink" Target="http://creativecommons.org/licenses/by/3.0/au/legalcode" TargetMode="External"/><Relationship Id="rId71" Type="http://schemas.openxmlformats.org/officeDocument/2006/relationships/footer" Target="footer30.xml"/><Relationship Id="rId92" Type="http://schemas.openxmlformats.org/officeDocument/2006/relationships/footer" Target="footer40.xml"/><Relationship Id="rId162" Type="http://schemas.openxmlformats.org/officeDocument/2006/relationships/header" Target="header76.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eader" Target="header28.xml"/><Relationship Id="rId87" Type="http://schemas.openxmlformats.org/officeDocument/2006/relationships/footer" Target="footer38.xml"/><Relationship Id="rId110" Type="http://schemas.openxmlformats.org/officeDocument/2006/relationships/footer" Target="footer49.xml"/><Relationship Id="rId115" Type="http://schemas.openxmlformats.org/officeDocument/2006/relationships/header" Target="header53.xml"/><Relationship Id="rId131" Type="http://schemas.openxmlformats.org/officeDocument/2006/relationships/footer" Target="footer60.xml"/><Relationship Id="rId136" Type="http://schemas.openxmlformats.org/officeDocument/2006/relationships/header" Target="header63.xml"/><Relationship Id="rId157" Type="http://schemas.openxmlformats.org/officeDocument/2006/relationships/header" Target="header74.xml"/><Relationship Id="rId178" Type="http://schemas.openxmlformats.org/officeDocument/2006/relationships/header" Target="header84.xml"/><Relationship Id="rId61" Type="http://schemas.openxmlformats.org/officeDocument/2006/relationships/header" Target="header26.xml"/><Relationship Id="rId82" Type="http://schemas.openxmlformats.org/officeDocument/2006/relationships/header" Target="header36.xml"/><Relationship Id="rId152" Type="http://schemas.openxmlformats.org/officeDocument/2006/relationships/footer" Target="footer70.xml"/><Relationship Id="rId173" Type="http://schemas.openxmlformats.org/officeDocument/2006/relationships/footer" Target="footer81.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footer" Target="footer22.xml"/><Relationship Id="rId77" Type="http://schemas.openxmlformats.org/officeDocument/2006/relationships/footer" Target="footer33.xml"/><Relationship Id="rId100" Type="http://schemas.openxmlformats.org/officeDocument/2006/relationships/header" Target="header45.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8" Type="http://schemas.openxmlformats.org/officeDocument/2006/relationships/image" Target="media/image1.png"/><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98" Type="http://schemas.openxmlformats.org/officeDocument/2006/relationships/footer" Target="footer43.xml"/><Relationship Id="rId121" Type="http://schemas.openxmlformats.org/officeDocument/2006/relationships/header" Target="header56.xml"/><Relationship Id="rId142" Type="http://schemas.openxmlformats.org/officeDocument/2006/relationships/header" Target="header66.xml"/><Relationship Id="rId163" Type="http://schemas.openxmlformats.org/officeDocument/2006/relationships/header" Target="header77.xm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header" Target="header18.xml"/><Relationship Id="rId67" Type="http://schemas.openxmlformats.org/officeDocument/2006/relationships/header" Target="header29.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footer" Target="footer73.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88" Type="http://schemas.openxmlformats.org/officeDocument/2006/relationships/header" Target="header39.xml"/><Relationship Id="rId111" Type="http://schemas.openxmlformats.org/officeDocument/2006/relationships/footer" Target="footer50.xml"/><Relationship Id="rId132" Type="http://schemas.openxmlformats.org/officeDocument/2006/relationships/header" Target="header61.xml"/><Relationship Id="rId153" Type="http://schemas.openxmlformats.org/officeDocument/2006/relationships/footer" Target="footer71.xml"/><Relationship Id="rId174" Type="http://schemas.openxmlformats.org/officeDocument/2006/relationships/header" Target="header82.xml"/><Relationship Id="rId179" Type="http://schemas.openxmlformats.org/officeDocument/2006/relationships/footer" Target="footer84.xml"/><Relationship Id="rId15" Type="http://schemas.openxmlformats.org/officeDocument/2006/relationships/image" Target="media/image2.png"/><Relationship Id="rId36" Type="http://schemas.openxmlformats.org/officeDocument/2006/relationships/header" Target="header13.xml"/><Relationship Id="rId57" Type="http://schemas.openxmlformats.org/officeDocument/2006/relationships/footer" Target="footer23.xml"/><Relationship Id="rId106" Type="http://schemas.openxmlformats.org/officeDocument/2006/relationships/header" Target="header48.xml"/><Relationship Id="rId127" Type="http://schemas.openxmlformats.org/officeDocument/2006/relationships/header" Target="header59.xml"/><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78" Type="http://schemas.openxmlformats.org/officeDocument/2006/relationships/header" Target="header34.xml"/><Relationship Id="rId94" Type="http://schemas.openxmlformats.org/officeDocument/2006/relationships/header" Target="header42.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footer" Target="footer55.xml"/><Relationship Id="rId143" Type="http://schemas.openxmlformats.org/officeDocument/2006/relationships/footer" Target="footer66.xml"/><Relationship Id="rId148" Type="http://schemas.openxmlformats.org/officeDocument/2006/relationships/header" Target="header69.xml"/><Relationship Id="rId164" Type="http://schemas.openxmlformats.org/officeDocument/2006/relationships/footer" Target="footer76.xml"/><Relationship Id="rId169" Type="http://schemas.openxmlformats.org/officeDocument/2006/relationships/header" Target="header80.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22675703"/>
        <w:category>
          <w:name w:val="General"/>
          <w:gallery w:val="placeholder"/>
        </w:category>
        <w:types>
          <w:type w:val="bbPlcHdr"/>
        </w:types>
        <w:behaviors>
          <w:behavior w:val="content"/>
        </w:behaviors>
        <w:guid w:val="{96575E25-02DE-406D-A2D1-F45736D9E36B}"/>
      </w:docPartPr>
      <w:docPartBody>
        <w:p w:rsidR="00355562" w:rsidRDefault="00355562">
          <w:r>
            <w:rPr>
              <w:rStyle w:val="PlaceholderText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wiss 721 BT">
    <w:altName w:val="Swiss 721 B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noPunctuationKerning/>
  <w:characterSpacingControl w:val="doNotCompress"/>
  <w:compat>
    <w:compatSetting w:name="compatibilityMode" w:uri="http://schemas.microsoft.com/office/word" w:val="12"/>
  </w:compat>
  <w:rsids>
    <w:rsidRoot w:val="00355562"/>
    <w:rsid w:val="00061CFE"/>
    <w:rsid w:val="001E3A43"/>
    <w:rsid w:val="00355562"/>
    <w:rsid w:val="00544DF4"/>
    <w:rsid w:val="006C2485"/>
    <w:rsid w:val="0075048A"/>
    <w:rsid w:val="00763C24"/>
    <w:rsid w:val="007829B3"/>
    <w:rsid w:val="008807B1"/>
    <w:rsid w:val="009B01C9"/>
    <w:rsid w:val="00CB20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ceholderText1">
    <w:name w:val="Placeholder Text1"/>
    <w:basedOn w:val="DefaultParagraphFont"/>
    <w:uiPriority w:val="99"/>
    <w:semiHidden/>
    <w:rPr>
      <w:color w:val="808080"/>
    </w:rPr>
  </w:style>
  <w:style w:type="paragraph" w:customStyle="1" w:styleId="9BC15E271CFF4423A303A46EDB274DD9">
    <w:name w:val="9BC15E271CFF4423A303A46EDB274DD9"/>
    <w:rsid w:val="001319A4"/>
    <w:pPr>
      <w:spacing w:after="160" w:line="259" w:lineRule="auto"/>
    </w:pPr>
    <w:rPr>
      <w:rFonts w:asciiTheme="minorHAnsi" w:eastAsiaTheme="minorEastAsia" w:hAnsiTheme="minorHAnsi" w:cstheme="minorBidi"/>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531</TotalTime>
  <Pages>153</Pages>
  <Words>31609</Words>
  <Characters>180174</Characters>
  <Application>Microsoft Office Word</Application>
  <DocSecurity>0</DocSecurity>
  <Lines>1501</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SHARMA, Kartikay - Secure</dc:creator>
  <cp:lastModifiedBy>Zhu, Juanna - Secure</cp:lastModifiedBy>
  <cp:revision>110</cp:revision>
  <cp:lastPrinted>2021-02-11T01:09:00Z</cp:lastPrinted>
  <dcterms:created xsi:type="dcterms:W3CDTF">2021-02-09T23:38:00Z</dcterms:created>
  <dcterms:modified xsi:type="dcterms:W3CDTF">2021-02-15T02:27:00Z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984384</vt:i4>
  </property>
</Properties>
</file>