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CCDD0" w14:textId="78CF4ADD" w:rsidR="00620F04" w:rsidRPr="008D0DEB" w:rsidRDefault="00620F04" w:rsidP="006F2D0A">
      <w:pPr>
        <w:pStyle w:val="CoverPageTitle"/>
        <w:spacing w:before="3480"/>
      </w:pPr>
      <w:r w:rsidRPr="008D0DEB">
        <w:t xml:space="preserve">SOCIAL IMPACT INVESTING PROGRAM </w:t>
      </w:r>
      <w:r w:rsidR="00846B92">
        <w:t xml:space="preserve">FIRST PHASE </w:t>
      </w:r>
      <w:r w:rsidRPr="008D0DEB">
        <w:t>EVALUATION</w:t>
      </w:r>
      <w:r w:rsidR="003F3710">
        <w:t xml:space="preserve"> </w:t>
      </w:r>
      <w:r w:rsidRPr="008D0DEB">
        <w:t>R</w:t>
      </w:r>
      <w:r w:rsidR="003F3710">
        <w:t>EPORT</w:t>
      </w:r>
    </w:p>
    <w:p w14:paraId="22B952F2" w14:textId="77777777" w:rsidR="00620F04" w:rsidRPr="008D0DEB" w:rsidRDefault="00620F04" w:rsidP="0065556E"/>
    <w:p w14:paraId="1CAEF802" w14:textId="03C47496" w:rsidR="00620F04" w:rsidRPr="0065556E" w:rsidRDefault="00620F04" w:rsidP="006F2D0A">
      <w:pPr>
        <w:spacing w:before="3840"/>
      </w:pPr>
      <w:r w:rsidRPr="0065556E">
        <w:t>Prepared f</w:t>
      </w:r>
      <w:bookmarkStart w:id="0" w:name="_GoBack"/>
      <w:bookmarkEnd w:id="0"/>
      <w:r w:rsidRPr="0065556E">
        <w:t>or</w:t>
      </w:r>
    </w:p>
    <w:p w14:paraId="7F6D1833" w14:textId="77777777" w:rsidR="00620F04" w:rsidRPr="0065556E" w:rsidRDefault="00620F04" w:rsidP="0065556E">
      <w:r w:rsidRPr="0065556E">
        <w:t>Department of Social Services</w:t>
      </w:r>
    </w:p>
    <w:p w14:paraId="4DC2D16B" w14:textId="77541B5B" w:rsidR="00620F04" w:rsidRPr="0065556E" w:rsidRDefault="00620F04" w:rsidP="0065556E">
      <w:r w:rsidRPr="0065556E">
        <w:t>July 2023</w:t>
      </w:r>
    </w:p>
    <w:p w14:paraId="23E722AF" w14:textId="77777777" w:rsidR="00501490" w:rsidRDefault="00501490">
      <w:pPr>
        <w:rPr>
          <w:b/>
          <w:caps/>
        </w:rPr>
      </w:pPr>
      <w:r>
        <w:br w:type="page"/>
      </w:r>
    </w:p>
    <w:p w14:paraId="1EA287A6" w14:textId="5EB01374" w:rsidR="00FB1AE7" w:rsidRPr="0065556E" w:rsidRDefault="001A5874" w:rsidP="0065556E">
      <w:pPr>
        <w:pStyle w:val="TOCSubheading"/>
      </w:pPr>
      <w:r w:rsidRPr="0065556E">
        <w:lastRenderedPageBreak/>
        <w:t xml:space="preserve">urbis </w:t>
      </w:r>
      <w:r w:rsidR="001A4D87" w:rsidRPr="0065556E">
        <w:t xml:space="preserve">&amp; Bridges Australia </w:t>
      </w:r>
      <w:r w:rsidRPr="0065556E">
        <w:t>staff responsible for this report were:</w:t>
      </w:r>
    </w:p>
    <w:p w14:paraId="5BC36AE6" w14:textId="69DD5C6A" w:rsidR="00447E61" w:rsidRPr="0065556E" w:rsidRDefault="00DE79A0" w:rsidP="0065556E">
      <w:r w:rsidRPr="0065556E">
        <w:t>Director</w:t>
      </w:r>
      <w:r w:rsidR="0060680C" w:rsidRPr="0065556E">
        <w:tab/>
      </w:r>
      <w:r w:rsidR="00447E61" w:rsidRPr="0065556E">
        <w:tab/>
      </w:r>
      <w:r w:rsidR="00E313F3" w:rsidRPr="0065556E">
        <w:tab/>
      </w:r>
      <w:r w:rsidR="00447E61" w:rsidRPr="0065556E">
        <w:t>Julian Thomas</w:t>
      </w:r>
    </w:p>
    <w:p w14:paraId="72E8E393" w14:textId="61073D99" w:rsidR="00447E61" w:rsidRPr="0065556E" w:rsidRDefault="00447E61" w:rsidP="0065556E">
      <w:r w:rsidRPr="0065556E">
        <w:t xml:space="preserve">Bridges Australia </w:t>
      </w:r>
      <w:r w:rsidR="0060680C" w:rsidRPr="0065556E">
        <w:tab/>
      </w:r>
      <w:r w:rsidRPr="0065556E">
        <w:tab/>
        <w:t>Sabina Curatolo</w:t>
      </w:r>
    </w:p>
    <w:p w14:paraId="6B6F7F6D" w14:textId="61C81EFB" w:rsidR="00447E61" w:rsidRPr="0065556E" w:rsidRDefault="0060680C" w:rsidP="0065556E">
      <w:r w:rsidRPr="0065556E">
        <w:t>Associate Director</w:t>
      </w:r>
      <w:r w:rsidRPr="0065556E">
        <w:tab/>
      </w:r>
      <w:r w:rsidRPr="0065556E">
        <w:tab/>
      </w:r>
      <w:r w:rsidR="00447E61" w:rsidRPr="0065556E">
        <w:t>Dr Francis Matthew-Simmons</w:t>
      </w:r>
    </w:p>
    <w:p w14:paraId="2F7870B6" w14:textId="26A29F7B" w:rsidR="00447E61" w:rsidRPr="0065556E" w:rsidRDefault="0060680C" w:rsidP="0065556E">
      <w:r w:rsidRPr="0065556E">
        <w:t>Senior Consultant</w:t>
      </w:r>
      <w:r w:rsidRPr="0065556E">
        <w:tab/>
      </w:r>
      <w:r w:rsidRPr="0065556E">
        <w:tab/>
      </w:r>
      <w:r w:rsidR="00447E61" w:rsidRPr="0065556E">
        <w:t>Matilda Page</w:t>
      </w:r>
    </w:p>
    <w:p w14:paraId="3A88B030" w14:textId="37912372" w:rsidR="00447E61" w:rsidRPr="0065556E" w:rsidRDefault="0060680C" w:rsidP="0065556E">
      <w:r w:rsidRPr="0065556E">
        <w:t>Consultant</w:t>
      </w:r>
      <w:r w:rsidRPr="0065556E">
        <w:tab/>
      </w:r>
      <w:r w:rsidRPr="0065556E">
        <w:tab/>
      </w:r>
      <w:r w:rsidRPr="0065556E">
        <w:tab/>
      </w:r>
      <w:r w:rsidR="00447E61" w:rsidRPr="0065556E">
        <w:t>Ross Dennis</w:t>
      </w:r>
    </w:p>
    <w:p w14:paraId="28DBF283" w14:textId="321B80BC" w:rsidR="00447E61" w:rsidRPr="0065556E" w:rsidRDefault="0060680C" w:rsidP="0065556E">
      <w:r w:rsidRPr="0065556E">
        <w:t>Project Code</w:t>
      </w:r>
      <w:r w:rsidRPr="0065556E">
        <w:tab/>
      </w:r>
      <w:r w:rsidRPr="0065556E">
        <w:tab/>
      </w:r>
      <w:r w:rsidRPr="0065556E">
        <w:tab/>
      </w:r>
      <w:r w:rsidR="00447E61" w:rsidRPr="0065556E">
        <w:t>P0043466</w:t>
      </w:r>
    </w:p>
    <w:p w14:paraId="6EEBF075" w14:textId="20B5E79C" w:rsidR="00447E61" w:rsidRPr="0065556E" w:rsidRDefault="0060680C" w:rsidP="0065556E">
      <w:pPr>
        <w:rPr>
          <w:highlight w:val="yellow"/>
        </w:rPr>
      </w:pPr>
      <w:r w:rsidRPr="0065556E">
        <w:t>Report Number</w:t>
      </w:r>
      <w:r w:rsidRPr="0065556E">
        <w:tab/>
      </w:r>
      <w:r w:rsidRPr="0065556E">
        <w:tab/>
      </w:r>
      <w:r w:rsidR="00447E61" w:rsidRPr="0065556E">
        <w:t>Final Report</w:t>
      </w:r>
    </w:p>
    <w:p w14:paraId="0E6BC1E4" w14:textId="03A71C85" w:rsidR="001A5874" w:rsidRPr="0065556E" w:rsidRDefault="001A5874" w:rsidP="0065556E"/>
    <w:p w14:paraId="724E6273" w14:textId="77777777" w:rsidR="00C350BC" w:rsidRPr="0065556E" w:rsidRDefault="00C350BC" w:rsidP="0065556E">
      <w:r w:rsidRPr="0065556E">
        <w:t xml:space="preserve">Urbis acknowledges the important contribution that Aboriginal and Torres Strait Islander people make in creating a strong and vibrant Australian society. </w:t>
      </w:r>
    </w:p>
    <w:p w14:paraId="2BD526F4" w14:textId="77777777" w:rsidR="00C350BC" w:rsidRPr="0065556E" w:rsidRDefault="00C350BC" w:rsidP="0065556E">
      <w:r w:rsidRPr="0065556E">
        <w:t>We acknowledge, in each of our offices, the Traditional Owners on whose land we stand.</w:t>
      </w:r>
    </w:p>
    <w:p w14:paraId="57A5782B" w14:textId="0455935B" w:rsidR="00C350BC" w:rsidRPr="0065556E" w:rsidRDefault="00C350BC" w:rsidP="0065556E">
      <w:r w:rsidRPr="0065556E">
        <w:t>All information supplied to Urbis in order to conduct this research has been treated in the strictest confidence. It shall only be used in this context and shall not be made available to third parties without client authorisation. Confidential information has been stored securely and data provided by respondents, as well as their identity, has been treated in the strictest confidence and all assurance given to respondents have been and shall be fulfilled.</w:t>
      </w:r>
    </w:p>
    <w:p w14:paraId="2E603E6F" w14:textId="77777777" w:rsidR="00AA46CC" w:rsidRDefault="00AA46CC" w:rsidP="0065556E">
      <w:pPr>
        <w:rPr>
          <w:lang w:val="en-AU"/>
        </w:rPr>
      </w:pPr>
    </w:p>
    <w:p w14:paraId="03D08230" w14:textId="200D0407" w:rsidR="00571E67" w:rsidRPr="0065556E" w:rsidRDefault="00571E67" w:rsidP="0065556E">
      <w:pPr>
        <w:rPr>
          <w:lang w:val="en-AU"/>
        </w:rPr>
      </w:pPr>
      <w:r w:rsidRPr="0065556E">
        <w:rPr>
          <w:lang w:val="en-AU"/>
        </w:rPr>
        <w:t xml:space="preserve">© Urbis Pty Ltd </w:t>
      </w:r>
    </w:p>
    <w:p w14:paraId="711F268E" w14:textId="77777777" w:rsidR="00571E67" w:rsidRPr="0065556E" w:rsidRDefault="00571E67" w:rsidP="0065556E">
      <w:pPr>
        <w:rPr>
          <w:lang w:val="en-AU"/>
        </w:rPr>
      </w:pPr>
      <w:r w:rsidRPr="0065556E">
        <w:rPr>
          <w:lang w:val="en-AU"/>
        </w:rPr>
        <w:t xml:space="preserve">50 105 256 228 </w:t>
      </w:r>
    </w:p>
    <w:p w14:paraId="5316FB7D" w14:textId="77777777" w:rsidR="00571E67" w:rsidRPr="0065556E" w:rsidRDefault="00571E67" w:rsidP="0065556E">
      <w:pPr>
        <w:rPr>
          <w:lang w:val="en-AU"/>
        </w:rPr>
      </w:pPr>
      <w:r w:rsidRPr="0065556E">
        <w:rPr>
          <w:lang w:val="en-AU"/>
        </w:rPr>
        <w:t xml:space="preserve">All Rights Reserved. No material may be reproduced without prior permission. </w:t>
      </w:r>
    </w:p>
    <w:p w14:paraId="33BAC573" w14:textId="77777777" w:rsidR="00571E67" w:rsidRPr="0065556E" w:rsidRDefault="00571E67" w:rsidP="0065556E">
      <w:pPr>
        <w:rPr>
          <w:lang w:val="en-AU"/>
        </w:rPr>
      </w:pPr>
      <w:r w:rsidRPr="0065556E">
        <w:rPr>
          <w:lang w:val="en-AU"/>
        </w:rPr>
        <w:t xml:space="preserve">You must read the important disclaimer appearing within the body of this report. </w:t>
      </w:r>
    </w:p>
    <w:p w14:paraId="728147FC" w14:textId="10AE8F54" w:rsidR="00C350BC" w:rsidRPr="0065556E" w:rsidRDefault="00571E67" w:rsidP="0065556E">
      <w:pPr>
        <w:rPr>
          <w:u w:val="single"/>
        </w:rPr>
      </w:pPr>
      <w:r w:rsidRPr="0065556E">
        <w:rPr>
          <w:lang w:val="en-AU"/>
        </w:rPr>
        <w:t>urbis.com.au</w:t>
      </w:r>
      <w:r w:rsidR="00501490">
        <w:rPr>
          <w:lang w:val="en-AU"/>
        </w:rPr>
        <w:t xml:space="preserve"> </w:t>
      </w:r>
    </w:p>
    <w:p w14:paraId="25F109E0" w14:textId="77E27B91" w:rsidR="00194009" w:rsidRPr="008D0DEB" w:rsidRDefault="00194009" w:rsidP="0065556E">
      <w:r w:rsidRPr="008D0DEB">
        <w:br w:type="page"/>
      </w:r>
    </w:p>
    <w:sdt>
      <w:sdtPr>
        <w:id w:val="-618996640"/>
        <w:placeholder>
          <w:docPart w:val="2E51E2A3A6FF4D2DA01EEE6A34FA10A3"/>
        </w:placeholder>
      </w:sdtPr>
      <w:sdtEndPr>
        <w:rPr>
          <w:rFonts w:asciiTheme="majorHAnsi" w:hAnsiTheme="majorHAnsi" w:cstheme="majorHAnsi"/>
          <w:szCs w:val="24"/>
        </w:rPr>
      </w:sdtEndPr>
      <w:sdtContent>
        <w:p w14:paraId="2B14953E" w14:textId="61EDCFA4" w:rsidR="00224A88" w:rsidRPr="008D0DEB" w:rsidRDefault="00FE74EC" w:rsidP="0065556E">
          <w:pPr>
            <w:pStyle w:val="TOCHeading"/>
            <w:rPr>
              <w:rFonts w:asciiTheme="majorHAnsi" w:hAnsiTheme="majorHAnsi" w:cstheme="majorHAnsi"/>
              <w:szCs w:val="24"/>
            </w:rPr>
          </w:pPr>
          <w:r w:rsidRPr="008D0DEB">
            <w:rPr>
              <w:rStyle w:val="Heading2Char"/>
              <w:rFonts w:eastAsiaTheme="minorEastAsia"/>
            </w:rPr>
            <w:t>Contents</w:t>
          </w:r>
        </w:p>
      </w:sdtContent>
    </w:sdt>
    <w:sdt>
      <w:sdtPr>
        <w:rPr>
          <w:caps/>
        </w:rPr>
        <w:alias w:val="Table of Contents"/>
        <w:id w:val="748080634"/>
        <w:placeholder>
          <w:docPart w:val="2E51E2A3A6FF4D2DA01EEE6A34FA10A3"/>
        </w:placeholder>
      </w:sdtPr>
      <w:sdtEndPr>
        <w:rPr>
          <w:caps w:val="0"/>
        </w:rPr>
      </w:sdtEndPr>
      <w:sdtContent>
        <w:p w14:paraId="72A77B08" w14:textId="683CC96B" w:rsidR="00501490" w:rsidRDefault="00501490">
          <w:pPr>
            <w:pStyle w:val="TOC1"/>
            <w:rPr>
              <w:rFonts w:asciiTheme="minorHAnsi" w:hAnsiTheme="minorHAnsi" w:cstheme="minorBidi"/>
              <w:b w:val="0"/>
              <w:noProof/>
              <w:szCs w:val="22"/>
              <w:lang w:val="en-AU" w:eastAsia="en-AU"/>
            </w:rPr>
          </w:pPr>
          <w:r>
            <w:rPr>
              <w:caps/>
            </w:rPr>
            <w:fldChar w:fldCharType="begin"/>
          </w:r>
          <w:r>
            <w:rPr>
              <w:caps/>
            </w:rPr>
            <w:instrText xml:space="preserve"> TOC \o "1-2" \h \z \u </w:instrText>
          </w:r>
          <w:r>
            <w:rPr>
              <w:caps/>
            </w:rPr>
            <w:fldChar w:fldCharType="separate"/>
          </w:r>
          <w:hyperlink w:anchor="_Toc153801704" w:history="1">
            <w:r w:rsidRPr="002253D5">
              <w:rPr>
                <w:rStyle w:val="Hyperlink"/>
                <w:noProof/>
              </w:rPr>
              <w:t>Executive Summary</w:t>
            </w:r>
            <w:r>
              <w:rPr>
                <w:noProof/>
                <w:webHidden/>
              </w:rPr>
              <w:tab/>
            </w:r>
            <w:r>
              <w:rPr>
                <w:noProof/>
                <w:webHidden/>
              </w:rPr>
              <w:fldChar w:fldCharType="begin"/>
            </w:r>
            <w:r>
              <w:rPr>
                <w:noProof/>
                <w:webHidden/>
              </w:rPr>
              <w:instrText xml:space="preserve"> PAGEREF _Toc153801704 \h </w:instrText>
            </w:r>
            <w:r>
              <w:rPr>
                <w:noProof/>
                <w:webHidden/>
              </w:rPr>
            </w:r>
            <w:r>
              <w:rPr>
                <w:noProof/>
                <w:webHidden/>
              </w:rPr>
              <w:fldChar w:fldCharType="separate"/>
            </w:r>
            <w:r>
              <w:rPr>
                <w:noProof/>
                <w:webHidden/>
              </w:rPr>
              <w:t>i</w:t>
            </w:r>
            <w:r>
              <w:rPr>
                <w:noProof/>
                <w:webHidden/>
              </w:rPr>
              <w:fldChar w:fldCharType="end"/>
            </w:r>
          </w:hyperlink>
        </w:p>
        <w:p w14:paraId="1E27E927" w14:textId="4147EFC5" w:rsidR="00501490" w:rsidRDefault="006F2D0A">
          <w:pPr>
            <w:pStyle w:val="TOC2"/>
            <w:rPr>
              <w:rFonts w:asciiTheme="minorHAnsi" w:hAnsiTheme="minorHAnsi" w:cstheme="minorBidi"/>
              <w:noProof/>
              <w:szCs w:val="22"/>
              <w:lang w:val="en-AU" w:eastAsia="en-AU"/>
            </w:rPr>
          </w:pPr>
          <w:hyperlink w:anchor="_Toc153801705" w:history="1">
            <w:r w:rsidR="00501490" w:rsidRPr="002253D5">
              <w:rPr>
                <w:rStyle w:val="Hyperlink"/>
                <w:noProof/>
              </w:rPr>
              <w:t>This project</w:t>
            </w:r>
            <w:r w:rsidR="00501490">
              <w:rPr>
                <w:noProof/>
                <w:webHidden/>
              </w:rPr>
              <w:tab/>
            </w:r>
            <w:r w:rsidR="00501490">
              <w:rPr>
                <w:noProof/>
                <w:webHidden/>
              </w:rPr>
              <w:fldChar w:fldCharType="begin"/>
            </w:r>
            <w:r w:rsidR="00501490">
              <w:rPr>
                <w:noProof/>
                <w:webHidden/>
              </w:rPr>
              <w:instrText xml:space="preserve"> PAGEREF _Toc153801705 \h </w:instrText>
            </w:r>
            <w:r w:rsidR="00501490">
              <w:rPr>
                <w:noProof/>
                <w:webHidden/>
              </w:rPr>
            </w:r>
            <w:r w:rsidR="00501490">
              <w:rPr>
                <w:noProof/>
                <w:webHidden/>
              </w:rPr>
              <w:fldChar w:fldCharType="separate"/>
            </w:r>
            <w:r w:rsidR="00501490">
              <w:rPr>
                <w:noProof/>
                <w:webHidden/>
              </w:rPr>
              <w:t>ii</w:t>
            </w:r>
            <w:r w:rsidR="00501490">
              <w:rPr>
                <w:noProof/>
                <w:webHidden/>
              </w:rPr>
              <w:fldChar w:fldCharType="end"/>
            </w:r>
          </w:hyperlink>
        </w:p>
        <w:p w14:paraId="7C2851C2" w14:textId="6C4E2592" w:rsidR="00501490" w:rsidRDefault="006F2D0A">
          <w:pPr>
            <w:pStyle w:val="TOC2"/>
            <w:rPr>
              <w:rFonts w:asciiTheme="minorHAnsi" w:hAnsiTheme="minorHAnsi" w:cstheme="minorBidi"/>
              <w:noProof/>
              <w:szCs w:val="22"/>
              <w:lang w:val="en-AU" w:eastAsia="en-AU"/>
            </w:rPr>
          </w:pPr>
          <w:hyperlink w:anchor="_Toc153801706" w:history="1">
            <w:r w:rsidR="00501490" w:rsidRPr="002253D5">
              <w:rPr>
                <w:rStyle w:val="Hyperlink"/>
                <w:noProof/>
              </w:rPr>
              <w:t>Key findings and insights</w:t>
            </w:r>
            <w:r w:rsidR="00501490">
              <w:rPr>
                <w:noProof/>
                <w:webHidden/>
              </w:rPr>
              <w:tab/>
            </w:r>
            <w:r w:rsidR="00501490">
              <w:rPr>
                <w:noProof/>
                <w:webHidden/>
              </w:rPr>
              <w:fldChar w:fldCharType="begin"/>
            </w:r>
            <w:r w:rsidR="00501490">
              <w:rPr>
                <w:noProof/>
                <w:webHidden/>
              </w:rPr>
              <w:instrText xml:space="preserve"> PAGEREF _Toc153801706 \h </w:instrText>
            </w:r>
            <w:r w:rsidR="00501490">
              <w:rPr>
                <w:noProof/>
                <w:webHidden/>
              </w:rPr>
            </w:r>
            <w:r w:rsidR="00501490">
              <w:rPr>
                <w:noProof/>
                <w:webHidden/>
              </w:rPr>
              <w:fldChar w:fldCharType="separate"/>
            </w:r>
            <w:r w:rsidR="00501490">
              <w:rPr>
                <w:noProof/>
                <w:webHidden/>
              </w:rPr>
              <w:t>ii</w:t>
            </w:r>
            <w:r w:rsidR="00501490">
              <w:rPr>
                <w:noProof/>
                <w:webHidden/>
              </w:rPr>
              <w:fldChar w:fldCharType="end"/>
            </w:r>
          </w:hyperlink>
        </w:p>
        <w:p w14:paraId="31D58274" w14:textId="7D046EBA" w:rsidR="00501490" w:rsidRDefault="006F2D0A">
          <w:pPr>
            <w:pStyle w:val="TOC2"/>
            <w:rPr>
              <w:rFonts w:asciiTheme="minorHAnsi" w:hAnsiTheme="minorHAnsi" w:cstheme="minorBidi"/>
              <w:noProof/>
              <w:szCs w:val="22"/>
              <w:lang w:val="en-AU" w:eastAsia="en-AU"/>
            </w:rPr>
          </w:pPr>
          <w:hyperlink w:anchor="_Toc153801707" w:history="1">
            <w:r w:rsidR="00501490" w:rsidRPr="002253D5">
              <w:rPr>
                <w:rStyle w:val="Hyperlink"/>
                <w:noProof/>
              </w:rPr>
              <w:t>Embedding and growing capability in Social Impact Investing</w:t>
            </w:r>
            <w:r w:rsidR="00501490">
              <w:rPr>
                <w:noProof/>
                <w:webHidden/>
              </w:rPr>
              <w:tab/>
            </w:r>
            <w:r w:rsidR="00501490">
              <w:rPr>
                <w:noProof/>
                <w:webHidden/>
              </w:rPr>
              <w:fldChar w:fldCharType="begin"/>
            </w:r>
            <w:r w:rsidR="00501490">
              <w:rPr>
                <w:noProof/>
                <w:webHidden/>
              </w:rPr>
              <w:instrText xml:space="preserve"> PAGEREF _Toc153801707 \h </w:instrText>
            </w:r>
            <w:r w:rsidR="00501490">
              <w:rPr>
                <w:noProof/>
                <w:webHidden/>
              </w:rPr>
            </w:r>
            <w:r w:rsidR="00501490">
              <w:rPr>
                <w:noProof/>
                <w:webHidden/>
              </w:rPr>
              <w:fldChar w:fldCharType="separate"/>
            </w:r>
            <w:r w:rsidR="00501490">
              <w:rPr>
                <w:noProof/>
                <w:webHidden/>
              </w:rPr>
              <w:t>iv</w:t>
            </w:r>
            <w:r w:rsidR="00501490">
              <w:rPr>
                <w:noProof/>
                <w:webHidden/>
              </w:rPr>
              <w:fldChar w:fldCharType="end"/>
            </w:r>
          </w:hyperlink>
        </w:p>
        <w:p w14:paraId="66FA6318" w14:textId="55267213" w:rsidR="00501490" w:rsidRDefault="006F2D0A">
          <w:pPr>
            <w:pStyle w:val="TOC1"/>
            <w:rPr>
              <w:rFonts w:asciiTheme="minorHAnsi" w:hAnsiTheme="minorHAnsi" w:cstheme="minorBidi"/>
              <w:b w:val="0"/>
              <w:noProof/>
              <w:szCs w:val="22"/>
              <w:lang w:val="en-AU" w:eastAsia="en-AU"/>
            </w:rPr>
          </w:pPr>
          <w:hyperlink w:anchor="_Toc153801708" w:history="1">
            <w:r w:rsidR="00501490" w:rsidRPr="002253D5">
              <w:rPr>
                <w:rStyle w:val="Hyperlink"/>
                <w:rFonts w:asciiTheme="majorHAnsi" w:hAnsiTheme="majorHAnsi" w:cstheme="majorHAnsi"/>
                <w:noProof/>
              </w:rPr>
              <w:t>1.</w:t>
            </w:r>
            <w:r w:rsidR="00501490">
              <w:rPr>
                <w:rFonts w:asciiTheme="minorHAnsi" w:hAnsiTheme="minorHAnsi" w:cstheme="minorBidi"/>
                <w:b w:val="0"/>
                <w:noProof/>
                <w:szCs w:val="22"/>
                <w:lang w:val="en-AU" w:eastAsia="en-AU"/>
              </w:rPr>
              <w:tab/>
            </w:r>
            <w:r w:rsidR="00501490" w:rsidRPr="002253D5">
              <w:rPr>
                <w:rStyle w:val="Hyperlink"/>
                <w:noProof/>
              </w:rPr>
              <w:t>Introduction</w:t>
            </w:r>
            <w:r w:rsidR="00501490">
              <w:rPr>
                <w:noProof/>
                <w:webHidden/>
              </w:rPr>
              <w:tab/>
            </w:r>
            <w:r w:rsidR="00501490">
              <w:rPr>
                <w:noProof/>
                <w:webHidden/>
              </w:rPr>
              <w:fldChar w:fldCharType="begin"/>
            </w:r>
            <w:r w:rsidR="00501490">
              <w:rPr>
                <w:noProof/>
                <w:webHidden/>
              </w:rPr>
              <w:instrText xml:space="preserve"> PAGEREF _Toc153801708 \h </w:instrText>
            </w:r>
            <w:r w:rsidR="00501490">
              <w:rPr>
                <w:noProof/>
                <w:webHidden/>
              </w:rPr>
            </w:r>
            <w:r w:rsidR="00501490">
              <w:rPr>
                <w:noProof/>
                <w:webHidden/>
              </w:rPr>
              <w:fldChar w:fldCharType="separate"/>
            </w:r>
            <w:r w:rsidR="00501490">
              <w:rPr>
                <w:noProof/>
                <w:webHidden/>
              </w:rPr>
              <w:t>6</w:t>
            </w:r>
            <w:r w:rsidR="00501490">
              <w:rPr>
                <w:noProof/>
                <w:webHidden/>
              </w:rPr>
              <w:fldChar w:fldCharType="end"/>
            </w:r>
          </w:hyperlink>
        </w:p>
        <w:p w14:paraId="2EB89072" w14:textId="0EDD8915" w:rsidR="00501490" w:rsidRDefault="006F2D0A">
          <w:pPr>
            <w:pStyle w:val="TOC2"/>
            <w:rPr>
              <w:rFonts w:asciiTheme="minorHAnsi" w:hAnsiTheme="minorHAnsi" w:cstheme="minorBidi"/>
              <w:noProof/>
              <w:szCs w:val="22"/>
              <w:lang w:val="en-AU" w:eastAsia="en-AU"/>
            </w:rPr>
          </w:pPr>
          <w:hyperlink w:anchor="_Toc153801709" w:history="1">
            <w:r w:rsidR="00501490" w:rsidRPr="002253D5">
              <w:rPr>
                <w:rStyle w:val="Hyperlink"/>
                <w:rFonts w:asciiTheme="majorHAnsi" w:hAnsiTheme="majorHAnsi" w:cstheme="majorHAnsi"/>
                <w:noProof/>
              </w:rPr>
              <w:t>1.1.</w:t>
            </w:r>
            <w:r w:rsidR="00501490">
              <w:rPr>
                <w:rFonts w:asciiTheme="minorHAnsi" w:hAnsiTheme="minorHAnsi" w:cstheme="minorBidi"/>
                <w:noProof/>
                <w:szCs w:val="22"/>
                <w:lang w:val="en-AU" w:eastAsia="en-AU"/>
              </w:rPr>
              <w:tab/>
            </w:r>
            <w:r w:rsidR="00501490" w:rsidRPr="002253D5">
              <w:rPr>
                <w:rStyle w:val="Hyperlink"/>
                <w:noProof/>
              </w:rPr>
              <w:t>Social Impact Investing</w:t>
            </w:r>
            <w:r w:rsidR="00501490">
              <w:rPr>
                <w:noProof/>
                <w:webHidden/>
              </w:rPr>
              <w:tab/>
            </w:r>
            <w:r w:rsidR="00501490">
              <w:rPr>
                <w:noProof/>
                <w:webHidden/>
              </w:rPr>
              <w:fldChar w:fldCharType="begin"/>
            </w:r>
            <w:r w:rsidR="00501490">
              <w:rPr>
                <w:noProof/>
                <w:webHidden/>
              </w:rPr>
              <w:instrText xml:space="preserve"> PAGEREF _Toc153801709 \h </w:instrText>
            </w:r>
            <w:r w:rsidR="00501490">
              <w:rPr>
                <w:noProof/>
                <w:webHidden/>
              </w:rPr>
            </w:r>
            <w:r w:rsidR="00501490">
              <w:rPr>
                <w:noProof/>
                <w:webHidden/>
              </w:rPr>
              <w:fldChar w:fldCharType="separate"/>
            </w:r>
            <w:r w:rsidR="00501490">
              <w:rPr>
                <w:noProof/>
                <w:webHidden/>
              </w:rPr>
              <w:t>6</w:t>
            </w:r>
            <w:r w:rsidR="00501490">
              <w:rPr>
                <w:noProof/>
                <w:webHidden/>
              </w:rPr>
              <w:fldChar w:fldCharType="end"/>
            </w:r>
          </w:hyperlink>
        </w:p>
        <w:p w14:paraId="798A417F" w14:textId="14D69480" w:rsidR="00501490" w:rsidRDefault="006F2D0A">
          <w:pPr>
            <w:pStyle w:val="TOC2"/>
            <w:rPr>
              <w:rFonts w:asciiTheme="minorHAnsi" w:hAnsiTheme="minorHAnsi" w:cstheme="minorBidi"/>
              <w:noProof/>
              <w:szCs w:val="22"/>
              <w:lang w:val="en-AU" w:eastAsia="en-AU"/>
            </w:rPr>
          </w:pPr>
          <w:hyperlink w:anchor="_Toc153801710" w:history="1">
            <w:r w:rsidR="00501490" w:rsidRPr="002253D5">
              <w:rPr>
                <w:rStyle w:val="Hyperlink"/>
                <w:rFonts w:asciiTheme="majorHAnsi" w:hAnsiTheme="majorHAnsi" w:cstheme="majorHAnsi"/>
                <w:noProof/>
              </w:rPr>
              <w:t>1.2.</w:t>
            </w:r>
            <w:r w:rsidR="00501490">
              <w:rPr>
                <w:rFonts w:asciiTheme="minorHAnsi" w:hAnsiTheme="minorHAnsi" w:cstheme="minorBidi"/>
                <w:noProof/>
                <w:szCs w:val="22"/>
                <w:lang w:val="en-AU" w:eastAsia="en-AU"/>
              </w:rPr>
              <w:tab/>
            </w:r>
            <w:r w:rsidR="00501490" w:rsidRPr="002253D5">
              <w:rPr>
                <w:rStyle w:val="Hyperlink"/>
                <w:noProof/>
              </w:rPr>
              <w:t>The SII eco-system</w:t>
            </w:r>
            <w:r w:rsidR="00501490">
              <w:rPr>
                <w:noProof/>
                <w:webHidden/>
              </w:rPr>
              <w:tab/>
            </w:r>
            <w:r w:rsidR="00501490">
              <w:rPr>
                <w:noProof/>
                <w:webHidden/>
              </w:rPr>
              <w:fldChar w:fldCharType="begin"/>
            </w:r>
            <w:r w:rsidR="00501490">
              <w:rPr>
                <w:noProof/>
                <w:webHidden/>
              </w:rPr>
              <w:instrText xml:space="preserve"> PAGEREF _Toc153801710 \h </w:instrText>
            </w:r>
            <w:r w:rsidR="00501490">
              <w:rPr>
                <w:noProof/>
                <w:webHidden/>
              </w:rPr>
            </w:r>
            <w:r w:rsidR="00501490">
              <w:rPr>
                <w:noProof/>
                <w:webHidden/>
              </w:rPr>
              <w:fldChar w:fldCharType="separate"/>
            </w:r>
            <w:r w:rsidR="00501490">
              <w:rPr>
                <w:noProof/>
                <w:webHidden/>
              </w:rPr>
              <w:t>6</w:t>
            </w:r>
            <w:r w:rsidR="00501490">
              <w:rPr>
                <w:noProof/>
                <w:webHidden/>
              </w:rPr>
              <w:fldChar w:fldCharType="end"/>
            </w:r>
          </w:hyperlink>
        </w:p>
        <w:p w14:paraId="47FFAE68" w14:textId="1BDE25FA" w:rsidR="00501490" w:rsidRDefault="006F2D0A">
          <w:pPr>
            <w:pStyle w:val="TOC2"/>
            <w:rPr>
              <w:rFonts w:asciiTheme="minorHAnsi" w:hAnsiTheme="minorHAnsi" w:cstheme="minorBidi"/>
              <w:noProof/>
              <w:szCs w:val="22"/>
              <w:lang w:val="en-AU" w:eastAsia="en-AU"/>
            </w:rPr>
          </w:pPr>
          <w:hyperlink w:anchor="_Toc153801711" w:history="1">
            <w:r w:rsidR="00501490" w:rsidRPr="002253D5">
              <w:rPr>
                <w:rStyle w:val="Hyperlink"/>
                <w:rFonts w:asciiTheme="majorHAnsi" w:hAnsiTheme="majorHAnsi" w:cstheme="majorHAnsi"/>
                <w:noProof/>
              </w:rPr>
              <w:t>1.3.</w:t>
            </w:r>
            <w:r w:rsidR="00501490">
              <w:rPr>
                <w:rFonts w:asciiTheme="minorHAnsi" w:hAnsiTheme="minorHAnsi" w:cstheme="minorBidi"/>
                <w:noProof/>
                <w:szCs w:val="22"/>
                <w:lang w:val="en-AU" w:eastAsia="en-AU"/>
              </w:rPr>
              <w:tab/>
            </w:r>
            <w:r w:rsidR="00501490" w:rsidRPr="002253D5">
              <w:rPr>
                <w:rStyle w:val="Hyperlink"/>
                <w:noProof/>
              </w:rPr>
              <w:t>Australian Government involvement in social impact investing</w:t>
            </w:r>
            <w:r w:rsidR="00501490">
              <w:rPr>
                <w:noProof/>
                <w:webHidden/>
              </w:rPr>
              <w:tab/>
            </w:r>
            <w:r w:rsidR="00501490">
              <w:rPr>
                <w:noProof/>
                <w:webHidden/>
              </w:rPr>
              <w:fldChar w:fldCharType="begin"/>
            </w:r>
            <w:r w:rsidR="00501490">
              <w:rPr>
                <w:noProof/>
                <w:webHidden/>
              </w:rPr>
              <w:instrText xml:space="preserve"> PAGEREF _Toc153801711 \h </w:instrText>
            </w:r>
            <w:r w:rsidR="00501490">
              <w:rPr>
                <w:noProof/>
                <w:webHidden/>
              </w:rPr>
            </w:r>
            <w:r w:rsidR="00501490">
              <w:rPr>
                <w:noProof/>
                <w:webHidden/>
              </w:rPr>
              <w:fldChar w:fldCharType="separate"/>
            </w:r>
            <w:r w:rsidR="00501490">
              <w:rPr>
                <w:noProof/>
                <w:webHidden/>
              </w:rPr>
              <w:t>8</w:t>
            </w:r>
            <w:r w:rsidR="00501490">
              <w:rPr>
                <w:noProof/>
                <w:webHidden/>
              </w:rPr>
              <w:fldChar w:fldCharType="end"/>
            </w:r>
          </w:hyperlink>
        </w:p>
        <w:p w14:paraId="36D29CA1" w14:textId="5A22AE64" w:rsidR="00501490" w:rsidRDefault="006F2D0A">
          <w:pPr>
            <w:pStyle w:val="TOC2"/>
            <w:rPr>
              <w:rFonts w:asciiTheme="minorHAnsi" w:hAnsiTheme="minorHAnsi" w:cstheme="minorBidi"/>
              <w:noProof/>
              <w:szCs w:val="22"/>
              <w:lang w:val="en-AU" w:eastAsia="en-AU"/>
            </w:rPr>
          </w:pPr>
          <w:hyperlink w:anchor="_Toc153801712" w:history="1">
            <w:r w:rsidR="00501490" w:rsidRPr="002253D5">
              <w:rPr>
                <w:rStyle w:val="Hyperlink"/>
                <w:rFonts w:asciiTheme="majorHAnsi" w:hAnsiTheme="majorHAnsi" w:cstheme="majorHAnsi"/>
                <w:noProof/>
              </w:rPr>
              <w:t>1.4.</w:t>
            </w:r>
            <w:r w:rsidR="00501490">
              <w:rPr>
                <w:rFonts w:asciiTheme="minorHAnsi" w:hAnsiTheme="minorHAnsi" w:cstheme="minorBidi"/>
                <w:noProof/>
                <w:szCs w:val="22"/>
                <w:lang w:val="en-AU" w:eastAsia="en-AU"/>
              </w:rPr>
              <w:tab/>
            </w:r>
            <w:r w:rsidR="00501490" w:rsidRPr="002253D5">
              <w:rPr>
                <w:rStyle w:val="Hyperlink"/>
                <w:noProof/>
              </w:rPr>
              <w:t>The Department of Social Services Social Impact Investing Trials</w:t>
            </w:r>
            <w:r w:rsidR="00501490">
              <w:rPr>
                <w:noProof/>
                <w:webHidden/>
              </w:rPr>
              <w:tab/>
            </w:r>
            <w:r w:rsidR="00501490">
              <w:rPr>
                <w:noProof/>
                <w:webHidden/>
              </w:rPr>
              <w:fldChar w:fldCharType="begin"/>
            </w:r>
            <w:r w:rsidR="00501490">
              <w:rPr>
                <w:noProof/>
                <w:webHidden/>
              </w:rPr>
              <w:instrText xml:space="preserve"> PAGEREF _Toc153801712 \h </w:instrText>
            </w:r>
            <w:r w:rsidR="00501490">
              <w:rPr>
                <w:noProof/>
                <w:webHidden/>
              </w:rPr>
            </w:r>
            <w:r w:rsidR="00501490">
              <w:rPr>
                <w:noProof/>
                <w:webHidden/>
              </w:rPr>
              <w:fldChar w:fldCharType="separate"/>
            </w:r>
            <w:r w:rsidR="00501490">
              <w:rPr>
                <w:noProof/>
                <w:webHidden/>
              </w:rPr>
              <w:t>9</w:t>
            </w:r>
            <w:r w:rsidR="00501490">
              <w:rPr>
                <w:noProof/>
                <w:webHidden/>
              </w:rPr>
              <w:fldChar w:fldCharType="end"/>
            </w:r>
          </w:hyperlink>
        </w:p>
        <w:p w14:paraId="48CFA5F4" w14:textId="4CD5C806" w:rsidR="00501490" w:rsidRDefault="006F2D0A">
          <w:pPr>
            <w:pStyle w:val="TOC2"/>
            <w:rPr>
              <w:rFonts w:asciiTheme="minorHAnsi" w:hAnsiTheme="minorHAnsi" w:cstheme="minorBidi"/>
              <w:noProof/>
              <w:szCs w:val="22"/>
              <w:lang w:val="en-AU" w:eastAsia="en-AU"/>
            </w:rPr>
          </w:pPr>
          <w:hyperlink w:anchor="_Toc153801713" w:history="1">
            <w:r w:rsidR="00501490" w:rsidRPr="002253D5">
              <w:rPr>
                <w:rStyle w:val="Hyperlink"/>
                <w:rFonts w:asciiTheme="majorHAnsi" w:hAnsiTheme="majorHAnsi" w:cstheme="majorHAnsi"/>
                <w:noProof/>
              </w:rPr>
              <w:t>1.5.</w:t>
            </w:r>
            <w:r w:rsidR="00501490">
              <w:rPr>
                <w:rFonts w:asciiTheme="minorHAnsi" w:hAnsiTheme="minorHAnsi" w:cstheme="minorBidi"/>
                <w:noProof/>
                <w:szCs w:val="22"/>
                <w:lang w:val="en-AU" w:eastAsia="en-AU"/>
              </w:rPr>
              <w:tab/>
            </w:r>
            <w:r w:rsidR="00501490" w:rsidRPr="002253D5">
              <w:rPr>
                <w:rStyle w:val="Hyperlink"/>
                <w:noProof/>
              </w:rPr>
              <w:t>This project</w:t>
            </w:r>
            <w:r w:rsidR="00501490">
              <w:rPr>
                <w:noProof/>
                <w:webHidden/>
              </w:rPr>
              <w:tab/>
            </w:r>
            <w:r w:rsidR="00501490">
              <w:rPr>
                <w:noProof/>
                <w:webHidden/>
              </w:rPr>
              <w:fldChar w:fldCharType="begin"/>
            </w:r>
            <w:r w:rsidR="00501490">
              <w:rPr>
                <w:noProof/>
                <w:webHidden/>
              </w:rPr>
              <w:instrText xml:space="preserve"> PAGEREF _Toc153801713 \h </w:instrText>
            </w:r>
            <w:r w:rsidR="00501490">
              <w:rPr>
                <w:noProof/>
                <w:webHidden/>
              </w:rPr>
            </w:r>
            <w:r w:rsidR="00501490">
              <w:rPr>
                <w:noProof/>
                <w:webHidden/>
              </w:rPr>
              <w:fldChar w:fldCharType="separate"/>
            </w:r>
            <w:r w:rsidR="00501490">
              <w:rPr>
                <w:noProof/>
                <w:webHidden/>
              </w:rPr>
              <w:t>11</w:t>
            </w:r>
            <w:r w:rsidR="00501490">
              <w:rPr>
                <w:noProof/>
                <w:webHidden/>
              </w:rPr>
              <w:fldChar w:fldCharType="end"/>
            </w:r>
          </w:hyperlink>
        </w:p>
        <w:p w14:paraId="611E56D5" w14:textId="50EA49BF" w:rsidR="00501490" w:rsidRDefault="006F2D0A">
          <w:pPr>
            <w:pStyle w:val="TOC2"/>
            <w:rPr>
              <w:rFonts w:asciiTheme="minorHAnsi" w:hAnsiTheme="minorHAnsi" w:cstheme="minorBidi"/>
              <w:noProof/>
              <w:szCs w:val="22"/>
              <w:lang w:val="en-AU" w:eastAsia="en-AU"/>
            </w:rPr>
          </w:pPr>
          <w:hyperlink w:anchor="_Toc153801714" w:history="1">
            <w:r w:rsidR="00501490" w:rsidRPr="002253D5">
              <w:rPr>
                <w:rStyle w:val="Hyperlink"/>
                <w:noProof/>
              </w:rPr>
              <w:t>Evaluation Methodology</w:t>
            </w:r>
            <w:r w:rsidR="00501490">
              <w:rPr>
                <w:noProof/>
                <w:webHidden/>
              </w:rPr>
              <w:tab/>
            </w:r>
            <w:r w:rsidR="00501490">
              <w:rPr>
                <w:noProof/>
                <w:webHidden/>
              </w:rPr>
              <w:fldChar w:fldCharType="begin"/>
            </w:r>
            <w:r w:rsidR="00501490">
              <w:rPr>
                <w:noProof/>
                <w:webHidden/>
              </w:rPr>
              <w:instrText xml:space="preserve"> PAGEREF _Toc153801714 \h </w:instrText>
            </w:r>
            <w:r w:rsidR="00501490">
              <w:rPr>
                <w:noProof/>
                <w:webHidden/>
              </w:rPr>
            </w:r>
            <w:r w:rsidR="00501490">
              <w:rPr>
                <w:noProof/>
                <w:webHidden/>
              </w:rPr>
              <w:fldChar w:fldCharType="separate"/>
            </w:r>
            <w:r w:rsidR="00501490">
              <w:rPr>
                <w:noProof/>
                <w:webHidden/>
              </w:rPr>
              <w:t>11</w:t>
            </w:r>
            <w:r w:rsidR="00501490">
              <w:rPr>
                <w:noProof/>
                <w:webHidden/>
              </w:rPr>
              <w:fldChar w:fldCharType="end"/>
            </w:r>
          </w:hyperlink>
        </w:p>
        <w:p w14:paraId="63F6175F" w14:textId="23659005" w:rsidR="00501490" w:rsidRDefault="006F2D0A">
          <w:pPr>
            <w:pStyle w:val="TOC2"/>
            <w:rPr>
              <w:rFonts w:asciiTheme="minorHAnsi" w:hAnsiTheme="minorHAnsi" w:cstheme="minorBidi"/>
              <w:noProof/>
              <w:szCs w:val="22"/>
              <w:lang w:val="en-AU" w:eastAsia="en-AU"/>
            </w:rPr>
          </w:pPr>
          <w:hyperlink w:anchor="_Toc153801715" w:history="1">
            <w:r w:rsidR="00501490" w:rsidRPr="002253D5">
              <w:rPr>
                <w:rStyle w:val="Hyperlink"/>
                <w:noProof/>
              </w:rPr>
              <w:t>This report</w:t>
            </w:r>
            <w:r w:rsidR="00501490">
              <w:rPr>
                <w:noProof/>
                <w:webHidden/>
              </w:rPr>
              <w:tab/>
            </w:r>
            <w:r w:rsidR="00501490">
              <w:rPr>
                <w:noProof/>
                <w:webHidden/>
              </w:rPr>
              <w:fldChar w:fldCharType="begin"/>
            </w:r>
            <w:r w:rsidR="00501490">
              <w:rPr>
                <w:noProof/>
                <w:webHidden/>
              </w:rPr>
              <w:instrText xml:space="preserve"> PAGEREF _Toc153801715 \h </w:instrText>
            </w:r>
            <w:r w:rsidR="00501490">
              <w:rPr>
                <w:noProof/>
                <w:webHidden/>
              </w:rPr>
            </w:r>
            <w:r w:rsidR="00501490">
              <w:rPr>
                <w:noProof/>
                <w:webHidden/>
              </w:rPr>
              <w:fldChar w:fldCharType="separate"/>
            </w:r>
            <w:r w:rsidR="00501490">
              <w:rPr>
                <w:noProof/>
                <w:webHidden/>
              </w:rPr>
              <w:t>12</w:t>
            </w:r>
            <w:r w:rsidR="00501490">
              <w:rPr>
                <w:noProof/>
                <w:webHidden/>
              </w:rPr>
              <w:fldChar w:fldCharType="end"/>
            </w:r>
          </w:hyperlink>
        </w:p>
        <w:p w14:paraId="72EB8A39" w14:textId="3D57BCCD" w:rsidR="00501490" w:rsidRDefault="006F2D0A">
          <w:pPr>
            <w:pStyle w:val="TOC1"/>
            <w:rPr>
              <w:rFonts w:asciiTheme="minorHAnsi" w:hAnsiTheme="minorHAnsi" w:cstheme="minorBidi"/>
              <w:b w:val="0"/>
              <w:noProof/>
              <w:szCs w:val="22"/>
              <w:lang w:val="en-AU" w:eastAsia="en-AU"/>
            </w:rPr>
          </w:pPr>
          <w:hyperlink w:anchor="_Toc153801716" w:history="1">
            <w:r w:rsidR="00501490" w:rsidRPr="002253D5">
              <w:rPr>
                <w:rStyle w:val="Hyperlink"/>
                <w:rFonts w:asciiTheme="majorHAnsi" w:hAnsiTheme="majorHAnsi" w:cstheme="majorHAnsi"/>
                <w:noProof/>
              </w:rPr>
              <w:t>2.</w:t>
            </w:r>
            <w:r w:rsidR="00501490">
              <w:rPr>
                <w:rFonts w:asciiTheme="minorHAnsi" w:hAnsiTheme="minorHAnsi" w:cstheme="minorBidi"/>
                <w:b w:val="0"/>
                <w:noProof/>
                <w:szCs w:val="22"/>
                <w:lang w:val="en-AU" w:eastAsia="en-AU"/>
              </w:rPr>
              <w:tab/>
            </w:r>
            <w:r w:rsidR="00501490" w:rsidRPr="002253D5">
              <w:rPr>
                <w:rStyle w:val="Hyperlink"/>
                <w:noProof/>
              </w:rPr>
              <w:t>The Trials</w:t>
            </w:r>
            <w:r w:rsidR="00501490">
              <w:rPr>
                <w:noProof/>
                <w:webHidden/>
              </w:rPr>
              <w:tab/>
            </w:r>
            <w:r w:rsidR="00501490">
              <w:rPr>
                <w:noProof/>
                <w:webHidden/>
              </w:rPr>
              <w:fldChar w:fldCharType="begin"/>
            </w:r>
            <w:r w:rsidR="00501490">
              <w:rPr>
                <w:noProof/>
                <w:webHidden/>
              </w:rPr>
              <w:instrText xml:space="preserve"> PAGEREF _Toc153801716 \h </w:instrText>
            </w:r>
            <w:r w:rsidR="00501490">
              <w:rPr>
                <w:noProof/>
                <w:webHidden/>
              </w:rPr>
            </w:r>
            <w:r w:rsidR="00501490">
              <w:rPr>
                <w:noProof/>
                <w:webHidden/>
              </w:rPr>
              <w:fldChar w:fldCharType="separate"/>
            </w:r>
            <w:r w:rsidR="00501490">
              <w:rPr>
                <w:noProof/>
                <w:webHidden/>
              </w:rPr>
              <w:t>14</w:t>
            </w:r>
            <w:r w:rsidR="00501490">
              <w:rPr>
                <w:noProof/>
                <w:webHidden/>
              </w:rPr>
              <w:fldChar w:fldCharType="end"/>
            </w:r>
          </w:hyperlink>
        </w:p>
        <w:p w14:paraId="5122B06E" w14:textId="54FD4A8B" w:rsidR="00501490" w:rsidRDefault="006F2D0A">
          <w:pPr>
            <w:pStyle w:val="TOC2"/>
            <w:rPr>
              <w:rFonts w:asciiTheme="minorHAnsi" w:hAnsiTheme="minorHAnsi" w:cstheme="minorBidi"/>
              <w:noProof/>
              <w:szCs w:val="22"/>
              <w:lang w:val="en-AU" w:eastAsia="en-AU"/>
            </w:rPr>
          </w:pPr>
          <w:hyperlink w:anchor="_Toc153801717" w:history="1">
            <w:r w:rsidR="00501490" w:rsidRPr="002253D5">
              <w:rPr>
                <w:rStyle w:val="Hyperlink"/>
                <w:rFonts w:asciiTheme="majorHAnsi" w:hAnsiTheme="majorHAnsi" w:cstheme="majorHAnsi"/>
                <w:noProof/>
              </w:rPr>
              <w:t>2.1.</w:t>
            </w:r>
            <w:r w:rsidR="00501490">
              <w:rPr>
                <w:rFonts w:asciiTheme="minorHAnsi" w:hAnsiTheme="minorHAnsi" w:cstheme="minorBidi"/>
                <w:noProof/>
                <w:szCs w:val="22"/>
                <w:lang w:val="en-AU" w:eastAsia="en-AU"/>
              </w:rPr>
              <w:tab/>
            </w:r>
            <w:r w:rsidR="00501490" w:rsidRPr="002253D5">
              <w:rPr>
                <w:rStyle w:val="Hyperlink"/>
                <w:noProof/>
              </w:rPr>
              <w:t>Introduction</w:t>
            </w:r>
            <w:r w:rsidR="00501490">
              <w:rPr>
                <w:noProof/>
                <w:webHidden/>
              </w:rPr>
              <w:tab/>
            </w:r>
            <w:r w:rsidR="00501490">
              <w:rPr>
                <w:noProof/>
                <w:webHidden/>
              </w:rPr>
              <w:fldChar w:fldCharType="begin"/>
            </w:r>
            <w:r w:rsidR="00501490">
              <w:rPr>
                <w:noProof/>
                <w:webHidden/>
              </w:rPr>
              <w:instrText xml:space="preserve"> PAGEREF _Toc153801717 \h </w:instrText>
            </w:r>
            <w:r w:rsidR="00501490">
              <w:rPr>
                <w:noProof/>
                <w:webHidden/>
              </w:rPr>
            </w:r>
            <w:r w:rsidR="00501490">
              <w:rPr>
                <w:noProof/>
                <w:webHidden/>
              </w:rPr>
              <w:fldChar w:fldCharType="separate"/>
            </w:r>
            <w:r w:rsidR="00501490">
              <w:rPr>
                <w:noProof/>
                <w:webHidden/>
              </w:rPr>
              <w:t>14</w:t>
            </w:r>
            <w:r w:rsidR="00501490">
              <w:rPr>
                <w:noProof/>
                <w:webHidden/>
              </w:rPr>
              <w:fldChar w:fldCharType="end"/>
            </w:r>
          </w:hyperlink>
        </w:p>
        <w:p w14:paraId="3AD75263" w14:textId="1F76FFF8" w:rsidR="00501490" w:rsidRDefault="006F2D0A">
          <w:pPr>
            <w:pStyle w:val="TOC2"/>
            <w:rPr>
              <w:rFonts w:asciiTheme="minorHAnsi" w:hAnsiTheme="minorHAnsi" w:cstheme="minorBidi"/>
              <w:noProof/>
              <w:szCs w:val="22"/>
              <w:lang w:val="en-AU" w:eastAsia="en-AU"/>
            </w:rPr>
          </w:pPr>
          <w:hyperlink w:anchor="_Toc153801718" w:history="1">
            <w:r w:rsidR="00501490" w:rsidRPr="002253D5">
              <w:rPr>
                <w:rStyle w:val="Hyperlink"/>
                <w:rFonts w:asciiTheme="majorHAnsi" w:hAnsiTheme="majorHAnsi" w:cstheme="majorHAnsi"/>
                <w:noProof/>
              </w:rPr>
              <w:t>2.2.</w:t>
            </w:r>
            <w:r w:rsidR="00501490">
              <w:rPr>
                <w:rFonts w:asciiTheme="minorHAnsi" w:hAnsiTheme="minorHAnsi" w:cstheme="minorBidi"/>
                <w:noProof/>
                <w:szCs w:val="22"/>
                <w:lang w:val="en-AU" w:eastAsia="en-AU"/>
              </w:rPr>
              <w:tab/>
            </w:r>
            <w:r w:rsidR="00501490" w:rsidRPr="002253D5">
              <w:rPr>
                <w:rStyle w:val="Hyperlink"/>
                <w:noProof/>
              </w:rPr>
              <w:t>Emergent lessons from the trials</w:t>
            </w:r>
            <w:r w:rsidR="00501490">
              <w:rPr>
                <w:noProof/>
                <w:webHidden/>
              </w:rPr>
              <w:tab/>
            </w:r>
            <w:r w:rsidR="00501490">
              <w:rPr>
                <w:noProof/>
                <w:webHidden/>
              </w:rPr>
              <w:fldChar w:fldCharType="begin"/>
            </w:r>
            <w:r w:rsidR="00501490">
              <w:rPr>
                <w:noProof/>
                <w:webHidden/>
              </w:rPr>
              <w:instrText xml:space="preserve"> PAGEREF _Toc153801718 \h </w:instrText>
            </w:r>
            <w:r w:rsidR="00501490">
              <w:rPr>
                <w:noProof/>
                <w:webHidden/>
              </w:rPr>
            </w:r>
            <w:r w:rsidR="00501490">
              <w:rPr>
                <w:noProof/>
                <w:webHidden/>
              </w:rPr>
              <w:fldChar w:fldCharType="separate"/>
            </w:r>
            <w:r w:rsidR="00501490">
              <w:rPr>
                <w:noProof/>
                <w:webHidden/>
              </w:rPr>
              <w:t>14</w:t>
            </w:r>
            <w:r w:rsidR="00501490">
              <w:rPr>
                <w:noProof/>
                <w:webHidden/>
              </w:rPr>
              <w:fldChar w:fldCharType="end"/>
            </w:r>
          </w:hyperlink>
        </w:p>
        <w:p w14:paraId="7180856A" w14:textId="14D8A7E7" w:rsidR="00501490" w:rsidRDefault="006F2D0A">
          <w:pPr>
            <w:pStyle w:val="TOC2"/>
            <w:rPr>
              <w:rFonts w:asciiTheme="minorHAnsi" w:hAnsiTheme="minorHAnsi" w:cstheme="minorBidi"/>
              <w:noProof/>
              <w:szCs w:val="22"/>
              <w:lang w:val="en-AU" w:eastAsia="en-AU"/>
            </w:rPr>
          </w:pPr>
          <w:hyperlink w:anchor="_Toc153801719" w:history="1">
            <w:r w:rsidR="00501490" w:rsidRPr="002253D5">
              <w:rPr>
                <w:rStyle w:val="Hyperlink"/>
                <w:rFonts w:asciiTheme="majorHAnsi" w:hAnsiTheme="majorHAnsi" w:cstheme="majorHAnsi"/>
                <w:noProof/>
              </w:rPr>
              <w:t>2.3.</w:t>
            </w:r>
            <w:r w:rsidR="00501490">
              <w:rPr>
                <w:rFonts w:asciiTheme="minorHAnsi" w:hAnsiTheme="minorHAnsi" w:cstheme="minorBidi"/>
                <w:noProof/>
                <w:szCs w:val="22"/>
                <w:lang w:val="en-AU" w:eastAsia="en-AU"/>
              </w:rPr>
              <w:tab/>
            </w:r>
            <w:r w:rsidR="00501490" w:rsidRPr="002253D5">
              <w:rPr>
                <w:rStyle w:val="Hyperlink"/>
                <w:noProof/>
              </w:rPr>
              <w:t>Payment by Outcomes</w:t>
            </w:r>
            <w:r w:rsidR="00501490">
              <w:rPr>
                <w:noProof/>
                <w:webHidden/>
              </w:rPr>
              <w:tab/>
            </w:r>
            <w:r w:rsidR="00501490">
              <w:rPr>
                <w:noProof/>
                <w:webHidden/>
              </w:rPr>
              <w:fldChar w:fldCharType="begin"/>
            </w:r>
            <w:r w:rsidR="00501490">
              <w:rPr>
                <w:noProof/>
                <w:webHidden/>
              </w:rPr>
              <w:instrText xml:space="preserve"> PAGEREF _Toc153801719 \h </w:instrText>
            </w:r>
            <w:r w:rsidR="00501490">
              <w:rPr>
                <w:noProof/>
                <w:webHidden/>
              </w:rPr>
            </w:r>
            <w:r w:rsidR="00501490">
              <w:rPr>
                <w:noProof/>
                <w:webHidden/>
              </w:rPr>
              <w:fldChar w:fldCharType="separate"/>
            </w:r>
            <w:r w:rsidR="00501490">
              <w:rPr>
                <w:noProof/>
                <w:webHidden/>
              </w:rPr>
              <w:t>14</w:t>
            </w:r>
            <w:r w:rsidR="00501490">
              <w:rPr>
                <w:noProof/>
                <w:webHidden/>
              </w:rPr>
              <w:fldChar w:fldCharType="end"/>
            </w:r>
          </w:hyperlink>
        </w:p>
        <w:p w14:paraId="6A8B3176" w14:textId="6CC485C4" w:rsidR="00501490" w:rsidRDefault="006F2D0A">
          <w:pPr>
            <w:pStyle w:val="TOC2"/>
            <w:rPr>
              <w:rFonts w:asciiTheme="minorHAnsi" w:hAnsiTheme="minorHAnsi" w:cstheme="minorBidi"/>
              <w:noProof/>
              <w:szCs w:val="22"/>
              <w:lang w:val="en-AU" w:eastAsia="en-AU"/>
            </w:rPr>
          </w:pPr>
          <w:hyperlink w:anchor="_Toc153801720" w:history="1">
            <w:r w:rsidR="00501490" w:rsidRPr="002253D5">
              <w:rPr>
                <w:rStyle w:val="Hyperlink"/>
                <w:noProof/>
              </w:rPr>
              <w:t>PBO1: Many Rivers Microenterprise</w:t>
            </w:r>
            <w:r w:rsidR="00501490">
              <w:rPr>
                <w:noProof/>
                <w:webHidden/>
              </w:rPr>
              <w:tab/>
            </w:r>
            <w:r w:rsidR="00501490">
              <w:rPr>
                <w:noProof/>
                <w:webHidden/>
              </w:rPr>
              <w:fldChar w:fldCharType="begin"/>
            </w:r>
            <w:r w:rsidR="00501490">
              <w:rPr>
                <w:noProof/>
                <w:webHidden/>
              </w:rPr>
              <w:instrText xml:space="preserve"> PAGEREF _Toc153801720 \h </w:instrText>
            </w:r>
            <w:r w:rsidR="00501490">
              <w:rPr>
                <w:noProof/>
                <w:webHidden/>
              </w:rPr>
            </w:r>
            <w:r w:rsidR="00501490">
              <w:rPr>
                <w:noProof/>
                <w:webHidden/>
              </w:rPr>
              <w:fldChar w:fldCharType="separate"/>
            </w:r>
            <w:r w:rsidR="00501490">
              <w:rPr>
                <w:noProof/>
                <w:webHidden/>
              </w:rPr>
              <w:t>15</w:t>
            </w:r>
            <w:r w:rsidR="00501490">
              <w:rPr>
                <w:noProof/>
                <w:webHidden/>
              </w:rPr>
              <w:fldChar w:fldCharType="end"/>
            </w:r>
          </w:hyperlink>
        </w:p>
        <w:p w14:paraId="78F562BE" w14:textId="38BC5B89" w:rsidR="00501490" w:rsidRDefault="006F2D0A">
          <w:pPr>
            <w:pStyle w:val="TOC2"/>
            <w:rPr>
              <w:rFonts w:asciiTheme="minorHAnsi" w:hAnsiTheme="minorHAnsi" w:cstheme="minorBidi"/>
              <w:noProof/>
              <w:szCs w:val="22"/>
              <w:lang w:val="en-AU" w:eastAsia="en-AU"/>
            </w:rPr>
          </w:pPr>
          <w:hyperlink w:anchor="_Toc153801721" w:history="1">
            <w:r w:rsidR="00501490" w:rsidRPr="002253D5">
              <w:rPr>
                <w:rStyle w:val="Hyperlink"/>
                <w:noProof/>
              </w:rPr>
              <w:t>PBO2: 54 reasons (formerly Save the Children)</w:t>
            </w:r>
            <w:r w:rsidR="00501490">
              <w:rPr>
                <w:noProof/>
                <w:webHidden/>
              </w:rPr>
              <w:tab/>
            </w:r>
            <w:r w:rsidR="00501490">
              <w:rPr>
                <w:noProof/>
                <w:webHidden/>
              </w:rPr>
              <w:fldChar w:fldCharType="begin"/>
            </w:r>
            <w:r w:rsidR="00501490">
              <w:rPr>
                <w:noProof/>
                <w:webHidden/>
              </w:rPr>
              <w:instrText xml:space="preserve"> PAGEREF _Toc153801721 \h </w:instrText>
            </w:r>
            <w:r w:rsidR="00501490">
              <w:rPr>
                <w:noProof/>
                <w:webHidden/>
              </w:rPr>
            </w:r>
            <w:r w:rsidR="00501490">
              <w:rPr>
                <w:noProof/>
                <w:webHidden/>
              </w:rPr>
              <w:fldChar w:fldCharType="separate"/>
            </w:r>
            <w:r w:rsidR="00501490">
              <w:rPr>
                <w:noProof/>
                <w:webHidden/>
              </w:rPr>
              <w:t>15</w:t>
            </w:r>
            <w:r w:rsidR="00501490">
              <w:rPr>
                <w:noProof/>
                <w:webHidden/>
              </w:rPr>
              <w:fldChar w:fldCharType="end"/>
            </w:r>
          </w:hyperlink>
        </w:p>
        <w:p w14:paraId="78D9FBEB" w14:textId="1BD52F73" w:rsidR="00501490" w:rsidRDefault="006F2D0A">
          <w:pPr>
            <w:pStyle w:val="TOC2"/>
            <w:rPr>
              <w:rFonts w:asciiTheme="minorHAnsi" w:hAnsiTheme="minorHAnsi" w:cstheme="minorBidi"/>
              <w:noProof/>
              <w:szCs w:val="22"/>
              <w:lang w:val="en-AU" w:eastAsia="en-AU"/>
            </w:rPr>
          </w:pPr>
          <w:hyperlink w:anchor="_Toc153801722" w:history="1">
            <w:r w:rsidR="00501490" w:rsidRPr="002253D5">
              <w:rPr>
                <w:rStyle w:val="Hyperlink"/>
                <w:noProof/>
              </w:rPr>
              <w:t>PBO3: White Box Enterprises</w:t>
            </w:r>
            <w:r w:rsidR="00501490">
              <w:rPr>
                <w:noProof/>
                <w:webHidden/>
              </w:rPr>
              <w:tab/>
            </w:r>
            <w:r w:rsidR="00501490">
              <w:rPr>
                <w:noProof/>
                <w:webHidden/>
              </w:rPr>
              <w:fldChar w:fldCharType="begin"/>
            </w:r>
            <w:r w:rsidR="00501490">
              <w:rPr>
                <w:noProof/>
                <w:webHidden/>
              </w:rPr>
              <w:instrText xml:space="preserve"> PAGEREF _Toc153801722 \h </w:instrText>
            </w:r>
            <w:r w:rsidR="00501490">
              <w:rPr>
                <w:noProof/>
                <w:webHidden/>
              </w:rPr>
            </w:r>
            <w:r w:rsidR="00501490">
              <w:rPr>
                <w:noProof/>
                <w:webHidden/>
              </w:rPr>
              <w:fldChar w:fldCharType="separate"/>
            </w:r>
            <w:r w:rsidR="00501490">
              <w:rPr>
                <w:noProof/>
                <w:webHidden/>
              </w:rPr>
              <w:t>16</w:t>
            </w:r>
            <w:r w:rsidR="00501490">
              <w:rPr>
                <w:noProof/>
                <w:webHidden/>
              </w:rPr>
              <w:fldChar w:fldCharType="end"/>
            </w:r>
          </w:hyperlink>
        </w:p>
        <w:p w14:paraId="5DA271F6" w14:textId="297A9709" w:rsidR="00501490" w:rsidRDefault="006F2D0A">
          <w:pPr>
            <w:pStyle w:val="TOC2"/>
            <w:rPr>
              <w:rFonts w:asciiTheme="minorHAnsi" w:hAnsiTheme="minorHAnsi" w:cstheme="minorBidi"/>
              <w:noProof/>
              <w:szCs w:val="22"/>
              <w:lang w:val="en-AU" w:eastAsia="en-AU"/>
            </w:rPr>
          </w:pPr>
          <w:hyperlink w:anchor="_Toc153801723" w:history="1">
            <w:r w:rsidR="00501490" w:rsidRPr="002253D5">
              <w:rPr>
                <w:rStyle w:val="Hyperlink"/>
                <w:rFonts w:asciiTheme="majorHAnsi" w:hAnsiTheme="majorHAnsi" w:cstheme="majorHAnsi"/>
                <w:noProof/>
              </w:rPr>
              <w:t>2.4.</w:t>
            </w:r>
            <w:r w:rsidR="00501490">
              <w:rPr>
                <w:rFonts w:asciiTheme="minorHAnsi" w:hAnsiTheme="minorHAnsi" w:cstheme="minorBidi"/>
                <w:noProof/>
                <w:szCs w:val="22"/>
                <w:lang w:val="en-AU" w:eastAsia="en-AU"/>
              </w:rPr>
              <w:tab/>
            </w:r>
            <w:r w:rsidR="00501490" w:rsidRPr="002253D5">
              <w:rPr>
                <w:rStyle w:val="Hyperlink"/>
                <w:noProof/>
              </w:rPr>
              <w:t>State partnerships</w:t>
            </w:r>
            <w:r w:rsidR="00501490">
              <w:rPr>
                <w:noProof/>
                <w:webHidden/>
              </w:rPr>
              <w:tab/>
            </w:r>
            <w:r w:rsidR="00501490">
              <w:rPr>
                <w:noProof/>
                <w:webHidden/>
              </w:rPr>
              <w:fldChar w:fldCharType="begin"/>
            </w:r>
            <w:r w:rsidR="00501490">
              <w:rPr>
                <w:noProof/>
                <w:webHidden/>
              </w:rPr>
              <w:instrText xml:space="preserve"> PAGEREF _Toc153801723 \h </w:instrText>
            </w:r>
            <w:r w:rsidR="00501490">
              <w:rPr>
                <w:noProof/>
                <w:webHidden/>
              </w:rPr>
            </w:r>
            <w:r w:rsidR="00501490">
              <w:rPr>
                <w:noProof/>
                <w:webHidden/>
              </w:rPr>
              <w:fldChar w:fldCharType="separate"/>
            </w:r>
            <w:r w:rsidR="00501490">
              <w:rPr>
                <w:noProof/>
                <w:webHidden/>
              </w:rPr>
              <w:t>17</w:t>
            </w:r>
            <w:r w:rsidR="00501490">
              <w:rPr>
                <w:noProof/>
                <w:webHidden/>
              </w:rPr>
              <w:fldChar w:fldCharType="end"/>
            </w:r>
          </w:hyperlink>
        </w:p>
        <w:p w14:paraId="3BFAD37E" w14:textId="68A90F55" w:rsidR="00501490" w:rsidRDefault="006F2D0A">
          <w:pPr>
            <w:pStyle w:val="TOC2"/>
            <w:rPr>
              <w:rFonts w:asciiTheme="minorHAnsi" w:hAnsiTheme="minorHAnsi" w:cstheme="minorBidi"/>
              <w:noProof/>
              <w:szCs w:val="22"/>
              <w:lang w:val="en-AU" w:eastAsia="en-AU"/>
            </w:rPr>
          </w:pPr>
          <w:hyperlink w:anchor="_Toc153801724" w:history="1">
            <w:r w:rsidR="00501490" w:rsidRPr="002253D5">
              <w:rPr>
                <w:rStyle w:val="Hyperlink"/>
                <w:noProof/>
              </w:rPr>
              <w:t>NSW Government - Foyer Central</w:t>
            </w:r>
            <w:r w:rsidR="00501490">
              <w:rPr>
                <w:noProof/>
                <w:webHidden/>
              </w:rPr>
              <w:tab/>
            </w:r>
            <w:r w:rsidR="00501490">
              <w:rPr>
                <w:noProof/>
                <w:webHidden/>
              </w:rPr>
              <w:fldChar w:fldCharType="begin"/>
            </w:r>
            <w:r w:rsidR="00501490">
              <w:rPr>
                <w:noProof/>
                <w:webHidden/>
              </w:rPr>
              <w:instrText xml:space="preserve"> PAGEREF _Toc153801724 \h </w:instrText>
            </w:r>
            <w:r w:rsidR="00501490">
              <w:rPr>
                <w:noProof/>
                <w:webHidden/>
              </w:rPr>
            </w:r>
            <w:r w:rsidR="00501490">
              <w:rPr>
                <w:noProof/>
                <w:webHidden/>
              </w:rPr>
              <w:fldChar w:fldCharType="separate"/>
            </w:r>
            <w:r w:rsidR="00501490">
              <w:rPr>
                <w:noProof/>
                <w:webHidden/>
              </w:rPr>
              <w:t>18</w:t>
            </w:r>
            <w:r w:rsidR="00501490">
              <w:rPr>
                <w:noProof/>
                <w:webHidden/>
              </w:rPr>
              <w:fldChar w:fldCharType="end"/>
            </w:r>
          </w:hyperlink>
        </w:p>
        <w:p w14:paraId="20905C8C" w14:textId="10A7E690" w:rsidR="00501490" w:rsidRDefault="006F2D0A">
          <w:pPr>
            <w:pStyle w:val="TOC2"/>
            <w:rPr>
              <w:rFonts w:asciiTheme="minorHAnsi" w:hAnsiTheme="minorHAnsi" w:cstheme="minorBidi"/>
              <w:noProof/>
              <w:szCs w:val="22"/>
              <w:lang w:val="en-AU" w:eastAsia="en-AU"/>
            </w:rPr>
          </w:pPr>
          <w:hyperlink w:anchor="_Toc153801725" w:history="1">
            <w:r w:rsidR="00501490" w:rsidRPr="002253D5">
              <w:rPr>
                <w:rStyle w:val="Hyperlink"/>
                <w:noProof/>
              </w:rPr>
              <w:t>SA Government - New Parent Infant Network (Newpin)</w:t>
            </w:r>
            <w:r w:rsidR="00501490">
              <w:rPr>
                <w:noProof/>
                <w:webHidden/>
              </w:rPr>
              <w:tab/>
            </w:r>
            <w:r w:rsidR="00501490">
              <w:rPr>
                <w:noProof/>
                <w:webHidden/>
              </w:rPr>
              <w:fldChar w:fldCharType="begin"/>
            </w:r>
            <w:r w:rsidR="00501490">
              <w:rPr>
                <w:noProof/>
                <w:webHidden/>
              </w:rPr>
              <w:instrText xml:space="preserve"> PAGEREF _Toc153801725 \h </w:instrText>
            </w:r>
            <w:r w:rsidR="00501490">
              <w:rPr>
                <w:noProof/>
                <w:webHidden/>
              </w:rPr>
            </w:r>
            <w:r w:rsidR="00501490">
              <w:rPr>
                <w:noProof/>
                <w:webHidden/>
              </w:rPr>
              <w:fldChar w:fldCharType="separate"/>
            </w:r>
            <w:r w:rsidR="00501490">
              <w:rPr>
                <w:noProof/>
                <w:webHidden/>
              </w:rPr>
              <w:t>19</w:t>
            </w:r>
            <w:r w:rsidR="00501490">
              <w:rPr>
                <w:noProof/>
                <w:webHidden/>
              </w:rPr>
              <w:fldChar w:fldCharType="end"/>
            </w:r>
          </w:hyperlink>
        </w:p>
        <w:p w14:paraId="5D3B1D2E" w14:textId="6E8E4C37" w:rsidR="00501490" w:rsidRDefault="006F2D0A">
          <w:pPr>
            <w:pStyle w:val="TOC2"/>
            <w:rPr>
              <w:rFonts w:asciiTheme="minorHAnsi" w:hAnsiTheme="minorHAnsi" w:cstheme="minorBidi"/>
              <w:noProof/>
              <w:szCs w:val="22"/>
              <w:lang w:val="en-AU" w:eastAsia="en-AU"/>
            </w:rPr>
          </w:pPr>
          <w:hyperlink w:anchor="_Toc153801726" w:history="1">
            <w:r w:rsidR="00501490" w:rsidRPr="002253D5">
              <w:rPr>
                <w:rStyle w:val="Hyperlink"/>
                <w:noProof/>
              </w:rPr>
              <w:t>SA Government - Resilient Families</w:t>
            </w:r>
            <w:r w:rsidR="00501490">
              <w:rPr>
                <w:noProof/>
                <w:webHidden/>
              </w:rPr>
              <w:tab/>
            </w:r>
            <w:r w:rsidR="00501490">
              <w:rPr>
                <w:noProof/>
                <w:webHidden/>
              </w:rPr>
              <w:fldChar w:fldCharType="begin"/>
            </w:r>
            <w:r w:rsidR="00501490">
              <w:rPr>
                <w:noProof/>
                <w:webHidden/>
              </w:rPr>
              <w:instrText xml:space="preserve"> PAGEREF _Toc153801726 \h </w:instrText>
            </w:r>
            <w:r w:rsidR="00501490">
              <w:rPr>
                <w:noProof/>
                <w:webHidden/>
              </w:rPr>
            </w:r>
            <w:r w:rsidR="00501490">
              <w:rPr>
                <w:noProof/>
                <w:webHidden/>
              </w:rPr>
              <w:fldChar w:fldCharType="separate"/>
            </w:r>
            <w:r w:rsidR="00501490">
              <w:rPr>
                <w:noProof/>
                <w:webHidden/>
              </w:rPr>
              <w:t>19</w:t>
            </w:r>
            <w:r w:rsidR="00501490">
              <w:rPr>
                <w:noProof/>
                <w:webHidden/>
              </w:rPr>
              <w:fldChar w:fldCharType="end"/>
            </w:r>
          </w:hyperlink>
        </w:p>
        <w:p w14:paraId="3FDB6200" w14:textId="79A29702" w:rsidR="00501490" w:rsidRDefault="006F2D0A">
          <w:pPr>
            <w:pStyle w:val="TOC2"/>
            <w:rPr>
              <w:rFonts w:asciiTheme="minorHAnsi" w:hAnsiTheme="minorHAnsi" w:cstheme="minorBidi"/>
              <w:noProof/>
              <w:szCs w:val="22"/>
              <w:lang w:val="en-AU" w:eastAsia="en-AU"/>
            </w:rPr>
          </w:pPr>
          <w:hyperlink w:anchor="_Toc153801727" w:history="1">
            <w:r w:rsidR="00501490" w:rsidRPr="002253D5">
              <w:rPr>
                <w:rStyle w:val="Hyperlink"/>
                <w:rFonts w:asciiTheme="majorHAnsi" w:hAnsiTheme="majorHAnsi" w:cstheme="majorHAnsi"/>
                <w:noProof/>
              </w:rPr>
              <w:t>2.5.</w:t>
            </w:r>
            <w:r w:rsidR="00501490">
              <w:rPr>
                <w:rFonts w:asciiTheme="minorHAnsi" w:hAnsiTheme="minorHAnsi" w:cstheme="minorBidi"/>
                <w:noProof/>
                <w:szCs w:val="22"/>
                <w:lang w:val="en-AU" w:eastAsia="en-AU"/>
              </w:rPr>
              <w:tab/>
            </w:r>
            <w:r w:rsidR="00501490" w:rsidRPr="002253D5">
              <w:rPr>
                <w:rStyle w:val="Hyperlink"/>
                <w:noProof/>
              </w:rPr>
              <w:t>Outcome Measurement Initiative</w:t>
            </w:r>
            <w:r w:rsidR="00501490">
              <w:rPr>
                <w:noProof/>
                <w:webHidden/>
              </w:rPr>
              <w:tab/>
            </w:r>
            <w:r w:rsidR="00501490">
              <w:rPr>
                <w:noProof/>
                <w:webHidden/>
              </w:rPr>
              <w:fldChar w:fldCharType="begin"/>
            </w:r>
            <w:r w:rsidR="00501490">
              <w:rPr>
                <w:noProof/>
                <w:webHidden/>
              </w:rPr>
              <w:instrText xml:space="preserve"> PAGEREF _Toc153801727 \h </w:instrText>
            </w:r>
            <w:r w:rsidR="00501490">
              <w:rPr>
                <w:noProof/>
                <w:webHidden/>
              </w:rPr>
            </w:r>
            <w:r w:rsidR="00501490">
              <w:rPr>
                <w:noProof/>
                <w:webHidden/>
              </w:rPr>
              <w:fldChar w:fldCharType="separate"/>
            </w:r>
            <w:r w:rsidR="00501490">
              <w:rPr>
                <w:noProof/>
                <w:webHidden/>
              </w:rPr>
              <w:t>20</w:t>
            </w:r>
            <w:r w:rsidR="00501490">
              <w:rPr>
                <w:noProof/>
                <w:webHidden/>
              </w:rPr>
              <w:fldChar w:fldCharType="end"/>
            </w:r>
          </w:hyperlink>
        </w:p>
        <w:p w14:paraId="5E4B703E" w14:textId="115D4673" w:rsidR="00501490" w:rsidRDefault="006F2D0A">
          <w:pPr>
            <w:pStyle w:val="TOC2"/>
            <w:rPr>
              <w:rFonts w:asciiTheme="minorHAnsi" w:hAnsiTheme="minorHAnsi" w:cstheme="minorBidi"/>
              <w:noProof/>
              <w:szCs w:val="22"/>
              <w:lang w:val="en-AU" w:eastAsia="en-AU"/>
            </w:rPr>
          </w:pPr>
          <w:hyperlink w:anchor="_Toc153801728" w:history="1">
            <w:r w:rsidR="00501490" w:rsidRPr="002253D5">
              <w:rPr>
                <w:rStyle w:val="Hyperlink"/>
                <w:noProof/>
              </w:rPr>
              <w:t>Vanguard Laundry</w:t>
            </w:r>
            <w:r w:rsidR="00501490">
              <w:rPr>
                <w:noProof/>
                <w:webHidden/>
              </w:rPr>
              <w:tab/>
            </w:r>
            <w:r w:rsidR="00501490">
              <w:rPr>
                <w:noProof/>
                <w:webHidden/>
              </w:rPr>
              <w:fldChar w:fldCharType="begin"/>
            </w:r>
            <w:r w:rsidR="00501490">
              <w:rPr>
                <w:noProof/>
                <w:webHidden/>
              </w:rPr>
              <w:instrText xml:space="preserve"> PAGEREF _Toc153801728 \h </w:instrText>
            </w:r>
            <w:r w:rsidR="00501490">
              <w:rPr>
                <w:noProof/>
                <w:webHidden/>
              </w:rPr>
            </w:r>
            <w:r w:rsidR="00501490">
              <w:rPr>
                <w:noProof/>
                <w:webHidden/>
              </w:rPr>
              <w:fldChar w:fldCharType="separate"/>
            </w:r>
            <w:r w:rsidR="00501490">
              <w:rPr>
                <w:noProof/>
                <w:webHidden/>
              </w:rPr>
              <w:t>20</w:t>
            </w:r>
            <w:r w:rsidR="00501490">
              <w:rPr>
                <w:noProof/>
                <w:webHidden/>
              </w:rPr>
              <w:fldChar w:fldCharType="end"/>
            </w:r>
          </w:hyperlink>
        </w:p>
        <w:p w14:paraId="0F1DD6FD" w14:textId="6803B42E" w:rsidR="00501490" w:rsidRDefault="006F2D0A">
          <w:pPr>
            <w:pStyle w:val="TOC2"/>
            <w:rPr>
              <w:rFonts w:asciiTheme="minorHAnsi" w:hAnsiTheme="minorHAnsi" w:cstheme="minorBidi"/>
              <w:noProof/>
              <w:szCs w:val="22"/>
              <w:lang w:val="en-AU" w:eastAsia="en-AU"/>
            </w:rPr>
          </w:pPr>
          <w:hyperlink w:anchor="_Toc153801729" w:history="1">
            <w:r w:rsidR="00501490" w:rsidRPr="002253D5">
              <w:rPr>
                <w:rStyle w:val="Hyperlink"/>
                <w:noProof/>
              </w:rPr>
              <w:t>Global Sisters</w:t>
            </w:r>
            <w:r w:rsidR="00501490">
              <w:rPr>
                <w:noProof/>
                <w:webHidden/>
              </w:rPr>
              <w:tab/>
            </w:r>
            <w:r w:rsidR="00501490">
              <w:rPr>
                <w:noProof/>
                <w:webHidden/>
              </w:rPr>
              <w:fldChar w:fldCharType="begin"/>
            </w:r>
            <w:r w:rsidR="00501490">
              <w:rPr>
                <w:noProof/>
                <w:webHidden/>
              </w:rPr>
              <w:instrText xml:space="preserve"> PAGEREF _Toc153801729 \h </w:instrText>
            </w:r>
            <w:r w:rsidR="00501490">
              <w:rPr>
                <w:noProof/>
                <w:webHidden/>
              </w:rPr>
            </w:r>
            <w:r w:rsidR="00501490">
              <w:rPr>
                <w:noProof/>
                <w:webHidden/>
              </w:rPr>
              <w:fldChar w:fldCharType="separate"/>
            </w:r>
            <w:r w:rsidR="00501490">
              <w:rPr>
                <w:noProof/>
                <w:webHidden/>
              </w:rPr>
              <w:t>21</w:t>
            </w:r>
            <w:r w:rsidR="00501490">
              <w:rPr>
                <w:noProof/>
                <w:webHidden/>
              </w:rPr>
              <w:fldChar w:fldCharType="end"/>
            </w:r>
          </w:hyperlink>
        </w:p>
        <w:p w14:paraId="06CD60EF" w14:textId="7D93B1DD" w:rsidR="00501490" w:rsidRDefault="006F2D0A">
          <w:pPr>
            <w:pStyle w:val="TOC2"/>
            <w:rPr>
              <w:rFonts w:asciiTheme="minorHAnsi" w:hAnsiTheme="minorHAnsi" w:cstheme="minorBidi"/>
              <w:noProof/>
              <w:szCs w:val="22"/>
              <w:lang w:val="en-AU" w:eastAsia="en-AU"/>
            </w:rPr>
          </w:pPr>
          <w:hyperlink w:anchor="_Toc153801730" w:history="1">
            <w:r w:rsidR="00501490" w:rsidRPr="002253D5">
              <w:rPr>
                <w:rStyle w:val="Hyperlink"/>
                <w:rFonts w:asciiTheme="majorHAnsi" w:hAnsiTheme="majorHAnsi" w:cstheme="majorHAnsi"/>
                <w:noProof/>
              </w:rPr>
              <w:t>2.6.</w:t>
            </w:r>
            <w:r w:rsidR="00501490">
              <w:rPr>
                <w:rFonts w:asciiTheme="minorHAnsi" w:hAnsiTheme="minorHAnsi" w:cstheme="minorBidi"/>
                <w:noProof/>
                <w:szCs w:val="22"/>
                <w:lang w:val="en-AU" w:eastAsia="en-AU"/>
              </w:rPr>
              <w:tab/>
            </w:r>
            <w:r w:rsidR="00501490" w:rsidRPr="002253D5">
              <w:rPr>
                <w:rStyle w:val="Hyperlink"/>
                <w:noProof/>
              </w:rPr>
              <w:t>Sector Readiness Fund</w:t>
            </w:r>
            <w:r w:rsidR="00501490">
              <w:rPr>
                <w:noProof/>
                <w:webHidden/>
              </w:rPr>
              <w:tab/>
            </w:r>
            <w:r w:rsidR="00501490">
              <w:rPr>
                <w:noProof/>
                <w:webHidden/>
              </w:rPr>
              <w:fldChar w:fldCharType="begin"/>
            </w:r>
            <w:r w:rsidR="00501490">
              <w:rPr>
                <w:noProof/>
                <w:webHidden/>
              </w:rPr>
              <w:instrText xml:space="preserve"> PAGEREF _Toc153801730 \h </w:instrText>
            </w:r>
            <w:r w:rsidR="00501490">
              <w:rPr>
                <w:noProof/>
                <w:webHidden/>
              </w:rPr>
            </w:r>
            <w:r w:rsidR="00501490">
              <w:rPr>
                <w:noProof/>
                <w:webHidden/>
              </w:rPr>
              <w:fldChar w:fldCharType="separate"/>
            </w:r>
            <w:r w:rsidR="00501490">
              <w:rPr>
                <w:noProof/>
                <w:webHidden/>
              </w:rPr>
              <w:t>22</w:t>
            </w:r>
            <w:r w:rsidR="00501490">
              <w:rPr>
                <w:noProof/>
                <w:webHidden/>
              </w:rPr>
              <w:fldChar w:fldCharType="end"/>
            </w:r>
          </w:hyperlink>
        </w:p>
        <w:p w14:paraId="100C6D12" w14:textId="5F495E00" w:rsidR="00501490" w:rsidRDefault="006F2D0A">
          <w:pPr>
            <w:pStyle w:val="TOC1"/>
            <w:rPr>
              <w:rFonts w:asciiTheme="minorHAnsi" w:hAnsiTheme="minorHAnsi" w:cstheme="minorBidi"/>
              <w:b w:val="0"/>
              <w:noProof/>
              <w:szCs w:val="22"/>
              <w:lang w:val="en-AU" w:eastAsia="en-AU"/>
            </w:rPr>
          </w:pPr>
          <w:hyperlink w:anchor="_Toc153801731" w:history="1">
            <w:r w:rsidR="00501490" w:rsidRPr="002253D5">
              <w:rPr>
                <w:rStyle w:val="Hyperlink"/>
                <w:rFonts w:asciiTheme="majorHAnsi" w:hAnsiTheme="majorHAnsi" w:cstheme="majorHAnsi"/>
                <w:noProof/>
              </w:rPr>
              <w:t>3.</w:t>
            </w:r>
            <w:r w:rsidR="00501490">
              <w:rPr>
                <w:rFonts w:asciiTheme="minorHAnsi" w:hAnsiTheme="minorHAnsi" w:cstheme="minorBidi"/>
                <w:b w:val="0"/>
                <w:noProof/>
                <w:szCs w:val="22"/>
                <w:lang w:val="en-AU" w:eastAsia="en-AU"/>
              </w:rPr>
              <w:tab/>
            </w:r>
            <w:r w:rsidR="00501490" w:rsidRPr="002253D5">
              <w:rPr>
                <w:rStyle w:val="Hyperlink"/>
                <w:noProof/>
              </w:rPr>
              <w:t>Insights from the Trials</w:t>
            </w:r>
            <w:r w:rsidR="00501490">
              <w:rPr>
                <w:noProof/>
                <w:webHidden/>
              </w:rPr>
              <w:tab/>
            </w:r>
            <w:r w:rsidR="00501490">
              <w:rPr>
                <w:noProof/>
                <w:webHidden/>
              </w:rPr>
              <w:fldChar w:fldCharType="begin"/>
            </w:r>
            <w:r w:rsidR="00501490">
              <w:rPr>
                <w:noProof/>
                <w:webHidden/>
              </w:rPr>
              <w:instrText xml:space="preserve"> PAGEREF _Toc153801731 \h </w:instrText>
            </w:r>
            <w:r w:rsidR="00501490">
              <w:rPr>
                <w:noProof/>
                <w:webHidden/>
              </w:rPr>
            </w:r>
            <w:r w:rsidR="00501490">
              <w:rPr>
                <w:noProof/>
                <w:webHidden/>
              </w:rPr>
              <w:fldChar w:fldCharType="separate"/>
            </w:r>
            <w:r w:rsidR="00501490">
              <w:rPr>
                <w:noProof/>
                <w:webHidden/>
              </w:rPr>
              <w:t>24</w:t>
            </w:r>
            <w:r w:rsidR="00501490">
              <w:rPr>
                <w:noProof/>
                <w:webHidden/>
              </w:rPr>
              <w:fldChar w:fldCharType="end"/>
            </w:r>
          </w:hyperlink>
        </w:p>
        <w:p w14:paraId="47C10083" w14:textId="7B58A685" w:rsidR="00501490" w:rsidRDefault="006F2D0A">
          <w:pPr>
            <w:pStyle w:val="TOC2"/>
            <w:rPr>
              <w:rFonts w:asciiTheme="minorHAnsi" w:hAnsiTheme="minorHAnsi" w:cstheme="minorBidi"/>
              <w:noProof/>
              <w:szCs w:val="22"/>
              <w:lang w:val="en-AU" w:eastAsia="en-AU"/>
            </w:rPr>
          </w:pPr>
          <w:hyperlink w:anchor="_Toc153801732" w:history="1">
            <w:r w:rsidR="00501490" w:rsidRPr="002253D5">
              <w:rPr>
                <w:rStyle w:val="Hyperlink"/>
                <w:rFonts w:asciiTheme="majorHAnsi" w:hAnsiTheme="majorHAnsi" w:cstheme="majorHAnsi"/>
                <w:noProof/>
              </w:rPr>
              <w:t>3.1.</w:t>
            </w:r>
            <w:r w:rsidR="00501490">
              <w:rPr>
                <w:rFonts w:asciiTheme="minorHAnsi" w:hAnsiTheme="minorHAnsi" w:cstheme="minorBidi"/>
                <w:noProof/>
                <w:szCs w:val="22"/>
                <w:lang w:val="en-AU" w:eastAsia="en-AU"/>
              </w:rPr>
              <w:tab/>
            </w:r>
            <w:r w:rsidR="00501490" w:rsidRPr="002253D5">
              <w:rPr>
                <w:rStyle w:val="Hyperlink"/>
                <w:noProof/>
              </w:rPr>
              <w:t>Commissioning outcomes</w:t>
            </w:r>
            <w:r w:rsidR="00501490">
              <w:rPr>
                <w:noProof/>
                <w:webHidden/>
              </w:rPr>
              <w:tab/>
            </w:r>
            <w:r w:rsidR="00501490">
              <w:rPr>
                <w:noProof/>
                <w:webHidden/>
              </w:rPr>
              <w:fldChar w:fldCharType="begin"/>
            </w:r>
            <w:r w:rsidR="00501490">
              <w:rPr>
                <w:noProof/>
                <w:webHidden/>
              </w:rPr>
              <w:instrText xml:space="preserve"> PAGEREF _Toc153801732 \h </w:instrText>
            </w:r>
            <w:r w:rsidR="00501490">
              <w:rPr>
                <w:noProof/>
                <w:webHidden/>
              </w:rPr>
            </w:r>
            <w:r w:rsidR="00501490">
              <w:rPr>
                <w:noProof/>
                <w:webHidden/>
              </w:rPr>
              <w:fldChar w:fldCharType="separate"/>
            </w:r>
            <w:r w:rsidR="00501490">
              <w:rPr>
                <w:noProof/>
                <w:webHidden/>
              </w:rPr>
              <w:t>24</w:t>
            </w:r>
            <w:r w:rsidR="00501490">
              <w:rPr>
                <w:noProof/>
                <w:webHidden/>
              </w:rPr>
              <w:fldChar w:fldCharType="end"/>
            </w:r>
          </w:hyperlink>
        </w:p>
        <w:p w14:paraId="523D8B8A" w14:textId="573F4E89" w:rsidR="00501490" w:rsidRDefault="006F2D0A">
          <w:pPr>
            <w:pStyle w:val="TOC2"/>
            <w:rPr>
              <w:rFonts w:asciiTheme="minorHAnsi" w:hAnsiTheme="minorHAnsi" w:cstheme="minorBidi"/>
              <w:noProof/>
              <w:szCs w:val="22"/>
              <w:lang w:val="en-AU" w:eastAsia="en-AU"/>
            </w:rPr>
          </w:pPr>
          <w:hyperlink w:anchor="_Toc153801733" w:history="1">
            <w:r w:rsidR="00501490" w:rsidRPr="002253D5">
              <w:rPr>
                <w:rStyle w:val="Hyperlink"/>
                <w:rFonts w:asciiTheme="majorHAnsi" w:hAnsiTheme="majorHAnsi" w:cstheme="majorHAnsi"/>
                <w:noProof/>
              </w:rPr>
              <w:t>3.2.</w:t>
            </w:r>
            <w:r w:rsidR="00501490">
              <w:rPr>
                <w:rFonts w:asciiTheme="minorHAnsi" w:hAnsiTheme="minorHAnsi" w:cstheme="minorBidi"/>
                <w:noProof/>
                <w:szCs w:val="22"/>
                <w:lang w:val="en-AU" w:eastAsia="en-AU"/>
              </w:rPr>
              <w:tab/>
            </w:r>
            <w:r w:rsidR="00501490" w:rsidRPr="002253D5">
              <w:rPr>
                <w:rStyle w:val="Hyperlink"/>
                <w:noProof/>
              </w:rPr>
              <w:t>Building the market</w:t>
            </w:r>
            <w:r w:rsidR="00501490">
              <w:rPr>
                <w:noProof/>
                <w:webHidden/>
              </w:rPr>
              <w:tab/>
            </w:r>
            <w:r w:rsidR="00501490">
              <w:rPr>
                <w:noProof/>
                <w:webHidden/>
              </w:rPr>
              <w:fldChar w:fldCharType="begin"/>
            </w:r>
            <w:r w:rsidR="00501490">
              <w:rPr>
                <w:noProof/>
                <w:webHidden/>
              </w:rPr>
              <w:instrText xml:space="preserve"> PAGEREF _Toc153801733 \h </w:instrText>
            </w:r>
            <w:r w:rsidR="00501490">
              <w:rPr>
                <w:noProof/>
                <w:webHidden/>
              </w:rPr>
            </w:r>
            <w:r w:rsidR="00501490">
              <w:rPr>
                <w:noProof/>
                <w:webHidden/>
              </w:rPr>
              <w:fldChar w:fldCharType="separate"/>
            </w:r>
            <w:r w:rsidR="00501490">
              <w:rPr>
                <w:noProof/>
                <w:webHidden/>
              </w:rPr>
              <w:t>29</w:t>
            </w:r>
            <w:r w:rsidR="00501490">
              <w:rPr>
                <w:noProof/>
                <w:webHidden/>
              </w:rPr>
              <w:fldChar w:fldCharType="end"/>
            </w:r>
          </w:hyperlink>
        </w:p>
        <w:p w14:paraId="1E1F00D5" w14:textId="08EAA78D" w:rsidR="00501490" w:rsidRDefault="006F2D0A">
          <w:pPr>
            <w:pStyle w:val="TOC2"/>
            <w:rPr>
              <w:rFonts w:asciiTheme="minorHAnsi" w:hAnsiTheme="minorHAnsi" w:cstheme="minorBidi"/>
              <w:noProof/>
              <w:szCs w:val="22"/>
              <w:lang w:val="en-AU" w:eastAsia="en-AU"/>
            </w:rPr>
          </w:pPr>
          <w:hyperlink w:anchor="_Toc153801734" w:history="1">
            <w:r w:rsidR="00501490" w:rsidRPr="002253D5">
              <w:rPr>
                <w:rStyle w:val="Hyperlink"/>
                <w:rFonts w:asciiTheme="majorHAnsi" w:hAnsiTheme="majorHAnsi" w:cstheme="majorHAnsi"/>
                <w:noProof/>
              </w:rPr>
              <w:t>3.3.</w:t>
            </w:r>
            <w:r w:rsidR="00501490">
              <w:rPr>
                <w:rFonts w:asciiTheme="minorHAnsi" w:hAnsiTheme="minorHAnsi" w:cstheme="minorBidi"/>
                <w:noProof/>
                <w:szCs w:val="22"/>
                <w:lang w:val="en-AU" w:eastAsia="en-AU"/>
              </w:rPr>
              <w:tab/>
            </w:r>
            <w:r w:rsidR="00501490" w:rsidRPr="002253D5">
              <w:rPr>
                <w:rStyle w:val="Hyperlink"/>
                <w:noProof/>
              </w:rPr>
              <w:t>The role of government</w:t>
            </w:r>
            <w:r w:rsidR="00501490">
              <w:rPr>
                <w:noProof/>
                <w:webHidden/>
              </w:rPr>
              <w:tab/>
            </w:r>
            <w:r w:rsidR="00501490">
              <w:rPr>
                <w:noProof/>
                <w:webHidden/>
              </w:rPr>
              <w:fldChar w:fldCharType="begin"/>
            </w:r>
            <w:r w:rsidR="00501490">
              <w:rPr>
                <w:noProof/>
                <w:webHidden/>
              </w:rPr>
              <w:instrText xml:space="preserve"> PAGEREF _Toc153801734 \h </w:instrText>
            </w:r>
            <w:r w:rsidR="00501490">
              <w:rPr>
                <w:noProof/>
                <w:webHidden/>
              </w:rPr>
            </w:r>
            <w:r w:rsidR="00501490">
              <w:rPr>
                <w:noProof/>
                <w:webHidden/>
              </w:rPr>
              <w:fldChar w:fldCharType="separate"/>
            </w:r>
            <w:r w:rsidR="00501490">
              <w:rPr>
                <w:noProof/>
                <w:webHidden/>
              </w:rPr>
              <w:t>31</w:t>
            </w:r>
            <w:r w:rsidR="00501490">
              <w:rPr>
                <w:noProof/>
                <w:webHidden/>
              </w:rPr>
              <w:fldChar w:fldCharType="end"/>
            </w:r>
          </w:hyperlink>
        </w:p>
        <w:p w14:paraId="266F9ABC" w14:textId="06B4E2DA" w:rsidR="00501490" w:rsidRDefault="006F2D0A">
          <w:pPr>
            <w:pStyle w:val="TOC1"/>
            <w:rPr>
              <w:rFonts w:asciiTheme="minorHAnsi" w:hAnsiTheme="minorHAnsi" w:cstheme="minorBidi"/>
              <w:b w:val="0"/>
              <w:noProof/>
              <w:szCs w:val="22"/>
              <w:lang w:val="en-AU" w:eastAsia="en-AU"/>
            </w:rPr>
          </w:pPr>
          <w:hyperlink w:anchor="_Toc153801735" w:history="1">
            <w:r w:rsidR="00501490" w:rsidRPr="002253D5">
              <w:rPr>
                <w:rStyle w:val="Hyperlink"/>
                <w:rFonts w:asciiTheme="majorHAnsi" w:hAnsiTheme="majorHAnsi" w:cstheme="majorHAnsi"/>
                <w:noProof/>
              </w:rPr>
              <w:t>4.</w:t>
            </w:r>
            <w:r w:rsidR="00501490">
              <w:rPr>
                <w:rFonts w:asciiTheme="minorHAnsi" w:hAnsiTheme="minorHAnsi" w:cstheme="minorBidi"/>
                <w:b w:val="0"/>
                <w:noProof/>
                <w:szCs w:val="22"/>
                <w:lang w:val="en-AU" w:eastAsia="en-AU"/>
              </w:rPr>
              <w:tab/>
            </w:r>
            <w:r w:rsidR="00501490" w:rsidRPr="002253D5">
              <w:rPr>
                <w:rStyle w:val="Hyperlink"/>
                <w:noProof/>
              </w:rPr>
              <w:t>Growing Capability</w:t>
            </w:r>
            <w:r w:rsidR="00501490">
              <w:rPr>
                <w:noProof/>
                <w:webHidden/>
              </w:rPr>
              <w:tab/>
            </w:r>
            <w:r w:rsidR="00501490">
              <w:rPr>
                <w:noProof/>
                <w:webHidden/>
              </w:rPr>
              <w:fldChar w:fldCharType="begin"/>
            </w:r>
            <w:r w:rsidR="00501490">
              <w:rPr>
                <w:noProof/>
                <w:webHidden/>
              </w:rPr>
              <w:instrText xml:space="preserve"> PAGEREF _Toc153801735 \h </w:instrText>
            </w:r>
            <w:r w:rsidR="00501490">
              <w:rPr>
                <w:noProof/>
                <w:webHidden/>
              </w:rPr>
            </w:r>
            <w:r w:rsidR="00501490">
              <w:rPr>
                <w:noProof/>
                <w:webHidden/>
              </w:rPr>
              <w:fldChar w:fldCharType="separate"/>
            </w:r>
            <w:r w:rsidR="00501490">
              <w:rPr>
                <w:noProof/>
                <w:webHidden/>
              </w:rPr>
              <w:t>37</w:t>
            </w:r>
            <w:r w:rsidR="00501490">
              <w:rPr>
                <w:noProof/>
                <w:webHidden/>
              </w:rPr>
              <w:fldChar w:fldCharType="end"/>
            </w:r>
          </w:hyperlink>
        </w:p>
        <w:p w14:paraId="228FF058" w14:textId="70808103" w:rsidR="00501490" w:rsidRDefault="006F2D0A">
          <w:pPr>
            <w:pStyle w:val="TOC2"/>
            <w:rPr>
              <w:rFonts w:asciiTheme="minorHAnsi" w:hAnsiTheme="minorHAnsi" w:cstheme="minorBidi"/>
              <w:noProof/>
              <w:szCs w:val="22"/>
              <w:lang w:val="en-AU" w:eastAsia="en-AU"/>
            </w:rPr>
          </w:pPr>
          <w:hyperlink w:anchor="_Toc153801736" w:history="1">
            <w:r w:rsidR="00501490" w:rsidRPr="002253D5">
              <w:rPr>
                <w:rStyle w:val="Hyperlink"/>
                <w:rFonts w:asciiTheme="majorHAnsi" w:hAnsiTheme="majorHAnsi" w:cstheme="majorHAnsi"/>
                <w:noProof/>
              </w:rPr>
              <w:t>4.1.</w:t>
            </w:r>
            <w:r w:rsidR="00501490">
              <w:rPr>
                <w:rFonts w:asciiTheme="minorHAnsi" w:hAnsiTheme="minorHAnsi" w:cstheme="minorBidi"/>
                <w:noProof/>
                <w:szCs w:val="22"/>
                <w:lang w:val="en-AU" w:eastAsia="en-AU"/>
              </w:rPr>
              <w:tab/>
            </w:r>
            <w:r w:rsidR="00501490" w:rsidRPr="002253D5">
              <w:rPr>
                <w:rStyle w:val="Hyperlink"/>
                <w:noProof/>
              </w:rPr>
              <w:t>Supporting the 2023-24 Budget commitments</w:t>
            </w:r>
            <w:r w:rsidR="00501490">
              <w:rPr>
                <w:noProof/>
                <w:webHidden/>
              </w:rPr>
              <w:tab/>
            </w:r>
            <w:r w:rsidR="00501490">
              <w:rPr>
                <w:noProof/>
                <w:webHidden/>
              </w:rPr>
              <w:fldChar w:fldCharType="begin"/>
            </w:r>
            <w:r w:rsidR="00501490">
              <w:rPr>
                <w:noProof/>
                <w:webHidden/>
              </w:rPr>
              <w:instrText xml:space="preserve"> PAGEREF _Toc153801736 \h </w:instrText>
            </w:r>
            <w:r w:rsidR="00501490">
              <w:rPr>
                <w:noProof/>
                <w:webHidden/>
              </w:rPr>
            </w:r>
            <w:r w:rsidR="00501490">
              <w:rPr>
                <w:noProof/>
                <w:webHidden/>
              </w:rPr>
              <w:fldChar w:fldCharType="separate"/>
            </w:r>
            <w:r w:rsidR="00501490">
              <w:rPr>
                <w:noProof/>
                <w:webHidden/>
              </w:rPr>
              <w:t>41</w:t>
            </w:r>
            <w:r w:rsidR="00501490">
              <w:rPr>
                <w:noProof/>
                <w:webHidden/>
              </w:rPr>
              <w:fldChar w:fldCharType="end"/>
            </w:r>
          </w:hyperlink>
        </w:p>
        <w:p w14:paraId="070435D7" w14:textId="7C4F4B82" w:rsidR="00501490" w:rsidRDefault="006F2D0A">
          <w:pPr>
            <w:pStyle w:val="TOC2"/>
            <w:rPr>
              <w:rFonts w:asciiTheme="minorHAnsi" w:hAnsiTheme="minorHAnsi" w:cstheme="minorBidi"/>
              <w:noProof/>
              <w:szCs w:val="22"/>
              <w:lang w:val="en-AU" w:eastAsia="en-AU"/>
            </w:rPr>
          </w:pPr>
          <w:hyperlink w:anchor="_Toc153801737" w:history="1">
            <w:r w:rsidR="00501490" w:rsidRPr="002253D5">
              <w:rPr>
                <w:rStyle w:val="Hyperlink"/>
                <w:noProof/>
              </w:rPr>
              <w:t>Considerations for the Outcomes Fund</w:t>
            </w:r>
            <w:r w:rsidR="00501490">
              <w:rPr>
                <w:noProof/>
                <w:webHidden/>
              </w:rPr>
              <w:tab/>
            </w:r>
            <w:r w:rsidR="00501490">
              <w:rPr>
                <w:noProof/>
                <w:webHidden/>
              </w:rPr>
              <w:fldChar w:fldCharType="begin"/>
            </w:r>
            <w:r w:rsidR="00501490">
              <w:rPr>
                <w:noProof/>
                <w:webHidden/>
              </w:rPr>
              <w:instrText xml:space="preserve"> PAGEREF _Toc153801737 \h </w:instrText>
            </w:r>
            <w:r w:rsidR="00501490">
              <w:rPr>
                <w:noProof/>
                <w:webHidden/>
              </w:rPr>
            </w:r>
            <w:r w:rsidR="00501490">
              <w:rPr>
                <w:noProof/>
                <w:webHidden/>
              </w:rPr>
              <w:fldChar w:fldCharType="separate"/>
            </w:r>
            <w:r w:rsidR="00501490">
              <w:rPr>
                <w:noProof/>
                <w:webHidden/>
              </w:rPr>
              <w:t>41</w:t>
            </w:r>
            <w:r w:rsidR="00501490">
              <w:rPr>
                <w:noProof/>
                <w:webHidden/>
              </w:rPr>
              <w:fldChar w:fldCharType="end"/>
            </w:r>
          </w:hyperlink>
        </w:p>
        <w:p w14:paraId="479232BA" w14:textId="4DD58371" w:rsidR="00501490" w:rsidRDefault="006F2D0A">
          <w:pPr>
            <w:pStyle w:val="TOC2"/>
            <w:rPr>
              <w:rFonts w:asciiTheme="minorHAnsi" w:hAnsiTheme="minorHAnsi" w:cstheme="minorBidi"/>
              <w:noProof/>
              <w:szCs w:val="22"/>
              <w:lang w:val="en-AU" w:eastAsia="en-AU"/>
            </w:rPr>
          </w:pPr>
          <w:hyperlink w:anchor="_Toc153801738" w:history="1">
            <w:r w:rsidR="00501490" w:rsidRPr="002253D5">
              <w:rPr>
                <w:rStyle w:val="Hyperlink"/>
                <w:noProof/>
              </w:rPr>
              <w:t>Considerations for the Social Enterprise Development Initiative</w:t>
            </w:r>
            <w:r w:rsidR="00501490">
              <w:rPr>
                <w:noProof/>
                <w:webHidden/>
              </w:rPr>
              <w:tab/>
            </w:r>
            <w:r w:rsidR="00501490">
              <w:rPr>
                <w:noProof/>
                <w:webHidden/>
              </w:rPr>
              <w:fldChar w:fldCharType="begin"/>
            </w:r>
            <w:r w:rsidR="00501490">
              <w:rPr>
                <w:noProof/>
                <w:webHidden/>
              </w:rPr>
              <w:instrText xml:space="preserve"> PAGEREF _Toc153801738 \h </w:instrText>
            </w:r>
            <w:r w:rsidR="00501490">
              <w:rPr>
                <w:noProof/>
                <w:webHidden/>
              </w:rPr>
            </w:r>
            <w:r w:rsidR="00501490">
              <w:rPr>
                <w:noProof/>
                <w:webHidden/>
              </w:rPr>
              <w:fldChar w:fldCharType="separate"/>
            </w:r>
            <w:r w:rsidR="00501490">
              <w:rPr>
                <w:noProof/>
                <w:webHidden/>
              </w:rPr>
              <w:t>43</w:t>
            </w:r>
            <w:r w:rsidR="00501490">
              <w:rPr>
                <w:noProof/>
                <w:webHidden/>
              </w:rPr>
              <w:fldChar w:fldCharType="end"/>
            </w:r>
          </w:hyperlink>
        </w:p>
        <w:p w14:paraId="4EB0D732" w14:textId="52C2E328" w:rsidR="00501490" w:rsidRDefault="006F2D0A">
          <w:pPr>
            <w:pStyle w:val="TOC1"/>
            <w:rPr>
              <w:rFonts w:asciiTheme="minorHAnsi" w:hAnsiTheme="minorHAnsi" w:cstheme="minorBidi"/>
              <w:b w:val="0"/>
              <w:noProof/>
              <w:szCs w:val="22"/>
              <w:lang w:val="en-AU" w:eastAsia="en-AU"/>
            </w:rPr>
          </w:pPr>
          <w:hyperlink w:anchor="_Toc153801739" w:history="1">
            <w:r w:rsidR="00501490" w:rsidRPr="002253D5">
              <w:rPr>
                <w:rStyle w:val="Hyperlink"/>
                <w:noProof/>
              </w:rPr>
              <w:t>Disclaimer</w:t>
            </w:r>
            <w:r w:rsidR="00501490">
              <w:rPr>
                <w:noProof/>
                <w:webHidden/>
              </w:rPr>
              <w:tab/>
            </w:r>
            <w:r w:rsidR="00501490">
              <w:rPr>
                <w:noProof/>
                <w:webHidden/>
              </w:rPr>
              <w:fldChar w:fldCharType="begin"/>
            </w:r>
            <w:r w:rsidR="00501490">
              <w:rPr>
                <w:noProof/>
                <w:webHidden/>
              </w:rPr>
              <w:instrText xml:space="preserve"> PAGEREF _Toc153801739 \h </w:instrText>
            </w:r>
            <w:r w:rsidR="00501490">
              <w:rPr>
                <w:noProof/>
                <w:webHidden/>
              </w:rPr>
            </w:r>
            <w:r w:rsidR="00501490">
              <w:rPr>
                <w:noProof/>
                <w:webHidden/>
              </w:rPr>
              <w:fldChar w:fldCharType="separate"/>
            </w:r>
            <w:r w:rsidR="00501490">
              <w:rPr>
                <w:noProof/>
                <w:webHidden/>
              </w:rPr>
              <w:t>47</w:t>
            </w:r>
            <w:r w:rsidR="00501490">
              <w:rPr>
                <w:noProof/>
                <w:webHidden/>
              </w:rPr>
              <w:fldChar w:fldCharType="end"/>
            </w:r>
          </w:hyperlink>
        </w:p>
        <w:p w14:paraId="713C79E5" w14:textId="44102C32" w:rsidR="00501490" w:rsidRDefault="006F2D0A">
          <w:pPr>
            <w:pStyle w:val="TOC1"/>
            <w:rPr>
              <w:rFonts w:asciiTheme="minorHAnsi" w:hAnsiTheme="minorHAnsi" w:cstheme="minorBidi"/>
              <w:b w:val="0"/>
              <w:noProof/>
              <w:szCs w:val="22"/>
              <w:lang w:val="en-AU" w:eastAsia="en-AU"/>
            </w:rPr>
          </w:pPr>
          <w:hyperlink w:anchor="_Toc153801740" w:history="1">
            <w:r w:rsidR="00501490" w:rsidRPr="002253D5">
              <w:rPr>
                <w:rStyle w:val="Hyperlink"/>
                <w:noProof/>
              </w:rPr>
              <w:t>Acronyms</w:t>
            </w:r>
            <w:r w:rsidR="00501490">
              <w:rPr>
                <w:noProof/>
                <w:webHidden/>
              </w:rPr>
              <w:tab/>
            </w:r>
            <w:r w:rsidR="00501490">
              <w:rPr>
                <w:noProof/>
                <w:webHidden/>
              </w:rPr>
              <w:fldChar w:fldCharType="begin"/>
            </w:r>
            <w:r w:rsidR="00501490">
              <w:rPr>
                <w:noProof/>
                <w:webHidden/>
              </w:rPr>
              <w:instrText xml:space="preserve"> PAGEREF _Toc153801740 \h </w:instrText>
            </w:r>
            <w:r w:rsidR="00501490">
              <w:rPr>
                <w:noProof/>
                <w:webHidden/>
              </w:rPr>
            </w:r>
            <w:r w:rsidR="00501490">
              <w:rPr>
                <w:noProof/>
                <w:webHidden/>
              </w:rPr>
              <w:fldChar w:fldCharType="separate"/>
            </w:r>
            <w:r w:rsidR="00501490">
              <w:rPr>
                <w:noProof/>
                <w:webHidden/>
              </w:rPr>
              <w:t>48</w:t>
            </w:r>
            <w:r w:rsidR="00501490">
              <w:rPr>
                <w:noProof/>
                <w:webHidden/>
              </w:rPr>
              <w:fldChar w:fldCharType="end"/>
            </w:r>
          </w:hyperlink>
        </w:p>
        <w:p w14:paraId="5D7F659A" w14:textId="2DCC8C31" w:rsidR="00224A88" w:rsidRPr="008D0DEB" w:rsidRDefault="00501490" w:rsidP="00501490">
          <w:pPr>
            <w:pStyle w:val="TOC1"/>
          </w:pPr>
          <w:r>
            <w:rPr>
              <w:caps/>
            </w:rPr>
            <w:fldChar w:fldCharType="end"/>
          </w:r>
        </w:p>
      </w:sdtContent>
    </w:sdt>
    <w:p w14:paraId="6A0929AD" w14:textId="77777777" w:rsidR="0064253F" w:rsidRPr="008D0DEB" w:rsidRDefault="0064253F" w:rsidP="0065556E"/>
    <w:p w14:paraId="4C4257D0" w14:textId="2D0F35E5" w:rsidR="0064253F" w:rsidRPr="008D0DEB" w:rsidRDefault="0064253F" w:rsidP="0065556E">
      <w:pPr>
        <w:sectPr w:rsidR="0064253F" w:rsidRPr="008D0DEB" w:rsidSect="00FB1AE7">
          <w:headerReference w:type="even" r:id="rId7"/>
          <w:headerReference w:type="default" r:id="rId8"/>
          <w:footerReference w:type="even" r:id="rId9"/>
          <w:footerReference w:type="default" r:id="rId10"/>
          <w:headerReference w:type="first" r:id="rId11"/>
          <w:footerReference w:type="first" r:id="rId12"/>
          <w:pgSz w:w="11906" w:h="16838" w:code="9"/>
          <w:pgMar w:top="1134" w:right="1134" w:bottom="1418" w:left="1134" w:header="709" w:footer="284" w:gutter="0"/>
          <w:cols w:space="708"/>
          <w:docGrid w:linePitch="360"/>
        </w:sectPr>
      </w:pPr>
    </w:p>
    <w:p w14:paraId="0AA623BE" w14:textId="1D3B4B0F" w:rsidR="00194009" w:rsidRPr="008D0DEB" w:rsidRDefault="0052566D" w:rsidP="0065556E">
      <w:pPr>
        <w:pStyle w:val="Head1"/>
      </w:pPr>
      <w:bookmarkStart w:id="1" w:name="_Toc22026806"/>
      <w:bookmarkStart w:id="2" w:name="_Toc137210704"/>
      <w:bookmarkStart w:id="3" w:name="_Toc153801704"/>
      <w:r w:rsidRPr="008D0DEB">
        <w:lastRenderedPageBreak/>
        <w:t>Executive Summary</w:t>
      </w:r>
      <w:bookmarkEnd w:id="1"/>
      <w:bookmarkEnd w:id="2"/>
      <w:bookmarkEnd w:id="3"/>
    </w:p>
    <w:p w14:paraId="694F2645" w14:textId="77777777" w:rsidR="00786EE6" w:rsidRPr="0065556E" w:rsidRDefault="00786EE6" w:rsidP="0065556E">
      <w:r w:rsidRPr="0065556E">
        <w:t>For over a decade, the Australian Government has been exploring social impact investing (SII) and its ability to address complex social issues through innovation.</w:t>
      </w:r>
    </w:p>
    <w:p w14:paraId="1C7C1C34" w14:textId="77777777" w:rsidR="00786EE6" w:rsidRPr="008D0DEB" w:rsidRDefault="00786EE6" w:rsidP="0065556E">
      <w:r w:rsidRPr="008D0DEB">
        <w:t>Continuing interest in the potential of SII is demonstrated in the 2023-24 Australian Budget, which includes a $199.8 million six-year integrated package to address entrenched and concentrated community disadvantage. This package includes funding for Australia’s largest outcomes fund, additional support for for-purpose organisations seeking to access capital, and funding for place-based initiatives for disadvantaged children and their families.</w:t>
      </w:r>
      <w:r w:rsidRPr="008D0DEB">
        <w:rPr>
          <w:vertAlign w:val="superscript"/>
        </w:rPr>
        <w:footnoteReference w:id="2"/>
      </w:r>
    </w:p>
    <w:p w14:paraId="6052C963" w14:textId="77777777" w:rsidR="00786EE6" w:rsidRPr="008D0DEB" w:rsidRDefault="00786EE6" w:rsidP="0065556E">
      <w:r w:rsidRPr="008D0DEB">
        <w:t>This funding package represents a renewed focus on SII for the Australian Government – a focus on an investment approach that aims to achieve social objectives alongside a financial return. SII brings together governments, service providers, investors, and philanthropists, to mobilise resources, leverage additional financial capital</w:t>
      </w:r>
      <w:r w:rsidRPr="008D0DEB">
        <w:rPr>
          <w:rFonts w:hint="eastAsia"/>
        </w:rPr>
        <w:t>, realign</w:t>
      </w:r>
      <w:r w:rsidRPr="008D0DEB">
        <w:t xml:space="preserve"> </w:t>
      </w:r>
      <w:r w:rsidRPr="008D0DEB">
        <w:rPr>
          <w:rFonts w:hint="eastAsia"/>
        </w:rPr>
        <w:t>incentives,</w:t>
      </w:r>
      <w:r w:rsidRPr="008D0DEB">
        <w:t xml:space="preserve"> </w:t>
      </w:r>
      <w:r w:rsidRPr="008D0DEB">
        <w:rPr>
          <w:rFonts w:hint="eastAsia"/>
        </w:rPr>
        <w:t>and</w:t>
      </w:r>
      <w:r w:rsidRPr="008D0DEB">
        <w:t xml:space="preserve"> </w:t>
      </w:r>
      <w:r w:rsidRPr="008D0DEB">
        <w:rPr>
          <w:rFonts w:hint="eastAsia"/>
        </w:rPr>
        <w:t>encourage</w:t>
      </w:r>
      <w:r w:rsidRPr="008D0DEB">
        <w:t xml:space="preserve"> </w:t>
      </w:r>
      <w:r w:rsidRPr="008D0DEB">
        <w:rPr>
          <w:rFonts w:hint="eastAsia"/>
        </w:rPr>
        <w:t>innovation</w:t>
      </w:r>
      <w:r w:rsidRPr="008D0DEB">
        <w:t xml:space="preserve"> and </w:t>
      </w:r>
      <w:r w:rsidRPr="008D0DEB">
        <w:rPr>
          <w:rFonts w:hint="eastAsia"/>
        </w:rPr>
        <w:t>scale</w:t>
      </w:r>
      <w:r w:rsidRPr="008D0DEB">
        <w:t xml:space="preserve"> </w:t>
      </w:r>
      <w:r w:rsidRPr="008D0DEB">
        <w:rPr>
          <w:rFonts w:hint="eastAsia"/>
        </w:rPr>
        <w:t>as</w:t>
      </w:r>
      <w:r w:rsidRPr="008D0DEB">
        <w:t xml:space="preserve"> </w:t>
      </w:r>
      <w:r w:rsidRPr="008D0DEB">
        <w:rPr>
          <w:rFonts w:hint="eastAsia"/>
        </w:rPr>
        <w:t>required</w:t>
      </w:r>
      <w:r w:rsidRPr="008D0DEB">
        <w:t>. By creating the right incentives, government can catalyse entrepreneurial activity and innovation, harnessing this to meet its desired policy objectives.</w:t>
      </w:r>
    </w:p>
    <w:p w14:paraId="6304B447" w14:textId="04A43939" w:rsidR="00786EE6" w:rsidRPr="008D0DEB" w:rsidRDefault="00786EE6" w:rsidP="0065556E">
      <w:r w:rsidRPr="008D0DEB">
        <w:t>Since 2017</w:t>
      </w:r>
      <w:r w:rsidR="00F5684F">
        <w:t>,</w:t>
      </w:r>
      <w:r w:rsidRPr="008D0DEB">
        <w:t xml:space="preserve"> the Department of Social Services (DSS; the Department) committed $52.7 million across four trials in SII, which form the focus of this report. Two of these trials focused on testing innovative financial models for funding for-purpose organisations, while the others focused on building capacity within the broader SII sector.</w:t>
      </w:r>
    </w:p>
    <w:p w14:paraId="497C7079" w14:textId="77777777" w:rsidR="005F4E7B" w:rsidRDefault="005F4E7B" w:rsidP="0065556E">
      <w:pPr>
        <w:pStyle w:val="Head3"/>
      </w:pPr>
      <w:bookmarkStart w:id="4" w:name="_Toc137210894"/>
      <w:bookmarkStart w:id="5" w:name="_Toc137210706"/>
      <w:bookmarkStart w:id="6" w:name="_Toc137211136"/>
      <w:bookmarkStart w:id="7" w:name="_Toc137218991"/>
      <w:r>
        <w:t>Investing in Outcomes</w:t>
      </w:r>
    </w:p>
    <w:p w14:paraId="3D387847" w14:textId="77777777" w:rsidR="00B222BD" w:rsidRPr="0065556E" w:rsidRDefault="00B222BD" w:rsidP="0065556E">
      <w:pPr>
        <w:rPr>
          <w:szCs w:val="22"/>
        </w:rPr>
      </w:pPr>
      <w:r w:rsidRPr="0065556E">
        <w:rPr>
          <w:szCs w:val="22"/>
        </w:rPr>
        <w:t xml:space="preserve">Three </w:t>
      </w:r>
      <w:r w:rsidRPr="0065556E">
        <w:rPr>
          <w:b/>
          <w:szCs w:val="22"/>
        </w:rPr>
        <w:t>Payment by Outcomes (PBO) trials</w:t>
      </w:r>
      <w:r w:rsidRPr="0065556E">
        <w:rPr>
          <w:szCs w:val="22"/>
        </w:rPr>
        <w:t xml:space="preserve"> of outcomes-based-contracting with service providers.</w:t>
      </w:r>
    </w:p>
    <w:p w14:paraId="3A6AFDE1" w14:textId="437CA557" w:rsidR="00B222BD" w:rsidRPr="0065556E" w:rsidRDefault="00B222BD" w:rsidP="0065556E">
      <w:pPr>
        <w:pStyle w:val="Table-Bullet"/>
      </w:pPr>
      <w:r w:rsidRPr="0065556E">
        <w:t>Objectives: Build an understanding of outcomes-based contracting (including appropriateness, efficiency, and design of robust outcome measurement) and evaluate the opportunities of SII financial models in addressing social disadvantage.</w:t>
      </w:r>
    </w:p>
    <w:p w14:paraId="359A8285" w14:textId="2358A4CB" w:rsidR="00B222BD" w:rsidRPr="0065556E" w:rsidRDefault="00B222BD" w:rsidP="0065556E">
      <w:pPr>
        <w:pStyle w:val="Table-Bullet"/>
      </w:pPr>
      <w:r w:rsidRPr="0065556E">
        <w:t>Total funding: Up to $3.8 million per trial, depending on outcomes</w:t>
      </w:r>
    </w:p>
    <w:p w14:paraId="292C1C5D" w14:textId="77777777" w:rsidR="00B222BD" w:rsidRPr="0065556E" w:rsidRDefault="00B222BD" w:rsidP="0065556E">
      <w:pPr>
        <w:pStyle w:val="Table-Bullet"/>
      </w:pPr>
      <w:r w:rsidRPr="0065556E">
        <w:t xml:space="preserve">Timing: July 2021 – March 2026 </w:t>
      </w:r>
    </w:p>
    <w:p w14:paraId="63A0B064" w14:textId="7EF32AF2" w:rsidR="00B222BD" w:rsidRPr="0065556E" w:rsidRDefault="00B222BD" w:rsidP="0065556E">
      <w:pPr>
        <w:pStyle w:val="Table-Bullet"/>
        <w:numPr>
          <w:ilvl w:val="0"/>
          <w:numId w:val="0"/>
        </w:numPr>
        <w:ind w:left="113"/>
      </w:pPr>
      <w:r w:rsidRPr="0065556E">
        <w:rPr>
          <w:b/>
        </w:rPr>
        <w:t>Partnerships</w:t>
      </w:r>
      <w:r w:rsidRPr="0065556E">
        <w:t xml:space="preserve"> with the NSW and South Australian governments to fund programs addressing homelessness and family reunification, through outcomes-based contracts.</w:t>
      </w:r>
    </w:p>
    <w:p w14:paraId="269BD8C0" w14:textId="676D42D8" w:rsidR="00B222BD" w:rsidRPr="0065556E" w:rsidRDefault="00B222BD" w:rsidP="0065556E">
      <w:pPr>
        <w:pStyle w:val="Table-Bullet"/>
      </w:pPr>
      <w:r w:rsidRPr="0065556E">
        <w:t>Objective: Build an understanding of the benefits and disadvantages of SII, and develop data sharing arrangements.</w:t>
      </w:r>
    </w:p>
    <w:p w14:paraId="43D71138" w14:textId="4377E595" w:rsidR="00B222BD" w:rsidRPr="0065556E" w:rsidRDefault="00B222BD" w:rsidP="0065556E">
      <w:pPr>
        <w:pStyle w:val="Table-Bullet"/>
      </w:pPr>
      <w:r w:rsidRPr="0065556E">
        <w:t>Total funding: $22.3 million</w:t>
      </w:r>
    </w:p>
    <w:p w14:paraId="1BCD21ED" w14:textId="77777777" w:rsidR="00B222BD" w:rsidRPr="0065556E" w:rsidRDefault="00B222BD" w:rsidP="0065556E">
      <w:pPr>
        <w:pStyle w:val="Table-Bullet"/>
      </w:pPr>
      <w:r w:rsidRPr="0065556E">
        <w:t xml:space="preserve">Timing: 2017-18 to 2026-27 </w:t>
      </w:r>
    </w:p>
    <w:p w14:paraId="305BD676" w14:textId="77777777" w:rsidR="00187144" w:rsidRDefault="00187144">
      <w:pPr>
        <w:rPr>
          <w:rFonts w:eastAsia="Times New Roman" w:cs="Courier New"/>
          <w:b/>
          <w:sz w:val="28"/>
        </w:rPr>
      </w:pPr>
      <w:r>
        <w:br w:type="page"/>
      </w:r>
    </w:p>
    <w:p w14:paraId="09F42FF0" w14:textId="2EEF60A8" w:rsidR="00B222BD" w:rsidRDefault="00B222BD" w:rsidP="0065556E">
      <w:pPr>
        <w:pStyle w:val="Head3"/>
      </w:pPr>
      <w:r w:rsidRPr="00B222BD">
        <w:lastRenderedPageBreak/>
        <w:t xml:space="preserve">Building capacity within the SII sector </w:t>
      </w:r>
    </w:p>
    <w:p w14:paraId="7B30A6D0" w14:textId="77777777" w:rsidR="00B222BD" w:rsidRPr="0065556E" w:rsidRDefault="00B222BD" w:rsidP="0065556E">
      <w:pPr>
        <w:rPr>
          <w:szCs w:val="22"/>
        </w:rPr>
      </w:pPr>
      <w:r w:rsidRPr="0065556E">
        <w:rPr>
          <w:szCs w:val="22"/>
        </w:rPr>
        <w:t xml:space="preserve">The </w:t>
      </w:r>
      <w:r w:rsidRPr="0065556E">
        <w:rPr>
          <w:b/>
          <w:szCs w:val="22"/>
        </w:rPr>
        <w:t>Sector Readiness Fund</w:t>
      </w:r>
      <w:r w:rsidRPr="0065556E">
        <w:rPr>
          <w:szCs w:val="22"/>
        </w:rPr>
        <w:t xml:space="preserve"> (SRF), a grants program to build the capacity of for-purpose organisations to access investment capital.</w:t>
      </w:r>
    </w:p>
    <w:p w14:paraId="147C6E61" w14:textId="45628297" w:rsidR="00B222BD" w:rsidRPr="0065556E" w:rsidRDefault="00B222BD" w:rsidP="0065556E">
      <w:pPr>
        <w:pStyle w:val="Table-Bullet"/>
      </w:pPr>
      <w:r w:rsidRPr="0065556E">
        <w:t>Objectives: Support social enterprises in attracting investment to grow their business and increasing their social impact through purchasing-capacity-building services.</w:t>
      </w:r>
    </w:p>
    <w:p w14:paraId="04A3399D" w14:textId="1F7A1C78" w:rsidR="00B222BD" w:rsidRPr="0065556E" w:rsidRDefault="00B222BD" w:rsidP="0065556E">
      <w:pPr>
        <w:pStyle w:val="Table-Bullet"/>
      </w:pPr>
      <w:r w:rsidRPr="0065556E">
        <w:t>Total funding: $8 million</w:t>
      </w:r>
    </w:p>
    <w:p w14:paraId="5D53855D" w14:textId="77777777" w:rsidR="00B222BD" w:rsidRPr="0065556E" w:rsidRDefault="00B222BD" w:rsidP="0065556E">
      <w:pPr>
        <w:pStyle w:val="Table-Bullet"/>
      </w:pPr>
      <w:r w:rsidRPr="0065556E">
        <w:t xml:space="preserve">Timing: November 2018 – November 2023 </w:t>
      </w:r>
    </w:p>
    <w:p w14:paraId="732DCC03" w14:textId="080E72FE" w:rsidR="00B222BD" w:rsidRPr="0065556E" w:rsidRDefault="00B222BD" w:rsidP="0065556E">
      <w:pPr>
        <w:pStyle w:val="Table-Bullet"/>
        <w:numPr>
          <w:ilvl w:val="0"/>
          <w:numId w:val="0"/>
        </w:numPr>
        <w:ind w:left="113"/>
      </w:pPr>
      <w:r w:rsidRPr="0065556E">
        <w:t xml:space="preserve">The </w:t>
      </w:r>
      <w:r w:rsidRPr="0065556E">
        <w:rPr>
          <w:b/>
        </w:rPr>
        <w:t>Outcome Measurement Initiative</w:t>
      </w:r>
      <w:r w:rsidRPr="0065556E">
        <w:t xml:space="preserve"> (OMI), comprising two advisory groups focusing on increasing the capacity of for-purpose organisations to measure outcomes, and funding for two case study organisations: Vanguard Laundry and Global Sisters.</w:t>
      </w:r>
    </w:p>
    <w:p w14:paraId="3EF89450" w14:textId="15D0E9E5" w:rsidR="00B222BD" w:rsidRPr="0065556E" w:rsidRDefault="00B222BD" w:rsidP="0065556E">
      <w:pPr>
        <w:pStyle w:val="Table-Bullet"/>
      </w:pPr>
      <w:r w:rsidRPr="0065556E">
        <w:t>Objective: Help for-purpose organisations define, measure, and communicate their non-financial outcomes and social impact, and attract private investment.</w:t>
      </w:r>
    </w:p>
    <w:p w14:paraId="615E9967" w14:textId="700D8E00" w:rsidR="00B222BD" w:rsidRPr="0065556E" w:rsidRDefault="00B222BD" w:rsidP="0065556E">
      <w:pPr>
        <w:pStyle w:val="Table-Bullet"/>
      </w:pPr>
      <w:r w:rsidRPr="0065556E">
        <w:t>Total funding: $6.7 million</w:t>
      </w:r>
    </w:p>
    <w:p w14:paraId="1B3123AA" w14:textId="13A2AF13" w:rsidR="00FE74EC" w:rsidRPr="0065556E" w:rsidRDefault="00B222BD" w:rsidP="0065556E">
      <w:pPr>
        <w:pStyle w:val="Table-Bullet"/>
      </w:pPr>
      <w:r w:rsidRPr="0065556E">
        <w:t xml:space="preserve">Timing: 2019-2022 </w:t>
      </w:r>
    </w:p>
    <w:p w14:paraId="58FEEBDD" w14:textId="62A2D0CD" w:rsidR="006046A5" w:rsidRPr="00187144" w:rsidRDefault="006046A5" w:rsidP="00187144">
      <w:pPr>
        <w:pStyle w:val="Head2"/>
      </w:pPr>
      <w:bookmarkStart w:id="8" w:name="_Toc140666503"/>
      <w:bookmarkStart w:id="9" w:name="_Toc153801705"/>
      <w:r w:rsidRPr="00187144">
        <w:t>This project</w:t>
      </w:r>
      <w:bookmarkEnd w:id="4"/>
      <w:bookmarkEnd w:id="5"/>
      <w:bookmarkEnd w:id="6"/>
      <w:bookmarkEnd w:id="7"/>
      <w:bookmarkEnd w:id="8"/>
      <w:bookmarkEnd w:id="9"/>
    </w:p>
    <w:p w14:paraId="1126DABB" w14:textId="77777777" w:rsidR="00A079A8" w:rsidRPr="008D0DEB" w:rsidRDefault="00A079A8" w:rsidP="0065556E">
      <w:r w:rsidRPr="008D0DEB">
        <w:t>DSS engaged Urbis to conduct an evaluation of the four SII trials. The purpose of the project was twofold: to review and record what has been achieved and learned by DSS through undertaking the trial projects, and to identify – from these findings – how the Australian Government can best engage and support the SII sector in future.</w:t>
      </w:r>
    </w:p>
    <w:p w14:paraId="5DB8E4D7" w14:textId="05AC28F1" w:rsidR="00A079A8" w:rsidRPr="008D0DEB" w:rsidRDefault="00A079A8" w:rsidP="0065556E">
      <w:r w:rsidRPr="008D0DEB">
        <w:t>To complete the evaluation, we conducted a document review, interviewed internal and external stakeholders, and facilitated an in-person workshop with DSS staff to discuss findings and identify how learnings from the trials could be embedded.</w:t>
      </w:r>
    </w:p>
    <w:p w14:paraId="38AB5CA0" w14:textId="064D1000" w:rsidR="00907C1C" w:rsidRPr="008D0DEB" w:rsidRDefault="00907C1C" w:rsidP="0065556E">
      <w:pPr>
        <w:pStyle w:val="Head3"/>
      </w:pPr>
      <w:r w:rsidRPr="008D0DEB">
        <w:t>Document Review</w:t>
      </w:r>
    </w:p>
    <w:p w14:paraId="4CB31C98" w14:textId="77777777" w:rsidR="00907C1C" w:rsidRPr="0065556E" w:rsidRDefault="00907C1C" w:rsidP="0065556E">
      <w:pPr>
        <w:pStyle w:val="Table-Bullet"/>
      </w:pPr>
      <w:r w:rsidRPr="0065556E">
        <w:t>Catalogued and reviewed 206 documents relating to the four trials</w:t>
      </w:r>
    </w:p>
    <w:p w14:paraId="659554CE" w14:textId="77777777" w:rsidR="0065556E" w:rsidRDefault="00907C1C" w:rsidP="0065556E">
      <w:pPr>
        <w:pStyle w:val="Table-Bullet"/>
      </w:pPr>
      <w:r w:rsidRPr="0065556E">
        <w:t>Undertook narrative and thematic analysis of the emerging lessons from initiative design, implementation, and results (where visible)</w:t>
      </w:r>
    </w:p>
    <w:p w14:paraId="556B7158" w14:textId="59853028" w:rsidR="00907C1C" w:rsidRPr="0065556E" w:rsidRDefault="00907C1C" w:rsidP="0065556E">
      <w:pPr>
        <w:pStyle w:val="Table-Bullet"/>
      </w:pPr>
      <w:r w:rsidRPr="0065556E">
        <w:t>Development of preliminary evidence assessments for each trial</w:t>
      </w:r>
    </w:p>
    <w:p w14:paraId="35D342AF" w14:textId="3AE44768" w:rsidR="00907C1C" w:rsidRPr="008D0DEB" w:rsidRDefault="00907C1C" w:rsidP="0065556E">
      <w:pPr>
        <w:pStyle w:val="Head3"/>
      </w:pPr>
      <w:r w:rsidRPr="008D0DEB">
        <w:t>Interviews</w:t>
      </w:r>
    </w:p>
    <w:p w14:paraId="647071E5" w14:textId="77777777" w:rsidR="00907C1C" w:rsidRPr="0065556E" w:rsidRDefault="00907C1C" w:rsidP="0065556E">
      <w:pPr>
        <w:pStyle w:val="Table-Bullet"/>
      </w:pPr>
      <w:r w:rsidRPr="0065556E">
        <w:t>13 DSS staff/executive members</w:t>
      </w:r>
    </w:p>
    <w:p w14:paraId="48CE5746" w14:textId="77777777" w:rsidR="00907C1C" w:rsidRPr="0065556E" w:rsidRDefault="00907C1C" w:rsidP="0065556E">
      <w:pPr>
        <w:pStyle w:val="Table-Bullet"/>
      </w:pPr>
      <w:r w:rsidRPr="0065556E">
        <w:t>Three stakeholders from each state government</w:t>
      </w:r>
    </w:p>
    <w:p w14:paraId="5A6AB9CE" w14:textId="77777777" w:rsidR="00907C1C" w:rsidRPr="0065556E" w:rsidRDefault="00907C1C" w:rsidP="0065556E">
      <w:pPr>
        <w:pStyle w:val="Table-Bullet"/>
      </w:pPr>
      <w:r w:rsidRPr="0065556E">
        <w:t>Six service providers</w:t>
      </w:r>
    </w:p>
    <w:p w14:paraId="3A389588" w14:textId="4FCBD9AE" w:rsidR="00907C1C" w:rsidRPr="0065556E" w:rsidRDefault="00907C1C" w:rsidP="0065556E">
      <w:pPr>
        <w:pStyle w:val="Table-Bullet"/>
      </w:pPr>
      <w:r w:rsidRPr="0065556E">
        <w:t>Three investors</w:t>
      </w:r>
    </w:p>
    <w:p w14:paraId="097E8F69" w14:textId="0E986756" w:rsidR="00907C1C" w:rsidRPr="008D0DEB" w:rsidRDefault="00907C1C" w:rsidP="0065556E">
      <w:pPr>
        <w:pStyle w:val="Head3"/>
      </w:pPr>
      <w:r w:rsidRPr="008D0DEB">
        <w:t>Workshop</w:t>
      </w:r>
    </w:p>
    <w:p w14:paraId="002DA02D" w14:textId="06D80C79" w:rsidR="00907C1C" w:rsidRPr="008D0DEB" w:rsidRDefault="00907C1C" w:rsidP="0065556E">
      <w:pPr>
        <w:pStyle w:val="Table-Bullet"/>
      </w:pPr>
      <w:r w:rsidRPr="008D0DEB">
        <w:t>Held in Canberra with DSS’ SII unit to test early findings from the assessment of available evidence</w:t>
      </w:r>
      <w:bookmarkStart w:id="10" w:name="_Toc137210895"/>
      <w:bookmarkStart w:id="11" w:name="_Toc137210707"/>
      <w:bookmarkStart w:id="12" w:name="_Toc137211137"/>
      <w:bookmarkStart w:id="13" w:name="_Toc137218992"/>
      <w:bookmarkStart w:id="14" w:name="_Toc140666504"/>
    </w:p>
    <w:p w14:paraId="5EBD05D5" w14:textId="0441492B" w:rsidR="006046A5" w:rsidRPr="008D0DEB" w:rsidRDefault="00B35322" w:rsidP="00187144">
      <w:pPr>
        <w:pStyle w:val="Head2"/>
      </w:pPr>
      <w:bookmarkStart w:id="15" w:name="_Toc153801706"/>
      <w:r w:rsidRPr="008D0DEB">
        <w:lastRenderedPageBreak/>
        <w:t>Key</w:t>
      </w:r>
      <w:r w:rsidR="005F38A9" w:rsidRPr="008D0DEB">
        <w:t xml:space="preserve"> f</w:t>
      </w:r>
      <w:r w:rsidR="006046A5" w:rsidRPr="008D0DEB">
        <w:t>indings</w:t>
      </w:r>
      <w:bookmarkEnd w:id="10"/>
      <w:bookmarkEnd w:id="11"/>
      <w:bookmarkEnd w:id="12"/>
      <w:bookmarkEnd w:id="13"/>
      <w:r w:rsidR="005F38A9" w:rsidRPr="008D0DEB">
        <w:t xml:space="preserve"> and insights</w:t>
      </w:r>
      <w:bookmarkEnd w:id="14"/>
      <w:bookmarkEnd w:id="15"/>
    </w:p>
    <w:p w14:paraId="0FBB5783" w14:textId="5F496B87" w:rsidR="00012FDA" w:rsidRPr="008D0DEB" w:rsidRDefault="00F419E4" w:rsidP="0065556E">
      <w:r w:rsidRPr="008D0DEB">
        <w:t>We drew out key lessons and insights from the documentation and data</w:t>
      </w:r>
      <w:r w:rsidR="0076395D" w:rsidRPr="008D0DEB">
        <w:t xml:space="preserve"> provided by</w:t>
      </w:r>
      <w:r w:rsidRPr="008D0DEB">
        <w:t xml:space="preserve"> engagement with </w:t>
      </w:r>
      <w:r w:rsidR="00A6565E" w:rsidRPr="008D0DEB">
        <w:t>stakeholders and</w:t>
      </w:r>
      <w:r w:rsidRPr="008D0DEB">
        <w:t xml:space="preserve"> tested these </w:t>
      </w:r>
      <w:r w:rsidR="004D1FE2" w:rsidRPr="008D0DEB">
        <w:t xml:space="preserve">insights </w:t>
      </w:r>
      <w:r w:rsidRPr="008D0DEB">
        <w:t xml:space="preserve">in a workshop with the </w:t>
      </w:r>
      <w:r w:rsidR="00C2317E" w:rsidRPr="008D0DEB">
        <w:t>SII unit</w:t>
      </w:r>
      <w:r w:rsidRPr="008D0DEB">
        <w:t xml:space="preserve">. </w:t>
      </w:r>
      <w:r w:rsidR="005C3AE9" w:rsidRPr="008D0DEB">
        <w:t>The insights fall into three key domains: commissioning outcomes, building the market, and the role of government.</w:t>
      </w:r>
    </w:p>
    <w:p w14:paraId="70CC740F" w14:textId="774CA480" w:rsidR="00012FDA" w:rsidRPr="008D0DEB" w:rsidRDefault="00012FDA" w:rsidP="0065556E">
      <w:pPr>
        <w:pStyle w:val="Head3"/>
      </w:pPr>
      <w:r w:rsidRPr="008D0DEB">
        <w:t>Domain 1: Commissioning outcomes</w:t>
      </w:r>
    </w:p>
    <w:p w14:paraId="0B15154D" w14:textId="7BF18BC9" w:rsidR="00012FDA" w:rsidRPr="008D0DEB" w:rsidRDefault="00012FDA" w:rsidP="0065556E">
      <w:pPr>
        <w:pStyle w:val="ListBullet"/>
      </w:pPr>
      <w:r w:rsidRPr="008D0DEB">
        <w:t>Data</w:t>
      </w:r>
    </w:p>
    <w:p w14:paraId="35E5F01F" w14:textId="77777777" w:rsidR="00012FDA" w:rsidRPr="008D0DEB" w:rsidRDefault="00012FDA" w:rsidP="0065556E">
      <w:pPr>
        <w:pStyle w:val="ListBullet2"/>
      </w:pPr>
      <w:r w:rsidRPr="008D0DEB">
        <w:t>Outcomes-based contracting is not possible or effective without high quality data. The SII trials have driven development in government processes and capacity, and within the broader sector through market-building activities.</w:t>
      </w:r>
    </w:p>
    <w:p w14:paraId="7C8C8591" w14:textId="3349C982" w:rsidR="00012FDA" w:rsidRPr="008D0DEB" w:rsidRDefault="00012FDA" w:rsidP="0065556E">
      <w:pPr>
        <w:pStyle w:val="ListBullet2"/>
      </w:pPr>
      <w:r w:rsidRPr="008D0DEB">
        <w:t>Despite this development, there exist significant limitations to government data, including restrictions on how the data may be used and who can access it. These restrictions constrain the implementation of data-driven, outcomes focused SII.</w:t>
      </w:r>
    </w:p>
    <w:p w14:paraId="30C456B2" w14:textId="18D2AB6D" w:rsidR="00012FDA" w:rsidRPr="008D0DEB" w:rsidRDefault="00012FDA" w:rsidP="0065556E">
      <w:pPr>
        <w:pStyle w:val="ListBullet"/>
      </w:pPr>
      <w:r w:rsidRPr="008D0DEB">
        <w:t>Skillsets</w:t>
      </w:r>
    </w:p>
    <w:p w14:paraId="4B247546" w14:textId="77777777" w:rsidR="00760D34" w:rsidRPr="008D0DEB" w:rsidRDefault="00760D34" w:rsidP="0065556E">
      <w:pPr>
        <w:pStyle w:val="ListBullet2"/>
      </w:pPr>
      <w:r w:rsidRPr="008D0DEB">
        <w:t>The skills required to design and manage outcome-based contracts are different from those required for more “traditional” public programs. Technical skills, including an understanding of risk and managing commercial contracts, need to be underpinned by an ability to build trust and work in partnership with others.</w:t>
      </w:r>
    </w:p>
    <w:p w14:paraId="65072DC4" w14:textId="1EAEF9E1" w:rsidR="00760D34" w:rsidRPr="008D0DEB" w:rsidRDefault="00760D34" w:rsidP="0065556E">
      <w:pPr>
        <w:pStyle w:val="ListBullet2"/>
      </w:pPr>
      <w:r w:rsidRPr="008D0DEB">
        <w:t>In an environment characterised by a mobile workforce (at decision-making and operational levels), there are practical challenges in building and subsequently maintaining organisational SII-related knowledge within government, including within DSS and its SII unit.</w:t>
      </w:r>
    </w:p>
    <w:p w14:paraId="111115A9" w14:textId="4C2CCEB2" w:rsidR="00760D34" w:rsidRPr="008D0DEB" w:rsidRDefault="00760D34" w:rsidP="0065556E">
      <w:pPr>
        <w:pStyle w:val="ListBullet"/>
      </w:pPr>
      <w:r w:rsidRPr="008D0DEB">
        <w:t>Innovation</w:t>
      </w:r>
    </w:p>
    <w:p w14:paraId="152C35D7" w14:textId="3E08FB9C" w:rsidR="00760D34" w:rsidRPr="008D0DEB" w:rsidRDefault="00760D34" w:rsidP="0065556E">
      <w:pPr>
        <w:pStyle w:val="ListBullet2"/>
      </w:pPr>
      <w:r w:rsidRPr="008D0DEB">
        <w:t>Innovation is often a goal of SII. To unlock innovation, performance targets need to allow for service-level flexibility, and appropriately address failure to deliver results. Over-weighting or penalising failure can give rise to the unintended downside risks of discouraging innovation.</w:t>
      </w:r>
    </w:p>
    <w:p w14:paraId="44D86639" w14:textId="54C18F19" w:rsidR="00760D34" w:rsidRPr="008D0DEB" w:rsidRDefault="00760D34" w:rsidP="0065556E">
      <w:pPr>
        <w:pStyle w:val="Head3"/>
      </w:pPr>
      <w:r w:rsidRPr="008D0DEB">
        <w:t>Domain 2: Building the market</w:t>
      </w:r>
    </w:p>
    <w:p w14:paraId="315F0B45" w14:textId="77777777" w:rsidR="00760D34" w:rsidRPr="008D0DEB" w:rsidRDefault="00760D34" w:rsidP="0065556E">
      <w:pPr>
        <w:pStyle w:val="ListBullet"/>
      </w:pPr>
      <w:r w:rsidRPr="008D0DEB">
        <w:t>Scale</w:t>
      </w:r>
    </w:p>
    <w:p w14:paraId="26401588" w14:textId="77777777" w:rsidR="00760D34" w:rsidRPr="008D0DEB" w:rsidRDefault="00760D34" w:rsidP="0065556E">
      <w:pPr>
        <w:pStyle w:val="ListBullet2"/>
      </w:pPr>
      <w:r w:rsidRPr="008D0DEB">
        <w:t>Government can mobilise or unlock private resources to address societal issues through market building actions already tested in other markets; the SRF providing one example.</w:t>
      </w:r>
    </w:p>
    <w:p w14:paraId="209BA10E" w14:textId="41D9A138" w:rsidR="00760D34" w:rsidRPr="008D0DEB" w:rsidRDefault="00760D34" w:rsidP="0065556E">
      <w:pPr>
        <w:pStyle w:val="ListBullet2"/>
      </w:pPr>
      <w:r w:rsidRPr="008D0DEB">
        <w:t>Intermediaries are an important part of building the SII market. Australia still has a limited number of intermediaries that can provide specialist services to the impact market. A shallow intermediary pool makes conflicts of interest more likely and limits the development of an efficient market for SII capital.</w:t>
      </w:r>
    </w:p>
    <w:p w14:paraId="43CD43BE" w14:textId="77777777" w:rsidR="00760D34" w:rsidRPr="008D0DEB" w:rsidRDefault="00760D34" w:rsidP="0065556E">
      <w:pPr>
        <w:pStyle w:val="ListBullet"/>
      </w:pPr>
      <w:r w:rsidRPr="008D0DEB">
        <w:t>Capabilities</w:t>
      </w:r>
    </w:p>
    <w:p w14:paraId="34ACB028" w14:textId="77777777" w:rsidR="00760D34" w:rsidRPr="008D0DEB" w:rsidRDefault="00760D34" w:rsidP="0065556E">
      <w:pPr>
        <w:pStyle w:val="ListBullet2"/>
      </w:pPr>
      <w:r w:rsidRPr="008D0DEB">
        <w:t>While the sector is growing, many organisations in Australia have a limited understanding of the risks and/or opportunities for innovation involved in outcomes-based approaches. Higher risks, greater uncertainty, and initial set-up costs mean outcomes-based funding approaches are not suitable for some organisations.</w:t>
      </w:r>
    </w:p>
    <w:p w14:paraId="04C32445" w14:textId="77777777" w:rsidR="00760D34" w:rsidRPr="008D0DEB" w:rsidRDefault="00760D34" w:rsidP="0065556E">
      <w:pPr>
        <w:pStyle w:val="ListBullet2"/>
      </w:pPr>
      <w:r w:rsidRPr="008D0DEB">
        <w:t>Impact measurement and management (IMM) remain challenging for many, but IMM is an important part of value creation for for-purpose organisation</w:t>
      </w:r>
    </w:p>
    <w:p w14:paraId="3E12883E" w14:textId="51AD6473" w:rsidR="00760D34" w:rsidRPr="008D0DEB" w:rsidRDefault="00760D34" w:rsidP="0065556E">
      <w:pPr>
        <w:pStyle w:val="ListBullet2"/>
      </w:pPr>
      <w:r w:rsidRPr="008D0DEB">
        <w:t>Policy areas where responsibility and costs are shared between state/territory and federal governments are those where inter-government partnership is more appropriate.</w:t>
      </w:r>
    </w:p>
    <w:p w14:paraId="1CBB9FEB" w14:textId="77777777" w:rsidR="00AA46CC" w:rsidRDefault="00AA46CC">
      <w:pPr>
        <w:rPr>
          <w:rFonts w:eastAsia="Times New Roman" w:cs="Courier New"/>
          <w:b/>
          <w:sz w:val="28"/>
        </w:rPr>
      </w:pPr>
      <w:r>
        <w:br w:type="page"/>
      </w:r>
    </w:p>
    <w:p w14:paraId="6FBF1241" w14:textId="05A16C12" w:rsidR="00760D34" w:rsidRPr="008D0DEB" w:rsidRDefault="00760D34" w:rsidP="0065556E">
      <w:pPr>
        <w:pStyle w:val="Head3"/>
      </w:pPr>
      <w:r w:rsidRPr="008D0DEB">
        <w:lastRenderedPageBreak/>
        <w:t>Domain 3: The role of government</w:t>
      </w:r>
    </w:p>
    <w:p w14:paraId="444142F4" w14:textId="77777777" w:rsidR="00760D34" w:rsidRPr="008D0DEB" w:rsidRDefault="00760D34" w:rsidP="0065556E">
      <w:pPr>
        <w:pStyle w:val="ListBullet"/>
      </w:pPr>
      <w:r w:rsidRPr="008D0DEB">
        <w:t>Systemic Constraints</w:t>
      </w:r>
    </w:p>
    <w:p w14:paraId="2786DE03" w14:textId="5F3D5233" w:rsidR="00760D34" w:rsidRPr="008D0DEB" w:rsidRDefault="00760D34" w:rsidP="0065556E">
      <w:pPr>
        <w:pStyle w:val="ListBullet2"/>
      </w:pPr>
      <w:r w:rsidRPr="008D0DEB">
        <w:t>The trials exposed inflexibility within existing government infrastructure and systems, which were not designed to accommodate different ways of using government capital to achieve social impact</w:t>
      </w:r>
    </w:p>
    <w:p w14:paraId="4A33BA6B" w14:textId="17F322B4" w:rsidR="00760D34" w:rsidRPr="008D0DEB" w:rsidRDefault="00760D34" w:rsidP="0065556E">
      <w:pPr>
        <w:pStyle w:val="ListBullet2"/>
      </w:pPr>
      <w:r w:rsidRPr="008D0DEB">
        <w:t>There are constitutional constraints on the policy areas in which Australian Government agencies are able to work; this makes development of truly ‘sector-agnostic’ interventions more challenging.</w:t>
      </w:r>
    </w:p>
    <w:p w14:paraId="44469DA0" w14:textId="77777777" w:rsidR="00760D34" w:rsidRPr="008D0DEB" w:rsidRDefault="00760D34" w:rsidP="0065556E">
      <w:pPr>
        <w:pStyle w:val="ListBullet"/>
      </w:pPr>
      <w:r w:rsidRPr="008D0DEB">
        <w:t>Culture/mindset</w:t>
      </w:r>
    </w:p>
    <w:p w14:paraId="6419E415" w14:textId="77777777" w:rsidR="00760D34" w:rsidRPr="008D0DEB" w:rsidRDefault="00760D34" w:rsidP="0065556E">
      <w:pPr>
        <w:pStyle w:val="ListBullet2"/>
      </w:pPr>
      <w:r w:rsidRPr="008D0DEB">
        <w:t xml:space="preserve">SII offers new ways of funding programs that can challenge existing perceptions around the roles of the public and private sectors. For example, there has been resistance to the application of private capital to solving social problems, given the misperception that it involves government “supporting investors” seeking to “profit from social disadvantage”. A change of mindset will be required to fully embed SII as a ‘business-as-usual’ social policy tool within DSS and beyond. This change in mindset will also require a change in how government departments view the risks and benefits of data sharing. </w:t>
      </w:r>
    </w:p>
    <w:p w14:paraId="504FD51E" w14:textId="77777777" w:rsidR="00760D34" w:rsidRPr="008D0DEB" w:rsidRDefault="00760D34" w:rsidP="0065556E">
      <w:pPr>
        <w:pStyle w:val="ListBullet2"/>
      </w:pPr>
      <w:r w:rsidRPr="008D0DEB">
        <w:t>A strong authorising and enabling environment within DSS will facilitate the work of the SII unit in implementing SII initiatives. The trials took place in a context of inconsistent awareness and understanding of SII within DSS, creating additional challenges for the SII unit which was itself embarking on a learning journey.</w:t>
      </w:r>
    </w:p>
    <w:p w14:paraId="39450798" w14:textId="6C3647AF" w:rsidR="00760D34" w:rsidRPr="008D0DEB" w:rsidRDefault="00760D34" w:rsidP="0065556E">
      <w:pPr>
        <w:pStyle w:val="ListBullet2"/>
      </w:pPr>
      <w:r w:rsidRPr="008D0DEB">
        <w:t>Maintaining organisational knowledge of SII within government, including within DSS and the SII unit is an important goal. SII, a concept which demands specialist skills and knowledge, is still a ‘new’ within much of the Australian Government. Staff turnover in the SII unit can have a larger impact than turnover in the numerous other areas where there is a higher ‘base’ level of understanding among staff.</w:t>
      </w:r>
    </w:p>
    <w:p w14:paraId="14697242" w14:textId="6A027332" w:rsidR="000E0A02" w:rsidRPr="008D0DEB" w:rsidRDefault="00451C55" w:rsidP="00187144">
      <w:pPr>
        <w:pStyle w:val="Head2"/>
      </w:pPr>
      <w:bookmarkStart w:id="16" w:name="_Toc137210900"/>
      <w:bookmarkStart w:id="17" w:name="_Toc137210709"/>
      <w:bookmarkStart w:id="18" w:name="_Toc137211142"/>
      <w:bookmarkStart w:id="19" w:name="_Toc137218997"/>
      <w:bookmarkStart w:id="20" w:name="_Toc140666505"/>
      <w:bookmarkStart w:id="21" w:name="_Toc153801707"/>
      <w:r w:rsidRPr="008D0DEB">
        <w:t>Embedding and growing</w:t>
      </w:r>
      <w:r w:rsidR="00553719" w:rsidRPr="008D0DEB">
        <w:t xml:space="preserve"> capability in </w:t>
      </w:r>
      <w:bookmarkEnd w:id="16"/>
      <w:bookmarkEnd w:id="17"/>
      <w:bookmarkEnd w:id="18"/>
      <w:bookmarkEnd w:id="19"/>
      <w:bookmarkEnd w:id="20"/>
      <w:bookmarkEnd w:id="21"/>
      <w:r w:rsidR="003F3710">
        <w:t>SII</w:t>
      </w:r>
    </w:p>
    <w:p w14:paraId="1D457AB5" w14:textId="68421B65" w:rsidR="00CC7C5F" w:rsidRPr="008D0DEB" w:rsidRDefault="00CC7C5F" w:rsidP="0065556E">
      <w:pPr>
        <w:pStyle w:val="Head3"/>
      </w:pPr>
      <w:bookmarkStart w:id="22" w:name="_Toc140826445"/>
      <w:r w:rsidRPr="008D0DEB">
        <w:t>Key Capabilities required for working in SII</w:t>
      </w:r>
    </w:p>
    <w:p w14:paraId="5DFFF4A0" w14:textId="14134E5D" w:rsidR="00CC7C5F" w:rsidRPr="008D0DEB" w:rsidRDefault="00CC7C5F" w:rsidP="0065556E">
      <w:pPr>
        <w:pStyle w:val="ListBullet"/>
      </w:pPr>
      <w:r w:rsidRPr="008D0DEB">
        <w:t>Building relationships and trust by:</w:t>
      </w:r>
    </w:p>
    <w:p w14:paraId="43B20579" w14:textId="005B9CC9" w:rsidR="00CC7C5F" w:rsidRPr="008D0DEB" w:rsidRDefault="00CC7C5F" w:rsidP="0065556E">
      <w:pPr>
        <w:pStyle w:val="ListBullet2"/>
      </w:pPr>
      <w:r w:rsidRPr="008D0DEB">
        <w:t>Negotiating and managing contract</w:t>
      </w:r>
    </w:p>
    <w:p w14:paraId="559A7966" w14:textId="30DB5CBD" w:rsidR="00CC7C5F" w:rsidRPr="008D0DEB" w:rsidRDefault="00CC7C5F" w:rsidP="0065556E">
      <w:pPr>
        <w:pStyle w:val="ListBullet2"/>
      </w:pPr>
      <w:r w:rsidRPr="008D0DEB">
        <w:t xml:space="preserve">Being </w:t>
      </w:r>
      <w:r w:rsidR="00B222BD">
        <w:t>f</w:t>
      </w:r>
      <w:r w:rsidRPr="008D0DEB">
        <w:t>lexible and allowing risk</w:t>
      </w:r>
    </w:p>
    <w:p w14:paraId="57E16204" w14:textId="37637532" w:rsidR="00CC7C5F" w:rsidRPr="008D0DEB" w:rsidRDefault="00CC7C5F" w:rsidP="0065556E">
      <w:pPr>
        <w:pStyle w:val="ListBullet2"/>
      </w:pPr>
      <w:r w:rsidRPr="008D0DEB">
        <w:t>Sectoral knowledge</w:t>
      </w:r>
    </w:p>
    <w:p w14:paraId="7D93C5D1" w14:textId="2BD59692" w:rsidR="00CC7C5F" w:rsidRPr="008D0DEB" w:rsidRDefault="00CC7C5F" w:rsidP="0065556E">
      <w:pPr>
        <w:pStyle w:val="ListBullet2"/>
      </w:pPr>
      <w:r w:rsidRPr="008D0DEB">
        <w:t>Using a shared language</w:t>
      </w:r>
    </w:p>
    <w:p w14:paraId="60E7261B" w14:textId="085F544D" w:rsidR="00CC7C5F" w:rsidRPr="008D0DEB" w:rsidRDefault="00CC7C5F" w:rsidP="0065556E">
      <w:pPr>
        <w:pStyle w:val="ListBullet2"/>
      </w:pPr>
      <w:r w:rsidRPr="008D0DEB">
        <w:t>Understanding data and outcomes.</w:t>
      </w:r>
    </w:p>
    <w:bookmarkEnd w:id="22"/>
    <w:p w14:paraId="3201EA57" w14:textId="500450B1" w:rsidR="00602E13" w:rsidRPr="008D0DEB" w:rsidRDefault="007556C4" w:rsidP="0065556E">
      <w:r w:rsidRPr="008D0DEB">
        <w:t>Lessons from the trial</w:t>
      </w:r>
      <w:r w:rsidR="00732ED9" w:rsidRPr="008D0DEB">
        <w:t>s</w:t>
      </w:r>
      <w:r w:rsidRPr="008D0DEB">
        <w:t xml:space="preserve"> suggest a</w:t>
      </w:r>
      <w:r w:rsidR="00602E13" w:rsidRPr="008D0DEB">
        <w:t xml:space="preserve"> set of key capabilities required by any individual or team working in the impact investing sector. These comprise a series of technical skills, underpinned by a capacity to build relationships and trust wi</w:t>
      </w:r>
      <w:r w:rsidR="00CC7C5F" w:rsidRPr="008D0DEB">
        <w:t>th different stakeholders.</w:t>
      </w:r>
    </w:p>
    <w:p w14:paraId="592394C5" w14:textId="66C31105" w:rsidR="000A0EC5" w:rsidRPr="008D0DEB" w:rsidRDefault="00EF26D5" w:rsidP="0065556E">
      <w:r w:rsidRPr="008D0DEB">
        <w:t>An ability</w:t>
      </w:r>
      <w:r w:rsidR="00602E13" w:rsidRPr="008D0DEB">
        <w:t xml:space="preserve"> to build relationships and trust emerged as a critical </w:t>
      </w:r>
      <w:r w:rsidR="002B6DF1" w:rsidRPr="008D0DEB">
        <w:t>capability</w:t>
      </w:r>
      <w:r w:rsidR="00953D95" w:rsidRPr="008D0DEB">
        <w:t xml:space="preserve">. As SII </w:t>
      </w:r>
      <w:r w:rsidR="00587A56" w:rsidRPr="008D0DEB">
        <w:t xml:space="preserve">remains a growing area </w:t>
      </w:r>
      <w:r w:rsidRPr="008D0DEB">
        <w:t>involving</w:t>
      </w:r>
      <w:r w:rsidR="00587A56" w:rsidRPr="008D0DEB">
        <w:t xml:space="preserve"> </w:t>
      </w:r>
      <w:r w:rsidR="00526442" w:rsidRPr="008D0DEB">
        <w:t xml:space="preserve">new risks for stakeholders, maintaining trust </w:t>
      </w:r>
      <w:r w:rsidR="00E014B1" w:rsidRPr="008D0DEB">
        <w:t xml:space="preserve">is a foundational requirement. </w:t>
      </w:r>
    </w:p>
    <w:p w14:paraId="4E3D1F2A" w14:textId="28ED412E" w:rsidR="000A0EC5" w:rsidRPr="008D0DEB" w:rsidRDefault="000A0EC5" w:rsidP="0065556E">
      <w:r w:rsidRPr="008D0DEB">
        <w:t>Given the</w:t>
      </w:r>
      <w:r w:rsidR="002F1390" w:rsidRPr="008D0DEB">
        <w:t>se</w:t>
      </w:r>
      <w:r w:rsidRPr="008D0DEB">
        <w:t xml:space="preserve"> insights from the trials, </w:t>
      </w:r>
      <w:r w:rsidR="002F1390" w:rsidRPr="008D0DEB">
        <w:t xml:space="preserve">key activities need to be undertaken </w:t>
      </w:r>
      <w:r w:rsidRPr="008D0DEB">
        <w:t xml:space="preserve">to grow SII in Australia. We have focused on developing SII capacity at three levels: the </w:t>
      </w:r>
      <w:r w:rsidR="00C2317E" w:rsidRPr="008D0DEB">
        <w:t>SII unit</w:t>
      </w:r>
      <w:r w:rsidRPr="008D0DEB">
        <w:t>, DSS, and the Australian Government more broadly.</w:t>
      </w:r>
    </w:p>
    <w:p w14:paraId="64F24FC4" w14:textId="6E77E8C5" w:rsidR="00B9195A" w:rsidRPr="008D0DEB" w:rsidRDefault="00B9195A" w:rsidP="0065556E">
      <w:pPr>
        <w:pStyle w:val="Head4"/>
      </w:pPr>
      <w:bookmarkStart w:id="23" w:name="_Toc140666506"/>
      <w:r w:rsidRPr="008D0DEB">
        <w:lastRenderedPageBreak/>
        <w:t>Consolidating and strengthening SII</w:t>
      </w:r>
      <w:r w:rsidR="006B79DF" w:rsidRPr="008D0DEB">
        <w:t xml:space="preserve"> in DSS</w:t>
      </w:r>
      <w:bookmarkEnd w:id="23"/>
    </w:p>
    <w:p w14:paraId="3EEAFC14" w14:textId="291D6987" w:rsidR="00B9195A" w:rsidRPr="008D0DEB" w:rsidRDefault="00B9195A" w:rsidP="0065556E">
      <w:bookmarkStart w:id="24" w:name="_Toc22026807"/>
      <w:r w:rsidRPr="008D0DEB">
        <w:t xml:space="preserve">The DSS </w:t>
      </w:r>
      <w:r w:rsidR="00C2317E" w:rsidRPr="008D0DEB">
        <w:t>SII unit</w:t>
      </w:r>
      <w:r w:rsidRPr="008D0DEB">
        <w:t xml:space="preserve"> has been widely </w:t>
      </w:r>
      <w:r w:rsidR="00C16C10" w:rsidRPr="008D0DEB">
        <w:t>applauded</w:t>
      </w:r>
      <w:r w:rsidRPr="008D0DEB">
        <w:t xml:space="preserve"> by the sector for its engagement in the trials, has developed significant social capital among trial participants, and has established itself as a trustworthy </w:t>
      </w:r>
      <w:r w:rsidR="00314E17" w:rsidRPr="008D0DEB">
        <w:t xml:space="preserve">and committed </w:t>
      </w:r>
      <w:r w:rsidRPr="008D0DEB">
        <w:t>stakeholder.</w:t>
      </w:r>
    </w:p>
    <w:p w14:paraId="47CFAE48" w14:textId="0FF11503" w:rsidR="00F96247" w:rsidRPr="008D0DEB" w:rsidRDefault="006F4A06" w:rsidP="0065556E">
      <w:r w:rsidRPr="008D0DEB">
        <w:t>In the context of renewed Australian Government commitment to SII, t</w:t>
      </w:r>
      <w:r w:rsidR="00950F62" w:rsidRPr="008D0DEB">
        <w:t xml:space="preserve">he </w:t>
      </w:r>
      <w:r w:rsidR="00C2317E" w:rsidRPr="008D0DEB">
        <w:t>SII unit</w:t>
      </w:r>
      <w:r w:rsidRPr="008D0DEB">
        <w:t xml:space="preserve"> has an opportunity to </w:t>
      </w:r>
      <w:r w:rsidR="00B9195A" w:rsidRPr="008D0DEB">
        <w:t xml:space="preserve">consolidate these </w:t>
      </w:r>
      <w:r w:rsidR="00B712E1" w:rsidRPr="008D0DEB">
        <w:t>gains</w:t>
      </w:r>
      <w:r w:rsidRPr="008D0DEB">
        <w:t xml:space="preserve">. This may </w:t>
      </w:r>
      <w:r w:rsidR="00ED208B" w:rsidRPr="008D0DEB">
        <w:t xml:space="preserve">involve the continued development </w:t>
      </w:r>
      <w:r w:rsidR="00C234AE" w:rsidRPr="008D0DEB">
        <w:t>of</w:t>
      </w:r>
      <w:r w:rsidR="00CF7CA3" w:rsidRPr="008D0DEB">
        <w:t xml:space="preserve"> its internal </w:t>
      </w:r>
      <w:r w:rsidR="00712847" w:rsidRPr="008D0DEB">
        <w:t>capacity and</w:t>
      </w:r>
      <w:r w:rsidR="00A85C59" w:rsidRPr="008D0DEB">
        <w:t xml:space="preserve"> embed</w:t>
      </w:r>
      <w:r w:rsidR="00C234AE" w:rsidRPr="008D0DEB">
        <w:t>ding</w:t>
      </w:r>
      <w:r w:rsidR="00A85C59" w:rsidRPr="008D0DEB">
        <w:t xml:space="preserve"> </w:t>
      </w:r>
      <w:r w:rsidR="00AD4A45" w:rsidRPr="008D0DEB">
        <w:t xml:space="preserve">its </w:t>
      </w:r>
      <w:r w:rsidR="00866BE9" w:rsidRPr="008D0DEB">
        <w:t>understanding of SII in DSS more broadly, through</w:t>
      </w:r>
      <w:r w:rsidR="00A701E8" w:rsidRPr="008D0DEB">
        <w:t xml:space="preserve"> </w:t>
      </w:r>
      <w:r w:rsidR="00866BE9" w:rsidRPr="008D0DEB">
        <w:t xml:space="preserve">creating </w:t>
      </w:r>
      <w:r w:rsidR="00CD39E8" w:rsidRPr="008D0DEB">
        <w:t>additional</w:t>
      </w:r>
      <w:r w:rsidR="00866BE9" w:rsidRPr="008D0DEB">
        <w:t xml:space="preserve"> </w:t>
      </w:r>
      <w:r w:rsidR="003F1FDE" w:rsidRPr="008D0DEB">
        <w:t>team collateral to better support on-boarding of new staff</w:t>
      </w:r>
      <w:r w:rsidR="00A701E8" w:rsidRPr="008D0DEB">
        <w:t xml:space="preserve">, </w:t>
      </w:r>
      <w:r w:rsidR="00A173BB" w:rsidRPr="008D0DEB">
        <w:t xml:space="preserve">continuing to </w:t>
      </w:r>
      <w:r w:rsidR="00DF02D4" w:rsidRPr="008D0DEB">
        <w:t>synthesi</w:t>
      </w:r>
      <w:r w:rsidR="00B04A81" w:rsidRPr="008D0DEB">
        <w:t>s</w:t>
      </w:r>
      <w:r w:rsidR="00DF02D4" w:rsidRPr="008D0DEB">
        <w:t xml:space="preserve">e and </w:t>
      </w:r>
      <w:r w:rsidR="005B534C" w:rsidRPr="008D0DEB">
        <w:t xml:space="preserve">internally </w:t>
      </w:r>
      <w:r w:rsidR="00FA7A54" w:rsidRPr="008D0DEB">
        <w:t xml:space="preserve">circulate key learnings from </w:t>
      </w:r>
      <w:r w:rsidR="00F96247" w:rsidRPr="008D0DEB">
        <w:t>completed projects</w:t>
      </w:r>
      <w:r w:rsidR="00A701E8" w:rsidRPr="008D0DEB">
        <w:t xml:space="preserve">, and </w:t>
      </w:r>
      <w:r w:rsidR="00696CED" w:rsidRPr="008D0DEB">
        <w:t>consider</w:t>
      </w:r>
      <w:r w:rsidR="006158FA" w:rsidRPr="008D0DEB">
        <w:t>ing</w:t>
      </w:r>
      <w:r w:rsidR="00696CED" w:rsidRPr="008D0DEB">
        <w:t xml:space="preserve"> </w:t>
      </w:r>
      <w:r w:rsidR="00B155B6" w:rsidRPr="008D0DEB">
        <w:t xml:space="preserve">additional </w:t>
      </w:r>
      <w:r w:rsidR="00696CED" w:rsidRPr="008D0DEB">
        <w:t xml:space="preserve">opportunities to educate </w:t>
      </w:r>
      <w:r w:rsidR="00072358" w:rsidRPr="008D0DEB">
        <w:t>other parts of the Department</w:t>
      </w:r>
      <w:r w:rsidR="005B534C" w:rsidRPr="008D0DEB">
        <w:t xml:space="preserve"> on SII</w:t>
      </w:r>
      <w:r w:rsidR="009253C1" w:rsidRPr="008D0DEB">
        <w:t>.</w:t>
      </w:r>
    </w:p>
    <w:p w14:paraId="67A8C9EB" w14:textId="60BD901B" w:rsidR="0087261A" w:rsidRPr="008D0DEB" w:rsidRDefault="006661C9" w:rsidP="0065556E">
      <w:pPr>
        <w:pStyle w:val="Head4"/>
      </w:pPr>
      <w:bookmarkStart w:id="25" w:name="_Toc140666507"/>
      <w:r w:rsidRPr="008D0DEB">
        <w:t>Enabling the role of government</w:t>
      </w:r>
      <w:bookmarkEnd w:id="25"/>
    </w:p>
    <w:p w14:paraId="0A6E2DE8" w14:textId="77976FD1" w:rsidR="00CD39E8" w:rsidRPr="008D0DEB" w:rsidRDefault="00CD39E8" w:rsidP="0065556E">
      <w:r w:rsidRPr="008D0DEB">
        <w:t xml:space="preserve">The trials re-affirmed the </w:t>
      </w:r>
      <w:r w:rsidR="001202A8" w:rsidRPr="008D0DEB">
        <w:t>Australian</w:t>
      </w:r>
      <w:r w:rsidR="006158FA" w:rsidRPr="008D0DEB">
        <w:t xml:space="preserve"> </w:t>
      </w:r>
      <w:r w:rsidR="001202A8" w:rsidRPr="008D0DEB">
        <w:t>G</w:t>
      </w:r>
      <w:r w:rsidR="006158FA" w:rsidRPr="008D0DEB">
        <w:t>overnment’s</w:t>
      </w:r>
      <w:r w:rsidRPr="008D0DEB">
        <w:t xml:space="preserve"> unique position at the heart of Australia’s SII ecosystem. </w:t>
      </w:r>
      <w:r w:rsidR="00F37CAB" w:rsidRPr="008D0DEB">
        <w:t>F</w:t>
      </w:r>
      <w:r w:rsidRPr="008D0DEB">
        <w:t xml:space="preserve">urther opportunities for </w:t>
      </w:r>
      <w:r w:rsidR="001202A8" w:rsidRPr="008D0DEB">
        <w:t>government</w:t>
      </w:r>
      <w:r w:rsidRPr="008D0DEB">
        <w:t xml:space="preserve"> to facilitate and build capacity </w:t>
      </w:r>
      <w:r w:rsidR="00AE1928" w:rsidRPr="008D0DEB">
        <w:t xml:space="preserve">in </w:t>
      </w:r>
      <w:r w:rsidRPr="008D0DEB">
        <w:t>the market</w:t>
      </w:r>
      <w:r w:rsidR="00F37CAB" w:rsidRPr="008D0DEB">
        <w:t xml:space="preserve"> include:</w:t>
      </w:r>
    </w:p>
    <w:p w14:paraId="37BCA97E" w14:textId="6B133937" w:rsidR="003812AE" w:rsidRPr="008D0DEB" w:rsidRDefault="003812AE" w:rsidP="0065556E">
      <w:pPr>
        <w:pStyle w:val="ListBullet"/>
      </w:pPr>
      <w:r w:rsidRPr="008D0DEB">
        <w:t xml:space="preserve">further </w:t>
      </w:r>
      <w:r w:rsidR="00AE1928" w:rsidRPr="008D0DEB">
        <w:t xml:space="preserve">expansion of </w:t>
      </w:r>
      <w:r w:rsidRPr="008D0DEB">
        <w:t>and conven</w:t>
      </w:r>
      <w:r w:rsidR="00AE1928" w:rsidRPr="008D0DEB">
        <w:t>ing</w:t>
      </w:r>
      <w:r w:rsidRPr="008D0DEB">
        <w:t xml:space="preserve"> the inter-jurisdictional network, facilitating dialogue, sharing of lessons</w:t>
      </w:r>
      <w:r w:rsidR="00AE1928" w:rsidRPr="008D0DEB">
        <w:t>,</w:t>
      </w:r>
      <w:r w:rsidRPr="008D0DEB">
        <w:t xml:space="preserve"> and data sharing among the participating States and Territories </w:t>
      </w:r>
    </w:p>
    <w:p w14:paraId="20E6D4CF" w14:textId="5B86EE03" w:rsidR="003812AE" w:rsidRPr="008D0DEB" w:rsidRDefault="003812AE" w:rsidP="0065556E">
      <w:pPr>
        <w:pStyle w:val="ListBullet"/>
      </w:pPr>
      <w:r w:rsidRPr="008D0DEB">
        <w:t xml:space="preserve">developing </w:t>
      </w:r>
      <w:r w:rsidR="00E0443D" w:rsidRPr="008D0DEB">
        <w:t xml:space="preserve">and sharing </w:t>
      </w:r>
      <w:r w:rsidRPr="0065556E">
        <w:rPr>
          <w:iCs/>
        </w:rPr>
        <w:t>a</w:t>
      </w:r>
      <w:r w:rsidR="00416FB7" w:rsidRPr="0065556E">
        <w:rPr>
          <w:iCs/>
        </w:rPr>
        <w:t xml:space="preserve"> consistent</w:t>
      </w:r>
      <w:r w:rsidRPr="0065556E">
        <w:rPr>
          <w:iCs/>
        </w:rPr>
        <w:t xml:space="preserve"> outcomes framework</w:t>
      </w:r>
      <w:r w:rsidRPr="008D0DEB">
        <w:t xml:space="preserve"> </w:t>
      </w:r>
      <w:r w:rsidR="00416FB7" w:rsidRPr="008D0DEB">
        <w:t xml:space="preserve">across government </w:t>
      </w:r>
      <w:r w:rsidRPr="008D0DEB">
        <w:t>to streamline measurement and reporting</w:t>
      </w:r>
    </w:p>
    <w:p w14:paraId="23AF5E6C" w14:textId="2A2AE040" w:rsidR="00DE31BC" w:rsidRPr="008D0DEB" w:rsidRDefault="00DE31BC" w:rsidP="0065556E">
      <w:pPr>
        <w:pStyle w:val="ListBullet"/>
      </w:pPr>
      <w:r w:rsidRPr="008D0DEB">
        <w:t xml:space="preserve">developing </w:t>
      </w:r>
      <w:r w:rsidRPr="0065556E">
        <w:rPr>
          <w:iCs/>
        </w:rPr>
        <w:t>a whole-of-</w:t>
      </w:r>
      <w:r w:rsidR="00960907" w:rsidRPr="0065556E">
        <w:rPr>
          <w:iCs/>
        </w:rPr>
        <w:t>g</w:t>
      </w:r>
      <w:r w:rsidRPr="0065556E">
        <w:rPr>
          <w:iCs/>
        </w:rPr>
        <w:t xml:space="preserve">overnment </w:t>
      </w:r>
      <w:r w:rsidRPr="008D0DEB">
        <w:t>approach to impact investing</w:t>
      </w:r>
      <w:r w:rsidR="0055606F" w:rsidRPr="008D0DEB">
        <w:t>,</w:t>
      </w:r>
      <w:r w:rsidRPr="008D0DEB">
        <w:t xml:space="preserve"> which incorporates not just social but also environmental</w:t>
      </w:r>
      <w:r w:rsidR="0055606F" w:rsidRPr="008D0DEB">
        <w:t xml:space="preserve"> impact</w:t>
      </w:r>
    </w:p>
    <w:p w14:paraId="6056DDC8" w14:textId="76882194" w:rsidR="00DE31BC" w:rsidRPr="0065556E" w:rsidRDefault="00DE31BC" w:rsidP="0065556E">
      <w:pPr>
        <w:pStyle w:val="ListBullet"/>
        <w:rPr>
          <w:shd w:val="clear" w:color="auto" w:fill="FFFFFF"/>
        </w:rPr>
      </w:pPr>
      <w:r w:rsidRPr="008D0DEB">
        <w:t xml:space="preserve">enabling additional investment from </w:t>
      </w:r>
      <w:r w:rsidR="0055606F" w:rsidRPr="008D0DEB">
        <w:t xml:space="preserve">the philanthropic </w:t>
      </w:r>
      <w:r w:rsidRPr="008D0DEB">
        <w:t>and private sector</w:t>
      </w:r>
      <w:r w:rsidR="0055606F" w:rsidRPr="008D0DEB">
        <w:t>s</w:t>
      </w:r>
      <w:r w:rsidRPr="008D0DEB">
        <w:t xml:space="preserve"> </w:t>
      </w:r>
      <w:r w:rsidRPr="0065556E">
        <w:rPr>
          <w:shd w:val="clear" w:color="auto" w:fill="FFFFFF"/>
        </w:rPr>
        <w:t xml:space="preserve">through </w:t>
      </w:r>
      <w:r w:rsidRPr="0065556E">
        <w:rPr>
          <w:iCs/>
          <w:shd w:val="clear" w:color="auto" w:fill="FFFFFF"/>
        </w:rPr>
        <w:t>market signal</w:t>
      </w:r>
      <w:r w:rsidR="0055606F" w:rsidRPr="0065556E">
        <w:rPr>
          <w:iCs/>
          <w:shd w:val="clear" w:color="auto" w:fill="FFFFFF"/>
        </w:rPr>
        <w:t>ling</w:t>
      </w:r>
      <w:r w:rsidRPr="0065556E">
        <w:rPr>
          <w:iCs/>
          <w:shd w:val="clear" w:color="auto" w:fill="FFFFFF"/>
        </w:rPr>
        <w:t xml:space="preserve"> and </w:t>
      </w:r>
      <w:r w:rsidR="0055606F" w:rsidRPr="0065556E">
        <w:rPr>
          <w:iCs/>
          <w:shd w:val="clear" w:color="auto" w:fill="FFFFFF"/>
        </w:rPr>
        <w:t>the creati</w:t>
      </w:r>
      <w:r w:rsidR="008F57A8" w:rsidRPr="0065556E">
        <w:rPr>
          <w:iCs/>
          <w:shd w:val="clear" w:color="auto" w:fill="FFFFFF"/>
        </w:rPr>
        <w:t>on of</w:t>
      </w:r>
      <w:r w:rsidR="0055606F" w:rsidRPr="0065556E">
        <w:rPr>
          <w:iCs/>
          <w:shd w:val="clear" w:color="auto" w:fill="FFFFFF"/>
        </w:rPr>
        <w:t xml:space="preserve"> </w:t>
      </w:r>
      <w:r w:rsidRPr="0065556E">
        <w:rPr>
          <w:iCs/>
          <w:shd w:val="clear" w:color="auto" w:fill="FFFFFF"/>
        </w:rPr>
        <w:t>incentives for participation</w:t>
      </w:r>
      <w:r w:rsidR="00EB62E5" w:rsidRPr="0065556E">
        <w:rPr>
          <w:shd w:val="clear" w:color="auto" w:fill="FFFFFF"/>
        </w:rPr>
        <w:t>.</w:t>
      </w:r>
    </w:p>
    <w:p w14:paraId="04A9CB9E" w14:textId="3E3F53AD" w:rsidR="00F42FE9" w:rsidRPr="008D0DEB" w:rsidRDefault="00F42FE9" w:rsidP="0065556E"/>
    <w:p w14:paraId="01BC3D33" w14:textId="77777777" w:rsidR="009C6B51" w:rsidRPr="008D0DEB" w:rsidRDefault="009C6B51" w:rsidP="0065556E">
      <w:pPr>
        <w:sectPr w:rsidR="009C6B51" w:rsidRPr="008D0DEB" w:rsidSect="00187144">
          <w:footerReference w:type="even" r:id="rId13"/>
          <w:footerReference w:type="default" r:id="rId14"/>
          <w:pgSz w:w="11906" w:h="16838" w:code="9"/>
          <w:pgMar w:top="1417" w:right="707" w:bottom="1276" w:left="1134" w:header="709" w:footer="284" w:gutter="0"/>
          <w:pgNumType w:fmt="lowerRoman" w:start="1"/>
          <w:cols w:space="708"/>
          <w:docGrid w:linePitch="360"/>
        </w:sectPr>
      </w:pPr>
    </w:p>
    <w:p w14:paraId="2E538106" w14:textId="0045B469" w:rsidR="00B65183" w:rsidRPr="008D0DEB" w:rsidRDefault="0052566D" w:rsidP="0065556E">
      <w:pPr>
        <w:pStyle w:val="Heading1"/>
      </w:pPr>
      <w:bookmarkStart w:id="26" w:name="_Toc137210710"/>
      <w:bookmarkStart w:id="27" w:name="_Toc153801708"/>
      <w:r w:rsidRPr="008D0DEB">
        <w:lastRenderedPageBreak/>
        <w:t>Introduction</w:t>
      </w:r>
      <w:bookmarkEnd w:id="24"/>
      <w:bookmarkEnd w:id="26"/>
      <w:bookmarkEnd w:id="27"/>
    </w:p>
    <w:p w14:paraId="3936052A" w14:textId="51874E14" w:rsidR="00075BD2" w:rsidRDefault="00075BD2" w:rsidP="0065556E">
      <w:pPr>
        <w:pStyle w:val="Heading2"/>
      </w:pPr>
      <w:bookmarkStart w:id="28" w:name="_Toc153801709"/>
      <w:r>
        <w:t>Social Impact Investing</w:t>
      </w:r>
      <w:bookmarkEnd w:id="28"/>
    </w:p>
    <w:p w14:paraId="3AD946F2" w14:textId="475F9723" w:rsidR="00EE0998" w:rsidRPr="008D0DEB" w:rsidRDefault="00EE0998" w:rsidP="0065556E">
      <w:r w:rsidRPr="008D0DEB">
        <w:t>The Australian Government faces continued pressure to address significant social and environmental issues, with limited public resources. Many Australians still experience disadvantage and marginalisation despite repeated attempts by state and federal governments to address their underlying causes.</w:t>
      </w:r>
    </w:p>
    <w:p w14:paraId="3C83877C" w14:textId="77777777" w:rsidR="00EE0998" w:rsidRPr="008D0DEB" w:rsidRDefault="00EE0998" w:rsidP="0065556E">
      <w:r w:rsidRPr="008D0DEB">
        <w:t>Social Impact Investing (SII) represents a developing and innovative approach to investment wherein private and philanthropic resources are galvanised to achieve a public or social good. It is an approach that aims to achieve an intentional social objective alongside a financial return - and to measure the achievement of both. SII methods and approaches have been used in Australia and around the world for more than two decades, to leverage the resources and capabilities of non-government actors to address long-standing and complex social challenges.</w:t>
      </w:r>
    </w:p>
    <w:p w14:paraId="69EA43BA" w14:textId="4013E492" w:rsidR="00B542FC" w:rsidRPr="008D0DEB" w:rsidRDefault="00EE0998" w:rsidP="0065556E">
      <w:r w:rsidRPr="008D0DEB">
        <w:t>In considering</w:t>
      </w:r>
      <w:r w:rsidR="00B542FC" w:rsidRPr="008D0DEB">
        <w:t xml:space="preserve"> both a social and financial return, SII </w:t>
      </w:r>
      <w:r w:rsidR="009A424D" w:rsidRPr="008D0DEB">
        <w:t>brings together</w:t>
      </w:r>
      <w:r w:rsidR="00B542FC" w:rsidRPr="008D0DEB">
        <w:t xml:space="preserve"> governments, service providers, investors, and philanthropists, to leverage additional re</w:t>
      </w:r>
      <w:r w:rsidR="00B542FC" w:rsidRPr="008D0DEB">
        <w:rPr>
          <w:rFonts w:hint="eastAsia"/>
        </w:rPr>
        <w:t>sources, realign</w:t>
      </w:r>
      <w:r w:rsidR="00B542FC" w:rsidRPr="008D0DEB">
        <w:t xml:space="preserve"> </w:t>
      </w:r>
      <w:r w:rsidR="00B542FC" w:rsidRPr="008D0DEB">
        <w:rPr>
          <w:rFonts w:hint="eastAsia"/>
        </w:rPr>
        <w:t>incentives,</w:t>
      </w:r>
      <w:r w:rsidR="00B542FC" w:rsidRPr="008D0DEB">
        <w:t xml:space="preserve"> </w:t>
      </w:r>
      <w:r w:rsidR="00B542FC" w:rsidRPr="008D0DEB">
        <w:rPr>
          <w:rFonts w:hint="eastAsia"/>
        </w:rPr>
        <w:t>and</w:t>
      </w:r>
      <w:r w:rsidR="00B542FC" w:rsidRPr="008D0DEB">
        <w:t xml:space="preserve"> </w:t>
      </w:r>
      <w:r w:rsidR="00B542FC" w:rsidRPr="008D0DEB">
        <w:rPr>
          <w:rFonts w:hint="eastAsia"/>
        </w:rPr>
        <w:t>encourage</w:t>
      </w:r>
      <w:r w:rsidR="00B542FC" w:rsidRPr="008D0DEB">
        <w:t xml:space="preserve"> </w:t>
      </w:r>
      <w:r w:rsidR="00B542FC" w:rsidRPr="008D0DEB">
        <w:rPr>
          <w:rFonts w:hint="eastAsia"/>
        </w:rPr>
        <w:t>innovation</w:t>
      </w:r>
      <w:r w:rsidR="00B542FC" w:rsidRPr="008D0DEB">
        <w:t xml:space="preserve"> and </w:t>
      </w:r>
      <w:r w:rsidR="00B542FC" w:rsidRPr="008D0DEB">
        <w:rPr>
          <w:rFonts w:hint="eastAsia"/>
        </w:rPr>
        <w:t>scale</w:t>
      </w:r>
      <w:r w:rsidR="00B542FC" w:rsidRPr="008D0DEB">
        <w:t xml:space="preserve"> </w:t>
      </w:r>
      <w:r w:rsidR="00B542FC" w:rsidRPr="008D0DEB">
        <w:rPr>
          <w:rFonts w:hint="eastAsia"/>
        </w:rPr>
        <w:t>as</w:t>
      </w:r>
      <w:r w:rsidR="00B542FC" w:rsidRPr="008D0DEB">
        <w:t xml:space="preserve"> </w:t>
      </w:r>
      <w:r w:rsidR="00B542FC" w:rsidRPr="008D0DEB">
        <w:rPr>
          <w:rFonts w:hint="eastAsia"/>
        </w:rPr>
        <w:t>required</w:t>
      </w:r>
      <w:r w:rsidR="00B542FC" w:rsidRPr="008D0DEB">
        <w:t xml:space="preserve">. </w:t>
      </w:r>
    </w:p>
    <w:p w14:paraId="5B353439" w14:textId="1D012AE1" w:rsidR="00B542FC" w:rsidRPr="008D0DEB" w:rsidRDefault="00B542FC" w:rsidP="0065556E">
      <w:pPr>
        <w:pStyle w:val="HangingQuote"/>
      </w:pPr>
      <w:r w:rsidRPr="008D0DEB">
        <w:t xml:space="preserve">“Impact investment is a means of unlocking serious problem-solving capacity through data, collaboration, applying new tools to existing problems and established tools to different problems. It is a lever for sending signals for action and changing incentives to move capital where it is needed rather than where it will readily go or where it is usually applied.” </w:t>
      </w:r>
      <w:r w:rsidRPr="008D0DEB">
        <w:rPr>
          <w:rStyle w:val="FootnoteReference"/>
          <w:i w:val="0"/>
        </w:rPr>
        <w:footnoteReference w:id="3"/>
      </w:r>
    </w:p>
    <w:p w14:paraId="79B7A6A3" w14:textId="77777777" w:rsidR="00205D53" w:rsidRPr="008D0DEB" w:rsidRDefault="00205D53" w:rsidP="0065556E">
      <w:bookmarkStart w:id="29" w:name="_Toc137210711"/>
      <w:r w:rsidRPr="008D0DEB">
        <w:t>SII provides several potential benefits over traditional program delivery. It shifts the focus toward outcomes and results, rather than inputs and activities, providing more room for service providers to innovate and optimise their services. It can allow for risk of new approaches to be transferred or shared between governments and investors, give their expected outcomes and potential financial returns. It can also stimulate creativity and innovation or uncover new opportunities in servicing unmet needs.</w:t>
      </w:r>
      <w:r w:rsidRPr="008D0DEB">
        <w:rPr>
          <w:rStyle w:val="FootnoteReference"/>
        </w:rPr>
        <w:footnoteReference w:id="4"/>
      </w:r>
      <w:r w:rsidRPr="008D0DEB">
        <w:t xml:space="preserve"> </w:t>
      </w:r>
    </w:p>
    <w:p w14:paraId="1580B474" w14:textId="77777777" w:rsidR="00205D53" w:rsidRPr="008D0DEB" w:rsidRDefault="00205D53" w:rsidP="0065556E">
      <w:r w:rsidRPr="008D0DEB">
        <w:t>SII has potential to drive social impact, not only by increasing the scale of existing interventions through access to additional capital, but by leveraging the skills and expertise of the private sector. By creating the right incentives for organisations to achieve specific outcomes, SII can catalyse entrepreneurial activity and innovation, harnessing this to meet its desired objectives.</w:t>
      </w:r>
    </w:p>
    <w:p w14:paraId="059775B9" w14:textId="5F103141" w:rsidR="00205D53" w:rsidRPr="008D0DEB" w:rsidRDefault="00205D53" w:rsidP="0065556E">
      <w:r w:rsidRPr="008D0DEB">
        <w:t>The Australian impact investment market was recently sized at $30 billion (assets under management (AUM) being the yardstick of measurement). Contributing to this size, bespoke impact funds have grown to $4 billion in AUM; the market, however, predominantly directs resources ($24.6 billion) to green, climate, or social impact bonds (SIBs).</w:t>
      </w:r>
      <w:r w:rsidRPr="008D0DEB">
        <w:rPr>
          <w:rStyle w:val="FootnoteReference"/>
        </w:rPr>
        <w:footnoteReference w:id="5"/>
      </w:r>
    </w:p>
    <w:p w14:paraId="2D7266B1" w14:textId="58421A70" w:rsidR="00253A3B" w:rsidRPr="008D0DEB" w:rsidRDefault="000A5163" w:rsidP="0065556E">
      <w:pPr>
        <w:pStyle w:val="Heading2"/>
      </w:pPr>
      <w:bookmarkStart w:id="30" w:name="_Toc153801710"/>
      <w:r w:rsidRPr="008D0DEB">
        <w:t>The SII eco-system</w:t>
      </w:r>
      <w:bookmarkEnd w:id="29"/>
      <w:bookmarkEnd w:id="30"/>
    </w:p>
    <w:p w14:paraId="4967AF91" w14:textId="401A9BC6" w:rsidR="000A5163" w:rsidRPr="008D0DEB" w:rsidRDefault="00FF722F" w:rsidP="0065556E">
      <w:r w:rsidRPr="008D0DEB">
        <w:t>The SII ‘eco-system’ is made up of se</w:t>
      </w:r>
      <w:r w:rsidR="00871E71" w:rsidRPr="008D0DEB">
        <w:t>veral components</w:t>
      </w:r>
      <w:r w:rsidRPr="008D0DEB">
        <w:t xml:space="preserve">. These components include the pool of potential impact capital managed by investors, and the ‘demand’ for capital arising from for-purpose investment opportunities, including businesses, assets, and programs. Located between the supply and demand for capital are intermediaries connecting purposeful investment opportunities with investors. Intermediaries take on many forms and undertake a wide array of tasks, including preparation for capital raising, facilitating introductions to investors, and the measurement of impact. Underpinning this process is an enabling regulatory and policy </w:t>
      </w:r>
      <w:r w:rsidRPr="008D0DEB">
        <w:lastRenderedPageBreak/>
        <w:t>environment instituted by government, and a broader ecosystem of participating organisations that provide assistance with, for example, the development of legal instruments, or the provision of additional financial expertise or human resources.</w:t>
      </w:r>
      <w:r w:rsidR="004E1B29">
        <w:t xml:space="preserve"> </w:t>
      </w:r>
    </w:p>
    <w:p w14:paraId="3AE1ABDB" w14:textId="77777777" w:rsidR="00D21C5C" w:rsidRPr="008D0DEB" w:rsidRDefault="00D21C5C" w:rsidP="0065556E">
      <w:r w:rsidRPr="008D0DEB">
        <w:t>In practice, SII can incorporate different financial instruments, including payment by results contracts, debt financing, and equity investments. It has been used in a wide range of social policy areas, including but not limited to affordable housing, healthcare, education, and microfinance. Impact investing has also been used in other sectors, for example in financing renewable energy projects or sustainable agriculture. The impact investing market is more mature in relation to environmental or climate initiatives compared to social, with a much larger overall size.</w:t>
      </w:r>
      <w:r w:rsidRPr="008D0DEB">
        <w:rPr>
          <w:rStyle w:val="FootnoteReference"/>
        </w:rPr>
        <w:footnoteReference w:id="6"/>
      </w:r>
      <w:r w:rsidRPr="008D0DEB">
        <w:t xml:space="preserve"> SII policy can draw on an expanded set of policy tools to catalyse or enable impact. One such tool is grants – it should be noted, however, that grants are not an instrument of impact investing, as they do not provide a financial return. </w:t>
      </w:r>
    </w:p>
    <w:p w14:paraId="7E8ACB98" w14:textId="77777777" w:rsidR="00D21C5C" w:rsidRPr="008D0DEB" w:rsidRDefault="00D21C5C" w:rsidP="0065556E">
      <w:r w:rsidRPr="008D0DEB">
        <w:t>An outcomes-based approach may not be appropriate in every instance, nor will it necessarily provide greater value for money. The assumption that appropriate financial incentives will be sufficient or effective in achieving government objectives may ignore the wide set of determinants of government-created ‘public value’ (one of these determinants being outcome achievement). Using SII to achieve government objectives does not replace the need to negotiate what those objectives ‘should’ be.</w:t>
      </w:r>
    </w:p>
    <w:p w14:paraId="2DB17AA9" w14:textId="77777777" w:rsidR="00D21C5C" w:rsidRPr="008D0DEB" w:rsidRDefault="00D21C5C" w:rsidP="0065556E">
      <w:r w:rsidRPr="008D0DEB">
        <w:t>In 2017, the Australian Treasury defined five key principles to guide Australian Government agencies that were engaging in SII (e.g. DSS).</w:t>
      </w:r>
      <w:r w:rsidRPr="008D0DEB">
        <w:rPr>
          <w:rStyle w:val="FootnoteReference"/>
        </w:rPr>
        <w:footnoteReference w:id="7"/>
      </w:r>
      <w:r w:rsidRPr="008D0DEB">
        <w:t xml:space="preserve"> The Treasury suggests that these agencies consider:</w:t>
      </w:r>
    </w:p>
    <w:p w14:paraId="37ED06AE" w14:textId="1A459904" w:rsidR="009B1909" w:rsidRPr="008D0DEB" w:rsidRDefault="00D21C5C" w:rsidP="0065556E">
      <w:pPr>
        <w:pStyle w:val="ListBullet"/>
      </w:pPr>
      <w:r w:rsidRPr="008D0DEB">
        <w:t>the Government's</w:t>
      </w:r>
      <w:r w:rsidR="009B1909" w:rsidRPr="008D0DEB">
        <w:t xml:space="preserve"> role as an enabler and developer of the market</w:t>
      </w:r>
    </w:p>
    <w:p w14:paraId="1B260194" w14:textId="77777777" w:rsidR="009B1909" w:rsidRPr="008D0DEB" w:rsidRDefault="009B1909" w:rsidP="0065556E">
      <w:pPr>
        <w:pStyle w:val="ListBullet"/>
      </w:pPr>
      <w:r w:rsidRPr="008D0DEB">
        <w:t>value for money co-design with stakeholders</w:t>
      </w:r>
    </w:p>
    <w:p w14:paraId="1C173F5E" w14:textId="77777777" w:rsidR="009B1909" w:rsidRPr="008D0DEB" w:rsidRDefault="009B1909" w:rsidP="0065556E">
      <w:pPr>
        <w:pStyle w:val="ListBullet"/>
      </w:pPr>
      <w:r w:rsidRPr="008D0DEB">
        <w:t>fair sharing of risk and return</w:t>
      </w:r>
    </w:p>
    <w:p w14:paraId="42E6C041" w14:textId="7B0BE9DE" w:rsidR="009B1909" w:rsidRPr="008D0DEB" w:rsidRDefault="009B1909" w:rsidP="0065556E">
      <w:pPr>
        <w:pStyle w:val="ListBullet"/>
      </w:pPr>
      <w:r w:rsidRPr="008D0DEB">
        <w:t>robust outcomes-based measurement and evaluation</w:t>
      </w:r>
    </w:p>
    <w:p w14:paraId="296A65EA" w14:textId="77777777" w:rsidR="009B1909" w:rsidRPr="008D0DEB" w:rsidRDefault="009B1909" w:rsidP="0065556E">
      <w:pPr>
        <w:pStyle w:val="ListBullet"/>
      </w:pPr>
      <w:r w:rsidRPr="008D0DEB">
        <w:t>outcomes that align with Australian Government policy priorities.</w:t>
      </w:r>
    </w:p>
    <w:p w14:paraId="2FC60AD2" w14:textId="578113B4" w:rsidR="00F02AAA" w:rsidRPr="004E1B29" w:rsidRDefault="006475EA" w:rsidP="0065556E">
      <w:pPr>
        <w:pStyle w:val="Heading2"/>
      </w:pPr>
      <w:bookmarkStart w:id="31" w:name="_Toc137210712"/>
      <w:bookmarkStart w:id="32" w:name="_Toc153801711"/>
      <w:r w:rsidRPr="004E1B29">
        <w:t xml:space="preserve">Australian Government involvement in </w:t>
      </w:r>
      <w:bookmarkEnd w:id="31"/>
      <w:r w:rsidR="00902C3B" w:rsidRPr="004E1B29">
        <w:t>social impact investing</w:t>
      </w:r>
      <w:bookmarkEnd w:id="32"/>
    </w:p>
    <w:p w14:paraId="5475BD7D" w14:textId="77777777" w:rsidR="00EF14DD" w:rsidRPr="008D0DEB" w:rsidRDefault="00EF14DD" w:rsidP="0065556E">
      <w:r w:rsidRPr="008D0DEB">
        <w:t>The Australian Government has been involved in building the SII market since 2011, with most investment allocated toward programs administered by the DSS with some administration costs attributed to the Australian Treasury. In its 2019-20 Budget, the Australian Government furthered its commitment to the SII market through the establishment of the SII Taskforce (the Taskforce) within the Department of the Prime Minister and Cabinet. The role of the Taskforce was to examine the Commonwealth’s role in the SII market.</w:t>
      </w:r>
      <w:r w:rsidRPr="008D0DEB">
        <w:rPr>
          <w:rStyle w:val="FootnoteReference"/>
          <w:color w:val="auto"/>
        </w:rPr>
        <w:footnoteReference w:id="8"/>
      </w:r>
      <w:r w:rsidRPr="008D0DEB">
        <w:t xml:space="preserve"> The Taskforce delivered its Interim Report</w:t>
      </w:r>
      <w:r w:rsidRPr="008D0DEB">
        <w:rPr>
          <w:rStyle w:val="FootnoteReference"/>
        </w:rPr>
        <w:footnoteReference w:id="9"/>
      </w:r>
      <w:r w:rsidRPr="008D0DEB">
        <w:t xml:space="preserve"> in 2020, articulating the potential role(s) for government as a market </w:t>
      </w:r>
      <w:r w:rsidRPr="008D0DEB">
        <w:rPr>
          <w:iCs/>
        </w:rPr>
        <w:t>facilitator</w:t>
      </w:r>
      <w:r w:rsidRPr="008D0DEB">
        <w:t xml:space="preserve">, through implementation of public policy; </w:t>
      </w:r>
      <w:r w:rsidRPr="008D0DEB">
        <w:rPr>
          <w:iCs/>
        </w:rPr>
        <w:t>regulator</w:t>
      </w:r>
      <w:r w:rsidRPr="008D0DEB">
        <w:t xml:space="preserve">, through its responsibility for legislation and regulations that affect markets; and </w:t>
      </w:r>
      <w:r w:rsidRPr="008D0DEB">
        <w:rPr>
          <w:iCs/>
        </w:rPr>
        <w:t>participant</w:t>
      </w:r>
      <w:r w:rsidRPr="008D0DEB">
        <w:t>, by paying for social outcomes through outcomes-based payments. These suggested roles have informed how we approached the potential role of government in this evaluation.</w:t>
      </w:r>
    </w:p>
    <w:p w14:paraId="6E2B6342" w14:textId="77777777" w:rsidR="00AA46CC" w:rsidRDefault="00AA46CC">
      <w:r>
        <w:br w:type="page"/>
      </w:r>
    </w:p>
    <w:p w14:paraId="43F33A47" w14:textId="6A2BF369" w:rsidR="00EF14DD" w:rsidRPr="008D0DEB" w:rsidRDefault="00EF14DD" w:rsidP="0065556E">
      <w:r w:rsidRPr="008D0DEB">
        <w:lastRenderedPageBreak/>
        <w:t>State and territory governments have also been working to grow the SII sector, through for example, the creation of specialist teams in central agencies (e.g. the Office of Social Impact Investment within NSW Treasury) or the introduction of policies to increase procurement from social enterprises (e.g. Victoria’s Social Procurement Framework).</w:t>
      </w:r>
      <w:r w:rsidRPr="008D0DEB">
        <w:rPr>
          <w:rStyle w:val="FootnoteReference"/>
        </w:rPr>
        <w:footnoteReference w:id="10"/>
      </w:r>
    </w:p>
    <w:p w14:paraId="650F95C6" w14:textId="1019C07F" w:rsidR="00EF14DD" w:rsidRPr="008D0DEB" w:rsidRDefault="00EF14DD" w:rsidP="0065556E">
      <w:r w:rsidRPr="008D0DEB">
        <w:t xml:space="preserve">The 2023-24 Australian Budget included a $199.8 </w:t>
      </w:r>
      <w:r w:rsidR="00433830" w:rsidRPr="008D0DEB">
        <w:t>million</w:t>
      </w:r>
      <w:r w:rsidRPr="008D0DEB">
        <w:t xml:space="preserve"> package of measures focused on ‘targeting entrenched community disadvantage’</w:t>
      </w:r>
      <w:r w:rsidRPr="008D0DEB">
        <w:rPr>
          <w:rStyle w:val="FootnoteReference"/>
        </w:rPr>
        <w:footnoteReference w:id="11"/>
      </w:r>
      <w:r w:rsidRPr="008D0DEB">
        <w:t xml:space="preserve"> – marking a renewed focus on SII in Australia. The package included:</w:t>
      </w:r>
    </w:p>
    <w:p w14:paraId="21F1C0EC" w14:textId="77777777" w:rsidR="00EF14DD" w:rsidRPr="008D0DEB" w:rsidRDefault="00EF14DD" w:rsidP="0065556E">
      <w:pPr>
        <w:pStyle w:val="ListBullet"/>
      </w:pPr>
      <w:r w:rsidRPr="008D0DEB">
        <w:t>$100 million over five years (from 2024-25) to establish a social impact investment Outcomes Fund that makes contractual payments to states, territories, and providers for agreed outcomes</w:t>
      </w:r>
    </w:p>
    <w:p w14:paraId="5282D81A" w14:textId="77777777" w:rsidR="00EF14DD" w:rsidRPr="008D0DEB" w:rsidRDefault="00EF14DD" w:rsidP="0065556E">
      <w:pPr>
        <w:pStyle w:val="ListBullet"/>
      </w:pPr>
      <w:r w:rsidRPr="008D0DEB">
        <w:t>$11.6 million to support eligible organisations in building their capacity to access capital and improve social outcomes.</w:t>
      </w:r>
    </w:p>
    <w:p w14:paraId="4C71950E" w14:textId="2A59B0DE" w:rsidR="00536C4A" w:rsidRDefault="00536C4A" w:rsidP="0065556E">
      <w:pPr>
        <w:pStyle w:val="Head3"/>
      </w:pPr>
      <w:bookmarkStart w:id="33" w:name="_Toc137219315"/>
      <w:bookmarkStart w:id="34" w:name="_Toc140826439"/>
      <w:bookmarkStart w:id="35" w:name="_Toc132191630"/>
      <w:r w:rsidRPr="008D0DEB">
        <w:t>History of Australian Government activity in SII</w:t>
      </w:r>
      <w:bookmarkEnd w:id="33"/>
      <w:bookmarkEnd w:id="34"/>
      <w:r w:rsidRPr="008D0DEB">
        <w:t xml:space="preserve"> </w:t>
      </w:r>
      <w:bookmarkEnd w:id="35"/>
    </w:p>
    <w:p w14:paraId="5431071A" w14:textId="2055FE16" w:rsidR="00846B92" w:rsidRDefault="00846B92" w:rsidP="0065556E">
      <w:pPr>
        <w:pStyle w:val="ListBullet"/>
      </w:pPr>
      <w:r>
        <w:t xml:space="preserve">2023 - </w:t>
      </w:r>
      <w:r w:rsidRPr="00846B92">
        <w:t>$199.8 million funding allocated to targeting entrenched community disadvantage and capacity building for for-purpose organisations (through the Outcomes Fund and otherwise)</w:t>
      </w:r>
    </w:p>
    <w:p w14:paraId="1E015548" w14:textId="34582B08" w:rsidR="00846B92" w:rsidRDefault="00846B92" w:rsidP="0065556E">
      <w:pPr>
        <w:pStyle w:val="ListBullet"/>
      </w:pPr>
      <w:r>
        <w:t>2021 – Social Impact Investing Taskforce reconvened</w:t>
      </w:r>
    </w:p>
    <w:p w14:paraId="3577A082" w14:textId="4CAE8C2C" w:rsidR="00846B92" w:rsidRDefault="00846B92" w:rsidP="0065556E">
      <w:pPr>
        <w:pStyle w:val="ListBullet"/>
      </w:pPr>
      <w:r>
        <w:t>2019 - $14.1m funding for DSS Payment by Outcomes (PBO) trials</w:t>
      </w:r>
    </w:p>
    <w:p w14:paraId="5F444DD2" w14:textId="195A6623" w:rsidR="00846B92" w:rsidRDefault="00846B92" w:rsidP="0065556E">
      <w:pPr>
        <w:pStyle w:val="ListBullet2"/>
      </w:pPr>
      <w:r>
        <w:t>SII Taskforce announced</w:t>
      </w:r>
    </w:p>
    <w:p w14:paraId="61D898BD" w14:textId="77777777" w:rsidR="00846B92" w:rsidRDefault="00846B92" w:rsidP="0065556E">
      <w:pPr>
        <w:pStyle w:val="ListBullet"/>
      </w:pPr>
      <w:r>
        <w:t>2018 - $8.3 million funding to expand SII trials</w:t>
      </w:r>
    </w:p>
    <w:p w14:paraId="4D687A61" w14:textId="77777777" w:rsidR="00846B92" w:rsidRDefault="00846B92" w:rsidP="0065556E">
      <w:pPr>
        <w:pStyle w:val="ListBullet2"/>
      </w:pPr>
      <w:r>
        <w:t>Government committed to work in partnership to scale the impact investment market</w:t>
      </w:r>
    </w:p>
    <w:p w14:paraId="3C0D128C" w14:textId="463362FC" w:rsidR="00846B92" w:rsidRDefault="00846B92" w:rsidP="0065556E">
      <w:pPr>
        <w:pStyle w:val="ListBullet"/>
      </w:pPr>
      <w:r>
        <w:t xml:space="preserve">2017 - </w:t>
      </w:r>
      <w:r w:rsidRPr="00846B92">
        <w:t>$30.3 million funding for DSS SII trials: State Partnerships ($22.3 million) and Sector Readiness Fund (SRF; $8m)</w:t>
      </w:r>
    </w:p>
    <w:p w14:paraId="72C10BA2" w14:textId="77777777" w:rsidR="00846B92" w:rsidRDefault="00846B92" w:rsidP="0065556E">
      <w:pPr>
        <w:pStyle w:val="ListBullet2"/>
      </w:pPr>
      <w:r>
        <w:t xml:space="preserve">SII Discussion Paper released </w:t>
      </w:r>
    </w:p>
    <w:p w14:paraId="72E83544" w14:textId="77777777" w:rsidR="00846B92" w:rsidRDefault="00846B92" w:rsidP="0065556E">
      <w:pPr>
        <w:pStyle w:val="ListBullet2"/>
      </w:pPr>
      <w:r>
        <w:t>Treasury releases principles for the Australian Government’s involvement in the SII market</w:t>
      </w:r>
    </w:p>
    <w:p w14:paraId="3C694493" w14:textId="24D3D1EE" w:rsidR="00846B92" w:rsidRDefault="00846B92" w:rsidP="0065556E">
      <w:pPr>
        <w:pStyle w:val="ListBullet"/>
      </w:pPr>
      <w:r>
        <w:t xml:space="preserve">2015 - </w:t>
      </w:r>
      <w:r w:rsidRPr="0065556E">
        <w:rPr>
          <w:iCs/>
        </w:rPr>
        <w:t>A New System for Better Employment and Social Outcomes</w:t>
      </w:r>
      <w:r w:rsidRPr="008D0DEB">
        <w:t xml:space="preserve"> report</w:t>
      </w:r>
      <w:r w:rsidRPr="008D0DEB">
        <w:rPr>
          <w:rStyle w:val="FootnoteReference"/>
        </w:rPr>
        <w:footnoteReference w:id="12"/>
      </w:r>
      <w:r w:rsidRPr="008D0DEB">
        <w:t xml:space="preserve"> recommends the Government expand outcomes-based contracting</w:t>
      </w:r>
    </w:p>
    <w:p w14:paraId="6D295F2A" w14:textId="121D66CE" w:rsidR="00846B92" w:rsidRDefault="00846B92" w:rsidP="0065556E">
      <w:pPr>
        <w:pStyle w:val="ListBullet"/>
      </w:pPr>
      <w:r>
        <w:t xml:space="preserve">2014 - </w:t>
      </w:r>
      <w:r w:rsidRPr="008D0DEB">
        <w:t>The Financial System Inquiry recommends Government help develop the impact investing market</w:t>
      </w:r>
    </w:p>
    <w:p w14:paraId="0CFDBA9D" w14:textId="56FDD9C9" w:rsidR="00846B92" w:rsidRPr="00083534" w:rsidRDefault="00846B92" w:rsidP="0065556E">
      <w:pPr>
        <w:pStyle w:val="ListBullet"/>
      </w:pPr>
      <w:r>
        <w:t xml:space="preserve">2011 - </w:t>
      </w:r>
      <w:r w:rsidRPr="008D0DEB">
        <w:t>$20 million Social Enterprise and Development Investment Fund created to invest in social enterprises, and to be matched by investors</w:t>
      </w:r>
    </w:p>
    <w:p w14:paraId="77D46210" w14:textId="1692C828" w:rsidR="00DE1850" w:rsidRPr="00083534" w:rsidRDefault="00216FD7" w:rsidP="0065556E">
      <w:r w:rsidRPr="008D0DEB">
        <w:t xml:space="preserve">(Source: </w:t>
      </w:r>
      <w:r w:rsidR="001B72F2" w:rsidRPr="008D0DEB">
        <w:t xml:space="preserve">Adapted from the </w:t>
      </w:r>
      <w:r w:rsidRPr="008D0DEB">
        <w:t>SII Taskforce Interim Report)</w:t>
      </w:r>
    </w:p>
    <w:p w14:paraId="7990C844" w14:textId="0B443281" w:rsidR="0075024F" w:rsidRPr="008D0DEB" w:rsidRDefault="0075024F" w:rsidP="0065556E">
      <w:pPr>
        <w:pStyle w:val="Heading2"/>
      </w:pPr>
      <w:bookmarkStart w:id="36" w:name="_Toc137210713"/>
      <w:bookmarkStart w:id="37" w:name="_Toc153801712"/>
      <w:r w:rsidRPr="008D0DEB">
        <w:t xml:space="preserve">The </w:t>
      </w:r>
      <w:r w:rsidR="00A86803" w:rsidRPr="008D0DEB">
        <w:t xml:space="preserve">Department of Social Services </w:t>
      </w:r>
      <w:r w:rsidR="00902C3B" w:rsidRPr="008D0DEB">
        <w:t>Social Impact Investing</w:t>
      </w:r>
      <w:r w:rsidRPr="008D0DEB">
        <w:t xml:space="preserve"> Trials</w:t>
      </w:r>
      <w:bookmarkEnd w:id="36"/>
      <w:bookmarkEnd w:id="37"/>
    </w:p>
    <w:p w14:paraId="203F85BC" w14:textId="77777777" w:rsidR="001B1201" w:rsidRPr="008D0DEB" w:rsidRDefault="00AB05FA" w:rsidP="0065556E">
      <w:r w:rsidRPr="008D0DEB">
        <w:t>Since 201</w:t>
      </w:r>
      <w:r w:rsidR="00AF76CB" w:rsidRPr="008D0DEB">
        <w:t>7</w:t>
      </w:r>
      <w:r w:rsidRPr="008D0DEB">
        <w:t xml:space="preserve">, </w:t>
      </w:r>
      <w:r w:rsidR="00AF76CB" w:rsidRPr="008D0DEB">
        <w:t>DSS</w:t>
      </w:r>
      <w:r w:rsidR="0075024F" w:rsidRPr="008D0DEB">
        <w:t xml:space="preserve"> </w:t>
      </w:r>
      <w:r w:rsidR="00B80E83" w:rsidRPr="008D0DEB">
        <w:t xml:space="preserve">has </w:t>
      </w:r>
      <w:r w:rsidR="005842D7" w:rsidRPr="008D0DEB">
        <w:t>managed</w:t>
      </w:r>
      <w:r w:rsidR="0075024F" w:rsidRPr="008D0DEB">
        <w:t xml:space="preserve"> $52.7 million across four specific ‘trials’ in SII</w:t>
      </w:r>
      <w:r w:rsidR="007132DF" w:rsidRPr="008D0DEB">
        <w:t>.</w:t>
      </w:r>
      <w:r w:rsidR="00FE2FB4" w:rsidRPr="008D0DEB">
        <w:t xml:space="preserve"> </w:t>
      </w:r>
      <w:r w:rsidR="001B1201" w:rsidRPr="008D0DEB">
        <w:t xml:space="preserve">The </w:t>
      </w:r>
      <w:r w:rsidR="0029167C" w:rsidRPr="008D0DEB">
        <w:t>trials</w:t>
      </w:r>
      <w:r w:rsidR="001B1201" w:rsidRPr="008D0DEB">
        <w:t xml:space="preserve"> were </w:t>
      </w:r>
      <w:r w:rsidR="0029167C" w:rsidRPr="008D0DEB">
        <w:t>funded</w:t>
      </w:r>
      <w:r w:rsidR="001B1201" w:rsidRPr="008D0DEB">
        <w:t xml:space="preserve"> by the Australian Government as it considered its role in the social impact investing market</w:t>
      </w:r>
      <w:r w:rsidR="00A67002" w:rsidRPr="008D0DEB">
        <w:t>, following t</w:t>
      </w:r>
      <w:r w:rsidR="001B1201" w:rsidRPr="008D0DEB">
        <w:t xml:space="preserve">he </w:t>
      </w:r>
      <w:r w:rsidR="00A67002" w:rsidRPr="008D0DEB">
        <w:t>release of the</w:t>
      </w:r>
      <w:r w:rsidR="001B1201" w:rsidRPr="008D0DEB">
        <w:t xml:space="preserve"> Treasury principles, </w:t>
      </w:r>
      <w:r w:rsidR="00B157D4" w:rsidRPr="008D0DEB">
        <w:t xml:space="preserve">and </w:t>
      </w:r>
      <w:r w:rsidR="00C33BDE" w:rsidRPr="008D0DEB">
        <w:t xml:space="preserve">were </w:t>
      </w:r>
      <w:r w:rsidR="001B1201" w:rsidRPr="008D0DEB">
        <w:t xml:space="preserve">informed by 100 market submissions </w:t>
      </w:r>
      <w:r w:rsidR="00C33BDE" w:rsidRPr="008D0DEB">
        <w:t>responding</w:t>
      </w:r>
      <w:r w:rsidR="001B1201" w:rsidRPr="008D0DEB">
        <w:t xml:space="preserve"> to its Discussion Paper on </w:t>
      </w:r>
      <w:r w:rsidR="00C33BDE" w:rsidRPr="008D0DEB">
        <w:t>SII.</w:t>
      </w:r>
      <w:r w:rsidR="00216FD7" w:rsidRPr="008D0DEB">
        <w:t xml:space="preserve"> This report focuses specifically on these four trials.</w:t>
      </w:r>
    </w:p>
    <w:p w14:paraId="42A6F3CC" w14:textId="77777777" w:rsidR="00AA46CC" w:rsidRDefault="00AA46CC">
      <w:r>
        <w:br w:type="page"/>
      </w:r>
    </w:p>
    <w:p w14:paraId="3FFA320C" w14:textId="704C8569" w:rsidR="007132DF" w:rsidRPr="008D0DEB" w:rsidRDefault="00FE2FB4" w:rsidP="0065556E">
      <w:r w:rsidRPr="008D0DEB">
        <w:lastRenderedPageBreak/>
        <w:t xml:space="preserve">Two of </w:t>
      </w:r>
      <w:r w:rsidR="00216FD7" w:rsidRPr="008D0DEB">
        <w:t>the</w:t>
      </w:r>
      <w:r w:rsidRPr="008D0DEB">
        <w:t xml:space="preserve"> trials </w:t>
      </w:r>
      <w:r w:rsidR="0011771E" w:rsidRPr="008D0DEB">
        <w:t xml:space="preserve">(the PBO trials and State Partnerships) have </w:t>
      </w:r>
      <w:r w:rsidRPr="008D0DEB">
        <w:t xml:space="preserve">focused on testing innovative </w:t>
      </w:r>
      <w:r w:rsidR="0011771E" w:rsidRPr="008D0DEB">
        <w:t>ways</w:t>
      </w:r>
      <w:r w:rsidRPr="008D0DEB">
        <w:t xml:space="preserve"> </w:t>
      </w:r>
      <w:r w:rsidR="00002CA8" w:rsidRPr="008D0DEB">
        <w:t>of</w:t>
      </w:r>
      <w:r w:rsidRPr="008D0DEB">
        <w:t xml:space="preserve"> funding for-purpose organisations</w:t>
      </w:r>
      <w:r w:rsidR="0011771E" w:rsidRPr="008D0DEB">
        <w:t xml:space="preserve">. </w:t>
      </w:r>
      <w:r w:rsidR="00C33BDE" w:rsidRPr="008D0DEB">
        <w:t>The other two (SRF and the</w:t>
      </w:r>
      <w:r w:rsidR="0011771E" w:rsidRPr="008D0DEB">
        <w:t xml:space="preserve"> Outcomes Measurement Initiative</w:t>
      </w:r>
      <w:r w:rsidR="00FE0DC8" w:rsidRPr="008D0DEB">
        <w:t xml:space="preserve"> [OMI]</w:t>
      </w:r>
      <w:r w:rsidR="0011771E" w:rsidRPr="008D0DEB">
        <w:t>) were</w:t>
      </w:r>
      <w:r w:rsidRPr="008D0DEB">
        <w:t xml:space="preserve"> geared toward building </w:t>
      </w:r>
      <w:r w:rsidR="0011771E" w:rsidRPr="008D0DEB">
        <w:t xml:space="preserve">the </w:t>
      </w:r>
      <w:r w:rsidRPr="008D0DEB">
        <w:t xml:space="preserve">capacity </w:t>
      </w:r>
      <w:r w:rsidR="0011771E" w:rsidRPr="008D0DEB">
        <w:t>of for-purpose organisations and intermediaries in the sector.</w:t>
      </w:r>
    </w:p>
    <w:p w14:paraId="17EE7D7A" w14:textId="507B42F1" w:rsidR="0030752F" w:rsidRDefault="0030752F" w:rsidP="0065556E">
      <w:pPr>
        <w:pStyle w:val="Head3"/>
      </w:pPr>
      <w:bookmarkStart w:id="38" w:name="_Toc140826440"/>
      <w:r w:rsidRPr="008D0DEB">
        <w:t xml:space="preserve">The SII </w:t>
      </w:r>
      <w:r w:rsidR="008C47D6">
        <w:t>T</w:t>
      </w:r>
      <w:r w:rsidRPr="008D0DEB">
        <w:t>rials</w:t>
      </w:r>
      <w:bookmarkEnd w:id="38"/>
    </w:p>
    <w:p w14:paraId="5B169D56" w14:textId="25431325" w:rsidR="008C47D6" w:rsidRDefault="008C47D6" w:rsidP="0065556E">
      <w:pPr>
        <w:pStyle w:val="Head4"/>
      </w:pPr>
      <w:r>
        <w:t>Sector Readiness Fund</w:t>
      </w:r>
    </w:p>
    <w:p w14:paraId="1EAE8E5E" w14:textId="74D8B965" w:rsidR="008C47D6" w:rsidRDefault="008C47D6" w:rsidP="0065556E">
      <w:pPr>
        <w:pStyle w:val="ListBullet"/>
      </w:pPr>
      <w:r>
        <w:t>Funding: $8 million</w:t>
      </w:r>
    </w:p>
    <w:p w14:paraId="394D4D54" w14:textId="70A92957" w:rsidR="008C47D6" w:rsidRDefault="008C47D6" w:rsidP="0065556E">
      <w:pPr>
        <w:pStyle w:val="ListBullet"/>
      </w:pPr>
      <w:r>
        <w:t>Timing: 2018-19 to 2022-23</w:t>
      </w:r>
    </w:p>
    <w:p w14:paraId="24A3E4EB" w14:textId="6CFC7EB2" w:rsidR="008C47D6" w:rsidRDefault="008C47D6" w:rsidP="0065556E">
      <w:pPr>
        <w:pStyle w:val="ListBullet"/>
      </w:pPr>
      <w:r>
        <w:t xml:space="preserve">Objective: </w:t>
      </w:r>
      <w:r w:rsidRPr="008D0DEB">
        <w:t>Build capacity in the non-government and private sectors to develop SII proposals.</w:t>
      </w:r>
    </w:p>
    <w:p w14:paraId="586F7CE3" w14:textId="77777777" w:rsidR="008C47D6" w:rsidRDefault="008C47D6" w:rsidP="0065556E">
      <w:pPr>
        <w:pStyle w:val="ListBullet"/>
      </w:pPr>
      <w:r>
        <w:t>Partner organisations: Impact Investing Australia</w:t>
      </w:r>
    </w:p>
    <w:p w14:paraId="2D957531" w14:textId="4816F372" w:rsidR="008C47D6" w:rsidRDefault="008C47D6" w:rsidP="0065556E">
      <w:pPr>
        <w:pStyle w:val="ListBullet2"/>
      </w:pPr>
      <w:r>
        <w:t>58 social enterprises were supported to raise capital, 17 achieved a combined investment amount of $62.2 million.</w:t>
      </w:r>
    </w:p>
    <w:p w14:paraId="19424431" w14:textId="197A8010" w:rsidR="008C47D6" w:rsidRDefault="008C47D6" w:rsidP="0065556E">
      <w:pPr>
        <w:pStyle w:val="Head4"/>
      </w:pPr>
      <w:r>
        <w:t>Payment by Outcome Trials (PBO)</w:t>
      </w:r>
    </w:p>
    <w:p w14:paraId="36285BB1" w14:textId="553CE77C" w:rsidR="008C47D6" w:rsidRDefault="008C47D6" w:rsidP="0065556E">
      <w:pPr>
        <w:pStyle w:val="ListBullet"/>
      </w:pPr>
      <w:r>
        <w:t>Funding: $15.7 million</w:t>
      </w:r>
    </w:p>
    <w:p w14:paraId="455252E4" w14:textId="4A4566D3" w:rsidR="008C47D6" w:rsidRDefault="008C47D6" w:rsidP="0065556E">
      <w:pPr>
        <w:pStyle w:val="ListBullet"/>
      </w:pPr>
      <w:r>
        <w:t>Timing: 2019-20 to 2026-27</w:t>
      </w:r>
    </w:p>
    <w:p w14:paraId="0ADB4219" w14:textId="77777777" w:rsidR="008C47D6" w:rsidRDefault="008C47D6" w:rsidP="0065556E">
      <w:pPr>
        <w:pStyle w:val="ListBullet"/>
      </w:pPr>
      <w:r>
        <w:t xml:space="preserve">Objective: </w:t>
      </w:r>
      <w:r w:rsidRPr="008C47D6">
        <w:t>Improve DSS’ understanding of outcomes-based contracting and evaluate the opportunities of SII financial models in addressing social disadvantage.</w:t>
      </w:r>
    </w:p>
    <w:p w14:paraId="57548EE0" w14:textId="10274E22" w:rsidR="008C47D6" w:rsidRDefault="008C47D6" w:rsidP="0065556E">
      <w:pPr>
        <w:pStyle w:val="ListBullet"/>
      </w:pPr>
      <w:r>
        <w:t xml:space="preserve">Partner organisations: </w:t>
      </w:r>
    </w:p>
    <w:p w14:paraId="601037A9" w14:textId="32C6FB1B" w:rsidR="008C47D6" w:rsidRDefault="008C47D6" w:rsidP="0065556E">
      <w:pPr>
        <w:pStyle w:val="ListBullet2"/>
      </w:pPr>
      <w:r>
        <w:t>Many Rivers Microenterprise</w:t>
      </w:r>
    </w:p>
    <w:p w14:paraId="6562F3F3" w14:textId="77777777" w:rsidR="008C47D6" w:rsidRDefault="008C47D6" w:rsidP="0065556E">
      <w:pPr>
        <w:pStyle w:val="ListBullet2"/>
      </w:pPr>
      <w:r>
        <w:t xml:space="preserve">54 reasons (Save the Children) </w:t>
      </w:r>
    </w:p>
    <w:p w14:paraId="649E51A6" w14:textId="1DEB4280" w:rsidR="008C47D6" w:rsidRDefault="008C47D6" w:rsidP="0065556E">
      <w:pPr>
        <w:pStyle w:val="ListBullet2"/>
      </w:pPr>
      <w:r>
        <w:t>Tasmanian Government</w:t>
      </w:r>
    </w:p>
    <w:p w14:paraId="28AF4471" w14:textId="77777777" w:rsidR="008C47D6" w:rsidRDefault="008C47D6" w:rsidP="0065556E">
      <w:pPr>
        <w:pStyle w:val="ListBullet2"/>
      </w:pPr>
      <w:r>
        <w:t>Paul Ramsay Foundation</w:t>
      </w:r>
    </w:p>
    <w:p w14:paraId="4EED2AD1" w14:textId="1AA95DB6" w:rsidR="008C47D6" w:rsidRDefault="008C47D6" w:rsidP="0065556E">
      <w:pPr>
        <w:pStyle w:val="ListBullet2"/>
      </w:pPr>
      <w:r>
        <w:t>White Box Enterprises</w:t>
      </w:r>
    </w:p>
    <w:p w14:paraId="6E7CCEA7" w14:textId="33E6CBD4" w:rsidR="008C47D6" w:rsidRDefault="008C47D6" w:rsidP="0065556E">
      <w:pPr>
        <w:pStyle w:val="Head4"/>
      </w:pPr>
      <w:r>
        <w:t>State and Territory Partnership Trials</w:t>
      </w:r>
    </w:p>
    <w:p w14:paraId="6A1DDB66" w14:textId="1D1E8BB5" w:rsidR="008C47D6" w:rsidRDefault="008C47D6" w:rsidP="0065556E">
      <w:pPr>
        <w:pStyle w:val="ListBullet"/>
      </w:pPr>
      <w:r>
        <w:t>Funding: $22.3 million</w:t>
      </w:r>
    </w:p>
    <w:p w14:paraId="1676CDFF" w14:textId="54539ABE" w:rsidR="008C47D6" w:rsidRDefault="008C47D6" w:rsidP="0065556E">
      <w:pPr>
        <w:pStyle w:val="ListBullet"/>
      </w:pPr>
      <w:r>
        <w:t>Timing: 2017-18 to 2026-27</w:t>
      </w:r>
    </w:p>
    <w:p w14:paraId="237A2DBC" w14:textId="77777777" w:rsidR="008C47D6" w:rsidRDefault="008C47D6" w:rsidP="0065556E">
      <w:pPr>
        <w:pStyle w:val="ListBullet"/>
      </w:pPr>
      <w:r>
        <w:t>Objective: Increase the Government’s, understanding of SII initiatives, experience in developing and managing SII contracts, and ability to manage and share data with other governments.</w:t>
      </w:r>
    </w:p>
    <w:p w14:paraId="44FA9FF5" w14:textId="77777777" w:rsidR="008C47D6" w:rsidRDefault="008C47D6" w:rsidP="0065556E">
      <w:pPr>
        <w:pStyle w:val="ListBullet2"/>
      </w:pPr>
      <w:r>
        <w:t>Develop an understanding of savings at different levels of government.</w:t>
      </w:r>
    </w:p>
    <w:p w14:paraId="3202191D" w14:textId="40529ED4" w:rsidR="008C47D6" w:rsidRDefault="008C47D6" w:rsidP="001800CC">
      <w:pPr>
        <w:pStyle w:val="ListBullet"/>
      </w:pPr>
      <w:r>
        <w:t xml:space="preserve">Partner organisations: New South Wales </w:t>
      </w:r>
      <w:r w:rsidR="003F3710">
        <w:t xml:space="preserve">and South Australian </w:t>
      </w:r>
      <w:r>
        <w:t>Government</w:t>
      </w:r>
      <w:r w:rsidR="003F3710">
        <w:t>s</w:t>
      </w:r>
    </w:p>
    <w:p w14:paraId="3826444E" w14:textId="69471F49" w:rsidR="008C47D6" w:rsidRDefault="008C47D6" w:rsidP="0065556E">
      <w:pPr>
        <w:pStyle w:val="Head4"/>
      </w:pPr>
      <w:r>
        <w:t>Outcome Measurement Initiative</w:t>
      </w:r>
    </w:p>
    <w:p w14:paraId="0D71C373" w14:textId="7C4320E6" w:rsidR="008C47D6" w:rsidRDefault="008C47D6" w:rsidP="0065556E">
      <w:pPr>
        <w:pStyle w:val="ListBullet"/>
      </w:pPr>
      <w:r>
        <w:t>Funding: $6.7 million</w:t>
      </w:r>
    </w:p>
    <w:p w14:paraId="6063DC0E" w14:textId="0532B131" w:rsidR="008C47D6" w:rsidRDefault="008C47D6" w:rsidP="0065556E">
      <w:pPr>
        <w:pStyle w:val="ListBullet"/>
      </w:pPr>
      <w:r>
        <w:t>Timing: 2018-19 to 2021-22</w:t>
      </w:r>
    </w:p>
    <w:p w14:paraId="37129118" w14:textId="6221084E" w:rsidR="008C47D6" w:rsidRDefault="008C47D6" w:rsidP="0065556E">
      <w:pPr>
        <w:pStyle w:val="ListBullet"/>
      </w:pPr>
      <w:r>
        <w:t xml:space="preserve">Objective: </w:t>
      </w:r>
      <w:r w:rsidRPr="008C47D6">
        <w:t xml:space="preserve">To grow SII by helping for-purpose organisations define, measure and communicate their non-financial outcomes and social impact </w:t>
      </w:r>
      <w:r>
        <w:t>Develop an understanding of savings at different levels of government.</w:t>
      </w:r>
    </w:p>
    <w:p w14:paraId="69E4B7FD" w14:textId="14FDF844" w:rsidR="008C47D6" w:rsidRPr="00083534" w:rsidRDefault="008C47D6" w:rsidP="004804B0">
      <w:pPr>
        <w:pStyle w:val="ListBullet"/>
      </w:pPr>
      <w:r>
        <w:t>Partner organisations: Global Sisters</w:t>
      </w:r>
      <w:r w:rsidR="003F3710">
        <w:t xml:space="preserve"> and V</w:t>
      </w:r>
      <w:r>
        <w:t>anguard Laundry</w:t>
      </w:r>
      <w:r w:rsidR="003F3710">
        <w:t>.</w:t>
      </w:r>
    </w:p>
    <w:p w14:paraId="267EEE7D" w14:textId="48CA7298" w:rsidR="00E56A22" w:rsidRPr="00075BD2" w:rsidRDefault="00E56A22" w:rsidP="0065556E">
      <w:pPr>
        <w:pStyle w:val="Heading2"/>
      </w:pPr>
      <w:bookmarkStart w:id="39" w:name="_Toc137210714"/>
      <w:bookmarkStart w:id="40" w:name="_Toc153801713"/>
      <w:r w:rsidRPr="00075BD2">
        <w:lastRenderedPageBreak/>
        <w:t>This projec</w:t>
      </w:r>
      <w:r w:rsidR="00D92AD7" w:rsidRPr="00075BD2">
        <w:t>t</w:t>
      </w:r>
      <w:bookmarkEnd w:id="39"/>
      <w:bookmarkEnd w:id="40"/>
    </w:p>
    <w:p w14:paraId="1731591D" w14:textId="77777777" w:rsidR="00A9728D" w:rsidRPr="008D0DEB" w:rsidRDefault="00A9728D" w:rsidP="0065556E">
      <w:r w:rsidRPr="008D0DEB">
        <w:t>In 2023, DSS engaged Urbis to conduct an evaluation of the SII trials. While evaluations of individual trials had previously been undertaken, this evaluation focused on capturing learnings from the whole body of work undertaken by DSS over the five-year period. The evaluation sought to uncover:</w:t>
      </w:r>
    </w:p>
    <w:p w14:paraId="5B346641" w14:textId="77777777" w:rsidR="00A9728D" w:rsidRPr="008D0DEB" w:rsidRDefault="00A9728D" w:rsidP="0065556E">
      <w:pPr>
        <w:pStyle w:val="ListBullet"/>
      </w:pPr>
      <w:r w:rsidRPr="008D0DEB">
        <w:t>the Government’s role in building the SII market (furthering the conceptual work undertaken by the Taskforce)</w:t>
      </w:r>
    </w:p>
    <w:p w14:paraId="0443B8B6" w14:textId="77777777" w:rsidR="000D2D3A" w:rsidRPr="008D0DEB" w:rsidRDefault="000D2D3A" w:rsidP="0065556E">
      <w:pPr>
        <w:pStyle w:val="ListBullet"/>
      </w:pPr>
      <w:r w:rsidRPr="008D0DEB">
        <w:t>the effectiveness of outcome</w:t>
      </w:r>
      <w:r w:rsidR="00980829" w:rsidRPr="008D0DEB">
        <w:t>-</w:t>
      </w:r>
      <w:r w:rsidRPr="008D0DEB">
        <w:t>based financial models</w:t>
      </w:r>
      <w:r w:rsidR="00BF7667" w:rsidRPr="008D0DEB">
        <w:t>, using the evidence from the trials</w:t>
      </w:r>
    </w:p>
    <w:p w14:paraId="3511E394" w14:textId="77777777" w:rsidR="00A9728D" w:rsidRPr="008D0DEB" w:rsidRDefault="00A9728D" w:rsidP="0065556E">
      <w:pPr>
        <w:pStyle w:val="ListBullet"/>
      </w:pPr>
      <w:r w:rsidRPr="008D0DEB">
        <w:t>how entrenched social disadvantage may be better addressed.</w:t>
      </w:r>
    </w:p>
    <w:p w14:paraId="0A5466DB" w14:textId="77777777" w:rsidR="00A9728D" w:rsidRPr="008D0DEB" w:rsidRDefault="00A9728D" w:rsidP="0065556E">
      <w:r w:rsidRPr="008D0DEB">
        <w:t>The 2023-24 Budget was delivered midway through project completion, changing the context of the report. Accordingly, we examined how DSS (and the SII unit) could embed learnings from the trials, with respect to the new budget measures and the new role of the SII unit in DSS.</w:t>
      </w:r>
    </w:p>
    <w:p w14:paraId="62FA9AFA" w14:textId="77777777" w:rsidR="005B5794" w:rsidRPr="008D0DEB" w:rsidRDefault="008B2092" w:rsidP="00187144">
      <w:pPr>
        <w:pStyle w:val="Head2"/>
      </w:pPr>
      <w:bookmarkStart w:id="41" w:name="_Toc137210906"/>
      <w:bookmarkStart w:id="42" w:name="_Toc137211148"/>
      <w:bookmarkStart w:id="43" w:name="_Toc137219003"/>
      <w:bookmarkStart w:id="44" w:name="_Toc153801714"/>
      <w:r w:rsidRPr="008D0DEB">
        <w:t xml:space="preserve">Evaluation </w:t>
      </w:r>
      <w:bookmarkEnd w:id="41"/>
      <w:bookmarkEnd w:id="42"/>
      <w:bookmarkEnd w:id="43"/>
      <w:r w:rsidR="005B5794" w:rsidRPr="008D0DEB">
        <w:t>Method</w:t>
      </w:r>
      <w:r w:rsidRPr="008D0DEB">
        <w:t>ology</w:t>
      </w:r>
      <w:bookmarkEnd w:id="44"/>
    </w:p>
    <w:p w14:paraId="4318443C" w14:textId="77777777" w:rsidR="008B2092" w:rsidRPr="008D0DEB" w:rsidRDefault="008B2092" w:rsidP="0065556E">
      <w:pPr>
        <w:pStyle w:val="Head3"/>
      </w:pPr>
      <w:bookmarkStart w:id="45" w:name="_Toc137210907"/>
      <w:bookmarkStart w:id="46" w:name="_Toc137211149"/>
      <w:bookmarkStart w:id="47" w:name="_Toc137219004"/>
      <w:r w:rsidRPr="008D0DEB">
        <w:t>E</w:t>
      </w:r>
      <w:r w:rsidR="001B5F19" w:rsidRPr="008D0DEB">
        <w:t>valuation overview</w:t>
      </w:r>
      <w:bookmarkEnd w:id="45"/>
      <w:bookmarkEnd w:id="46"/>
      <w:bookmarkEnd w:id="47"/>
    </w:p>
    <w:p w14:paraId="14FE7C5A" w14:textId="77777777" w:rsidR="00A9728D" w:rsidRPr="008D0DEB" w:rsidRDefault="00A9728D" w:rsidP="0065556E">
      <w:r w:rsidRPr="008D0DEB">
        <w:t>The evaluation of the SII trials commenced in February 2023 and was completed in June 2023. The evaluation comprised a document review of key program documents provided by DSS, a series of stakeholder interviews with DSS and external stakeholders, and a workshop with the SII unit.</w:t>
      </w:r>
    </w:p>
    <w:p w14:paraId="01F55846" w14:textId="58EA351C" w:rsidR="0006790D" w:rsidRPr="008D0DEB" w:rsidRDefault="00FD4510" w:rsidP="0065556E">
      <w:pPr>
        <w:pStyle w:val="Head3"/>
      </w:pPr>
      <w:bookmarkStart w:id="48" w:name="_Toc137210908"/>
      <w:bookmarkStart w:id="49" w:name="_Toc137211150"/>
      <w:bookmarkStart w:id="50" w:name="_Toc137219005"/>
      <w:r w:rsidRPr="008D0DEB">
        <w:t xml:space="preserve">Key </w:t>
      </w:r>
      <w:r w:rsidR="0036333F" w:rsidRPr="008D0DEB">
        <w:t>e</w:t>
      </w:r>
      <w:r w:rsidRPr="008D0DEB">
        <w:t xml:space="preserve">valuation </w:t>
      </w:r>
      <w:r w:rsidR="0036333F" w:rsidRPr="008D0DEB">
        <w:t>q</w:t>
      </w:r>
      <w:r w:rsidRPr="008D0DEB">
        <w:t>uestions</w:t>
      </w:r>
      <w:bookmarkEnd w:id="48"/>
      <w:bookmarkEnd w:id="49"/>
      <w:bookmarkEnd w:id="50"/>
      <w:r w:rsidR="00E05B92" w:rsidRPr="008D0DEB">
        <w:t xml:space="preserve"> (KEQs)</w:t>
      </w:r>
    </w:p>
    <w:p w14:paraId="64238D9E" w14:textId="5D30EA4C" w:rsidR="00064642" w:rsidRPr="008D0DEB" w:rsidRDefault="00925E6B" w:rsidP="0065556E">
      <w:pPr>
        <w:pStyle w:val="Caption"/>
        <w:rPr>
          <w:rFonts w:eastAsiaTheme="minorEastAsia"/>
        </w:rPr>
      </w:pPr>
      <w:r w:rsidRPr="008D0DEB">
        <w:t>The evaluation of SII seeks to answer the following eight evaluation questions:</w:t>
      </w:r>
      <w:bookmarkStart w:id="51" w:name="_Toc137219317"/>
    </w:p>
    <w:bookmarkEnd w:id="51"/>
    <w:p w14:paraId="0A9D5025" w14:textId="18937D04" w:rsidR="00BD72A0" w:rsidRPr="008D0DEB" w:rsidRDefault="00E05B92" w:rsidP="0065556E">
      <w:pPr>
        <w:pStyle w:val="Head4"/>
      </w:pPr>
      <w:r w:rsidRPr="008D0DEB">
        <w:t>Role of Government</w:t>
      </w:r>
    </w:p>
    <w:p w14:paraId="6D2FCDAE" w14:textId="3BD353F6" w:rsidR="00E05B92" w:rsidRPr="008D0DEB" w:rsidRDefault="00E05B92" w:rsidP="0065556E">
      <w:pPr>
        <w:pStyle w:val="ListNumber"/>
      </w:pPr>
      <w:r w:rsidRPr="008D0DEB">
        <w:t>What does evidence from the trials say about the role the Australian Government should play in the SII sector, and why?</w:t>
      </w:r>
    </w:p>
    <w:p w14:paraId="3548D4B1" w14:textId="018E331C" w:rsidR="00E05B92" w:rsidRPr="008D0DEB" w:rsidRDefault="00E05B92" w:rsidP="0065556E">
      <w:pPr>
        <w:pStyle w:val="ListNumber"/>
      </w:pPr>
      <w:r w:rsidRPr="008D0DEB">
        <w:t>What has been learned from the trials with respect to the capacity and capability of the non-government and private sectors to participate in SII, and how can this be developed in the future?</w:t>
      </w:r>
    </w:p>
    <w:p w14:paraId="474B66F4" w14:textId="13CBB462" w:rsidR="00E05B92" w:rsidRPr="008D0DEB" w:rsidRDefault="00E05B92" w:rsidP="0065556E">
      <w:pPr>
        <w:pStyle w:val="Head4"/>
      </w:pPr>
      <w:r w:rsidRPr="008D0DEB">
        <w:t>Implementation Factors</w:t>
      </w:r>
    </w:p>
    <w:p w14:paraId="08D3DD43" w14:textId="7A7BA3B6" w:rsidR="00E05B92" w:rsidRPr="008D0DEB" w:rsidRDefault="00E05B92" w:rsidP="0065556E">
      <w:pPr>
        <w:pStyle w:val="ListNumber"/>
        <w:numPr>
          <w:ilvl w:val="0"/>
          <w:numId w:val="67"/>
        </w:numPr>
      </w:pPr>
      <w:r w:rsidRPr="008D0DEB">
        <w:t>What has been learned from the trials in relation to robust outcome(including non-financial outcome) measurement in SII and how should this be addressed in the future?</w:t>
      </w:r>
    </w:p>
    <w:p w14:paraId="74447DEB" w14:textId="448428B1" w:rsidR="00E05B92" w:rsidRPr="008D0DEB" w:rsidRDefault="00E05B92" w:rsidP="0065556E">
      <w:pPr>
        <w:pStyle w:val="ListNumber"/>
      </w:pPr>
      <w:r w:rsidRPr="008D0DEB">
        <w:t>What has been learned from the trials in relation to data access, sharing and use, and how should this be addressed in the future?</w:t>
      </w:r>
    </w:p>
    <w:p w14:paraId="1D19E90B" w14:textId="14EB6885" w:rsidR="00E05B92" w:rsidRPr="008D0DEB" w:rsidRDefault="00E05B92" w:rsidP="0065556E">
      <w:pPr>
        <w:pStyle w:val="ListNumber"/>
      </w:pPr>
      <w:r w:rsidRPr="008D0DEB">
        <w:t>To what extent did the SII trials allow for and/or incentivise innovation in service delivery (for example, in testing new service models)?</w:t>
      </w:r>
    </w:p>
    <w:p w14:paraId="26157136" w14:textId="206BE59F" w:rsidR="00E05B92" w:rsidRPr="008D0DEB" w:rsidRDefault="00163D34" w:rsidP="0065556E">
      <w:pPr>
        <w:pStyle w:val="ListNumber"/>
      </w:pPr>
      <w:r w:rsidRPr="008D0DEB">
        <w:t>What has been learned from the trials with respect to how the Government can effectively develop and manage SII contracts?</w:t>
      </w:r>
    </w:p>
    <w:p w14:paraId="6654C460" w14:textId="3E4715BC" w:rsidR="00163D34" w:rsidRPr="008D0DEB" w:rsidRDefault="00163D34" w:rsidP="0065556E">
      <w:pPr>
        <w:pStyle w:val="Head4"/>
      </w:pPr>
      <w:r w:rsidRPr="008D0DEB">
        <w:t>Policy Implications</w:t>
      </w:r>
    </w:p>
    <w:p w14:paraId="48199587" w14:textId="6254BF9D" w:rsidR="00163D34" w:rsidRPr="008D0DEB" w:rsidRDefault="00163D34" w:rsidP="0065556E">
      <w:pPr>
        <w:pStyle w:val="ListNumber"/>
        <w:numPr>
          <w:ilvl w:val="0"/>
          <w:numId w:val="68"/>
        </w:numPr>
      </w:pPr>
      <w:r w:rsidRPr="008D0DEB">
        <w:t>What has been learned from the trials with respect to the appropriateness of different funding arrangements (e.g. PBO) in different policy areas?</w:t>
      </w:r>
    </w:p>
    <w:p w14:paraId="6847E404" w14:textId="3293A3AE" w:rsidR="00163D34" w:rsidRPr="008D0DEB" w:rsidRDefault="00163D34" w:rsidP="0065556E">
      <w:pPr>
        <w:pStyle w:val="ListNumber"/>
      </w:pPr>
      <w:r w:rsidRPr="008D0DEB">
        <w:t>To what extent does the SII market currently promote equity of opportunity for remote, rural and urban communities, and what could be done to deliver this?</w:t>
      </w:r>
    </w:p>
    <w:p w14:paraId="7123100B" w14:textId="2A4341E0" w:rsidR="00BA3585" w:rsidRPr="008D0DEB" w:rsidRDefault="00DB59A1" w:rsidP="0065556E">
      <w:pPr>
        <w:pStyle w:val="Head3"/>
      </w:pPr>
      <w:bookmarkStart w:id="52" w:name="_Toc137210909"/>
      <w:bookmarkStart w:id="53" w:name="_Toc137211151"/>
      <w:bookmarkStart w:id="54" w:name="_Toc137219006"/>
      <w:bookmarkStart w:id="55" w:name="_Toc140666517"/>
      <w:r w:rsidRPr="008D0DEB">
        <w:lastRenderedPageBreak/>
        <w:t>Document review</w:t>
      </w:r>
      <w:bookmarkEnd w:id="52"/>
      <w:bookmarkEnd w:id="53"/>
      <w:bookmarkEnd w:id="54"/>
      <w:bookmarkEnd w:id="55"/>
      <w:r w:rsidRPr="008D0DEB">
        <w:t xml:space="preserve"> </w:t>
      </w:r>
    </w:p>
    <w:p w14:paraId="692B6D48" w14:textId="4363042D" w:rsidR="00ED0972" w:rsidRPr="008D0DEB" w:rsidRDefault="00DB59A1" w:rsidP="0065556E">
      <w:r w:rsidRPr="008D0DEB">
        <w:t xml:space="preserve">We catalogued and reviewed 206 documents relating </w:t>
      </w:r>
      <w:r w:rsidR="006266F0" w:rsidRPr="008D0DEB">
        <w:t xml:space="preserve">to </w:t>
      </w:r>
      <w:r w:rsidR="00F22F72" w:rsidRPr="008D0DEB">
        <w:t xml:space="preserve">all </w:t>
      </w:r>
      <w:r w:rsidR="009811C0" w:rsidRPr="008D0DEB">
        <w:t>four</w:t>
      </w:r>
      <w:r w:rsidR="00F22F72" w:rsidRPr="008D0DEB">
        <w:t xml:space="preserve"> of the</w:t>
      </w:r>
      <w:r w:rsidRPr="008D0DEB">
        <w:t xml:space="preserve"> </w:t>
      </w:r>
      <w:r w:rsidR="00140C57" w:rsidRPr="008D0DEB">
        <w:t>SII</w:t>
      </w:r>
      <w:r w:rsidRPr="008D0DEB">
        <w:t xml:space="preserve"> trials. </w:t>
      </w:r>
      <w:r w:rsidR="00ED0972" w:rsidRPr="008D0DEB">
        <w:t>Most of these were provided to us by DSS</w:t>
      </w:r>
      <w:r w:rsidR="00140C57" w:rsidRPr="008D0DEB">
        <w:t>.</w:t>
      </w:r>
      <w:r w:rsidR="00BF0143">
        <w:t xml:space="preserve"> </w:t>
      </w:r>
    </w:p>
    <w:p w14:paraId="420C4397" w14:textId="77777777" w:rsidR="00DB59A1" w:rsidRPr="008D0DEB" w:rsidRDefault="00626DFC" w:rsidP="0065556E">
      <w:r w:rsidRPr="008D0DEB">
        <w:t xml:space="preserve">The document review required the research team to </w:t>
      </w:r>
      <w:r w:rsidR="00C311C8" w:rsidRPr="008D0DEB">
        <w:t xml:space="preserve">individually read, summarise and </w:t>
      </w:r>
      <w:r w:rsidR="00B86DE5" w:rsidRPr="008D0DEB">
        <w:t>catalogue each document into a register, highlight key operational documents</w:t>
      </w:r>
      <w:r w:rsidR="005C5175" w:rsidRPr="008D0DEB">
        <w:t xml:space="preserve">, and sort the documents according to the KEQs listed above. </w:t>
      </w:r>
      <w:r w:rsidR="008328ED" w:rsidRPr="008D0DEB">
        <w:t>While each document hel</w:t>
      </w:r>
      <w:r w:rsidR="00E60F9B" w:rsidRPr="008D0DEB">
        <w:t>d</w:t>
      </w:r>
      <w:r w:rsidR="008328ED" w:rsidRPr="008D0DEB">
        <w:t xml:space="preserve"> </w:t>
      </w:r>
      <w:r w:rsidR="00150CFA" w:rsidRPr="008D0DEB">
        <w:t>value, some</w:t>
      </w:r>
      <w:r w:rsidR="008328ED" w:rsidRPr="008D0DEB">
        <w:t xml:space="preserve"> provided greater insight </w:t>
      </w:r>
      <w:r w:rsidR="00E60F9B" w:rsidRPr="008D0DEB">
        <w:t>into the workings of the trials</w:t>
      </w:r>
      <w:r w:rsidR="00747584" w:rsidRPr="008D0DEB">
        <w:t>, potential generalisable lessons</w:t>
      </w:r>
      <w:r w:rsidR="005C5175" w:rsidRPr="008D0DEB">
        <w:t>,</w:t>
      </w:r>
      <w:r w:rsidR="00747584" w:rsidRPr="008D0DEB">
        <w:t xml:space="preserve"> </w:t>
      </w:r>
      <w:r w:rsidR="00E60F9B" w:rsidRPr="008D0DEB">
        <w:t xml:space="preserve">and </w:t>
      </w:r>
      <w:r w:rsidR="00747584" w:rsidRPr="008D0DEB">
        <w:t>the role of government</w:t>
      </w:r>
      <w:r w:rsidR="008328ED" w:rsidRPr="008D0DEB">
        <w:t>. The documents that were most useful</w:t>
      </w:r>
      <w:r w:rsidR="00AD271A" w:rsidRPr="008D0DEB">
        <w:t>,</w:t>
      </w:r>
      <w:r w:rsidR="008328ED" w:rsidRPr="008D0DEB">
        <w:t xml:space="preserve"> in terms of information hel</w:t>
      </w:r>
      <w:r w:rsidR="00457057" w:rsidRPr="008D0DEB">
        <w:t>d</w:t>
      </w:r>
      <w:r w:rsidR="00F436F2" w:rsidRPr="008D0DEB">
        <w:t>,</w:t>
      </w:r>
      <w:r w:rsidR="008328ED" w:rsidRPr="008D0DEB">
        <w:t xml:space="preserve"> were then written into an evidence assessment which was provided to DSS. </w:t>
      </w:r>
      <w:r w:rsidR="006C6483" w:rsidRPr="008D0DEB">
        <w:t xml:space="preserve">This evidence assessment </w:t>
      </w:r>
      <w:r w:rsidR="00692DBA" w:rsidRPr="008D0DEB">
        <w:t xml:space="preserve">analysed the </w:t>
      </w:r>
      <w:r w:rsidR="00925E6B" w:rsidRPr="008D0DEB">
        <w:t>trials, isolating lessons learned</w:t>
      </w:r>
      <w:r w:rsidR="005C5175" w:rsidRPr="008D0DEB">
        <w:t>, highlighting</w:t>
      </w:r>
      <w:r w:rsidR="00925E6B" w:rsidRPr="008D0DEB">
        <w:t xml:space="preserve"> where more information was required to answer the KEQs</w:t>
      </w:r>
      <w:r w:rsidR="005C5175" w:rsidRPr="008D0DEB">
        <w:t>, and suggesting</w:t>
      </w:r>
      <w:r w:rsidR="00925E6B" w:rsidRPr="008D0DEB">
        <w:t xml:space="preserve"> </w:t>
      </w:r>
      <w:r w:rsidR="00F36FCB" w:rsidRPr="008D0DEB">
        <w:t>how best to tailor the stakeholder interviews.</w:t>
      </w:r>
    </w:p>
    <w:p w14:paraId="57BB008A" w14:textId="68B7A3B8" w:rsidR="00DE75CE" w:rsidRPr="008D0DEB" w:rsidRDefault="00DB59A1" w:rsidP="0065556E">
      <w:pPr>
        <w:pStyle w:val="Head3"/>
      </w:pPr>
      <w:bookmarkStart w:id="56" w:name="_Toc137210910"/>
      <w:bookmarkStart w:id="57" w:name="_Toc137211152"/>
      <w:bookmarkStart w:id="58" w:name="_Toc137219007"/>
      <w:r w:rsidRPr="008D0DEB">
        <w:t>Stakeholder interviews</w:t>
      </w:r>
      <w:bookmarkEnd w:id="56"/>
      <w:bookmarkEnd w:id="57"/>
      <w:bookmarkEnd w:id="58"/>
    </w:p>
    <w:p w14:paraId="713E0897" w14:textId="77777777" w:rsidR="00087232" w:rsidRPr="008D0DEB" w:rsidRDefault="00087232" w:rsidP="0065556E">
      <w:r w:rsidRPr="008D0DEB">
        <w:t>We conducted interviews with internal (DSS) and external stakeholders, focusing on lessons learned from the trials. Each interview was conducted with two researchers from Urbis or Bridges Australia and had their own consultation briefs with interview questions that aligned with the trial in question and the KEQs. Stakeholders interviewed were:</w:t>
      </w:r>
    </w:p>
    <w:p w14:paraId="73DC7B7E" w14:textId="77777777" w:rsidR="00087232" w:rsidRPr="008D0DEB" w:rsidRDefault="00087232" w:rsidP="0065556E">
      <w:pPr>
        <w:pStyle w:val="ListBullet"/>
      </w:pPr>
      <w:r w:rsidRPr="008D0DEB">
        <w:t>11 staff members from the DSS SII unit</w:t>
      </w:r>
    </w:p>
    <w:p w14:paraId="6C7A8DAD" w14:textId="77777777" w:rsidR="00087232" w:rsidRPr="008D0DEB" w:rsidRDefault="00087232" w:rsidP="0065556E">
      <w:pPr>
        <w:pStyle w:val="ListBullet"/>
      </w:pPr>
      <w:r w:rsidRPr="008D0DEB">
        <w:t>Two members of the DSS Executive</w:t>
      </w:r>
    </w:p>
    <w:p w14:paraId="349A1E42" w14:textId="77777777" w:rsidR="00087232" w:rsidRPr="008D0DEB" w:rsidRDefault="00087232" w:rsidP="0065556E">
      <w:pPr>
        <w:pStyle w:val="ListBullet"/>
      </w:pPr>
      <w:r w:rsidRPr="008D0DEB">
        <w:t>Eight state government stakeholders (four stakeholders from the NSW Government, two from the South Australian Government, and one from the Tasmanian Government)</w:t>
      </w:r>
    </w:p>
    <w:p w14:paraId="17879FEC" w14:textId="77777777" w:rsidR="00087232" w:rsidRPr="008D0DEB" w:rsidRDefault="00087232" w:rsidP="0065556E">
      <w:pPr>
        <w:pStyle w:val="ListBullet"/>
      </w:pPr>
      <w:r w:rsidRPr="008D0DEB">
        <w:t>Six service providers</w:t>
      </w:r>
    </w:p>
    <w:p w14:paraId="490EE153" w14:textId="77777777" w:rsidR="00087232" w:rsidRPr="008D0DEB" w:rsidRDefault="00087232" w:rsidP="0065556E">
      <w:pPr>
        <w:pStyle w:val="ListBullet"/>
      </w:pPr>
      <w:r w:rsidRPr="008D0DEB">
        <w:t>Four intermediaries</w:t>
      </w:r>
    </w:p>
    <w:p w14:paraId="79804EE7" w14:textId="6144D0A8" w:rsidR="00A647EC" w:rsidRPr="008D0DEB" w:rsidRDefault="00087232" w:rsidP="0065556E">
      <w:pPr>
        <w:pStyle w:val="ListBullet"/>
      </w:pPr>
      <w:r w:rsidRPr="008D0DEB">
        <w:t>Three</w:t>
      </w:r>
      <w:r w:rsidR="002649D3" w:rsidRPr="008D0DEB">
        <w:t xml:space="preserve"> stakeholders from </w:t>
      </w:r>
      <w:r w:rsidR="00B60F35" w:rsidRPr="008D0DEB">
        <w:t>an external investor in one of the trials (Paul Ramsay Foundation).</w:t>
      </w:r>
    </w:p>
    <w:p w14:paraId="3F4F9306" w14:textId="74D7F1D5" w:rsidR="00DB59A1" w:rsidRPr="008D0DEB" w:rsidRDefault="00073F80" w:rsidP="0065556E">
      <w:r w:rsidRPr="008D0DEB">
        <w:t xml:space="preserve">All interviewees were asked for consent to be recorded and transcribed. </w:t>
      </w:r>
    </w:p>
    <w:p w14:paraId="5D77734D" w14:textId="7F7592AA" w:rsidR="00DB59A1" w:rsidRPr="00075BD2" w:rsidRDefault="00DB59A1" w:rsidP="0065556E">
      <w:pPr>
        <w:pStyle w:val="Head3"/>
      </w:pPr>
      <w:bookmarkStart w:id="59" w:name="_Toc137210911"/>
      <w:bookmarkStart w:id="60" w:name="_Toc137211153"/>
      <w:bookmarkStart w:id="61" w:name="_Toc137219008"/>
      <w:r w:rsidRPr="00075BD2">
        <w:t>Workshop</w:t>
      </w:r>
      <w:bookmarkEnd w:id="59"/>
      <w:bookmarkEnd w:id="60"/>
      <w:bookmarkEnd w:id="61"/>
    </w:p>
    <w:p w14:paraId="56DBEF4B" w14:textId="27AB7555" w:rsidR="00004B62" w:rsidRPr="008D0DEB" w:rsidRDefault="00DB59A1" w:rsidP="0065556E">
      <w:r w:rsidRPr="008D0DEB">
        <w:t xml:space="preserve">We facilitated an in-person workshop with 11 members of the DSS </w:t>
      </w:r>
      <w:r w:rsidR="00C2317E" w:rsidRPr="008D0DEB">
        <w:t>SII unit</w:t>
      </w:r>
      <w:r w:rsidRPr="008D0DEB">
        <w:t xml:space="preserve"> in April 2023. The </w:t>
      </w:r>
      <w:r w:rsidR="00A71ED4" w:rsidRPr="008D0DEB">
        <w:t>purpose</w:t>
      </w:r>
      <w:r w:rsidRPr="008D0DEB">
        <w:t xml:space="preserve"> of the workshop was to</w:t>
      </w:r>
      <w:r w:rsidR="00004B62" w:rsidRPr="008D0DEB">
        <w:t>:</w:t>
      </w:r>
    </w:p>
    <w:p w14:paraId="5489CF9F" w14:textId="77777777" w:rsidR="00087232" w:rsidRPr="008D0DEB" w:rsidRDefault="00087232" w:rsidP="0065556E">
      <w:pPr>
        <w:pStyle w:val="ListBullet"/>
      </w:pPr>
      <w:r w:rsidRPr="008D0DEB">
        <w:t>report on and discuss findings from the document review and stakeholder interviews</w:t>
      </w:r>
    </w:p>
    <w:p w14:paraId="45EEFCA0" w14:textId="77777777" w:rsidR="00087232" w:rsidRPr="008D0DEB" w:rsidRDefault="00087232" w:rsidP="0065556E">
      <w:pPr>
        <w:pStyle w:val="ListBullet"/>
      </w:pPr>
      <w:r w:rsidRPr="008D0DEB">
        <w:t>collect feedback from the team on the capabilities and skills required for Government employees when working on SII</w:t>
      </w:r>
    </w:p>
    <w:p w14:paraId="21DC7914" w14:textId="4444F033" w:rsidR="00DB59A1" w:rsidRPr="008D0DEB" w:rsidRDefault="006E1B19" w:rsidP="0065556E">
      <w:pPr>
        <w:pStyle w:val="ListBullet"/>
      </w:pPr>
      <w:r w:rsidRPr="008D0DEB">
        <w:t>identify specific</w:t>
      </w:r>
      <w:r w:rsidR="006766AA" w:rsidRPr="008D0DEB">
        <w:t xml:space="preserve"> strategies </w:t>
      </w:r>
      <w:r w:rsidR="004B6BC2" w:rsidRPr="008D0DEB">
        <w:t xml:space="preserve">to </w:t>
      </w:r>
      <w:r w:rsidR="00A71ED4" w:rsidRPr="008D0DEB">
        <w:t xml:space="preserve">grow the capacity of the </w:t>
      </w:r>
      <w:r w:rsidR="00C2317E" w:rsidRPr="008D0DEB">
        <w:t>SII unit</w:t>
      </w:r>
      <w:r w:rsidR="00A71ED4" w:rsidRPr="008D0DEB">
        <w:t xml:space="preserve"> and embed these in DSS.</w:t>
      </w:r>
    </w:p>
    <w:p w14:paraId="57DD879F" w14:textId="657EFC6E" w:rsidR="00DB59A1" w:rsidRPr="008D0DEB" w:rsidRDefault="00004B62" w:rsidP="0065556E">
      <w:r w:rsidRPr="008D0DEB">
        <w:t xml:space="preserve">Findings from the workshop were captured and have informed the </w:t>
      </w:r>
      <w:r w:rsidR="00940DAB" w:rsidRPr="008D0DEB">
        <w:t>suggestions posed in this report.</w:t>
      </w:r>
    </w:p>
    <w:p w14:paraId="4B5A6AF2" w14:textId="77777777" w:rsidR="00187144" w:rsidRDefault="00187144">
      <w:pPr>
        <w:rPr>
          <w:rFonts w:cs="Arial"/>
          <w:b/>
          <w:sz w:val="36"/>
        </w:rPr>
      </w:pPr>
      <w:bookmarkStart w:id="62" w:name="_Toc137210914"/>
      <w:bookmarkStart w:id="63" w:name="_Toc137211156"/>
      <w:bookmarkStart w:id="64" w:name="_Toc137219010"/>
      <w:bookmarkStart w:id="65" w:name="_Toc153801715"/>
      <w:r>
        <w:br w:type="page"/>
      </w:r>
    </w:p>
    <w:p w14:paraId="4AB62A64" w14:textId="289A87D9" w:rsidR="002D321F" w:rsidRPr="00075BD2" w:rsidRDefault="002D321F" w:rsidP="00187144">
      <w:pPr>
        <w:pStyle w:val="Head2"/>
      </w:pPr>
      <w:r w:rsidRPr="00075BD2">
        <w:lastRenderedPageBreak/>
        <w:t>This report</w:t>
      </w:r>
      <w:bookmarkEnd w:id="62"/>
      <w:bookmarkEnd w:id="63"/>
      <w:bookmarkEnd w:id="64"/>
      <w:bookmarkEnd w:id="65"/>
    </w:p>
    <w:p w14:paraId="736292AE" w14:textId="2805A99B" w:rsidR="00BE139D" w:rsidRPr="008D0DEB" w:rsidRDefault="00671D55" w:rsidP="0065556E">
      <w:r w:rsidRPr="008D0DEB">
        <w:t xml:space="preserve">This document is the </w:t>
      </w:r>
      <w:r w:rsidR="005B1D76" w:rsidRPr="008D0DEB">
        <w:t xml:space="preserve">final </w:t>
      </w:r>
      <w:r w:rsidRPr="008D0DEB">
        <w:t>evaluation</w:t>
      </w:r>
      <w:r w:rsidR="005B1D76" w:rsidRPr="008D0DEB">
        <w:t xml:space="preserve"> repor</w:t>
      </w:r>
      <w:r w:rsidR="00B53126" w:rsidRPr="008D0DEB">
        <w:t>t</w:t>
      </w:r>
      <w:r w:rsidR="00FB36A6" w:rsidRPr="008D0DEB">
        <w:t xml:space="preserve"> for the evaluation</w:t>
      </w:r>
      <w:r w:rsidR="007342B7" w:rsidRPr="008D0DEB">
        <w:t xml:space="preserve">. It follows a previously completed </w:t>
      </w:r>
      <w:r w:rsidR="00087232" w:rsidRPr="008D0DEB">
        <w:t>evidence assessment</w:t>
      </w:r>
      <w:r w:rsidR="007342B7" w:rsidRPr="008D0DEB">
        <w:t xml:space="preserve">, which </w:t>
      </w:r>
      <w:r w:rsidR="00087232" w:rsidRPr="008D0DEB">
        <w:t>includes</w:t>
      </w:r>
      <w:r w:rsidR="007342B7" w:rsidRPr="008D0DEB">
        <w:t xml:space="preserve"> the findings of the document review. </w:t>
      </w:r>
      <w:r w:rsidR="00087232" w:rsidRPr="008D0DEB">
        <w:t>This</w:t>
      </w:r>
      <w:r w:rsidR="007342B7" w:rsidRPr="008D0DEB">
        <w:t xml:space="preserve"> document is structured as follows</w:t>
      </w:r>
      <w:r w:rsidR="00BE139D" w:rsidRPr="008D0DEB">
        <w:t>:</w:t>
      </w:r>
    </w:p>
    <w:p w14:paraId="278B8A01" w14:textId="7C485A59" w:rsidR="00BA5DA8" w:rsidRPr="008D0DEB" w:rsidRDefault="00DE181B" w:rsidP="0065556E">
      <w:pPr>
        <w:pStyle w:val="ListBullet"/>
      </w:pPr>
      <w:r w:rsidRPr="008D0DEB">
        <w:t xml:space="preserve">Chapter 2 provides </w:t>
      </w:r>
      <w:r w:rsidR="00BA5DA8" w:rsidRPr="008D0DEB">
        <w:t>a</w:t>
      </w:r>
      <w:r w:rsidR="00BE139D" w:rsidRPr="008D0DEB">
        <w:t xml:space="preserve"> </w:t>
      </w:r>
      <w:r w:rsidR="00BA5DA8" w:rsidRPr="008D0DEB">
        <w:t>summary of each of the trials</w:t>
      </w:r>
      <w:r w:rsidR="00B53126" w:rsidRPr="008D0DEB">
        <w:t xml:space="preserve">, including </w:t>
      </w:r>
      <w:r w:rsidRPr="008D0DEB">
        <w:t xml:space="preserve">the </w:t>
      </w:r>
      <w:r w:rsidR="00B53126" w:rsidRPr="008D0DEB">
        <w:t>funding</w:t>
      </w:r>
      <w:r w:rsidR="002F70B0" w:rsidRPr="008D0DEB">
        <w:t xml:space="preserve"> amounts</w:t>
      </w:r>
      <w:r w:rsidR="00B53126" w:rsidRPr="008D0DEB">
        <w:t>, partners</w:t>
      </w:r>
      <w:r w:rsidRPr="008D0DEB">
        <w:t xml:space="preserve"> involved</w:t>
      </w:r>
      <w:r w:rsidR="00B53126" w:rsidRPr="008D0DEB">
        <w:t xml:space="preserve">, </w:t>
      </w:r>
      <w:r w:rsidRPr="008D0DEB">
        <w:t>any key design features</w:t>
      </w:r>
      <w:r w:rsidR="00087232" w:rsidRPr="008D0DEB">
        <w:t>.</w:t>
      </w:r>
      <w:r w:rsidR="00B53126" w:rsidRPr="008D0DEB">
        <w:t xml:space="preserve"> </w:t>
      </w:r>
      <w:r w:rsidRPr="008D0DEB">
        <w:t xml:space="preserve">outcomes achieved, </w:t>
      </w:r>
      <w:r w:rsidR="00B53126" w:rsidRPr="008D0DEB">
        <w:t xml:space="preserve">and </w:t>
      </w:r>
      <w:r w:rsidRPr="008D0DEB">
        <w:t xml:space="preserve">the </w:t>
      </w:r>
      <w:r w:rsidR="00B53126" w:rsidRPr="008D0DEB">
        <w:t xml:space="preserve">key lessons </w:t>
      </w:r>
      <w:r w:rsidRPr="008D0DEB">
        <w:t xml:space="preserve">to be taken </w:t>
      </w:r>
      <w:r w:rsidR="00B53126" w:rsidRPr="008D0DEB">
        <w:t>from each</w:t>
      </w:r>
    </w:p>
    <w:p w14:paraId="4D50FE96" w14:textId="5815B22F" w:rsidR="008B0226" w:rsidRPr="008D0DEB" w:rsidRDefault="00DE181B" w:rsidP="0065556E">
      <w:pPr>
        <w:pStyle w:val="ListBullet"/>
      </w:pPr>
      <w:r w:rsidRPr="008D0DEB">
        <w:t xml:space="preserve">Chapter 3 provides </w:t>
      </w:r>
      <w:r w:rsidR="00B53126" w:rsidRPr="008D0DEB">
        <w:t>a synthesis of the insights gained from the trials</w:t>
      </w:r>
      <w:r w:rsidR="008B0226" w:rsidRPr="008D0DEB">
        <w:t xml:space="preserve">, relating to the </w:t>
      </w:r>
      <w:r w:rsidR="0018208B" w:rsidRPr="008D0DEB">
        <w:t>three</w:t>
      </w:r>
      <w:r w:rsidR="008B0226" w:rsidRPr="008D0DEB">
        <w:t xml:space="preserve"> domains of:</w:t>
      </w:r>
    </w:p>
    <w:p w14:paraId="12314BB7" w14:textId="77777777" w:rsidR="008B0226" w:rsidRPr="008D0DEB" w:rsidRDefault="008B0226" w:rsidP="0065556E">
      <w:pPr>
        <w:pStyle w:val="ListBullet2"/>
      </w:pPr>
      <w:r w:rsidRPr="008D0DEB">
        <w:t>commissioning outcomes</w:t>
      </w:r>
    </w:p>
    <w:p w14:paraId="10B75EF7" w14:textId="77777777" w:rsidR="008B0226" w:rsidRPr="008D0DEB" w:rsidRDefault="008B0226" w:rsidP="0065556E">
      <w:pPr>
        <w:pStyle w:val="ListBullet2"/>
      </w:pPr>
      <w:r w:rsidRPr="008D0DEB">
        <w:t>building the market</w:t>
      </w:r>
    </w:p>
    <w:p w14:paraId="70A45F29" w14:textId="57E55EA6" w:rsidR="00316BE2" w:rsidRPr="008D0DEB" w:rsidRDefault="008B0226" w:rsidP="0065556E">
      <w:pPr>
        <w:pStyle w:val="ListBullet2"/>
      </w:pPr>
      <w:r w:rsidRPr="008D0DEB">
        <w:t xml:space="preserve">the role for government </w:t>
      </w:r>
      <w:r w:rsidR="00CD0E20" w:rsidRPr="008D0DEB">
        <w:t>in SII</w:t>
      </w:r>
    </w:p>
    <w:p w14:paraId="224DC810" w14:textId="15F72317" w:rsidR="006C4A8F" w:rsidRPr="008D0DEB" w:rsidRDefault="0018208B" w:rsidP="00501490">
      <w:pPr>
        <w:pStyle w:val="ListBullet"/>
      </w:pPr>
      <w:r w:rsidRPr="008D0DEB">
        <w:t xml:space="preserve">Chapter 4 provides </w:t>
      </w:r>
      <w:r w:rsidR="00A25756" w:rsidRPr="008D0DEB">
        <w:t xml:space="preserve">suggestions on </w:t>
      </w:r>
      <w:r w:rsidR="00316BE2" w:rsidRPr="008D0DEB">
        <w:t xml:space="preserve">how </w:t>
      </w:r>
      <w:r w:rsidR="00A25756" w:rsidRPr="008D0DEB">
        <w:t>the learnings should be embedded within DSS</w:t>
      </w:r>
      <w:r w:rsidR="0078505F" w:rsidRPr="008D0DEB">
        <w:t xml:space="preserve"> and applied within the current context of new budget measures.</w:t>
      </w:r>
    </w:p>
    <w:p w14:paraId="2C146997" w14:textId="03BB9B05" w:rsidR="00F4659E" w:rsidRPr="008D0DEB" w:rsidRDefault="005F1B49" w:rsidP="0065556E">
      <w:bookmarkStart w:id="66" w:name="_Toc22026808"/>
      <w:r w:rsidRPr="008D0DEB">
        <w:br w:type="page"/>
      </w:r>
      <w:bookmarkStart w:id="67" w:name="_Toc137210715"/>
    </w:p>
    <w:p w14:paraId="262381E0" w14:textId="3059668A" w:rsidR="00F4659E" w:rsidRPr="008D0DEB" w:rsidRDefault="005F1B49" w:rsidP="0065556E">
      <w:pPr>
        <w:pStyle w:val="Heading1"/>
      </w:pPr>
      <w:bookmarkStart w:id="68" w:name="_Toc153801716"/>
      <w:r w:rsidRPr="008D0DEB">
        <w:lastRenderedPageBreak/>
        <w:t xml:space="preserve">The </w:t>
      </w:r>
      <w:r w:rsidR="004E1B29">
        <w:t>T</w:t>
      </w:r>
      <w:r w:rsidRPr="008D0DEB">
        <w:t>rials</w:t>
      </w:r>
      <w:bookmarkEnd w:id="68"/>
    </w:p>
    <w:p w14:paraId="77ECDCD9" w14:textId="31029A12" w:rsidR="00274C3D" w:rsidRPr="008D0DEB" w:rsidRDefault="00274C3D" w:rsidP="0065556E">
      <w:pPr>
        <w:pStyle w:val="Heading2"/>
      </w:pPr>
      <w:bookmarkStart w:id="69" w:name="_Toc153801717"/>
      <w:bookmarkEnd w:id="66"/>
      <w:bookmarkEnd w:id="67"/>
      <w:r w:rsidRPr="008D0DEB">
        <w:t>Introd</w:t>
      </w:r>
      <w:r w:rsidR="00580835" w:rsidRPr="008D0DEB">
        <w:t>uction</w:t>
      </w:r>
      <w:bookmarkEnd w:id="69"/>
    </w:p>
    <w:p w14:paraId="3B6876DA" w14:textId="77777777" w:rsidR="00E80B46" w:rsidRPr="008D0DEB" w:rsidRDefault="00E80B46" w:rsidP="0065556E">
      <w:bookmarkStart w:id="70" w:name="_Toc137210916"/>
      <w:bookmarkStart w:id="71" w:name="_Toc137211158"/>
      <w:bookmarkStart w:id="72" w:name="_Toc137219012"/>
      <w:r w:rsidRPr="008D0DEB">
        <w:t>The SII trials were intended to inform decisions about the approach that Government could take in growing Australia’s SII market. Our focus in this evaluation has been identifying key lessons and insights that have emerged from the trials. This section provides descriptive information about each trial (and, where relevant, its sub-components), any key design features, and the key learnings from each.</w:t>
      </w:r>
    </w:p>
    <w:p w14:paraId="33CF745A" w14:textId="2803DC9D" w:rsidR="00845529" w:rsidRPr="008D0DEB" w:rsidRDefault="00845529" w:rsidP="0065556E">
      <w:pPr>
        <w:pStyle w:val="Heading2"/>
      </w:pPr>
      <w:bookmarkStart w:id="73" w:name="_Toc153801718"/>
      <w:r w:rsidRPr="008D0DEB">
        <w:t>Emergent lessons</w:t>
      </w:r>
      <w:r w:rsidR="00C34E55" w:rsidRPr="008D0DEB">
        <w:t xml:space="preserve"> from the trials</w:t>
      </w:r>
      <w:bookmarkEnd w:id="70"/>
      <w:bookmarkEnd w:id="71"/>
      <w:bookmarkEnd w:id="72"/>
      <w:bookmarkEnd w:id="73"/>
    </w:p>
    <w:p w14:paraId="66C8DA26" w14:textId="113686E0" w:rsidR="00FD2633" w:rsidRPr="008D0DEB" w:rsidRDefault="00FD2633" w:rsidP="0065556E">
      <w:r w:rsidRPr="008D0DEB">
        <w:t>Reflecting on the themes emerging from analysis of the trial experience, we identified three key domains under which the insights and lessons have been grouped. These domains are commissioning outcomes, building the market, and the role of government.</w:t>
      </w:r>
    </w:p>
    <w:p w14:paraId="73E10BA6" w14:textId="1B80E74A" w:rsidR="00654258" w:rsidRPr="008D0DEB" w:rsidRDefault="00654258" w:rsidP="0065556E">
      <w:pPr>
        <w:pStyle w:val="ListBullet"/>
      </w:pPr>
      <w:r w:rsidRPr="008D0DEB">
        <w:t>Domain 1: Commissioning outcomes</w:t>
      </w:r>
    </w:p>
    <w:p w14:paraId="3B35B044" w14:textId="305574AD" w:rsidR="00654258" w:rsidRPr="008D0DEB" w:rsidRDefault="00654258" w:rsidP="0065556E">
      <w:pPr>
        <w:pStyle w:val="ListBullet2"/>
      </w:pPr>
      <w:r w:rsidRPr="008D0DEB">
        <w:t>Data, skillset, and innovation</w:t>
      </w:r>
    </w:p>
    <w:p w14:paraId="4585C1E4" w14:textId="2808D289" w:rsidR="00654258" w:rsidRPr="008D0DEB" w:rsidRDefault="00654258" w:rsidP="0065556E">
      <w:pPr>
        <w:pStyle w:val="ListBullet"/>
      </w:pPr>
      <w:r w:rsidRPr="008D0DEB">
        <w:t>Domain 2: Building the market</w:t>
      </w:r>
    </w:p>
    <w:p w14:paraId="7581A96F" w14:textId="2BB3DABF" w:rsidR="00654258" w:rsidRPr="008D0DEB" w:rsidRDefault="00654258" w:rsidP="0065556E">
      <w:pPr>
        <w:pStyle w:val="ListBullet2"/>
      </w:pPr>
      <w:r w:rsidRPr="008D0DEB">
        <w:t>Scale, and capabilities</w:t>
      </w:r>
    </w:p>
    <w:p w14:paraId="198629D3" w14:textId="08B37CDB" w:rsidR="00654258" w:rsidRPr="008D0DEB" w:rsidRDefault="00654258" w:rsidP="0065556E">
      <w:pPr>
        <w:pStyle w:val="ListBullet"/>
      </w:pPr>
      <w:r w:rsidRPr="008D0DEB">
        <w:t>Domain 3: The role of government</w:t>
      </w:r>
    </w:p>
    <w:p w14:paraId="03B9827A" w14:textId="01FFEFF8" w:rsidR="00FC20E2" w:rsidRPr="008D0DEB" w:rsidRDefault="00FC20E2" w:rsidP="0065556E">
      <w:pPr>
        <w:pStyle w:val="Heading2"/>
      </w:pPr>
      <w:bookmarkStart w:id="74" w:name="_Toc137210716"/>
      <w:bookmarkStart w:id="75" w:name="_Toc153801719"/>
      <w:r w:rsidRPr="008D0DEB">
        <w:t>Payment by Outcomes</w:t>
      </w:r>
      <w:bookmarkEnd w:id="74"/>
      <w:bookmarkEnd w:id="75"/>
    </w:p>
    <w:p w14:paraId="3BDF4E2E" w14:textId="77777777" w:rsidR="00A866A0" w:rsidRPr="008D0DEB" w:rsidRDefault="00A866A0" w:rsidP="0065556E">
      <w:r w:rsidRPr="008D0DEB">
        <w:t>DSS has undertaken three PBO trials, with a total of $15.7 million committed from 2018-19 to 2026-27 to fund their co-development, implementation, and evaluation.</w:t>
      </w:r>
    </w:p>
    <w:p w14:paraId="00C6FFE0" w14:textId="77777777" w:rsidR="00A866A0" w:rsidRPr="008D0DEB" w:rsidRDefault="00A866A0" w:rsidP="0065556E">
      <w:r w:rsidRPr="008D0DEB">
        <w:t xml:space="preserve">Contracting for public services using a PBO approach involves linking achievement of intentional changes or </w:t>
      </w:r>
      <w:r w:rsidRPr="008D0DEB">
        <w:rPr>
          <w:iCs/>
        </w:rPr>
        <w:t>outcomes</w:t>
      </w:r>
      <w:r w:rsidRPr="008D0DEB">
        <w:t xml:space="preserve"> to specific financial incentives, usually payments. PBO can offer a range of potential benefits including greater effectiveness, flexibility, and encouragement of innovation. PBO may also offer cost-savings as the payer (in this case, government) is able to more successfully procure and fund intentional outcomes. PBO contracts can be used as an instrument in SIBs or in outcomes funds.</w:t>
      </w:r>
    </w:p>
    <w:p w14:paraId="6D52DA96" w14:textId="77777777" w:rsidR="000A0D4D" w:rsidRPr="008D0DEB" w:rsidRDefault="00135243" w:rsidP="0065556E">
      <w:r w:rsidRPr="008D0DEB">
        <w:t xml:space="preserve">The DSS PBO trials </w:t>
      </w:r>
      <w:r w:rsidR="00EE2218" w:rsidRPr="008D0DEB">
        <w:t>follow</w:t>
      </w:r>
      <w:r w:rsidR="00557AD7" w:rsidRPr="008D0DEB">
        <w:t xml:space="preserve"> substantial development of this </w:t>
      </w:r>
      <w:r w:rsidR="00A866A0" w:rsidRPr="008D0DEB">
        <w:t>type of contracting approach across Australian states and territories.</w:t>
      </w:r>
      <w:r w:rsidR="00EE2218" w:rsidRPr="008D0DEB">
        <w:t xml:space="preserve"> </w:t>
      </w:r>
      <w:r w:rsidR="000A0D4D" w:rsidRPr="008D0DEB">
        <w:t xml:space="preserve">The first </w:t>
      </w:r>
      <w:r w:rsidR="004813CA" w:rsidRPr="008D0DEB">
        <w:t xml:space="preserve">example of a PBO approach in Australia was </w:t>
      </w:r>
      <w:r w:rsidR="0030581A" w:rsidRPr="008D0DEB">
        <w:t xml:space="preserve">the </w:t>
      </w:r>
      <w:r w:rsidR="00861BC5" w:rsidRPr="008D0DEB">
        <w:t xml:space="preserve">NSW </w:t>
      </w:r>
      <w:r w:rsidR="0030581A" w:rsidRPr="008D0DEB">
        <w:t>Newpin SIB</w:t>
      </w:r>
      <w:r w:rsidR="00861BC5" w:rsidRPr="008D0DEB">
        <w:t>, which commenced in 2013</w:t>
      </w:r>
      <w:r w:rsidR="00EB7FA5" w:rsidRPr="008D0DEB">
        <w:t>. Since then</w:t>
      </w:r>
      <w:r w:rsidR="00940D9B" w:rsidRPr="008D0DEB">
        <w:t>,</w:t>
      </w:r>
      <w:r w:rsidR="00EB7FA5" w:rsidRPr="008D0DEB">
        <w:t xml:space="preserve"> </w:t>
      </w:r>
      <w:r w:rsidR="00B969C4" w:rsidRPr="008D0DEB">
        <w:t xml:space="preserve">more than 20 outcomes-based contracts </w:t>
      </w:r>
      <w:r w:rsidRPr="008D0DEB">
        <w:t>have been executed across Australia, with the greate</w:t>
      </w:r>
      <w:r w:rsidR="00926B60" w:rsidRPr="008D0DEB">
        <w:t>st</w:t>
      </w:r>
      <w:r w:rsidRPr="008D0DEB">
        <w:t xml:space="preserve"> number (10) occurring in NSW.</w:t>
      </w:r>
      <w:r w:rsidR="00926B60" w:rsidRPr="008D0DEB">
        <w:rPr>
          <w:rStyle w:val="FootnoteReference"/>
        </w:rPr>
        <w:footnoteReference w:id="13"/>
      </w:r>
    </w:p>
    <w:p w14:paraId="1E989EC3" w14:textId="77777777" w:rsidR="00B142C2" w:rsidRPr="008D0DEB" w:rsidRDefault="00417698" w:rsidP="0065556E">
      <w:r w:rsidRPr="008D0DEB">
        <w:t xml:space="preserve">The </w:t>
      </w:r>
      <w:r w:rsidR="000168CA" w:rsidRPr="008D0DEB">
        <w:t xml:space="preserve">three </w:t>
      </w:r>
      <w:r w:rsidRPr="008D0DEB">
        <w:t xml:space="preserve">PBO trials </w:t>
      </w:r>
      <w:r w:rsidR="002B60FA" w:rsidRPr="008D0DEB">
        <w:t xml:space="preserve">undertaken </w:t>
      </w:r>
      <w:r w:rsidR="00B142C2" w:rsidRPr="008D0DEB">
        <w:t xml:space="preserve">by </w:t>
      </w:r>
      <w:r w:rsidR="002B60FA" w:rsidRPr="008D0DEB">
        <w:t xml:space="preserve">DSS </w:t>
      </w:r>
      <w:r w:rsidRPr="008D0DEB">
        <w:t xml:space="preserve">were expected to enable </w:t>
      </w:r>
      <w:r w:rsidR="00B142C2" w:rsidRPr="008D0DEB">
        <w:t xml:space="preserve">the Australian Government </w:t>
      </w:r>
      <w:r w:rsidRPr="008D0DEB">
        <w:t>to improve its understanding of outcomes-based contracting and evaluate the opportunities of SII financial models in addressing social disadvantage.</w:t>
      </w:r>
      <w:r w:rsidRPr="008D0DEB">
        <w:rPr>
          <w:rStyle w:val="FootnoteReference"/>
          <w:color w:val="auto"/>
        </w:rPr>
        <w:footnoteReference w:id="14"/>
      </w:r>
      <w:r w:rsidRPr="008D0DEB">
        <w:t xml:space="preserve"> </w:t>
      </w:r>
      <w:r w:rsidR="00B142C2" w:rsidRPr="008D0DEB">
        <w:t>The stated objectives of the PBO trials are to inform:</w:t>
      </w:r>
    </w:p>
    <w:p w14:paraId="600F5E01" w14:textId="77777777" w:rsidR="00B142C2" w:rsidRPr="008D0DEB" w:rsidRDefault="00B142C2" w:rsidP="0065556E">
      <w:pPr>
        <w:pStyle w:val="ListBullet"/>
      </w:pPr>
      <w:r w:rsidRPr="008D0DEB">
        <w:t xml:space="preserve">the appropriateness and efficiency of PBO contracts </w:t>
      </w:r>
    </w:p>
    <w:p w14:paraId="48962AEC" w14:textId="77777777" w:rsidR="00B142C2" w:rsidRPr="008D0DEB" w:rsidRDefault="00B142C2" w:rsidP="0065556E">
      <w:pPr>
        <w:pStyle w:val="ListBullet"/>
      </w:pPr>
      <w:r w:rsidRPr="008D0DEB">
        <w:t>how to improve the design and use of robust outcome measurement</w:t>
      </w:r>
    </w:p>
    <w:p w14:paraId="43F9826A" w14:textId="77777777" w:rsidR="00B142C2" w:rsidRPr="008D0DEB" w:rsidRDefault="00B142C2" w:rsidP="0065556E">
      <w:pPr>
        <w:pStyle w:val="ListBullet"/>
      </w:pPr>
      <w:r w:rsidRPr="008D0DEB">
        <w:t>whether the PBO trial contracts are suitable funding tools in social services</w:t>
      </w:r>
    </w:p>
    <w:p w14:paraId="560CFED0" w14:textId="77777777" w:rsidR="007C5C02" w:rsidRPr="008D0DEB" w:rsidRDefault="00B142C2" w:rsidP="0065556E">
      <w:pPr>
        <w:pStyle w:val="ListBullet"/>
      </w:pPr>
      <w:r w:rsidRPr="008D0DEB">
        <w:t>whether the policy focus areas trialled are suitable for PBO contracts.</w:t>
      </w:r>
      <w:r w:rsidRPr="008D0DEB">
        <w:rPr>
          <w:rStyle w:val="FootnoteReference"/>
          <w:color w:val="auto"/>
        </w:rPr>
        <w:footnoteReference w:id="15"/>
      </w:r>
    </w:p>
    <w:p w14:paraId="3522D4A9" w14:textId="77777777" w:rsidR="00B4566C" w:rsidRPr="008D0DEB" w:rsidRDefault="00B4566C" w:rsidP="0065556E">
      <w:r w:rsidRPr="008D0DEB">
        <w:br w:type="page"/>
      </w:r>
    </w:p>
    <w:p w14:paraId="66F0A43C" w14:textId="6195C0CD" w:rsidR="005351E2" w:rsidRPr="008D0DEB" w:rsidRDefault="005351E2" w:rsidP="00187144">
      <w:pPr>
        <w:pStyle w:val="Head2"/>
      </w:pPr>
      <w:bookmarkStart w:id="76" w:name="_Toc137210918"/>
      <w:bookmarkStart w:id="77" w:name="_Toc137211160"/>
      <w:bookmarkStart w:id="78" w:name="_Toc137219014"/>
      <w:bookmarkStart w:id="79" w:name="_Toc153801720"/>
      <w:r w:rsidRPr="008D0DEB">
        <w:lastRenderedPageBreak/>
        <w:t>PBO1: Many Rivers Microenterprise</w:t>
      </w:r>
      <w:bookmarkEnd w:id="76"/>
      <w:bookmarkEnd w:id="77"/>
      <w:bookmarkEnd w:id="78"/>
      <w:bookmarkEnd w:id="79"/>
    </w:p>
    <w:p w14:paraId="76D9A35E" w14:textId="3D81E282" w:rsidR="00D863F6" w:rsidRPr="008D0DEB" w:rsidRDefault="00D863F6" w:rsidP="0065556E">
      <w:pPr>
        <w:pStyle w:val="Head3"/>
      </w:pPr>
      <w:r w:rsidRPr="008D0DEB">
        <w:t>Key Features of PBO1</w:t>
      </w:r>
    </w:p>
    <w:p w14:paraId="24294D25" w14:textId="116F6FEE" w:rsidR="00D863F6" w:rsidRPr="008D0DEB" w:rsidRDefault="00D863F6" w:rsidP="0065556E">
      <w:pPr>
        <w:pStyle w:val="ListBullet"/>
      </w:pPr>
      <w:r w:rsidRPr="008D0DEB">
        <w:t>Funding: Up to $3.8 million from the Australian Government, depending on the extent of outcomes achieved</w:t>
      </w:r>
    </w:p>
    <w:p w14:paraId="7B25B9C6" w14:textId="08F4C974" w:rsidR="00D863F6" w:rsidRPr="008D0DEB" w:rsidRDefault="00D863F6" w:rsidP="0065556E">
      <w:pPr>
        <w:pStyle w:val="ListBullet"/>
      </w:pPr>
      <w:r w:rsidRPr="008D0DEB">
        <w:t>Timing: July 2021 – December 2025</w:t>
      </w:r>
    </w:p>
    <w:p w14:paraId="31E112C0" w14:textId="25232D2F" w:rsidR="00D863F6" w:rsidRPr="008D0DEB" w:rsidRDefault="00D863F6" w:rsidP="0065556E">
      <w:pPr>
        <w:pStyle w:val="ListBullet"/>
      </w:pPr>
      <w:r w:rsidRPr="008D0DEB">
        <w:t>Invention Description: Small scale loans and business support, such as assistance with business planning, registration, or insurance requirements.</w:t>
      </w:r>
    </w:p>
    <w:p w14:paraId="64C57A4F" w14:textId="3401B1F5" w:rsidR="00D863F6" w:rsidRPr="008D0DEB" w:rsidRDefault="00D863F6" w:rsidP="0065556E">
      <w:pPr>
        <w:pStyle w:val="ListBullet"/>
      </w:pPr>
      <w:r w:rsidRPr="008D0DEB">
        <w:t>Beneficiary cohort: Unemployed or underemployed people who had recently been receiving income support and aimed to establish their own business (n = up to 390).</w:t>
      </w:r>
    </w:p>
    <w:p w14:paraId="47D2EB65" w14:textId="77777777" w:rsidR="00D863F6" w:rsidRPr="008D0DEB" w:rsidRDefault="00D863F6" w:rsidP="0065556E">
      <w:pPr>
        <w:pStyle w:val="ListBullet"/>
      </w:pPr>
      <w:r w:rsidRPr="008D0DEB">
        <w:t>Outcomes sought: Many Rivers Microenterprise are seeking to achieve two outcomes:</w:t>
      </w:r>
    </w:p>
    <w:p w14:paraId="019D59BC" w14:textId="77777777" w:rsidR="00D863F6" w:rsidRPr="008D0DEB" w:rsidRDefault="00D863F6" w:rsidP="0065556E">
      <w:pPr>
        <w:pStyle w:val="ListBullet2"/>
        <w:rPr>
          <w:lang w:val="en-AU"/>
        </w:rPr>
      </w:pPr>
      <w:r w:rsidRPr="008D0DEB">
        <w:rPr>
          <w:lang w:val="en-AU"/>
        </w:rPr>
        <w:t>Business establishment – following an assessment by Many Rivers, and including attainment of an active Australian Business Number (ABN)</w:t>
      </w:r>
    </w:p>
    <w:p w14:paraId="4014CC4F" w14:textId="4C665B55" w:rsidR="00D863F6" w:rsidRPr="008D0DEB" w:rsidRDefault="00D863F6" w:rsidP="0065556E">
      <w:pPr>
        <w:pStyle w:val="ListBullet2"/>
      </w:pPr>
      <w:r w:rsidRPr="008D0DEB">
        <w:rPr>
          <w:lang w:val="en-AU"/>
        </w:rPr>
        <w:t>Welfare reduction – calculated by the difference in total value of Income Support Payments in the three years prior to the Enrolment Date, compared to the three years following the Enrolment Date.</w:t>
      </w:r>
    </w:p>
    <w:p w14:paraId="07131179" w14:textId="77777777" w:rsidR="00D863F6" w:rsidRPr="008D0DEB" w:rsidRDefault="00D863F6" w:rsidP="0065556E">
      <w:pPr>
        <w:pStyle w:val="ListBullet"/>
      </w:pPr>
      <w:r w:rsidRPr="008D0DEB">
        <w:t>Key design features: Microenterprise Development Managers (MEDMs) are a key part of the supports offered through Many Rivers. MEDMs live and work in the communities where clients are located, and understand client needs.</w:t>
      </w:r>
    </w:p>
    <w:p w14:paraId="5C06BCCC" w14:textId="22B1EF2C" w:rsidR="00D4725A" w:rsidRPr="008D0DEB" w:rsidRDefault="00D863F6" w:rsidP="0065556E">
      <w:pPr>
        <w:pStyle w:val="ListBullet2"/>
      </w:pPr>
      <w:r w:rsidRPr="008D0DEB">
        <w:t>The supports offered include assistance with business basics, such as understanding and meeting business registration and insurance requirements, market research, risk analysis, review of cashflow, and establishing links with customers and suppliers.</w:t>
      </w:r>
    </w:p>
    <w:p w14:paraId="735EFBE6" w14:textId="3ADB62EE" w:rsidR="004E3B53" w:rsidRPr="008D0DEB" w:rsidRDefault="004E3B53" w:rsidP="0065556E">
      <w:pPr>
        <w:pStyle w:val="Head3"/>
      </w:pPr>
      <w:r w:rsidRPr="008D0DEB">
        <w:t>Key learnings from PBO1</w:t>
      </w:r>
    </w:p>
    <w:p w14:paraId="0C7DCD0C" w14:textId="1C0F48DE" w:rsidR="004E3B53" w:rsidRPr="008D0DEB" w:rsidRDefault="004E3B53" w:rsidP="0065556E">
      <w:pPr>
        <w:pStyle w:val="ListBullet"/>
      </w:pPr>
      <w:r w:rsidRPr="008D0DEB">
        <w:t>Data requirements for the PBO were greater than those included in Many Rivers’ typical approach – this may impact the willingness of the client to participate. Some clients resisted the need to provide Centrelink reference numbers due to a general lack of trust in government institutions, resulting in delays and clients not joining the program</w:t>
      </w:r>
    </w:p>
    <w:p w14:paraId="116B20A7" w14:textId="358F1695" w:rsidR="004E3B53" w:rsidRPr="008D0DEB" w:rsidRDefault="004E3B53" w:rsidP="0065556E">
      <w:pPr>
        <w:pStyle w:val="ListBullet"/>
      </w:pPr>
      <w:r w:rsidRPr="008D0DEB">
        <w:t>Service providers are likely to face additional costs when engaging with a PBO approach, relative to what would be expected under a traditional grant model. In the case of PBO1, changes to the DSS data system (DEX) imposed additional costs on Many Rivers – more specifically, the costs of hiring a software designer to ensure Many Rivers’ CRM was integrated with DEX.</w:t>
      </w:r>
    </w:p>
    <w:p w14:paraId="6403029A" w14:textId="238045C6" w:rsidR="004E3B53" w:rsidRPr="008D0DEB" w:rsidRDefault="004E3B53" w:rsidP="0065556E">
      <w:pPr>
        <w:pStyle w:val="ListBullet"/>
      </w:pPr>
      <w:r w:rsidRPr="008D0DEB">
        <w:t>A feature of PBO models is the facilitation of innovation; the focus on outcomes and impact should give providers more freedom in designing solutions. Despite this, feedback on PBO1 suggests that its strength came from a wealth of data and experience within the provider (more than 10 years of business coaching) that allowed the trial to build off a strong base of understanding.</w:t>
      </w:r>
      <w:bookmarkStart w:id="80" w:name="_Toc137210921"/>
      <w:bookmarkStart w:id="81" w:name="_Toc137211163"/>
      <w:bookmarkStart w:id="82" w:name="_Toc137219017"/>
    </w:p>
    <w:p w14:paraId="03A32164" w14:textId="773E4BEE" w:rsidR="00750ED1" w:rsidRPr="008D0DEB" w:rsidRDefault="00BA621E" w:rsidP="00187144">
      <w:pPr>
        <w:pStyle w:val="Head2"/>
      </w:pPr>
      <w:bookmarkStart w:id="83" w:name="_Toc153801721"/>
      <w:r w:rsidRPr="008D0DEB">
        <w:t>PBO2</w:t>
      </w:r>
      <w:r w:rsidR="00C67190" w:rsidRPr="008D0DEB">
        <w:t xml:space="preserve">: 54 </w:t>
      </w:r>
      <w:r w:rsidR="00075BD2">
        <w:t>r</w:t>
      </w:r>
      <w:r w:rsidR="00C67190" w:rsidRPr="008D0DEB">
        <w:t xml:space="preserve">easons </w:t>
      </w:r>
      <w:r w:rsidR="00075BD2">
        <w:t>(formerly</w:t>
      </w:r>
      <w:r w:rsidR="004E1B29">
        <w:t xml:space="preserve"> </w:t>
      </w:r>
      <w:r w:rsidR="00C67190" w:rsidRPr="008D0DEB">
        <w:t>Save the Children</w:t>
      </w:r>
      <w:bookmarkEnd w:id="80"/>
      <w:bookmarkEnd w:id="81"/>
      <w:bookmarkEnd w:id="82"/>
      <w:r w:rsidR="00075BD2">
        <w:t>)</w:t>
      </w:r>
      <w:bookmarkEnd w:id="83"/>
    </w:p>
    <w:p w14:paraId="25084DF2" w14:textId="13B44960" w:rsidR="004E3B53" w:rsidRPr="008D0DEB" w:rsidRDefault="004E3B53" w:rsidP="0065556E">
      <w:pPr>
        <w:pStyle w:val="Head3"/>
      </w:pPr>
      <w:r w:rsidRPr="008D0DEB">
        <w:t>Key features of PBO2</w:t>
      </w:r>
    </w:p>
    <w:p w14:paraId="2CB4F367" w14:textId="419DD82E" w:rsidR="004E3B53" w:rsidRPr="008D0DEB" w:rsidRDefault="004E3B53" w:rsidP="0065556E">
      <w:pPr>
        <w:pStyle w:val="ListBullet"/>
      </w:pPr>
      <w:r w:rsidRPr="008D0DEB">
        <w:t xml:space="preserve">Funding: Up to $7.6 million ($3.8 million from the Australian Government and $3.8 million from </w:t>
      </w:r>
      <w:r w:rsidR="00075BD2">
        <w:t>Paul Ramsay Foundation (</w:t>
      </w:r>
      <w:r w:rsidRPr="008D0DEB">
        <w:t>PRF)</w:t>
      </w:r>
      <w:r w:rsidR="00075BD2">
        <w:t>)</w:t>
      </w:r>
      <w:r w:rsidRPr="008D0DEB">
        <w:t>, subject to outcomes exceeding the expectations of co-development modelling</w:t>
      </w:r>
    </w:p>
    <w:p w14:paraId="7A4E6A46" w14:textId="2A51FFB6" w:rsidR="004E3B53" w:rsidRPr="008D0DEB" w:rsidRDefault="004E3B53" w:rsidP="0065556E">
      <w:pPr>
        <w:pStyle w:val="ListBullet"/>
      </w:pPr>
      <w:r w:rsidRPr="008D0DEB">
        <w:t>Timing: December 2021 – 31 March 2026</w:t>
      </w:r>
    </w:p>
    <w:p w14:paraId="26CBA6DC" w14:textId="43EAA472" w:rsidR="004E3B53" w:rsidRPr="008D0DEB" w:rsidRDefault="004E3B53" w:rsidP="0065556E">
      <w:pPr>
        <w:pStyle w:val="ListBullet"/>
      </w:pPr>
      <w:r w:rsidRPr="008D0DEB">
        <w:lastRenderedPageBreak/>
        <w:t>Intervention description: 54 Reasons are delivering the Play2Learn+ program for children and families in Tasmania. The program engages children and families in the 12 months prior to kindergarten, building the capacity and confidence of caregivers in supporting their children’s learning and development.</w:t>
      </w:r>
    </w:p>
    <w:p w14:paraId="1BB373F8" w14:textId="498959D8" w:rsidR="004E3B53" w:rsidRPr="008D0DEB" w:rsidRDefault="004E3B53" w:rsidP="0065556E">
      <w:pPr>
        <w:pStyle w:val="ListBullet"/>
      </w:pPr>
      <w:r w:rsidRPr="008D0DEB">
        <w:t>Beneficiary cohort: Children between the ages of three and four in Tasmania, holding a Concession Card and who are not engaged in early learning for more than 10 hours per week on average (n=300).</w:t>
      </w:r>
    </w:p>
    <w:p w14:paraId="13B236CC" w14:textId="4A3C1A6E" w:rsidR="00B44294" w:rsidRPr="008D0DEB" w:rsidRDefault="004E3B53" w:rsidP="0065556E">
      <w:pPr>
        <w:pStyle w:val="ListBullet"/>
      </w:pPr>
      <w:r w:rsidRPr="008D0DEB">
        <w:t>Outcomes sought: Improved school readiness and increased school participation</w:t>
      </w:r>
    </w:p>
    <w:p w14:paraId="645B1D64" w14:textId="230F0EA9" w:rsidR="004E3B53" w:rsidRPr="008D0DEB" w:rsidRDefault="004E3B53" w:rsidP="0065556E">
      <w:pPr>
        <w:pStyle w:val="Head3"/>
      </w:pPr>
      <w:r w:rsidRPr="008D0DEB">
        <w:t xml:space="preserve">Key </w:t>
      </w:r>
      <w:r w:rsidR="00E44583" w:rsidRPr="008D0DEB">
        <w:t>design</w:t>
      </w:r>
      <w:r w:rsidRPr="008D0DEB">
        <w:t xml:space="preserve"> features</w:t>
      </w:r>
      <w:r w:rsidR="00E44583" w:rsidRPr="008D0DEB">
        <w:t xml:space="preserve"> of PBO2</w:t>
      </w:r>
      <w:r w:rsidRPr="008D0DEB">
        <w:t xml:space="preserve">: </w:t>
      </w:r>
    </w:p>
    <w:p w14:paraId="7BAC2042" w14:textId="155E792B" w:rsidR="004E3B53" w:rsidRPr="008D0DEB" w:rsidRDefault="004E3B53" w:rsidP="0065556E">
      <w:pPr>
        <w:pStyle w:val="ListBullet2"/>
      </w:pPr>
      <w:r w:rsidRPr="008D0DEB">
        <w:t xml:space="preserve">Assertive outreach was a key part of 54 Reasons and helped the program reach families that are not currently engaging with pre-schooling and whose access and engagement with their service was limited or had decreased. </w:t>
      </w:r>
    </w:p>
    <w:p w14:paraId="0179B059" w14:textId="77777777" w:rsidR="004E3B53" w:rsidRPr="008D0DEB" w:rsidRDefault="004E3B53" w:rsidP="0065556E">
      <w:pPr>
        <w:pStyle w:val="ListBullet2"/>
      </w:pPr>
      <w:r w:rsidRPr="008D0DEB">
        <w:t xml:space="preserve">Supportive playgroups were combined with parent coaching which helped families participate in a safe and supportive setting, where children can engage in play and parents or carers can engage with supports. </w:t>
      </w:r>
    </w:p>
    <w:p w14:paraId="15CD7E69" w14:textId="695D084F" w:rsidR="004E3B53" w:rsidRPr="008D0DEB" w:rsidRDefault="004E3B53" w:rsidP="0065556E">
      <w:pPr>
        <w:pStyle w:val="ListBullet2"/>
      </w:pPr>
      <w:r w:rsidRPr="008D0DEB">
        <w:t>Use of coaching and developmental monitoring, through the Parenting Interactions with Children: Checklist of Observations Linked to Outcomes (PICCOLO) tool enabled 54 Reasons to monitor the quality of parent-child interactions and to identify areas of attention where parents or carers could improve.</w:t>
      </w:r>
    </w:p>
    <w:p w14:paraId="1B7FFC4A" w14:textId="23A0E430" w:rsidR="004E3B53" w:rsidRPr="008D0DEB" w:rsidRDefault="00E44583" w:rsidP="0065556E">
      <w:pPr>
        <w:pStyle w:val="Head3"/>
      </w:pPr>
      <w:r w:rsidRPr="008D0DEB">
        <w:t>Key learnings from PBO2</w:t>
      </w:r>
    </w:p>
    <w:p w14:paraId="77C4C63E" w14:textId="77777777" w:rsidR="00E44583" w:rsidRPr="008D0DEB" w:rsidRDefault="00E44583" w:rsidP="0065556E">
      <w:pPr>
        <w:pStyle w:val="ListBullet"/>
      </w:pPr>
      <w:r w:rsidRPr="008D0DEB">
        <w:t>Scale: The PRF provided additional funding (double) for the program, however there were difficulties faced in naturally scaling the program. The initial service areas did not have enough eligible participants, and service delivery had to expand to new school catchments.</w:t>
      </w:r>
    </w:p>
    <w:p w14:paraId="17152D20" w14:textId="2BF3EE16" w:rsidR="004E3B53" w:rsidRPr="008D0DEB" w:rsidRDefault="00E44583" w:rsidP="0065556E">
      <w:pPr>
        <w:pStyle w:val="ListBullet2"/>
      </w:pPr>
      <w:r w:rsidRPr="008D0DEB">
        <w:t>Participants were required to hold a health care card, which was the validated measure of disadvantage for the trial. This excluded some Tasmanian residents who were on temporary visas, despite being otherwise well suited to the program.</w:t>
      </w:r>
    </w:p>
    <w:p w14:paraId="2ECB8C0F" w14:textId="6EBEEBAA" w:rsidR="00B24E46" w:rsidRPr="003A43DE" w:rsidRDefault="00E44583" w:rsidP="003A43DE">
      <w:pPr>
        <w:pStyle w:val="ListBullet"/>
      </w:pPr>
      <w:r w:rsidRPr="003A43DE">
        <w:t>Capabilities:</w:t>
      </w:r>
      <w:r w:rsidR="00386E26" w:rsidRPr="003A43DE">
        <w:t xml:space="preserve"> Cohort 1 enrolments were under target due to a flawed assumption in co-development that occurred when funding and cohort numbers were doubled by philanthropy</w:t>
      </w:r>
      <w:r w:rsidR="009A7E17" w:rsidRPr="003A43DE">
        <w:t>.</w:t>
      </w:r>
      <w:r w:rsidR="00386E26" w:rsidRPr="003A43DE">
        <w:t xml:space="preserve"> </w:t>
      </w:r>
      <w:r w:rsidR="00B92A70" w:rsidRPr="003A43DE">
        <w:t xml:space="preserve">In making the decision to double the program size when PRF funding became available, greater consideration should have been given to whether the originally targeted regions could support the doubled enrolments. </w:t>
      </w:r>
      <w:r w:rsidR="00386E26" w:rsidRPr="003A43DE">
        <w:t>At the same time a surplus was accrued by the service provider. Amendments to the payment schedule were negotiated, adding further complexity to the PBO2 financial structure. This required a second round of intermediary advisor support.</w:t>
      </w:r>
      <w:r w:rsidRPr="003A43DE">
        <w:t xml:space="preserve"> </w:t>
      </w:r>
      <w:bookmarkStart w:id="84" w:name="_Toc137210924"/>
      <w:bookmarkStart w:id="85" w:name="_Toc137211166"/>
      <w:bookmarkStart w:id="86" w:name="_Toc137219020"/>
    </w:p>
    <w:p w14:paraId="54F1F641" w14:textId="274672E5" w:rsidR="00276678" w:rsidRPr="008D0DEB" w:rsidRDefault="00096DFC" w:rsidP="00187144">
      <w:pPr>
        <w:pStyle w:val="Head2"/>
      </w:pPr>
      <w:bookmarkStart w:id="87" w:name="_Toc153801722"/>
      <w:r w:rsidRPr="008D0DEB">
        <w:t>PBO</w:t>
      </w:r>
      <w:r w:rsidR="002C00D8" w:rsidRPr="008D0DEB">
        <w:t>3</w:t>
      </w:r>
      <w:r w:rsidR="00FA1A0D" w:rsidRPr="008D0DEB">
        <w:t>: White Box Enterprises</w:t>
      </w:r>
      <w:bookmarkEnd w:id="84"/>
      <w:bookmarkEnd w:id="85"/>
      <w:bookmarkEnd w:id="86"/>
      <w:bookmarkEnd w:id="87"/>
    </w:p>
    <w:p w14:paraId="7AD8C12E" w14:textId="0E270BE0" w:rsidR="00276678" w:rsidRPr="008D0DEB" w:rsidRDefault="00276678" w:rsidP="0065556E">
      <w:pPr>
        <w:pStyle w:val="Head3"/>
      </w:pPr>
      <w:r w:rsidRPr="008D0DEB">
        <w:t>Key features of PBO3</w:t>
      </w:r>
    </w:p>
    <w:p w14:paraId="2CB6F003" w14:textId="2D723326" w:rsidR="00276678" w:rsidRPr="008D0DEB" w:rsidRDefault="00276678" w:rsidP="0065556E">
      <w:pPr>
        <w:pStyle w:val="ListBullet"/>
        <w:rPr>
          <w:noProof/>
        </w:rPr>
      </w:pPr>
      <w:r w:rsidRPr="008D0DEB">
        <w:t xml:space="preserve">Funding: </w:t>
      </w:r>
      <w:r w:rsidRPr="008D0DEB">
        <w:rPr>
          <w:noProof/>
        </w:rPr>
        <w:t xml:space="preserve">Up to $3.8 million from the Australian Government, subject to </w:t>
      </w:r>
      <w:r w:rsidR="003F3710">
        <w:rPr>
          <w:noProof/>
        </w:rPr>
        <w:t xml:space="preserve">outcome </w:t>
      </w:r>
      <w:r w:rsidRPr="008D0DEB">
        <w:rPr>
          <w:noProof/>
        </w:rPr>
        <w:t xml:space="preserve">achievement </w:t>
      </w:r>
    </w:p>
    <w:p w14:paraId="0AFF5623" w14:textId="224AD1B4" w:rsidR="00276678" w:rsidRPr="008D0DEB" w:rsidRDefault="00276678" w:rsidP="0065556E">
      <w:pPr>
        <w:pStyle w:val="ListBullet2"/>
      </w:pPr>
      <w:r w:rsidRPr="008D0DEB">
        <w:rPr>
          <w:noProof/>
        </w:rPr>
        <w:t>White Box Enterprises also attracted $750,000 of private investment.</w:t>
      </w:r>
    </w:p>
    <w:p w14:paraId="27099C16" w14:textId="50386271" w:rsidR="00276678" w:rsidRPr="008D0DEB" w:rsidRDefault="00276678" w:rsidP="0065556E">
      <w:pPr>
        <w:pStyle w:val="ListBullet"/>
      </w:pPr>
      <w:r w:rsidRPr="008D0DEB">
        <w:t xml:space="preserve">Timing: </w:t>
      </w:r>
      <w:r w:rsidRPr="008D0DEB">
        <w:rPr>
          <w:noProof/>
        </w:rPr>
        <w:t>July 2022 – June 2026</w:t>
      </w:r>
    </w:p>
    <w:p w14:paraId="1E256118" w14:textId="793A5293" w:rsidR="00276678" w:rsidRPr="008D0DEB" w:rsidRDefault="00276678" w:rsidP="0065556E">
      <w:pPr>
        <w:pStyle w:val="ListBullet"/>
      </w:pPr>
      <w:r w:rsidRPr="008D0DEB">
        <w:rPr>
          <w:noProof/>
        </w:rPr>
        <w:t xml:space="preserve">Intervention description: </w:t>
      </w:r>
      <w:r w:rsidRPr="008D0DEB">
        <w:t>White Box Enterprises provides wrap-around support services to people experiencing significant barriers to employment, through participating social enterprises (Work integrated social enterprises - WISEs).</w:t>
      </w:r>
    </w:p>
    <w:p w14:paraId="4D7ECEC2" w14:textId="541F1300" w:rsidR="00276678" w:rsidRPr="008D0DEB" w:rsidRDefault="00276678" w:rsidP="0065556E">
      <w:pPr>
        <w:pStyle w:val="ListBullet"/>
      </w:pPr>
      <w:r w:rsidRPr="008D0DEB">
        <w:t>Beneficiary cohort: White Box Enterprises is targeting people experiencing significant barriers to employment (e.g. disability), currently receiving income support, and experiencing unemployment (n=up to 170).</w:t>
      </w:r>
    </w:p>
    <w:p w14:paraId="4728D119" w14:textId="308633F7" w:rsidR="00276678" w:rsidRPr="008D0DEB" w:rsidRDefault="00276678" w:rsidP="0065556E">
      <w:pPr>
        <w:pStyle w:val="ListBullet"/>
        <w:rPr>
          <w:rStyle w:val="ui-provider"/>
        </w:rPr>
      </w:pPr>
      <w:r w:rsidRPr="008D0DEB">
        <w:lastRenderedPageBreak/>
        <w:t xml:space="preserve">Outcomes sought: Participating social enterprises receive outcomes-based payments when participating employees have passed the six-, 12-, and 18-month marks of employment, </w:t>
      </w:r>
      <w:r w:rsidRPr="008D0DEB">
        <w:rPr>
          <w:rStyle w:val="ui-provider"/>
        </w:rPr>
        <w:t>and have been transitioned to competitive employment for six and 12 months.</w:t>
      </w:r>
    </w:p>
    <w:p w14:paraId="27846206" w14:textId="209D8260" w:rsidR="00276678" w:rsidRPr="008D0DEB" w:rsidRDefault="00276678" w:rsidP="0065556E">
      <w:pPr>
        <w:pStyle w:val="Head3"/>
        <w:rPr>
          <w:rStyle w:val="ui-provider"/>
          <w:rFonts w:cs="Times New Roman"/>
          <w:b w:val="0"/>
          <w:color w:val="404040"/>
          <w:sz w:val="20"/>
        </w:rPr>
      </w:pPr>
      <w:r w:rsidRPr="008D0DEB">
        <w:rPr>
          <w:rStyle w:val="ui-provider"/>
        </w:rPr>
        <w:t>Key design features of PBO3</w:t>
      </w:r>
    </w:p>
    <w:p w14:paraId="0C7707B0" w14:textId="77777777" w:rsidR="006C4A8F" w:rsidRPr="008D0DEB" w:rsidRDefault="006C4A8F" w:rsidP="0065556E">
      <w:pPr>
        <w:pStyle w:val="ListBullet"/>
      </w:pPr>
      <w:r w:rsidRPr="008D0DEB">
        <w:t xml:space="preserve">Partnering with other social enterprises, White Box was able to take on participants and help match them, to help individuals upskill and </w:t>
      </w:r>
      <w:r w:rsidRPr="00020DCC">
        <w:t>develop</w:t>
      </w:r>
      <w:r w:rsidRPr="008D0DEB">
        <w:t xml:space="preserve"> in their roles. </w:t>
      </w:r>
    </w:p>
    <w:p w14:paraId="559F66FA" w14:textId="25D80E60" w:rsidR="00276678" w:rsidRPr="008D0DEB" w:rsidRDefault="006C4A8F" w:rsidP="0065556E">
      <w:pPr>
        <w:pStyle w:val="ListBullet"/>
        <w:rPr>
          <w:rStyle w:val="ui-provider"/>
        </w:rPr>
      </w:pPr>
      <w:r w:rsidRPr="008D0DEB">
        <w:t>Participating social enterprises receive a share of the outcome payment made, ensuring alignment between program outcomes and social enterprise goals.</w:t>
      </w:r>
    </w:p>
    <w:p w14:paraId="3C1797BA" w14:textId="483E8FE5" w:rsidR="00276678" w:rsidRPr="008D0DEB" w:rsidRDefault="006C4A8F" w:rsidP="0065556E">
      <w:pPr>
        <w:pStyle w:val="Head3"/>
        <w:rPr>
          <w:rStyle w:val="ui-provider"/>
          <w:rFonts w:cs="Times New Roman"/>
          <w:b w:val="0"/>
          <w:color w:val="404040"/>
          <w:sz w:val="20"/>
        </w:rPr>
      </w:pPr>
      <w:r w:rsidRPr="008D0DEB">
        <w:rPr>
          <w:rStyle w:val="ui-provider"/>
        </w:rPr>
        <w:t>Key learnings from PBO3</w:t>
      </w:r>
    </w:p>
    <w:p w14:paraId="5396C4C7" w14:textId="65D3ED7D" w:rsidR="00276678" w:rsidRPr="008D0DEB" w:rsidRDefault="0023641E" w:rsidP="0065556E">
      <w:pPr>
        <w:pStyle w:val="ListBullet"/>
      </w:pPr>
      <w:r>
        <w:t xml:space="preserve">Innovation: </w:t>
      </w:r>
      <w:r w:rsidR="006C4A8F" w:rsidRPr="008D0DEB">
        <w:t>White Box Enterprises is using an untested model with no existing track record. There were difficulties in allocating participants to participating social enterprises and in tracking engagement. The program is interacting with fewer participants than planned. Design of PBOs should involve substantial planning to ascertain the potential demand for a program, and the likely ‘supply’ of an intervention.</w:t>
      </w:r>
    </w:p>
    <w:p w14:paraId="1B9CD4F5" w14:textId="1C4F3280" w:rsidR="00276678" w:rsidRPr="008D0DEB" w:rsidRDefault="0023641E" w:rsidP="0065556E">
      <w:pPr>
        <w:pStyle w:val="ListBullet"/>
      </w:pPr>
      <w:r>
        <w:t xml:space="preserve">Data: </w:t>
      </w:r>
      <w:r w:rsidR="006C4A8F" w:rsidRPr="008D0DEB">
        <w:t>White Box Enterprises had not worked with government before the PBO. Accordingly, coordinating reporting with the participating social enterprises required input and coaching from the SII team. Further, the data used when establishing the PBO was not fit for purpose in later recording periods (e.g. due to a lack of baseline data capture).</w:t>
      </w:r>
      <w:bookmarkStart w:id="88" w:name="_Toc137210717"/>
    </w:p>
    <w:p w14:paraId="4FDF7814" w14:textId="041F86E2" w:rsidR="00B05964" w:rsidRPr="008D0DEB" w:rsidRDefault="003F3710" w:rsidP="0065556E">
      <w:pPr>
        <w:pStyle w:val="Heading2"/>
      </w:pPr>
      <w:bookmarkStart w:id="89" w:name="_Toc153801723"/>
      <w:r>
        <w:t>State P</w:t>
      </w:r>
      <w:r w:rsidR="00B05964" w:rsidRPr="008D0DEB">
        <w:t>artnerships</w:t>
      </w:r>
      <w:bookmarkEnd w:id="88"/>
      <w:bookmarkEnd w:id="89"/>
    </w:p>
    <w:p w14:paraId="3B7FCFD4" w14:textId="2B8416ED" w:rsidR="0012145E" w:rsidRPr="008D0DEB" w:rsidRDefault="0012145E" w:rsidP="0065556E">
      <w:r w:rsidRPr="008D0DEB">
        <w:rPr>
          <w:rStyle w:val="normaltextrun"/>
        </w:rPr>
        <w:t>The State Partnerships trials were established to explore the value of government investment and the sharing of data across jurisdictions in support of social impact investment.</w:t>
      </w:r>
      <w:r w:rsidRPr="008D0DEB">
        <w:rPr>
          <w:rStyle w:val="normaltextrun"/>
          <w:color w:val="000000"/>
        </w:rPr>
        <w:t xml:space="preserve"> </w:t>
      </w:r>
      <w:r w:rsidRPr="008D0DEB">
        <w:t>The Australian Government committed $22.3 million from 2017-18 to 2026-27 to work in partnership with the NSW and South Australian governments, providing funding for Foyer Central (in NSW) and New</w:t>
      </w:r>
      <w:r w:rsidR="00464205" w:rsidRPr="008D0DEB">
        <w:t>p</w:t>
      </w:r>
      <w:r w:rsidRPr="008D0DEB">
        <w:t xml:space="preserve">in and Resilient Families (in South Australia). Both programs are ongoing. </w:t>
      </w:r>
    </w:p>
    <w:p w14:paraId="5C11DD2A" w14:textId="5D1CD3A5" w:rsidR="001C73EB" w:rsidRPr="008D0DEB" w:rsidRDefault="001C73EB" w:rsidP="0065556E">
      <w:r w:rsidRPr="008D0DEB">
        <w:t>The partnerships were established under the Project Agreement for Commonwealth State Social Impact Investments</w:t>
      </w:r>
      <w:r w:rsidR="0012145E" w:rsidRPr="008D0DEB">
        <w:t>, which was</w:t>
      </w:r>
      <w:r w:rsidRPr="008D0DEB">
        <w:t xml:space="preserve"> created subject to the provisions of the Intergovernmental Agreement on Federal Financial Relations (IGA FFR). </w:t>
      </w:r>
      <w:r w:rsidR="005A1AE9" w:rsidRPr="008D0DEB">
        <w:t xml:space="preserve">The Project Agreement was signed by </w:t>
      </w:r>
      <w:r w:rsidR="00DD24DC" w:rsidRPr="008D0DEB">
        <w:t xml:space="preserve">all states and territories </w:t>
      </w:r>
      <w:r w:rsidR="00EA47FE" w:rsidRPr="008D0DEB">
        <w:t>except for</w:t>
      </w:r>
      <w:r w:rsidR="00DD24DC" w:rsidRPr="008D0DEB">
        <w:t xml:space="preserve"> Queensland, however</w:t>
      </w:r>
      <w:r w:rsidR="0012145E" w:rsidRPr="008D0DEB">
        <w:t>,</w:t>
      </w:r>
      <w:r w:rsidR="00DD24DC" w:rsidRPr="008D0DEB">
        <w:t xml:space="preserve"> on</w:t>
      </w:r>
      <w:r w:rsidR="00215D6C" w:rsidRPr="008D0DEB">
        <w:t xml:space="preserve">ly NSW and </w:t>
      </w:r>
      <w:r w:rsidR="0012145E" w:rsidRPr="008D0DEB">
        <w:t>South Australia</w:t>
      </w:r>
      <w:r w:rsidR="00215D6C" w:rsidRPr="008D0DEB">
        <w:t xml:space="preserve"> had commenced projects at the time of the evaluation. </w:t>
      </w:r>
      <w:r w:rsidRPr="008D0DEB">
        <w:t xml:space="preserve">Individual SII Bilateral Schedules were co-developed with each </w:t>
      </w:r>
      <w:r w:rsidR="00EA47FE" w:rsidRPr="008D0DEB">
        <w:t>state</w:t>
      </w:r>
      <w:r w:rsidRPr="008D0DEB">
        <w:t>.</w:t>
      </w:r>
    </w:p>
    <w:p w14:paraId="185F00BE" w14:textId="35F059A7" w:rsidR="003C0D57" w:rsidRPr="008D0DEB" w:rsidRDefault="003C0D57" w:rsidP="0065556E">
      <w:r w:rsidRPr="008D0DEB">
        <w:t>Both the Australian Government and their state and territory partners share</w:t>
      </w:r>
      <w:r w:rsidR="00A46358" w:rsidRPr="008D0DEB">
        <w:t>d</w:t>
      </w:r>
      <w:r w:rsidRPr="008D0DEB">
        <w:t xml:space="preserve"> financial contributions, data</w:t>
      </w:r>
      <w:r w:rsidR="0012145E" w:rsidRPr="008D0DEB">
        <w:t>,</w:t>
      </w:r>
      <w:r w:rsidRPr="008D0DEB">
        <w:t xml:space="preserve"> and analysis to ensure the accountability and sustainability of the investments. The partnerships </w:t>
      </w:r>
      <w:r w:rsidR="00BF6CE4" w:rsidRPr="008D0DEB">
        <w:t>wer</w:t>
      </w:r>
      <w:r w:rsidRPr="008D0DEB">
        <w:t>e designed to allow the Australian Government to:</w:t>
      </w:r>
    </w:p>
    <w:p w14:paraId="0FAC3A70" w14:textId="77777777" w:rsidR="003C0D57" w:rsidRPr="008D0DEB" w:rsidRDefault="003C0D57" w:rsidP="0065556E">
      <w:pPr>
        <w:pStyle w:val="ListBullet"/>
        <w:numPr>
          <w:ilvl w:val="0"/>
          <w:numId w:val="17"/>
        </w:numPr>
      </w:pPr>
      <w:r w:rsidRPr="008D0DEB">
        <w:t>operate as an enabler and developer of the SII market</w:t>
      </w:r>
    </w:p>
    <w:p w14:paraId="5D4AA41E" w14:textId="77777777" w:rsidR="003C0D57" w:rsidRPr="008D0DEB" w:rsidRDefault="003C0D57" w:rsidP="0065556E">
      <w:pPr>
        <w:pStyle w:val="ListBullet"/>
        <w:numPr>
          <w:ilvl w:val="0"/>
          <w:numId w:val="17"/>
        </w:numPr>
      </w:pPr>
      <w:r w:rsidRPr="008D0DEB">
        <w:t>co-design programs with direct stakeholders</w:t>
      </w:r>
    </w:p>
    <w:p w14:paraId="1386ED0A" w14:textId="5F515590" w:rsidR="003C0D57" w:rsidRPr="008D0DEB" w:rsidRDefault="003C0D57" w:rsidP="0065556E">
      <w:pPr>
        <w:pStyle w:val="ListBullet"/>
        <w:numPr>
          <w:ilvl w:val="0"/>
          <w:numId w:val="17"/>
        </w:numPr>
      </w:pPr>
      <w:r w:rsidRPr="008D0DEB">
        <w:t>share financial risk and return</w:t>
      </w:r>
    </w:p>
    <w:p w14:paraId="3A405FD1" w14:textId="77777777" w:rsidR="003C0D57" w:rsidRPr="008D0DEB" w:rsidRDefault="003C0D57" w:rsidP="0065556E">
      <w:pPr>
        <w:pStyle w:val="ListBullet"/>
        <w:numPr>
          <w:ilvl w:val="0"/>
          <w:numId w:val="17"/>
        </w:numPr>
      </w:pPr>
      <w:r w:rsidRPr="008D0DEB">
        <w:t>design robust outcomes-based measurements and evaluation</w:t>
      </w:r>
    </w:p>
    <w:p w14:paraId="52A89DD5" w14:textId="77777777" w:rsidR="003C0D57" w:rsidRPr="008D0DEB" w:rsidRDefault="003C0D57" w:rsidP="0065556E">
      <w:pPr>
        <w:pStyle w:val="ListBullet"/>
        <w:numPr>
          <w:ilvl w:val="0"/>
          <w:numId w:val="17"/>
        </w:numPr>
      </w:pPr>
      <w:r w:rsidRPr="008D0DEB">
        <w:t>improve quality of services and policy development</w:t>
      </w:r>
    </w:p>
    <w:p w14:paraId="29BBC41B" w14:textId="10DE5176" w:rsidR="003C0D57" w:rsidRPr="008D0DEB" w:rsidRDefault="003C0D57" w:rsidP="0065556E">
      <w:pPr>
        <w:pStyle w:val="ListBullet"/>
        <w:numPr>
          <w:ilvl w:val="0"/>
          <w:numId w:val="17"/>
        </w:numPr>
      </w:pPr>
      <w:r w:rsidRPr="008D0DEB">
        <w:t>increase the accountability, transparency and performance of financial investments</w:t>
      </w:r>
      <w:r w:rsidR="0038099F" w:rsidRPr="008D0DEB">
        <w:t>, and</w:t>
      </w:r>
    </w:p>
    <w:p w14:paraId="04DBD963" w14:textId="011165B7" w:rsidR="00464FFA" w:rsidRPr="008D0DEB" w:rsidRDefault="003C0D57" w:rsidP="0065556E">
      <w:pPr>
        <w:pStyle w:val="ListBullet"/>
        <w:numPr>
          <w:ilvl w:val="0"/>
          <w:numId w:val="17"/>
        </w:numPr>
      </w:pPr>
      <w:r w:rsidRPr="008D0DEB">
        <w:t>ensure that SII’s investment programs align with Australian Government policy priorities.</w:t>
      </w:r>
      <w:r w:rsidRPr="008D0DEB">
        <w:rPr>
          <w:rStyle w:val="FootnoteReference"/>
        </w:rPr>
        <w:footnoteReference w:id="16"/>
      </w:r>
      <w:r w:rsidR="00886CC0" w:rsidRPr="008D0DEB">
        <w:rPr>
          <w:vertAlign w:val="superscript"/>
        </w:rPr>
        <w:t>,</w:t>
      </w:r>
      <w:r w:rsidR="009F6D22" w:rsidRPr="008D0DEB">
        <w:rPr>
          <w:rStyle w:val="FootnoteReference"/>
        </w:rPr>
        <w:footnoteReference w:id="17"/>
      </w:r>
    </w:p>
    <w:p w14:paraId="281B1C78" w14:textId="736A26A0" w:rsidR="00387288" w:rsidRPr="008D0DEB" w:rsidRDefault="00464FFA" w:rsidP="0065556E">
      <w:r w:rsidRPr="008D0DEB">
        <w:lastRenderedPageBreak/>
        <w:t xml:space="preserve">Under the terms of the </w:t>
      </w:r>
      <w:r w:rsidR="00886CC0" w:rsidRPr="008D0DEB">
        <w:t>P</w:t>
      </w:r>
      <w:r w:rsidRPr="008D0DEB">
        <w:t xml:space="preserve">roject </w:t>
      </w:r>
      <w:r w:rsidR="00886CC0" w:rsidRPr="008D0DEB">
        <w:t>A</w:t>
      </w:r>
      <w:r w:rsidRPr="008D0DEB">
        <w:t xml:space="preserve">greement, the Australian Government </w:t>
      </w:r>
      <w:r w:rsidR="009E2D48" w:rsidRPr="008D0DEB">
        <w:t>is</w:t>
      </w:r>
      <w:r w:rsidRPr="008D0DEB">
        <w:t xml:space="preserve"> responsible for </w:t>
      </w:r>
      <w:r w:rsidR="00D71F3F" w:rsidRPr="008D0DEB">
        <w:t>providing a financial contribution</w:t>
      </w:r>
      <w:r w:rsidR="002B4FFC" w:rsidRPr="008D0DEB">
        <w:t xml:space="preserve">, providing </w:t>
      </w:r>
      <w:r w:rsidR="004172B7" w:rsidRPr="008D0DEB">
        <w:t xml:space="preserve">data and analysis to support the states, and evaluating Commonwealth-state facilitation of social </w:t>
      </w:r>
      <w:r w:rsidR="009E2D48" w:rsidRPr="008D0DEB">
        <w:t xml:space="preserve">impact investments. The states are responsible for </w:t>
      </w:r>
      <w:r w:rsidR="0050477D" w:rsidRPr="008D0DEB">
        <w:t xml:space="preserve">providing a financial contribution, program </w:t>
      </w:r>
      <w:r w:rsidR="009F2D4B" w:rsidRPr="008D0DEB">
        <w:t>delivery</w:t>
      </w:r>
      <w:r w:rsidR="0012145E" w:rsidRPr="008D0DEB">
        <w:t>,</w:t>
      </w:r>
      <w:r w:rsidR="00116B28" w:rsidRPr="008D0DEB">
        <w:t xml:space="preserve"> and</w:t>
      </w:r>
      <w:r w:rsidR="009F2D4B" w:rsidRPr="008D0DEB">
        <w:t xml:space="preserve"> providing state data and </w:t>
      </w:r>
      <w:r w:rsidR="0050477D" w:rsidRPr="008D0DEB">
        <w:t>analysis to support evaluation.</w:t>
      </w:r>
    </w:p>
    <w:p w14:paraId="05189DFE" w14:textId="05D81EFD" w:rsidR="002F6AE5" w:rsidRPr="008D0DEB" w:rsidRDefault="00621EB0" w:rsidP="00187144">
      <w:pPr>
        <w:pStyle w:val="Head2"/>
        <w:rPr>
          <w:lang w:val="en-AU"/>
        </w:rPr>
      </w:pPr>
      <w:bookmarkStart w:id="90" w:name="_Toc137210928"/>
      <w:bookmarkStart w:id="91" w:name="_Toc137211170"/>
      <w:bookmarkStart w:id="92" w:name="_Toc137219024"/>
      <w:bookmarkStart w:id="93" w:name="_Toc153801724"/>
      <w:r w:rsidRPr="008D0DEB">
        <w:t>NSW Government</w:t>
      </w:r>
      <w:bookmarkEnd w:id="90"/>
      <w:bookmarkEnd w:id="91"/>
      <w:bookmarkEnd w:id="92"/>
      <w:r w:rsidR="005F40A3">
        <w:t xml:space="preserve"> - </w:t>
      </w:r>
      <w:r w:rsidR="00A06A95" w:rsidRPr="008D0DEB">
        <w:t>Foyer Central</w:t>
      </w:r>
      <w:bookmarkEnd w:id="93"/>
    </w:p>
    <w:p w14:paraId="75ED15C5" w14:textId="799309E7" w:rsidR="002F6AE5" w:rsidRPr="008D0DEB" w:rsidRDefault="002F6AE5" w:rsidP="0065556E">
      <w:pPr>
        <w:pStyle w:val="Head3"/>
        <w:rPr>
          <w:lang w:val="en-AU"/>
        </w:rPr>
      </w:pPr>
      <w:r w:rsidRPr="008D0DEB">
        <w:rPr>
          <w:lang w:val="en-AU"/>
        </w:rPr>
        <w:t>Key Features of Foyer Central partnership (NSW)</w:t>
      </w:r>
    </w:p>
    <w:p w14:paraId="4BD1BA71" w14:textId="65D3695A" w:rsidR="002F6AE5" w:rsidRPr="0065556E" w:rsidRDefault="002F6AE5" w:rsidP="0065556E">
      <w:pPr>
        <w:pStyle w:val="ListBullet"/>
        <w:rPr>
          <w:lang w:val="en-AU"/>
        </w:rPr>
      </w:pPr>
      <w:r w:rsidRPr="0065556E">
        <w:rPr>
          <w:lang w:val="en-AU"/>
        </w:rPr>
        <w:t>Key Partners:</w:t>
      </w:r>
    </w:p>
    <w:p w14:paraId="7A7D90D0" w14:textId="74A6B99A" w:rsidR="002F6AE5" w:rsidRPr="008D0DEB" w:rsidRDefault="002F6AE5" w:rsidP="0065556E">
      <w:pPr>
        <w:pStyle w:val="ListBullet2"/>
        <w:rPr>
          <w:lang w:val="en-AU"/>
        </w:rPr>
      </w:pPr>
      <w:r w:rsidRPr="008D0DEB">
        <w:rPr>
          <w:lang w:val="en-AU"/>
        </w:rPr>
        <w:t>NSW Government</w:t>
      </w:r>
    </w:p>
    <w:p w14:paraId="3B2B33DE" w14:textId="76329F29" w:rsidR="002F6AE5" w:rsidRPr="008D0DEB" w:rsidRDefault="002F6AE5" w:rsidP="0065556E">
      <w:pPr>
        <w:pStyle w:val="ListBullet2"/>
        <w:rPr>
          <w:lang w:val="en-AU"/>
        </w:rPr>
      </w:pPr>
      <w:r w:rsidRPr="008D0DEB">
        <w:rPr>
          <w:lang w:val="en-AU"/>
        </w:rPr>
        <w:t>Uniting</w:t>
      </w:r>
    </w:p>
    <w:p w14:paraId="0F10E733" w14:textId="2B852B25" w:rsidR="002F6AE5" w:rsidRPr="008D0DEB" w:rsidRDefault="002F6AE5" w:rsidP="0065556E">
      <w:pPr>
        <w:pStyle w:val="ListBullet2"/>
        <w:rPr>
          <w:lang w:val="en-AU"/>
        </w:rPr>
      </w:pPr>
      <w:r w:rsidRPr="008D0DEB">
        <w:rPr>
          <w:lang w:val="en-AU"/>
        </w:rPr>
        <w:t>St George Community Housing</w:t>
      </w:r>
    </w:p>
    <w:p w14:paraId="2ED507BA" w14:textId="57D50DD7" w:rsidR="002F6AE5" w:rsidRPr="008D0DEB" w:rsidRDefault="006A7A85" w:rsidP="0065556E">
      <w:pPr>
        <w:pStyle w:val="ListBullet2"/>
        <w:rPr>
          <w:lang w:val="en-AU"/>
        </w:rPr>
      </w:pPr>
      <w:r w:rsidRPr="008D0DEB">
        <w:rPr>
          <w:lang w:val="en-AU"/>
        </w:rPr>
        <w:t>Social Ventures Australia (SVA)</w:t>
      </w:r>
    </w:p>
    <w:p w14:paraId="026EC85F" w14:textId="3FB139C6" w:rsidR="002F6AE5" w:rsidRPr="0065556E" w:rsidRDefault="00871E71" w:rsidP="0065556E">
      <w:pPr>
        <w:pStyle w:val="ListBullet"/>
        <w:rPr>
          <w:lang w:val="en-AU"/>
        </w:rPr>
      </w:pPr>
      <w:r w:rsidRPr="0065556E">
        <w:rPr>
          <w:lang w:val="en-AU"/>
        </w:rPr>
        <w:t>Funding:</w:t>
      </w:r>
      <w:r w:rsidR="00083534" w:rsidRPr="0065556E">
        <w:rPr>
          <w:lang w:val="en-AU"/>
        </w:rPr>
        <w:t xml:space="preserve"> </w:t>
      </w:r>
      <w:r w:rsidR="006A7A85" w:rsidRPr="008D0DEB">
        <w:t>Foyer Central is contracted by the NSW Government, through the Foyer Central SIB fund, which attracted $7 million upfront capital including the Australian Government contribution.</w:t>
      </w:r>
    </w:p>
    <w:p w14:paraId="21635BA7" w14:textId="0D023839" w:rsidR="006A7A85" w:rsidRPr="0065556E" w:rsidRDefault="006A7A85" w:rsidP="0065556E">
      <w:pPr>
        <w:pStyle w:val="ListBullet"/>
        <w:rPr>
          <w:lang w:val="en-AU"/>
        </w:rPr>
      </w:pPr>
      <w:r w:rsidRPr="0065556E">
        <w:rPr>
          <w:lang w:val="en-AU"/>
        </w:rPr>
        <w:t xml:space="preserve">Timing: </w:t>
      </w:r>
      <w:r w:rsidRPr="008D0DEB">
        <w:t xml:space="preserve">2021 </w:t>
      </w:r>
      <w:r w:rsidRPr="008D0DEB">
        <w:rPr>
          <w:noProof/>
        </w:rPr>
        <w:t xml:space="preserve">– </w:t>
      </w:r>
      <w:r w:rsidRPr="008D0DEB">
        <w:t>2031</w:t>
      </w:r>
    </w:p>
    <w:p w14:paraId="0C17EE21" w14:textId="2933ADA3" w:rsidR="006A7A85" w:rsidRPr="0065556E" w:rsidRDefault="006A7A85" w:rsidP="0065556E">
      <w:pPr>
        <w:pStyle w:val="ListBullet"/>
        <w:rPr>
          <w:lang w:val="en-AU"/>
        </w:rPr>
      </w:pPr>
      <w:r w:rsidRPr="0065556E">
        <w:rPr>
          <w:lang w:val="en-AU"/>
        </w:rPr>
        <w:t xml:space="preserve">Intervention description: </w:t>
      </w:r>
      <w:r w:rsidRPr="008D0DEB">
        <w:t>Foyer Central is a supported accommodation complex with 53 studio apartments in inner Sydney that provides young people, who are exiting out-of-home-care (OOHC) and are at risk of homelessness, a safe and supportive space to access opportunities for their personal development, health and wellbeing, education and employment.</w:t>
      </w:r>
    </w:p>
    <w:p w14:paraId="5B107980" w14:textId="3E991244" w:rsidR="002F6AE5" w:rsidRPr="0065556E" w:rsidRDefault="006A7A85" w:rsidP="0065556E">
      <w:pPr>
        <w:pStyle w:val="ListBullet"/>
        <w:rPr>
          <w:lang w:val="en-AU"/>
        </w:rPr>
      </w:pPr>
      <w:r w:rsidRPr="0065556E">
        <w:rPr>
          <w:lang w:val="en-AU"/>
        </w:rPr>
        <w:t xml:space="preserve">Beneficiary cohort: </w:t>
      </w:r>
      <w:r w:rsidRPr="0065556E">
        <w:rPr>
          <w:bCs/>
        </w:rPr>
        <w:t>Young</w:t>
      </w:r>
      <w:r w:rsidRPr="008D0DEB">
        <w:t xml:space="preserve"> people aged 18-22 years who reside in NSW, have lived experience of OOHC and who are currently experiencing, or at risk of, homelessness.</w:t>
      </w:r>
    </w:p>
    <w:p w14:paraId="0C108AAC" w14:textId="115EA28F" w:rsidR="006A7A85" w:rsidRPr="0065556E" w:rsidRDefault="006A7A85" w:rsidP="0065556E">
      <w:pPr>
        <w:pStyle w:val="ListBullet"/>
        <w:rPr>
          <w:lang w:val="en-AU"/>
        </w:rPr>
      </w:pPr>
      <w:r w:rsidRPr="0065556E">
        <w:rPr>
          <w:lang w:val="en-AU"/>
        </w:rPr>
        <w:t xml:space="preserve">Outcomes sought: </w:t>
      </w:r>
      <w:r w:rsidRPr="008D0DEB">
        <w:t>Sustained engagement with education, employment and/or independent housing, as well as avoidance of incarceration, homelessness services and having a child enter OOHC.</w:t>
      </w:r>
    </w:p>
    <w:p w14:paraId="02A887CF" w14:textId="1876054F" w:rsidR="006A7A85" w:rsidRPr="008D0DEB" w:rsidRDefault="006A7A85" w:rsidP="0065556E">
      <w:pPr>
        <w:pStyle w:val="Head3"/>
        <w:rPr>
          <w:lang w:val="en-AU"/>
        </w:rPr>
      </w:pPr>
      <w:r w:rsidRPr="008D0DEB">
        <w:rPr>
          <w:lang w:val="en-AU"/>
        </w:rPr>
        <w:t>Key design features from Foyer Central partnership (NSW)</w:t>
      </w:r>
    </w:p>
    <w:p w14:paraId="1D5B0875" w14:textId="77777777" w:rsidR="006A7A85" w:rsidRPr="0065556E" w:rsidRDefault="006A7A85" w:rsidP="0065556E">
      <w:pPr>
        <w:pStyle w:val="ListBullet"/>
        <w:rPr>
          <w:lang w:val="en-AU"/>
        </w:rPr>
      </w:pPr>
      <w:r w:rsidRPr="0065556E">
        <w:rPr>
          <w:lang w:val="en-AU"/>
        </w:rPr>
        <w:t xml:space="preserve">Foyer Central offers safe and stable accommodation and tailored supports in exchange for engagement in training, education and/or employment. For the program to reach an outcome milestone, participants must maintain employment, education and/or independent living, and not record a conviction, live in social housing or have a child placed into OOHC. </w:t>
      </w:r>
    </w:p>
    <w:p w14:paraId="61F6B6A6" w14:textId="20B3CD14" w:rsidR="006A7A85" w:rsidRPr="0065556E" w:rsidRDefault="006A7A85" w:rsidP="0065556E">
      <w:pPr>
        <w:pStyle w:val="ListBullet"/>
        <w:rPr>
          <w:lang w:val="en-AU"/>
        </w:rPr>
      </w:pPr>
      <w:r w:rsidRPr="008D0DEB">
        <w:t>Trauma-informed care is utilised when working with young people to help identify, develop and invest in the skills, capabilities and assets of young people. Consistent relationships and a safe and predictable environment provided by Foyer Central helps to support participants to build resilience and coping strategies.</w:t>
      </w:r>
    </w:p>
    <w:p w14:paraId="6B9F215B" w14:textId="2568B1E4" w:rsidR="006A7A85" w:rsidRPr="008D0DEB" w:rsidRDefault="006A7A85" w:rsidP="0065556E">
      <w:pPr>
        <w:pStyle w:val="Head3"/>
        <w:rPr>
          <w:lang w:val="en-AU"/>
        </w:rPr>
      </w:pPr>
      <w:r w:rsidRPr="008D0DEB">
        <w:rPr>
          <w:lang w:val="en-AU"/>
        </w:rPr>
        <w:t>Key Learnings from Foyer Central partnership (NSW)</w:t>
      </w:r>
    </w:p>
    <w:p w14:paraId="62425076" w14:textId="768EF1FB" w:rsidR="006A7A85" w:rsidRPr="008D0DEB" w:rsidRDefault="006A7A85" w:rsidP="0065556E">
      <w:pPr>
        <w:pStyle w:val="ListBullet"/>
      </w:pPr>
      <w:r w:rsidRPr="008D0DEB">
        <w:t>Systemic constraints: SII in the area of homelessness, housing and helping young people engage with services (increasing their independence) has a significant potential to deliver downstream cost savings for government, in sectors such as welfare and disability support, which are Australian Government portfolios and responsibilities.</w:t>
      </w:r>
    </w:p>
    <w:p w14:paraId="1EEE14E2" w14:textId="64E62690" w:rsidR="00616872" w:rsidRPr="008D0DEB" w:rsidRDefault="006A7A85" w:rsidP="0065556E">
      <w:pPr>
        <w:pStyle w:val="ListBullet"/>
      </w:pPr>
      <w:r w:rsidRPr="008D0DEB">
        <w:t>Culture/mindset: Opportunities to facilitate knowledge sharing, maintain openness and transparency such as the inter</w:t>
      </w:r>
      <w:r w:rsidR="00083534">
        <w:t>-</w:t>
      </w:r>
      <w:r w:rsidRPr="008D0DEB">
        <w:t>jurisdictional network (a network of stakeholders across Australian jurisdictions such as DSS and relevant state and territory bodies), is an effective way to ensure growth and increase multilateral partnerships with different states and territories.</w:t>
      </w:r>
      <w:bookmarkStart w:id="94" w:name="_Toc137210931"/>
      <w:bookmarkStart w:id="95" w:name="_Toc137211173"/>
      <w:bookmarkStart w:id="96" w:name="_Toc137219027"/>
    </w:p>
    <w:p w14:paraId="233A9A3E" w14:textId="6C62503B" w:rsidR="002A06B7" w:rsidRPr="008D0DEB" w:rsidRDefault="00A06A95" w:rsidP="00187144">
      <w:pPr>
        <w:pStyle w:val="Head2"/>
      </w:pPr>
      <w:bookmarkStart w:id="97" w:name="_Toc153801725"/>
      <w:r w:rsidRPr="008D0DEB">
        <w:lastRenderedPageBreak/>
        <w:t>SA Government</w:t>
      </w:r>
      <w:r w:rsidR="00DE5445" w:rsidRPr="008D0DEB">
        <w:t xml:space="preserve"> </w:t>
      </w:r>
      <w:r w:rsidR="005F40A3">
        <w:t xml:space="preserve">- </w:t>
      </w:r>
      <w:r w:rsidR="00BD322A" w:rsidRPr="008D0DEB">
        <w:t>New</w:t>
      </w:r>
      <w:r w:rsidR="002C08DB" w:rsidRPr="008D0DEB">
        <w:t xml:space="preserve"> Parent Infant Network (</w:t>
      </w:r>
      <w:r w:rsidR="00BD322A" w:rsidRPr="008D0DEB">
        <w:t>Newpin</w:t>
      </w:r>
      <w:r w:rsidR="002C08DB" w:rsidRPr="008D0DEB">
        <w:t>)</w:t>
      </w:r>
      <w:bookmarkEnd w:id="97"/>
      <w:r w:rsidR="00BD322A" w:rsidRPr="008D0DEB">
        <w:t xml:space="preserve"> </w:t>
      </w:r>
      <w:bookmarkEnd w:id="94"/>
      <w:bookmarkEnd w:id="95"/>
      <w:bookmarkEnd w:id="96"/>
    </w:p>
    <w:p w14:paraId="0ABBE13E" w14:textId="12AF079C" w:rsidR="006A7A85" w:rsidRPr="008D0DEB" w:rsidRDefault="0098638E" w:rsidP="0065556E">
      <w:pPr>
        <w:pStyle w:val="Head3"/>
      </w:pPr>
      <w:r w:rsidRPr="008D0DEB">
        <w:t>Key f</w:t>
      </w:r>
      <w:r w:rsidR="006A7A85" w:rsidRPr="008D0DEB">
        <w:t>eatures of Newpin partnership (SA)</w:t>
      </w:r>
    </w:p>
    <w:p w14:paraId="1AE907E7" w14:textId="66C25A12" w:rsidR="006A7A85" w:rsidRPr="008D0DEB" w:rsidRDefault="006A7A85" w:rsidP="0065556E">
      <w:pPr>
        <w:pStyle w:val="ListBullet"/>
      </w:pPr>
      <w:r w:rsidRPr="008D0DEB">
        <w:t>Key Partners:</w:t>
      </w:r>
    </w:p>
    <w:p w14:paraId="49064D10" w14:textId="1F1027A4" w:rsidR="006A7A85" w:rsidRPr="008D0DEB" w:rsidRDefault="0099309E" w:rsidP="0065556E">
      <w:pPr>
        <w:pStyle w:val="ListBullet2"/>
      </w:pPr>
      <w:r>
        <w:t>Uniting Communities</w:t>
      </w:r>
    </w:p>
    <w:p w14:paraId="68237F95" w14:textId="2E339159" w:rsidR="006A7A85" w:rsidRPr="008D0DEB" w:rsidRDefault="006A7A85" w:rsidP="0065556E">
      <w:pPr>
        <w:pStyle w:val="ListBullet2"/>
      </w:pPr>
      <w:r w:rsidRPr="008D0DEB">
        <w:t>SVA</w:t>
      </w:r>
    </w:p>
    <w:p w14:paraId="5B018A11" w14:textId="3585F8FD" w:rsidR="006A7A85" w:rsidRPr="0065556E" w:rsidRDefault="00871E71" w:rsidP="0065556E">
      <w:pPr>
        <w:pStyle w:val="ListBullet"/>
        <w:rPr>
          <w:rFonts w:cs="Verdana"/>
        </w:rPr>
      </w:pPr>
      <w:r w:rsidRPr="008D0DEB">
        <w:t>Funding:</w:t>
      </w:r>
      <w:r w:rsidR="00083534">
        <w:t xml:space="preserve"> </w:t>
      </w:r>
      <w:r w:rsidR="006A7A85" w:rsidRPr="008D0DEB">
        <w:rPr>
          <w:noProof/>
        </w:rPr>
        <w:t>$6.5 million over seven years (through the Newpin SA SIB Trust)</w:t>
      </w:r>
    </w:p>
    <w:p w14:paraId="0B5BDD66" w14:textId="6FADC964" w:rsidR="006A7A85" w:rsidRPr="008D0DEB" w:rsidRDefault="006A7A85" w:rsidP="0065556E">
      <w:pPr>
        <w:pStyle w:val="ListBullet"/>
      </w:pPr>
      <w:r w:rsidRPr="008D0DEB">
        <w:t xml:space="preserve">Timing: </w:t>
      </w:r>
      <w:r w:rsidRPr="008D0DEB">
        <w:rPr>
          <w:noProof/>
        </w:rPr>
        <w:t>2021 – 2028</w:t>
      </w:r>
    </w:p>
    <w:p w14:paraId="35625A85" w14:textId="7913E61B" w:rsidR="006A7A85" w:rsidRPr="008D0DEB" w:rsidRDefault="006A7A85" w:rsidP="0065556E">
      <w:pPr>
        <w:pStyle w:val="ListBullet"/>
      </w:pPr>
      <w:r w:rsidRPr="008D0DEB">
        <w:rPr>
          <w:noProof/>
        </w:rPr>
        <w:t xml:space="preserve">Intervention description: </w:t>
      </w:r>
      <w:r w:rsidRPr="008D0DEB">
        <w:t>Newpin is an 18-month centre-based program that offers parenting modules, therapeutic group meetings, child development activities and a supportive environment.</w:t>
      </w:r>
    </w:p>
    <w:p w14:paraId="79E5781B" w14:textId="0B6F7F7D" w:rsidR="006A7A85" w:rsidRPr="008D0DEB" w:rsidRDefault="006A7A85" w:rsidP="0065556E">
      <w:pPr>
        <w:pStyle w:val="ListBullet"/>
      </w:pPr>
      <w:r w:rsidRPr="008D0DEB">
        <w:t>Beneficiary cohort: Families with young children aged six or younger who are on a temporary care order, OOHC, and where reunification has been identified as an appropriate goal.</w:t>
      </w:r>
    </w:p>
    <w:p w14:paraId="32C98F8F" w14:textId="4F7AA49E" w:rsidR="006A7A85" w:rsidRPr="008D0DEB" w:rsidRDefault="006A7A85" w:rsidP="0065556E">
      <w:pPr>
        <w:pStyle w:val="ListBullet"/>
      </w:pPr>
      <w:r w:rsidRPr="008D0DEB">
        <w:t>Outcomes sought: The program aims to reunify children with their families.</w:t>
      </w:r>
    </w:p>
    <w:p w14:paraId="059D9A0E" w14:textId="6A47F3A5" w:rsidR="001028DA" w:rsidRPr="008D0DEB" w:rsidRDefault="001028DA" w:rsidP="0065556E">
      <w:pPr>
        <w:pStyle w:val="Head3"/>
      </w:pPr>
      <w:r w:rsidRPr="008D0DEB">
        <w:t>Key design features of Newpin partn</w:t>
      </w:r>
      <w:r w:rsidR="005F40A3">
        <w:t>er</w:t>
      </w:r>
      <w:r w:rsidRPr="008D0DEB">
        <w:t>ships (SA)</w:t>
      </w:r>
    </w:p>
    <w:p w14:paraId="4117436F" w14:textId="77777777" w:rsidR="001028DA" w:rsidRPr="008D0DEB" w:rsidRDefault="001028DA" w:rsidP="0065556E">
      <w:pPr>
        <w:pStyle w:val="Table-Bullet"/>
      </w:pPr>
      <w:r w:rsidRPr="008D0DEB">
        <w:t>The Newpin model in South Australia was adapted from the model previously used in NSW. However, the model was adapted to the South Australian context where alcohol and other drug (AOD) use was more prevalent.</w:t>
      </w:r>
    </w:p>
    <w:p w14:paraId="7230CD42" w14:textId="73098E86" w:rsidR="006A7A85" w:rsidRPr="008D0DEB" w:rsidRDefault="001028DA" w:rsidP="0065556E">
      <w:pPr>
        <w:pStyle w:val="ListBullet"/>
      </w:pPr>
      <w:r w:rsidRPr="008D0DEB">
        <w:t>South Australia also had different laws to NSW regarding child removal into OOHC, which provided a shorter window of time to work with families.</w:t>
      </w:r>
    </w:p>
    <w:p w14:paraId="1272FA2F" w14:textId="0833595E" w:rsidR="00355EB5" w:rsidRPr="008D0DEB" w:rsidRDefault="005F40A3" w:rsidP="00187144">
      <w:pPr>
        <w:pStyle w:val="Head2"/>
      </w:pPr>
      <w:bookmarkStart w:id="98" w:name="_Toc153801726"/>
      <w:r>
        <w:t xml:space="preserve">SA Government - </w:t>
      </w:r>
      <w:r w:rsidR="00C4464A" w:rsidRPr="008D0DEB">
        <w:t>Resilient Families</w:t>
      </w:r>
      <w:bookmarkEnd w:id="98"/>
    </w:p>
    <w:p w14:paraId="09EE9AB7" w14:textId="75FACB64" w:rsidR="001028DA" w:rsidRPr="008D0DEB" w:rsidRDefault="001028DA" w:rsidP="0065556E">
      <w:pPr>
        <w:pStyle w:val="Head3"/>
      </w:pPr>
      <w:r w:rsidRPr="008D0DEB">
        <w:t>Features of Resilient Families partnership (SA)</w:t>
      </w:r>
    </w:p>
    <w:p w14:paraId="7CF85E58" w14:textId="72C2CADD" w:rsidR="001028DA" w:rsidRPr="008D0DEB" w:rsidRDefault="003F3710" w:rsidP="0065556E">
      <w:pPr>
        <w:pStyle w:val="ListBullet"/>
      </w:pPr>
      <w:r>
        <w:t>Key Partners: The B</w:t>
      </w:r>
      <w:r w:rsidR="001028DA" w:rsidRPr="008D0DEB">
        <w:t>enevolent Society (TBS)</w:t>
      </w:r>
    </w:p>
    <w:p w14:paraId="450A049A" w14:textId="5A31EB10" w:rsidR="001028DA" w:rsidRPr="008D0DEB" w:rsidRDefault="001028DA" w:rsidP="0065556E">
      <w:pPr>
        <w:pStyle w:val="ListBullet"/>
      </w:pPr>
      <w:r w:rsidRPr="008D0DEB">
        <w:t>Funding:</w:t>
      </w:r>
      <w:r w:rsidR="00083534">
        <w:t xml:space="preserve"> </w:t>
      </w:r>
      <w:r w:rsidRPr="008D0DEB">
        <w:t>$11.3 million</w:t>
      </w:r>
      <w:r w:rsidRPr="008D0DEB">
        <w:rPr>
          <w:rStyle w:val="FootnoteReference"/>
        </w:rPr>
        <w:footnoteReference w:id="18"/>
      </w:r>
      <w:r w:rsidR="00BF0143">
        <w:t xml:space="preserve"> </w:t>
      </w:r>
    </w:p>
    <w:p w14:paraId="76E4D34B" w14:textId="103CEB83" w:rsidR="001028DA" w:rsidRPr="008D0DEB" w:rsidRDefault="001028DA" w:rsidP="0065556E">
      <w:pPr>
        <w:pStyle w:val="ListBullet"/>
      </w:pPr>
      <w:r w:rsidRPr="008D0DEB">
        <w:t>Timing: 2021-2027</w:t>
      </w:r>
    </w:p>
    <w:p w14:paraId="438D3463" w14:textId="3598F9BC" w:rsidR="001028DA" w:rsidRPr="008D0DEB" w:rsidRDefault="001028DA" w:rsidP="0065556E">
      <w:pPr>
        <w:pStyle w:val="ListBullet"/>
      </w:pPr>
      <w:r w:rsidRPr="008D0DEB">
        <w:t>Invention description:</w:t>
      </w:r>
      <w:r w:rsidR="00083534">
        <w:t xml:space="preserve"> </w:t>
      </w:r>
      <w:r w:rsidRPr="008D0DEB">
        <w:t>Resilient Families (RF) is a 12-month program delivering intensive, in-home support (4-6 hours per week in the initial phase) for families where the presence of risk factors indicates a need for intervention to reduce risk and prevent harm to the child or young person.</w:t>
      </w:r>
    </w:p>
    <w:p w14:paraId="09574F45" w14:textId="48B16A34" w:rsidR="001028DA" w:rsidRPr="008D0DEB" w:rsidRDefault="001028DA" w:rsidP="0065556E">
      <w:pPr>
        <w:pStyle w:val="ListBullet"/>
      </w:pPr>
      <w:r w:rsidRPr="008D0DEB">
        <w:t>Beneficiary cohort: Families with an ‘index child’ that is aged under 9, and has been assessed as ‘conditionally safe’ after an Initial Safety Assessment</w:t>
      </w:r>
    </w:p>
    <w:p w14:paraId="173760A5" w14:textId="59441C9D" w:rsidR="001028DA" w:rsidRPr="008D0DEB" w:rsidRDefault="001028DA" w:rsidP="0065556E">
      <w:pPr>
        <w:pStyle w:val="ListBullet"/>
      </w:pPr>
      <w:r w:rsidRPr="008D0DEB">
        <w:t>Outcomes sought: Family preservation</w:t>
      </w:r>
    </w:p>
    <w:p w14:paraId="0D04E14E" w14:textId="0196D66F" w:rsidR="001028DA" w:rsidRPr="008D0DEB" w:rsidRDefault="001028DA" w:rsidP="0065556E">
      <w:pPr>
        <w:pStyle w:val="Head3"/>
      </w:pPr>
      <w:r w:rsidRPr="008D0DEB">
        <w:t>Key design Features of Resilient Families partnership (SA)</w:t>
      </w:r>
    </w:p>
    <w:p w14:paraId="2E9923F1" w14:textId="77777777" w:rsidR="00CF4BE6" w:rsidRPr="008D0DEB" w:rsidRDefault="00CF4BE6" w:rsidP="0065556E">
      <w:pPr>
        <w:pStyle w:val="Table-Bullet"/>
      </w:pPr>
      <w:r w:rsidRPr="008D0DEB">
        <w:t>Practitioners in the program deliver TBS, in partnership with the Parenting Research Centre, has developed 42 Evidence Informed Practices (EIPs). Of which, RF practitioner’s draw on the following practice guides in their work with families</w:t>
      </w:r>
    </w:p>
    <w:p w14:paraId="4404AF70" w14:textId="189D026F" w:rsidR="00CF4BE6" w:rsidRPr="008D0DEB" w:rsidRDefault="00CF4BE6" w:rsidP="0065556E">
      <w:pPr>
        <w:pStyle w:val="ListBullet"/>
      </w:pPr>
      <w:r w:rsidRPr="008D0DEB">
        <w:lastRenderedPageBreak/>
        <w:t xml:space="preserve">TBS employs a Cultural Engagement Practitioner to enhance connections between local Aboriginal communities and families who identify as being Aboriginal. </w:t>
      </w:r>
    </w:p>
    <w:p w14:paraId="26422E54" w14:textId="6FC62B2F" w:rsidR="001028DA" w:rsidRPr="008D0DEB" w:rsidRDefault="00CF4BE6" w:rsidP="0065556E">
      <w:pPr>
        <w:pStyle w:val="ListBullet"/>
      </w:pPr>
      <w:r w:rsidRPr="008D0DEB">
        <w:t>The program’s brokerage funding was supplemented with additional funding from DHS, extending the list of activities to assist RF families. This included education and sporting enrolment fees, driving lessons for parents, vouchers for whitegoods, and medical expenses.</w:t>
      </w:r>
    </w:p>
    <w:p w14:paraId="5257139B" w14:textId="3CDA9C48" w:rsidR="00CF4BE6" w:rsidRPr="008D0DEB" w:rsidRDefault="0046631D" w:rsidP="0065556E">
      <w:pPr>
        <w:pStyle w:val="Head3"/>
      </w:pPr>
      <w:r w:rsidRPr="008D0DEB">
        <w:t>Key Learnings from SA Government Partnerships</w:t>
      </w:r>
    </w:p>
    <w:p w14:paraId="29AA4B80" w14:textId="250A9711" w:rsidR="0046631D" w:rsidRPr="008D0DEB" w:rsidRDefault="0046631D" w:rsidP="0065556E">
      <w:pPr>
        <w:pStyle w:val="ListBullet"/>
      </w:pPr>
      <w:r w:rsidRPr="008D0DEB">
        <w:t>Cultural/mindset: The state partnerships provided substantial value for the South Australian Government, beyond financial contributions. The nature of engagement and communication with DSS created a meaningful relationship which will feed into subsequent projects. The partnership benefited from a strong culture of learning, and trusting relationships between the different agencies, services providers, and legal and data custodians. However, these took some time to establish.</w:t>
      </w:r>
    </w:p>
    <w:p w14:paraId="75D55840" w14:textId="22522D76" w:rsidR="0046631D" w:rsidRPr="008D0DEB" w:rsidRDefault="0046631D" w:rsidP="0065556E">
      <w:pPr>
        <w:pStyle w:val="ListBullet"/>
      </w:pPr>
      <w:r w:rsidRPr="008D0DEB">
        <w:t>Data: Several data sources were needed, and a cultural shift was required to enable data custodians to share the available data with participating stakeholders.</w:t>
      </w:r>
    </w:p>
    <w:p w14:paraId="2D57E880" w14:textId="2A9B978E" w:rsidR="0046631D" w:rsidRPr="008D0DEB" w:rsidRDefault="0046631D" w:rsidP="0065556E">
      <w:pPr>
        <w:pStyle w:val="ListBullet"/>
      </w:pPr>
      <w:r w:rsidRPr="008D0DEB">
        <w:t>Systemic constraints:</w:t>
      </w:r>
      <w:r w:rsidR="00083534">
        <w:t xml:space="preserve"> </w:t>
      </w:r>
      <w:r w:rsidRPr="008D0DEB">
        <w:t>Implementation of the partnerships in South Australia addressed specific service needs in the community. But there is evidence from previous implementation (of Newpin in NSW) of a potential for duplication in service delivery, where the introduction of a new policy initiative created additional services with the same intended outcomes, reducing the intake of potential clients.</w:t>
      </w:r>
      <w:r w:rsidRPr="008D0DEB">
        <w:rPr>
          <w:rStyle w:val="FootnoteReference"/>
        </w:rPr>
        <w:footnoteReference w:id="19"/>
      </w:r>
      <w:r w:rsidRPr="008D0DEB">
        <w:t xml:space="preserve"> </w:t>
      </w:r>
    </w:p>
    <w:p w14:paraId="226E0638" w14:textId="104A64E8" w:rsidR="0046631D" w:rsidRPr="008D0DEB" w:rsidRDefault="0046631D" w:rsidP="0065556E">
      <w:pPr>
        <w:pStyle w:val="ListBullet2"/>
      </w:pPr>
      <w:r w:rsidRPr="008D0DEB">
        <w:t>State partnerships should mitigate the risk of this occurring, in cases where the Australian Government has less familiarity with the existing service environment</w:t>
      </w:r>
    </w:p>
    <w:p w14:paraId="5C5474F9" w14:textId="55613F5B" w:rsidR="00D17932" w:rsidRPr="008D0DEB" w:rsidRDefault="00D17932" w:rsidP="0065556E">
      <w:pPr>
        <w:pStyle w:val="Heading2"/>
      </w:pPr>
      <w:bookmarkStart w:id="99" w:name="_Toc153801727"/>
      <w:bookmarkStart w:id="100" w:name="_Toc137210718"/>
      <w:r w:rsidRPr="008D0DEB">
        <w:t>Outcome Measurement Initiative</w:t>
      </w:r>
      <w:bookmarkEnd w:id="99"/>
      <w:r w:rsidRPr="008D0DEB">
        <w:t xml:space="preserve"> </w:t>
      </w:r>
      <w:bookmarkEnd w:id="100"/>
    </w:p>
    <w:p w14:paraId="3339BFD2" w14:textId="77777777" w:rsidR="00AC36D6" w:rsidRPr="008D0DEB" w:rsidRDefault="005E30EE" w:rsidP="0065556E">
      <w:r w:rsidRPr="008D0DEB">
        <w:t xml:space="preserve">The </w:t>
      </w:r>
      <w:r w:rsidR="007F564F" w:rsidRPr="008D0DEB">
        <w:t>OMI aims to h</w:t>
      </w:r>
      <w:r w:rsidRPr="008D0DEB">
        <w:t>elp for-purpose organisations define, measure and communicate their non-financial outcomes and social impact</w:t>
      </w:r>
      <w:r w:rsidR="006D2A9F" w:rsidRPr="008D0DEB">
        <w:t xml:space="preserve"> and attract private investment</w:t>
      </w:r>
      <w:r w:rsidRPr="008D0DEB">
        <w:t>.</w:t>
      </w:r>
      <w:r w:rsidRPr="008D0DEB">
        <w:rPr>
          <w:rStyle w:val="FootnoteReference"/>
        </w:rPr>
        <w:footnoteReference w:id="20"/>
      </w:r>
      <w:r w:rsidRPr="008D0DEB">
        <w:t xml:space="preserve"> </w:t>
      </w:r>
    </w:p>
    <w:p w14:paraId="4980BB92" w14:textId="77777777" w:rsidR="0090660D" w:rsidRPr="008D0DEB" w:rsidRDefault="007F564F" w:rsidP="0065556E">
      <w:r w:rsidRPr="008D0DEB">
        <w:t>The OMI in</w:t>
      </w:r>
      <w:r w:rsidR="002D6488" w:rsidRPr="008D0DEB">
        <w:t xml:space="preserve">volved </w:t>
      </w:r>
      <w:r w:rsidR="0090660D" w:rsidRPr="008D0DEB">
        <w:t>two advisory groups responsible for testing new activities</w:t>
      </w:r>
      <w:r w:rsidR="00A676D9" w:rsidRPr="008D0DEB">
        <w:t>: the Data Demonstration Project</w:t>
      </w:r>
      <w:r w:rsidR="001C0B17" w:rsidRPr="008D0DEB">
        <w:t xml:space="preserve"> (</w:t>
      </w:r>
      <w:r w:rsidR="0039011D" w:rsidRPr="008D0DEB">
        <w:t>access to government</w:t>
      </w:r>
      <w:r w:rsidR="004D2396" w:rsidRPr="008D0DEB">
        <w:t>-held</w:t>
      </w:r>
      <w:r w:rsidR="0039011D" w:rsidRPr="008D0DEB">
        <w:t xml:space="preserve"> data</w:t>
      </w:r>
      <w:r w:rsidR="004D2396" w:rsidRPr="008D0DEB">
        <w:t xml:space="preserve"> including testing different approaches to inform future decisions on roles and </w:t>
      </w:r>
      <w:r w:rsidR="000C6316" w:rsidRPr="008D0DEB">
        <w:t>responsibilities</w:t>
      </w:r>
      <w:r w:rsidR="004D2396" w:rsidRPr="008D0DEB">
        <w:t xml:space="preserve"> in OMI</w:t>
      </w:r>
      <w:r w:rsidR="00087934" w:rsidRPr="008D0DEB">
        <w:t>),</w:t>
      </w:r>
      <w:r w:rsidR="00087934" w:rsidRPr="008D0DEB">
        <w:rPr>
          <w:rStyle w:val="FootnoteReference"/>
        </w:rPr>
        <w:footnoteReference w:id="21"/>
      </w:r>
      <w:r w:rsidR="00A676D9" w:rsidRPr="008D0DEB">
        <w:t xml:space="preserve"> and the Navigation </w:t>
      </w:r>
      <w:r w:rsidR="001C0B17" w:rsidRPr="008D0DEB">
        <w:t>T</w:t>
      </w:r>
      <w:r w:rsidR="00A676D9" w:rsidRPr="008D0DEB">
        <w:t>ool</w:t>
      </w:r>
      <w:r w:rsidR="001C0B17" w:rsidRPr="008D0DEB">
        <w:t xml:space="preserve"> (</w:t>
      </w:r>
      <w:r w:rsidR="00F72389" w:rsidRPr="008D0DEB">
        <w:t xml:space="preserve">an online public platform that provides a centralised source of </w:t>
      </w:r>
      <w:r w:rsidR="0023140B" w:rsidRPr="008D0DEB">
        <w:t xml:space="preserve">credible and practical information on </w:t>
      </w:r>
      <w:r w:rsidR="00AF3C8E" w:rsidRPr="008D0DEB">
        <w:t>OMI</w:t>
      </w:r>
      <w:r w:rsidR="0023140B" w:rsidRPr="008D0DEB">
        <w:t xml:space="preserve"> and other SII tools</w:t>
      </w:r>
      <w:r w:rsidR="00087934" w:rsidRPr="008D0DEB">
        <w:t>).</w:t>
      </w:r>
      <w:r w:rsidR="00087934" w:rsidRPr="008D0DEB">
        <w:rPr>
          <w:rStyle w:val="FootnoteReference"/>
        </w:rPr>
        <w:footnoteReference w:id="22"/>
      </w:r>
      <w:r w:rsidR="00A676D9" w:rsidRPr="008D0DEB">
        <w:t xml:space="preserve"> As part of t</w:t>
      </w:r>
      <w:r w:rsidR="001C0B17" w:rsidRPr="008D0DEB">
        <w:t xml:space="preserve">hese </w:t>
      </w:r>
      <w:r w:rsidR="005104A2" w:rsidRPr="008D0DEB">
        <w:t xml:space="preserve">projects, the </w:t>
      </w:r>
      <w:r w:rsidR="001C0B17" w:rsidRPr="008D0DEB">
        <w:t>groups conducted</w:t>
      </w:r>
      <w:r w:rsidR="0090660D" w:rsidRPr="008D0DEB">
        <w:t xml:space="preserve"> stakeholder interviews, as well as international jurisdiction reviews and background literature reviews.</w:t>
      </w:r>
      <w:r w:rsidR="0090660D" w:rsidRPr="008D0DEB">
        <w:rPr>
          <w:rStyle w:val="FootnoteReference"/>
        </w:rPr>
        <w:footnoteReference w:id="23"/>
      </w:r>
      <w:r w:rsidR="0090660D" w:rsidRPr="008D0DEB">
        <w:t xml:space="preserve"> </w:t>
      </w:r>
    </w:p>
    <w:p w14:paraId="665309F0" w14:textId="671791A7" w:rsidR="00A43995" w:rsidRPr="008D0DEB" w:rsidRDefault="002D6488" w:rsidP="0065556E">
      <w:pPr>
        <w:rPr>
          <w:shd w:val="clear" w:color="auto" w:fill="FFFFFF"/>
        </w:rPr>
      </w:pPr>
      <w:r w:rsidRPr="008D0DEB">
        <w:t>S</w:t>
      </w:r>
      <w:r w:rsidR="005E30EE" w:rsidRPr="008D0DEB">
        <w:t xml:space="preserve">ince 2019-20 two for-purpose organisations, </w:t>
      </w:r>
      <w:r w:rsidR="005E30EE" w:rsidRPr="008D0DEB">
        <w:rPr>
          <w:shd w:val="clear" w:color="auto" w:fill="FFFFFF"/>
        </w:rPr>
        <w:t>Vanguard Laundry (name changed in 202</w:t>
      </w:r>
      <w:r w:rsidR="00323255" w:rsidRPr="008D0DEB">
        <w:rPr>
          <w:shd w:val="clear" w:color="auto" w:fill="FFFFFF"/>
        </w:rPr>
        <w:t>2</w:t>
      </w:r>
      <w:r w:rsidR="005E30EE" w:rsidRPr="008D0DEB">
        <w:rPr>
          <w:shd w:val="clear" w:color="auto" w:fill="FFFFFF"/>
        </w:rPr>
        <w:t xml:space="preserve">) and Global Sisters, received funding from DSS under </w:t>
      </w:r>
      <w:r w:rsidR="0037405E" w:rsidRPr="008D0DEB">
        <w:rPr>
          <w:shd w:val="clear" w:color="auto" w:fill="FFFFFF"/>
        </w:rPr>
        <w:t>OMI</w:t>
      </w:r>
      <w:r w:rsidR="005E30EE" w:rsidRPr="008D0DEB">
        <w:rPr>
          <w:shd w:val="clear" w:color="auto" w:fill="FFFFFF"/>
        </w:rPr>
        <w:t>. These two organisations were selected as case studies and funding was intended to support them to expand their programs, increase their impact in the lives of their participants, and diversify their funding sources.</w:t>
      </w:r>
      <w:r w:rsidR="005E30EE" w:rsidRPr="008D0DEB">
        <w:rPr>
          <w:rStyle w:val="FootnoteReference"/>
          <w:rFonts w:cs="Arial"/>
          <w:shd w:val="clear" w:color="auto" w:fill="FFFFFF"/>
        </w:rPr>
        <w:footnoteReference w:id="24"/>
      </w:r>
      <w:r w:rsidR="005E30EE" w:rsidRPr="008D0DEB">
        <w:rPr>
          <w:shd w:val="clear" w:color="auto" w:fill="FFFFFF"/>
        </w:rPr>
        <w:t xml:space="preserve"> </w:t>
      </w:r>
      <w:r w:rsidR="005104A2" w:rsidRPr="008D0DEB">
        <w:rPr>
          <w:shd w:val="clear" w:color="auto" w:fill="FFFFFF"/>
        </w:rPr>
        <w:t xml:space="preserve">Details on these case studies are provided below, </w:t>
      </w:r>
      <w:r w:rsidR="00D101A1" w:rsidRPr="008D0DEB">
        <w:rPr>
          <w:shd w:val="clear" w:color="auto" w:fill="FFFFFF"/>
        </w:rPr>
        <w:t>followed by the key learnings from OMI overall.</w:t>
      </w:r>
    </w:p>
    <w:p w14:paraId="0DAC085E" w14:textId="77777777" w:rsidR="00BF0143" w:rsidRDefault="00BF0143">
      <w:pPr>
        <w:rPr>
          <w:rFonts w:cs="Arial"/>
          <w:b/>
          <w:sz w:val="36"/>
        </w:rPr>
      </w:pPr>
      <w:bookmarkStart w:id="101" w:name="_Toc137210933"/>
      <w:bookmarkStart w:id="102" w:name="_Toc137211175"/>
      <w:bookmarkStart w:id="103" w:name="_Toc137219029"/>
      <w:bookmarkStart w:id="104" w:name="_Toc153801728"/>
      <w:r>
        <w:br w:type="page"/>
      </w:r>
    </w:p>
    <w:p w14:paraId="65E2B361" w14:textId="37CB4F3F" w:rsidR="00E6232C" w:rsidRPr="008D0DEB" w:rsidRDefault="00E6232C" w:rsidP="00187144">
      <w:pPr>
        <w:pStyle w:val="Head2"/>
      </w:pPr>
      <w:r w:rsidRPr="008D0DEB">
        <w:lastRenderedPageBreak/>
        <w:t>Vanguard Laundry</w:t>
      </w:r>
      <w:bookmarkEnd w:id="101"/>
      <w:bookmarkEnd w:id="102"/>
      <w:bookmarkEnd w:id="103"/>
      <w:bookmarkEnd w:id="104"/>
    </w:p>
    <w:p w14:paraId="5A014586" w14:textId="76AB388A" w:rsidR="00A43995" w:rsidRPr="008D0DEB" w:rsidRDefault="00A43995" w:rsidP="0065556E">
      <w:pPr>
        <w:pStyle w:val="Head3"/>
      </w:pPr>
      <w:r w:rsidRPr="008D0DEB">
        <w:t>Key Features of OMI case study:</w:t>
      </w:r>
    </w:p>
    <w:p w14:paraId="21A5109A" w14:textId="2E11DBC2" w:rsidR="00A43995" w:rsidRPr="008D0DEB" w:rsidRDefault="00A43995" w:rsidP="0065556E">
      <w:r w:rsidRPr="008D0DEB">
        <w:t>Funding: $6.7 million (total OMI funding)</w:t>
      </w:r>
    </w:p>
    <w:p w14:paraId="45E98BCA" w14:textId="7E286BA7" w:rsidR="00A43995" w:rsidRPr="008D0DEB" w:rsidRDefault="00A43995" w:rsidP="0065556E">
      <w:r w:rsidRPr="008D0DEB">
        <w:t xml:space="preserve">Timing: 2019 </w:t>
      </w:r>
      <w:r w:rsidRPr="008D0DEB">
        <w:rPr>
          <w:noProof/>
        </w:rPr>
        <w:t xml:space="preserve">– </w:t>
      </w:r>
      <w:r w:rsidRPr="008D0DEB">
        <w:t>2022</w:t>
      </w:r>
    </w:p>
    <w:p w14:paraId="5F0A9298" w14:textId="6FB6DF20" w:rsidR="00A43995" w:rsidRPr="008D0DEB" w:rsidRDefault="00A43995" w:rsidP="0065556E">
      <w:r w:rsidRPr="008D0DEB">
        <w:t xml:space="preserve">Intervention Description: Vanguard Laundry provides employment opportunities directly through their commercial laundry service and supports participants to transition into other paid employment, education or training. </w:t>
      </w:r>
    </w:p>
    <w:p w14:paraId="7D79EC9D" w14:textId="61784C0E" w:rsidR="00A43995" w:rsidRPr="008D0DEB" w:rsidRDefault="00A43995" w:rsidP="0065556E">
      <w:pPr>
        <w:pStyle w:val="ListBullet2"/>
      </w:pPr>
      <w:r w:rsidRPr="008D0DEB">
        <w:t>It is aimed at people with lived experience of social disadvantage who have had difficulty securing long-term employment.</w:t>
      </w:r>
    </w:p>
    <w:p w14:paraId="2C270950" w14:textId="559AB966" w:rsidR="00A43995" w:rsidRPr="008D0DEB" w:rsidRDefault="00A43995" w:rsidP="0065556E">
      <w:pPr>
        <w:pStyle w:val="ListBullet"/>
      </w:pPr>
      <w:r w:rsidRPr="008D0DEB">
        <w:t>Beneficiary cohort:</w:t>
      </w:r>
      <w:r w:rsidRPr="0065556E">
        <w:rPr>
          <w:bCs/>
        </w:rPr>
        <w:t xml:space="preserve"> </w:t>
      </w:r>
      <w:r w:rsidRPr="008D0DEB">
        <w:t>People with lived experience of mental health or social disadvantage who have had difficulty securing long-term employment.</w:t>
      </w:r>
    </w:p>
    <w:p w14:paraId="4803028B" w14:textId="2BC751C0" w:rsidR="00A43995" w:rsidRPr="008D0DEB" w:rsidRDefault="00A43995" w:rsidP="0065556E">
      <w:pPr>
        <w:pStyle w:val="ListBullet"/>
      </w:pPr>
      <w:r w:rsidRPr="008D0DEB">
        <w:t>Outcomes sought: To support participants to transition to paid employment opportunities, education or training.</w:t>
      </w:r>
    </w:p>
    <w:p w14:paraId="0F6B4042" w14:textId="6213FB08" w:rsidR="00A43995" w:rsidRPr="008D0DEB" w:rsidRDefault="00A43995" w:rsidP="0065556E">
      <w:pPr>
        <w:pStyle w:val="Head3"/>
      </w:pPr>
      <w:r w:rsidRPr="008D0DEB">
        <w:t>Key design features of OMI case study</w:t>
      </w:r>
      <w:r w:rsidR="00215012" w:rsidRPr="008D0DEB">
        <w:t xml:space="preserve"> – Vanguard Laundry</w:t>
      </w:r>
    </w:p>
    <w:p w14:paraId="579F958C" w14:textId="77777777" w:rsidR="00A43995" w:rsidRPr="008D0DEB" w:rsidRDefault="00A43995" w:rsidP="0065556E">
      <w:pPr>
        <w:pStyle w:val="ListBullet"/>
      </w:pPr>
      <w:r w:rsidRPr="008D0DEB">
        <w:t xml:space="preserve">Participants working with Vanguard Laundry are paid award wages whilst they undertake professional and personal development. These can be fundamental elements like attending and completing shifts or more specific, for example working to production KPIs. </w:t>
      </w:r>
    </w:p>
    <w:p w14:paraId="46BB6582" w14:textId="3341AB6D" w:rsidR="00A43995" w:rsidRPr="008D0DEB" w:rsidRDefault="00A43995" w:rsidP="0065556E">
      <w:pPr>
        <w:pStyle w:val="ListBullet"/>
      </w:pPr>
      <w:r w:rsidRPr="008D0DEB">
        <w:t xml:space="preserve">Participants move from professional and personal development to develop a portfolio, CV and Vanguard helps link participants with </w:t>
      </w:r>
      <w:r w:rsidR="00B44294" w:rsidRPr="008D0DEB">
        <w:t>other employment opportunities.</w:t>
      </w:r>
    </w:p>
    <w:p w14:paraId="53B08AAE" w14:textId="7831B9D3" w:rsidR="00E6232C" w:rsidRPr="008D0DEB" w:rsidRDefault="00E6232C" w:rsidP="00187144">
      <w:pPr>
        <w:pStyle w:val="Head2"/>
      </w:pPr>
      <w:bookmarkStart w:id="105" w:name="_Toc137210934"/>
      <w:bookmarkStart w:id="106" w:name="_Toc137211176"/>
      <w:bookmarkStart w:id="107" w:name="_Toc137219030"/>
      <w:bookmarkStart w:id="108" w:name="_Toc153801729"/>
      <w:r w:rsidRPr="008D0DEB">
        <w:t>Global Sisters</w:t>
      </w:r>
      <w:bookmarkEnd w:id="105"/>
      <w:bookmarkEnd w:id="106"/>
      <w:bookmarkEnd w:id="107"/>
      <w:bookmarkEnd w:id="108"/>
    </w:p>
    <w:p w14:paraId="26B2CC97" w14:textId="60679753" w:rsidR="00A43995" w:rsidRPr="008D0DEB" w:rsidRDefault="00215012" w:rsidP="0065556E">
      <w:pPr>
        <w:pStyle w:val="Head3"/>
      </w:pPr>
      <w:r w:rsidRPr="008D0DEB">
        <w:t>Key Features of OMI case s</w:t>
      </w:r>
      <w:r w:rsidR="00A43995" w:rsidRPr="008D0DEB">
        <w:t>tudy</w:t>
      </w:r>
    </w:p>
    <w:p w14:paraId="759A36A0" w14:textId="18980878" w:rsidR="00A43995" w:rsidRPr="008D0DEB" w:rsidRDefault="00A43995" w:rsidP="0065556E">
      <w:pPr>
        <w:pStyle w:val="ListBullet"/>
      </w:pPr>
      <w:r w:rsidRPr="008D0DEB">
        <w:t>Funding: $6.7 million (total OMI funding)</w:t>
      </w:r>
    </w:p>
    <w:p w14:paraId="1A8A66B6" w14:textId="1B89B5A5" w:rsidR="00A43995" w:rsidRPr="008D0DEB" w:rsidRDefault="00A43995" w:rsidP="0065556E">
      <w:pPr>
        <w:pStyle w:val="ListBullet"/>
      </w:pPr>
      <w:r w:rsidRPr="008D0DEB">
        <w:t xml:space="preserve">Timing: 2019 </w:t>
      </w:r>
      <w:r w:rsidRPr="008D0DEB">
        <w:rPr>
          <w:noProof/>
        </w:rPr>
        <w:t xml:space="preserve">– </w:t>
      </w:r>
      <w:r w:rsidRPr="008D0DEB">
        <w:t>2022</w:t>
      </w:r>
    </w:p>
    <w:p w14:paraId="111098C8" w14:textId="0D0A2A73" w:rsidR="00A43995" w:rsidRPr="008D0DEB" w:rsidRDefault="00A43995" w:rsidP="0065556E">
      <w:pPr>
        <w:pStyle w:val="ListBullet"/>
      </w:pPr>
      <w:r w:rsidRPr="008D0DEB">
        <w:t>Intervention description: Global Sisters provides end-to-end support to participants to help them improve their financial situation by bringing their business ideas to life.</w:t>
      </w:r>
    </w:p>
    <w:p w14:paraId="33195CA9" w14:textId="5A0B3765" w:rsidR="00A43995" w:rsidRPr="008D0DEB" w:rsidRDefault="00A43995" w:rsidP="0065556E">
      <w:pPr>
        <w:pStyle w:val="ListBullet"/>
      </w:pPr>
      <w:r w:rsidRPr="008D0DEB">
        <w:t>Beneficiary cohort: Women who are unemployed or underemployed due to systemic and structural barriers.</w:t>
      </w:r>
    </w:p>
    <w:p w14:paraId="40041297" w14:textId="7B5911AD" w:rsidR="00A43995" w:rsidRPr="008D0DEB" w:rsidRDefault="00A43995" w:rsidP="0065556E">
      <w:pPr>
        <w:pStyle w:val="ListBullet"/>
      </w:pPr>
      <w:r w:rsidRPr="0065556E">
        <w:rPr>
          <w:bCs/>
        </w:rPr>
        <w:t>Outcomes sought:</w:t>
      </w:r>
      <w:r w:rsidRPr="008D0DEB">
        <w:t xml:space="preserve"> To support participants to develop business opportunities that allow them to be self-employed and achieve financial independence.</w:t>
      </w:r>
    </w:p>
    <w:p w14:paraId="089E32FD" w14:textId="34469380" w:rsidR="00A43995" w:rsidRPr="008D0DEB" w:rsidRDefault="00A43995" w:rsidP="0065556E">
      <w:pPr>
        <w:pStyle w:val="Head3"/>
      </w:pPr>
      <w:r w:rsidRPr="008D0DEB">
        <w:t xml:space="preserve">Key design features of </w:t>
      </w:r>
      <w:r w:rsidR="00215012" w:rsidRPr="008D0DEB">
        <w:t>OMI case study – Global Sisters</w:t>
      </w:r>
    </w:p>
    <w:p w14:paraId="16C3179A" w14:textId="77777777" w:rsidR="00215012" w:rsidRPr="008D0DEB" w:rsidRDefault="00215012" w:rsidP="0065556E">
      <w:pPr>
        <w:pStyle w:val="ListBullet"/>
      </w:pPr>
      <w:r w:rsidRPr="008D0DEB">
        <w:t>The program involved:</w:t>
      </w:r>
    </w:p>
    <w:p w14:paraId="556D3C58" w14:textId="77777777" w:rsidR="00215012" w:rsidRPr="008D0DEB" w:rsidRDefault="00215012" w:rsidP="0065556E">
      <w:pPr>
        <w:pStyle w:val="ListBullet2"/>
      </w:pPr>
      <w:r w:rsidRPr="008D0DEB">
        <w:t>Supporting women with business financials and business viability with education through the Sisters School program (educational program).</w:t>
      </w:r>
    </w:p>
    <w:p w14:paraId="5AB0EE28" w14:textId="77777777" w:rsidR="00215012" w:rsidRPr="008D0DEB" w:rsidRDefault="00215012" w:rsidP="0065556E">
      <w:pPr>
        <w:pStyle w:val="ListBullet2"/>
      </w:pPr>
      <w:r w:rsidRPr="008D0DEB">
        <w:t>Supporting women through one-on-one coaching, supporting and brokering of potential funding opportunities.</w:t>
      </w:r>
    </w:p>
    <w:p w14:paraId="1AA61071" w14:textId="50AD6DD7" w:rsidR="00A43995" w:rsidRPr="008D0DEB" w:rsidRDefault="00215012" w:rsidP="0065556E">
      <w:pPr>
        <w:pStyle w:val="ListBullet2"/>
      </w:pPr>
      <w:r w:rsidRPr="008D0DEB">
        <w:t>Access to the Global Sisters Marketplace (e-commerce platform).</w:t>
      </w:r>
    </w:p>
    <w:p w14:paraId="3EAB9DE9" w14:textId="77777777" w:rsidR="00BF0143" w:rsidRDefault="00BF0143">
      <w:pPr>
        <w:rPr>
          <w:rFonts w:eastAsia="Times New Roman" w:cs="Courier New"/>
          <w:b/>
          <w:sz w:val="28"/>
        </w:rPr>
      </w:pPr>
      <w:r>
        <w:br w:type="page"/>
      </w:r>
    </w:p>
    <w:p w14:paraId="67F2FC5E" w14:textId="26FC789B" w:rsidR="00215012" w:rsidRPr="008D0DEB" w:rsidRDefault="00215012" w:rsidP="0065556E">
      <w:pPr>
        <w:pStyle w:val="Head3"/>
      </w:pPr>
      <w:r w:rsidRPr="008D0DEB">
        <w:lastRenderedPageBreak/>
        <w:t>Key learnings from OMI</w:t>
      </w:r>
    </w:p>
    <w:p w14:paraId="5BAE4740" w14:textId="09E4AA93" w:rsidR="00215012" w:rsidRPr="008D0DEB" w:rsidRDefault="00215012" w:rsidP="0065556E">
      <w:pPr>
        <w:pStyle w:val="ListBullet"/>
      </w:pPr>
      <w:r w:rsidRPr="008D0DEB">
        <w:t>Culture/mindset: Within the OMI initiatives there have been instances of a lack of consistent understanding of impact measurement and evaluation across sectors. Building a shared awareness of these practices, their benefits, and developing a consistent and common language may improve practices across government and non-government sectors.</w:t>
      </w:r>
    </w:p>
    <w:p w14:paraId="4A872812" w14:textId="247087E5" w:rsidR="00215012" w:rsidRPr="008D0DEB" w:rsidRDefault="00215012" w:rsidP="0065556E">
      <w:pPr>
        <w:pStyle w:val="ListBullet"/>
      </w:pPr>
      <w:r w:rsidRPr="008D0DEB">
        <w:t>Scale: OMI activities foster continuous improvement by identifying areas for growth. A continuous commitment to knowledge sharing and dissemination of lessons learned have been important contributors to the evidence base, and for the ongoing sustainability of the sector.</w:t>
      </w:r>
    </w:p>
    <w:p w14:paraId="2BC1CB05" w14:textId="0C1A2267" w:rsidR="00215012" w:rsidRPr="008D0DEB" w:rsidRDefault="00215012" w:rsidP="0065556E">
      <w:pPr>
        <w:pStyle w:val="ListBullet"/>
      </w:pPr>
      <w:r w:rsidRPr="008D0DEB">
        <w:t xml:space="preserve">Innovation: Initiatives such as OMI require for-purpose organisations to be ‘Social Impact Investing ready’ to participate; that is, there is often a level of assumed knowledge and capability. Making these criteria more explicit and providing a pathway forward would be useful for organisations embarking on OMI activities. This is also critical for ensuring organisations continue </w:t>
      </w:r>
      <w:r w:rsidR="009571EF" w:rsidRPr="008D0DEB">
        <w:t>activity in SII beyond a trial.</w:t>
      </w:r>
    </w:p>
    <w:p w14:paraId="0761D607" w14:textId="0A08FC64" w:rsidR="00397282" w:rsidRPr="008D0DEB" w:rsidRDefault="00397282" w:rsidP="0065556E">
      <w:pPr>
        <w:pStyle w:val="Heading2"/>
      </w:pPr>
      <w:bookmarkStart w:id="109" w:name="_Toc137210719"/>
      <w:bookmarkStart w:id="110" w:name="_Toc153801730"/>
      <w:r w:rsidRPr="008D0DEB">
        <w:t>Sector Readiness Fund</w:t>
      </w:r>
      <w:bookmarkEnd w:id="109"/>
      <w:bookmarkEnd w:id="110"/>
    </w:p>
    <w:p w14:paraId="70305EE7" w14:textId="77777777" w:rsidR="002F68BD" w:rsidRPr="008D0DEB" w:rsidRDefault="002F68BD" w:rsidP="0065556E">
      <w:r w:rsidRPr="008D0DEB">
        <w:t>T</w:t>
      </w:r>
      <w:r w:rsidR="00BF6ABB" w:rsidRPr="008D0DEB">
        <w:t>he</w:t>
      </w:r>
      <w:r w:rsidRPr="008D0DEB">
        <w:t xml:space="preserve"> </w:t>
      </w:r>
      <w:r w:rsidR="00BF6ABB" w:rsidRPr="008D0DEB">
        <w:t>SRF</w:t>
      </w:r>
      <w:r w:rsidR="006E1B54" w:rsidRPr="008D0DEB">
        <w:t xml:space="preserve"> </w:t>
      </w:r>
      <w:r w:rsidRPr="008D0DEB">
        <w:t xml:space="preserve">trial demonstrated one way in which government can leverage private capital to drive social impacts. The SRF supported three different groups of market actors, while incentivising the investment of private capital into designated social issues. The three groups were: </w:t>
      </w:r>
    </w:p>
    <w:p w14:paraId="0AB5AB79" w14:textId="77777777" w:rsidR="002F68BD" w:rsidRPr="008D0DEB" w:rsidRDefault="00374102" w:rsidP="0065556E">
      <w:pPr>
        <w:pStyle w:val="ListBullet"/>
      </w:pPr>
      <w:r w:rsidRPr="008D0DEB">
        <w:t>F</w:t>
      </w:r>
      <w:r w:rsidR="002F68BD" w:rsidRPr="008D0DEB">
        <w:t>or-purpose enterprises: who were seeking to grow their business</w:t>
      </w:r>
      <w:r w:rsidR="00BD74B2" w:rsidRPr="008D0DEB">
        <w:t>es</w:t>
      </w:r>
      <w:r w:rsidR="002F68BD" w:rsidRPr="008D0DEB">
        <w:t xml:space="preserve"> through raising investment capital, and scaling the</w:t>
      </w:r>
      <w:r w:rsidR="00AA4F93" w:rsidRPr="008D0DEB">
        <w:t>ir</w:t>
      </w:r>
      <w:r w:rsidR="002F68BD" w:rsidRPr="008D0DEB">
        <w:t xml:space="preserve"> impact as a result</w:t>
      </w:r>
    </w:p>
    <w:p w14:paraId="767FF5A1" w14:textId="77777777" w:rsidR="002F68BD" w:rsidRPr="008D0DEB" w:rsidRDefault="002F68BD" w:rsidP="0065556E">
      <w:pPr>
        <w:pStyle w:val="ListBullet"/>
      </w:pPr>
      <w:r w:rsidRPr="008D0DEB">
        <w:t>Intermediaries: specialist advisers who provide enterprises with the support they need to get ready to attract and take on investment capital</w:t>
      </w:r>
    </w:p>
    <w:p w14:paraId="25FF15EE" w14:textId="77777777" w:rsidR="002F68BD" w:rsidRPr="008D0DEB" w:rsidRDefault="002F68BD" w:rsidP="0065556E">
      <w:pPr>
        <w:pStyle w:val="ListBullet"/>
      </w:pPr>
      <w:r w:rsidRPr="008D0DEB">
        <w:t>Impact investors: providers of mission-aligned capital seeking to invest in for-purpose opportunities.</w:t>
      </w:r>
    </w:p>
    <w:p w14:paraId="37D1FFC8" w14:textId="2E7F1482" w:rsidR="0098638E" w:rsidRPr="008D0DEB" w:rsidRDefault="002F68BD" w:rsidP="0065556E">
      <w:r w:rsidRPr="008D0DEB">
        <w:t>The ultimate beneficiaries of the program were those supported by the increased reach of the gr</w:t>
      </w:r>
      <w:r w:rsidR="00B56CD9" w:rsidRPr="008D0DEB">
        <w:t xml:space="preserve">owing for-purpose enterprises. </w:t>
      </w:r>
    </w:p>
    <w:p w14:paraId="2407722D" w14:textId="5FC3A969" w:rsidR="0098638E" w:rsidRPr="008D0DEB" w:rsidRDefault="0098638E" w:rsidP="0065556E">
      <w:pPr>
        <w:pStyle w:val="Head3"/>
      </w:pPr>
      <w:r w:rsidRPr="008D0DEB">
        <w:t>Key Features of SRF</w:t>
      </w:r>
    </w:p>
    <w:p w14:paraId="704714C2" w14:textId="659B0F8A" w:rsidR="0098638E" w:rsidRPr="008D0DEB" w:rsidRDefault="0098638E" w:rsidP="0065556E">
      <w:pPr>
        <w:pStyle w:val="ListBullet"/>
      </w:pPr>
      <w:r w:rsidRPr="008D0DEB">
        <w:t>Key partners: Impact Investing Australia (administered the SRF)</w:t>
      </w:r>
    </w:p>
    <w:p w14:paraId="37BA75D4" w14:textId="08B00996" w:rsidR="0098638E" w:rsidRPr="008D0DEB" w:rsidRDefault="0098638E" w:rsidP="0065556E">
      <w:pPr>
        <w:pStyle w:val="ListBullet"/>
      </w:pPr>
      <w:r w:rsidRPr="008D0DEB">
        <w:t>Funding: $8 million</w:t>
      </w:r>
    </w:p>
    <w:p w14:paraId="08029FA3" w14:textId="646C7AE9" w:rsidR="0098638E" w:rsidRPr="008D0DEB" w:rsidRDefault="0098638E" w:rsidP="0065556E">
      <w:pPr>
        <w:pStyle w:val="ListBullet"/>
      </w:pPr>
      <w:r w:rsidRPr="008D0DEB">
        <w:t>Timing: November 2018 – 30 November 2023</w:t>
      </w:r>
    </w:p>
    <w:p w14:paraId="0C7026DA" w14:textId="30B4180F" w:rsidR="0098638E" w:rsidRPr="008D0DEB" w:rsidRDefault="0098638E" w:rsidP="0065556E">
      <w:pPr>
        <w:pStyle w:val="ListBullet"/>
      </w:pPr>
      <w:r w:rsidRPr="008D0DEB">
        <w:t>Intervention description: The SRF provided grants to 58 enterprises and supported 30 intermediaries. The total capital raised by participating enterprises was $21 million, almost three times the total value of the funding provided by the SRF.</w:t>
      </w:r>
    </w:p>
    <w:p w14:paraId="4785595B" w14:textId="080BC202" w:rsidR="0098638E" w:rsidRPr="008D0DEB" w:rsidRDefault="0098638E" w:rsidP="0065556E">
      <w:pPr>
        <w:pStyle w:val="ListBullet"/>
      </w:pPr>
      <w:r w:rsidRPr="008D0DEB">
        <w:t>Beneficiaries: N/A (beneficiaries were indirectly assisted through the SRF by the organisations provided funding, however the fund supported organisations to scale their impact on beneficiaries).</w:t>
      </w:r>
    </w:p>
    <w:p w14:paraId="24A3DB4F" w14:textId="461E6FF0" w:rsidR="0098638E" w:rsidRPr="008D0DEB" w:rsidRDefault="0098638E" w:rsidP="0065556E">
      <w:pPr>
        <w:pStyle w:val="ListBullet"/>
      </w:pPr>
      <w:r w:rsidRPr="008D0DEB">
        <w:t>Outcomes sought: The SRF was designed to support social enterprises to attract investment to grow their business and increase their social impact, through purchasing capacity building services.</w:t>
      </w:r>
    </w:p>
    <w:p w14:paraId="1D951DD1" w14:textId="77777777" w:rsidR="00BF0143" w:rsidRDefault="00BF0143">
      <w:pPr>
        <w:rPr>
          <w:rFonts w:eastAsia="Times New Roman" w:cs="Courier New"/>
          <w:b/>
          <w:sz w:val="28"/>
        </w:rPr>
      </w:pPr>
      <w:r>
        <w:br w:type="page"/>
      </w:r>
    </w:p>
    <w:p w14:paraId="6A92CC50" w14:textId="36380142" w:rsidR="0098638E" w:rsidRPr="008D0DEB" w:rsidRDefault="0098638E" w:rsidP="0065556E">
      <w:pPr>
        <w:pStyle w:val="Head3"/>
      </w:pPr>
      <w:r w:rsidRPr="008D0DEB">
        <w:lastRenderedPageBreak/>
        <w:t>Key design features</w:t>
      </w:r>
    </w:p>
    <w:p w14:paraId="31943781" w14:textId="77777777" w:rsidR="0098638E" w:rsidRPr="008D0DEB" w:rsidRDefault="0098638E" w:rsidP="0065556E">
      <w:pPr>
        <w:pStyle w:val="ListBullet"/>
      </w:pPr>
      <w:r w:rsidRPr="008D0DEB">
        <w:t>Applicants benefitted from specialist feedback at every point of engagement with the SRF – from Expression of Interest to application, to grant management. Unsuccessful applicants were also provided bespoke specialist feedback.</w:t>
      </w:r>
    </w:p>
    <w:p w14:paraId="1E221792" w14:textId="77777777" w:rsidR="0098638E" w:rsidRPr="008D0DEB" w:rsidRDefault="0098638E" w:rsidP="0065556E">
      <w:pPr>
        <w:pStyle w:val="Table-Bullet"/>
      </w:pPr>
      <w:r w:rsidRPr="008D0DEB">
        <w:t>The SRF leveraged philanthropic funding to administer grant management costs.</w:t>
      </w:r>
    </w:p>
    <w:p w14:paraId="1CEF0F5D" w14:textId="77777777" w:rsidR="0098638E" w:rsidRPr="008D0DEB" w:rsidRDefault="0098638E" w:rsidP="0065556E">
      <w:pPr>
        <w:pStyle w:val="Table-Bullet"/>
      </w:pPr>
      <w:r w:rsidRPr="008D0DEB">
        <w:t>A volunteer independent panel acted as an investment committee to increase the chances of successfully raising capital.</w:t>
      </w:r>
    </w:p>
    <w:p w14:paraId="1A2D15AA" w14:textId="77777777" w:rsidR="0098638E" w:rsidRPr="008D0DEB" w:rsidRDefault="0098638E" w:rsidP="0065556E">
      <w:pPr>
        <w:pStyle w:val="Table-Bullet"/>
      </w:pPr>
      <w:r w:rsidRPr="008D0DEB">
        <w:t>Required grantees build capacity to measure their impact, by developing asocial impact framework within 6 months of receiving the grant, which was reviewed by Impact Investing Australia.</w:t>
      </w:r>
    </w:p>
    <w:p w14:paraId="7604770D" w14:textId="4EA4DB0C" w:rsidR="0098638E" w:rsidRPr="008D0DEB" w:rsidRDefault="0098638E" w:rsidP="0065556E">
      <w:pPr>
        <w:pStyle w:val="ListBullet"/>
      </w:pPr>
      <w:r w:rsidRPr="008D0DEB">
        <w:t>The SRF required a social enterprise to come forward with a chosen intermediary when applying for the grant.</w:t>
      </w:r>
    </w:p>
    <w:p w14:paraId="67F58BA7" w14:textId="025BA702" w:rsidR="0098638E" w:rsidRPr="008D0DEB" w:rsidRDefault="0098638E" w:rsidP="0065556E">
      <w:pPr>
        <w:pStyle w:val="Head3"/>
      </w:pPr>
      <w:r w:rsidRPr="008D0DEB">
        <w:t>Key learnings from SRF</w:t>
      </w:r>
    </w:p>
    <w:p w14:paraId="7B73AEFB" w14:textId="18B92048" w:rsidR="00A32379" w:rsidRPr="008D0DEB" w:rsidRDefault="0098638E" w:rsidP="0065556E">
      <w:pPr>
        <w:pStyle w:val="ListBullet"/>
      </w:pPr>
      <w:r w:rsidRPr="008D0DEB">
        <w:t>Skillsets:</w:t>
      </w:r>
      <w:r w:rsidR="00A32379" w:rsidRPr="008D0DEB">
        <w:t xml:space="preserve"> Impact measurement remains challenging for many for-purpose organisations who must also focus on their business-as-usual activity, and potentially capital raising activities. </w:t>
      </w:r>
    </w:p>
    <w:p w14:paraId="35404ED4" w14:textId="53443A0C" w:rsidR="0098638E" w:rsidRPr="008D0DEB" w:rsidRDefault="00A32379" w:rsidP="0065556E">
      <w:pPr>
        <w:pStyle w:val="ListBullet2"/>
      </w:pPr>
      <w:r w:rsidRPr="008D0DEB">
        <w:t>Many intermediaries are predominantly focused on providing business and financial support. It can also be helpful for ongoing sustainability of the organisations, even without attracting investment.</w:t>
      </w:r>
    </w:p>
    <w:p w14:paraId="6A64EDD9" w14:textId="111838AF" w:rsidR="00A32379" w:rsidRPr="008D0DEB" w:rsidRDefault="0098638E" w:rsidP="0065556E">
      <w:pPr>
        <w:pStyle w:val="ListBullet"/>
      </w:pPr>
      <w:r w:rsidRPr="008D0DEB">
        <w:t>Capabilities</w:t>
      </w:r>
      <w:r w:rsidR="00A32379" w:rsidRPr="008D0DEB">
        <w:t>: The SRF demonstrated that building the capacity of for-purpose organisations, including in impact measurement and reporting, can be effective in leveraging private investment for social impact.</w:t>
      </w:r>
    </w:p>
    <w:p w14:paraId="4C1D9CB2" w14:textId="49BB5531" w:rsidR="0098638E" w:rsidRPr="008D0DEB" w:rsidRDefault="00A32379" w:rsidP="0065556E">
      <w:pPr>
        <w:pStyle w:val="ListBullet2"/>
      </w:pPr>
      <w:r w:rsidRPr="008D0DEB">
        <w:t>A significant proportion of applicants for support were deemed too early stage to receive a grant. There may be an additional role for government in supporting enterprises at an earlier stage in their development (which were not eligible to participate in the SRF).</w:t>
      </w:r>
    </w:p>
    <w:p w14:paraId="3D2E8E3B" w14:textId="694352D6" w:rsidR="0098638E" w:rsidRPr="008D0DEB" w:rsidRDefault="0098638E" w:rsidP="0065556E">
      <w:pPr>
        <w:pStyle w:val="ListBullet"/>
      </w:pPr>
      <w:r w:rsidRPr="008D0DEB">
        <w:t>System constraints: The SRF was constrained to supporting enterprises pursuing outcomes aligned to the DSS portfolio, but evidence showed strong interest from other for-purpose organisations, such as those focusing on the environment, facing similar challenges in raising capital.</w:t>
      </w:r>
    </w:p>
    <w:p w14:paraId="602D3E53" w14:textId="1E34CF4E" w:rsidR="001A5BEA" w:rsidRPr="008D0DEB" w:rsidRDefault="001A5BEA" w:rsidP="0065556E">
      <w:pPr>
        <w:pStyle w:val="Heading1"/>
      </w:pPr>
      <w:bookmarkStart w:id="111" w:name="_Toc153801731"/>
      <w:bookmarkStart w:id="112" w:name="_Toc137210720"/>
      <w:r w:rsidRPr="008D0DEB">
        <w:lastRenderedPageBreak/>
        <w:t>Insights from the Trials</w:t>
      </w:r>
      <w:bookmarkEnd w:id="111"/>
    </w:p>
    <w:p w14:paraId="781AB596" w14:textId="77777777" w:rsidR="00D8384E" w:rsidRPr="008D0DEB" w:rsidRDefault="00D8384E" w:rsidP="0065556E">
      <w:bookmarkStart w:id="113" w:name="_Toc137210721"/>
      <w:bookmarkEnd w:id="112"/>
      <w:r w:rsidRPr="008D0DEB">
        <w:t xml:space="preserve">This section discusses the insights drawn from the trials, across the three domains of commissioning outcomes, building the market, and enabling the role of Government. </w:t>
      </w:r>
    </w:p>
    <w:p w14:paraId="26B33ADC" w14:textId="1471A7DC" w:rsidR="00C9207A" w:rsidRPr="008D0DEB" w:rsidRDefault="00A51267" w:rsidP="0065556E">
      <w:pPr>
        <w:pStyle w:val="Heading2"/>
      </w:pPr>
      <w:bookmarkStart w:id="114" w:name="_Toc153801732"/>
      <w:r w:rsidRPr="008D0DEB">
        <w:t>Commissioning outcomes</w:t>
      </w:r>
      <w:bookmarkEnd w:id="113"/>
      <w:bookmarkEnd w:id="114"/>
    </w:p>
    <w:p w14:paraId="183BEE8B" w14:textId="77777777" w:rsidR="007716C0" w:rsidRPr="008D0DEB" w:rsidRDefault="00F9645C" w:rsidP="0065556E">
      <w:r w:rsidRPr="008D0DEB">
        <w:t xml:space="preserve">The trials have </w:t>
      </w:r>
      <w:r w:rsidR="00752760" w:rsidRPr="008D0DEB">
        <w:t>contributed</w:t>
      </w:r>
      <w:r w:rsidRPr="008D0DEB">
        <w:t xml:space="preserve"> to </w:t>
      </w:r>
      <w:r w:rsidRPr="008D0DEB">
        <w:rPr>
          <w:iCs/>
        </w:rPr>
        <w:t>“</w:t>
      </w:r>
      <w:r w:rsidRPr="008D0DEB">
        <w:t>increased appetite and confidence</w:t>
      </w:r>
      <w:r w:rsidRPr="008D0DEB">
        <w:rPr>
          <w:iCs/>
        </w:rPr>
        <w:t xml:space="preserve">” </w:t>
      </w:r>
      <w:r w:rsidR="00A54540" w:rsidRPr="008D0DEB">
        <w:t>in</w:t>
      </w:r>
      <w:r w:rsidRPr="008D0DEB">
        <w:t xml:space="preserve"> outcomes-based approaches</w:t>
      </w:r>
      <w:r w:rsidR="00A54540" w:rsidRPr="008D0DEB">
        <w:t xml:space="preserve"> </w:t>
      </w:r>
      <w:r w:rsidR="00337659" w:rsidRPr="008D0DEB">
        <w:t>within</w:t>
      </w:r>
      <w:r w:rsidR="00A54540" w:rsidRPr="008D0DEB">
        <w:t xml:space="preserve"> </w:t>
      </w:r>
      <w:r w:rsidR="00A641D5" w:rsidRPr="008D0DEB">
        <w:t>DSS</w:t>
      </w:r>
      <w:r w:rsidRPr="008D0DEB">
        <w:t>, and a recognition of the opportunity to be less risk</w:t>
      </w:r>
      <w:r w:rsidR="00337659" w:rsidRPr="008D0DEB">
        <w:t>-averse</w:t>
      </w:r>
      <w:r w:rsidRPr="008D0DEB">
        <w:t xml:space="preserve"> and prescriptive</w:t>
      </w:r>
      <w:r w:rsidR="00A54540" w:rsidRPr="008D0DEB">
        <w:t xml:space="preserve"> to </w:t>
      </w:r>
      <w:r w:rsidRPr="008D0DEB">
        <w:t>encourag</w:t>
      </w:r>
      <w:r w:rsidR="00A54540" w:rsidRPr="008D0DEB">
        <w:t>e</w:t>
      </w:r>
      <w:r w:rsidRPr="008D0DEB">
        <w:t xml:space="preserve"> innovation.</w:t>
      </w:r>
      <w:r w:rsidR="00604F73" w:rsidRPr="008D0DEB">
        <w:t xml:space="preserve"> </w:t>
      </w:r>
      <w:r w:rsidR="002071C7" w:rsidRPr="008D0DEB">
        <w:t xml:space="preserve">In this report, we </w:t>
      </w:r>
      <w:r w:rsidR="00CC5B1D" w:rsidRPr="008D0DEB">
        <w:t>are</w:t>
      </w:r>
      <w:r w:rsidR="00914ED2" w:rsidRPr="008D0DEB">
        <w:t xml:space="preserve"> intentional about</w:t>
      </w:r>
      <w:r w:rsidR="002071C7" w:rsidRPr="008D0DEB">
        <w:t xml:space="preserve"> the </w:t>
      </w:r>
      <w:r w:rsidR="00914ED2" w:rsidRPr="008D0DEB">
        <w:t xml:space="preserve">use of the </w:t>
      </w:r>
      <w:r w:rsidR="002071C7" w:rsidRPr="008D0DEB">
        <w:t>term ‘</w:t>
      </w:r>
      <w:r w:rsidR="00914ED2" w:rsidRPr="008D0DEB">
        <w:t xml:space="preserve">outcomes </w:t>
      </w:r>
      <w:r w:rsidR="002071C7" w:rsidRPr="008D0DEB">
        <w:t>commissioning’</w:t>
      </w:r>
      <w:r w:rsidR="00CC205A" w:rsidRPr="008D0DEB">
        <w:t xml:space="preserve">, which refers to </w:t>
      </w:r>
      <w:r w:rsidR="0091479F" w:rsidRPr="008D0DEB">
        <w:t xml:space="preserve">a strategic approach to </w:t>
      </w:r>
      <w:r w:rsidR="00CC205A" w:rsidRPr="008D0DEB">
        <w:t xml:space="preserve">achieving results to </w:t>
      </w:r>
      <w:r w:rsidR="00842937" w:rsidRPr="008D0DEB">
        <w:t>identified</w:t>
      </w:r>
      <w:r w:rsidR="0091479F" w:rsidRPr="008D0DEB">
        <w:t xml:space="preserve"> </w:t>
      </w:r>
      <w:r w:rsidR="008716F0" w:rsidRPr="008D0DEB">
        <w:t>problem</w:t>
      </w:r>
      <w:r w:rsidR="00842937" w:rsidRPr="008D0DEB">
        <w:t>s.</w:t>
      </w:r>
      <w:r w:rsidR="00CC205A" w:rsidRPr="008D0DEB">
        <w:t xml:space="preserve"> </w:t>
      </w:r>
    </w:p>
    <w:p w14:paraId="157986E2" w14:textId="48E870CB" w:rsidR="00CA7B58" w:rsidRPr="008D0DEB" w:rsidRDefault="00CC205A" w:rsidP="0065556E">
      <w:r w:rsidRPr="008D0DEB">
        <w:t>An outcomes</w:t>
      </w:r>
      <w:r w:rsidR="00D72E44" w:rsidRPr="008D0DEB">
        <w:t xml:space="preserve"> commissioning approach </w:t>
      </w:r>
      <w:r w:rsidR="001669E4" w:rsidRPr="008D0DEB">
        <w:t>involves</w:t>
      </w:r>
      <w:r w:rsidR="001B17BC" w:rsidRPr="008D0DEB">
        <w:t xml:space="preserve"> understanding the needs of the affected communities, prioritising and planning services, </w:t>
      </w:r>
      <w:r w:rsidR="00545AA7" w:rsidRPr="008D0DEB">
        <w:t xml:space="preserve">determining feasibility, </w:t>
      </w:r>
      <w:r w:rsidR="006F4154" w:rsidRPr="008D0DEB">
        <w:t xml:space="preserve">contracting, and </w:t>
      </w:r>
      <w:r w:rsidR="00CA7B58" w:rsidRPr="008D0DEB">
        <w:t xml:space="preserve">then </w:t>
      </w:r>
      <w:r w:rsidR="006F4154" w:rsidRPr="008D0DEB">
        <w:t xml:space="preserve">monitoring effectiveness. </w:t>
      </w:r>
      <w:r w:rsidR="004E7B58" w:rsidRPr="008D0DEB">
        <w:t xml:space="preserve">It can also include establishing incentives or conditions to encourage market action. </w:t>
      </w:r>
      <w:r w:rsidR="00337659" w:rsidRPr="008D0DEB">
        <w:t>‘</w:t>
      </w:r>
      <w:r w:rsidRPr="008D0DEB">
        <w:t>O</w:t>
      </w:r>
      <w:r w:rsidR="00971756" w:rsidRPr="008D0DEB">
        <w:t xml:space="preserve">utcome </w:t>
      </w:r>
      <w:r w:rsidR="00337659" w:rsidRPr="008D0DEB">
        <w:t>contracts’</w:t>
      </w:r>
      <w:r w:rsidR="00971756" w:rsidRPr="008D0DEB">
        <w:t xml:space="preserve"> refers to</w:t>
      </w:r>
      <w:r w:rsidR="000E5F71" w:rsidRPr="008D0DEB">
        <w:t xml:space="preserve"> the contracting of specific and pre-defined outcomes</w:t>
      </w:r>
      <w:r w:rsidR="00337659" w:rsidRPr="008D0DEB">
        <w:t>,</w:t>
      </w:r>
      <w:r w:rsidR="000E5F71" w:rsidRPr="008D0DEB">
        <w:t xml:space="preserve"> and is</w:t>
      </w:r>
      <w:r w:rsidR="00971756" w:rsidRPr="008D0DEB">
        <w:t xml:space="preserve"> a </w:t>
      </w:r>
      <w:r w:rsidR="00CA7B58" w:rsidRPr="008D0DEB">
        <w:t>sub-component</w:t>
      </w:r>
      <w:r w:rsidR="000E5F71" w:rsidRPr="008D0DEB">
        <w:t xml:space="preserve"> of </w:t>
      </w:r>
      <w:r w:rsidR="00337659" w:rsidRPr="008D0DEB">
        <w:t xml:space="preserve">outcomes </w:t>
      </w:r>
      <w:r w:rsidR="000E5F71" w:rsidRPr="008D0DEB">
        <w:t>commissioning</w:t>
      </w:r>
      <w:r w:rsidR="005267F9" w:rsidRPr="008D0DEB">
        <w:t xml:space="preserve">. </w:t>
      </w:r>
    </w:p>
    <w:p w14:paraId="55F0351A" w14:textId="220D1F74" w:rsidR="00A51267" w:rsidRPr="008D0DEB" w:rsidRDefault="00F922FD" w:rsidP="0065556E">
      <w:pPr>
        <w:pStyle w:val="Head3"/>
      </w:pPr>
      <w:bookmarkStart w:id="115" w:name="_Toc137210938"/>
      <w:bookmarkStart w:id="116" w:name="_Toc137211180"/>
      <w:bookmarkStart w:id="117" w:name="_Toc137219034"/>
      <w:r w:rsidRPr="008D0DEB">
        <w:t>Outcomes</w:t>
      </w:r>
      <w:r w:rsidR="00F7741A" w:rsidRPr="008D0DEB">
        <w:t>-</w:t>
      </w:r>
      <w:r w:rsidRPr="008D0DEB">
        <w:t xml:space="preserve">based </w:t>
      </w:r>
      <w:r w:rsidR="00260F92" w:rsidRPr="008D0DEB">
        <w:t>approaches</w:t>
      </w:r>
      <w:r w:rsidRPr="008D0DEB">
        <w:t xml:space="preserve"> </w:t>
      </w:r>
      <w:r w:rsidR="00C648B8" w:rsidRPr="008D0DEB">
        <w:t xml:space="preserve">depend on </w:t>
      </w:r>
      <w:r w:rsidR="00802D44" w:rsidRPr="008D0DEB">
        <w:t xml:space="preserve">access to </w:t>
      </w:r>
      <w:r w:rsidR="00C648B8" w:rsidRPr="008D0DEB">
        <w:t>good data</w:t>
      </w:r>
      <w:bookmarkEnd w:id="115"/>
      <w:bookmarkEnd w:id="116"/>
      <w:bookmarkEnd w:id="117"/>
    </w:p>
    <w:p w14:paraId="23ACF563" w14:textId="61BFE89F" w:rsidR="006B303C" w:rsidRPr="008D0DEB" w:rsidRDefault="00A43428" w:rsidP="0065556E">
      <w:r w:rsidRPr="008D0DEB">
        <w:t>In outcomes</w:t>
      </w:r>
      <w:r w:rsidR="00F7741A" w:rsidRPr="008D0DEB">
        <w:t>-</w:t>
      </w:r>
      <w:r w:rsidRPr="008D0DEB">
        <w:t xml:space="preserve">based </w:t>
      </w:r>
      <w:r w:rsidR="004269DB" w:rsidRPr="008D0DEB">
        <w:t>approac</w:t>
      </w:r>
      <w:r w:rsidR="003B463F" w:rsidRPr="008D0DEB">
        <w:t>h</w:t>
      </w:r>
      <w:r w:rsidR="004269DB" w:rsidRPr="008D0DEB">
        <w:t>es</w:t>
      </w:r>
      <w:r w:rsidRPr="008D0DEB">
        <w:t xml:space="preserve">, </w:t>
      </w:r>
      <w:r w:rsidR="00546F96" w:rsidRPr="008D0DEB">
        <w:t>outcomes are set, priced and verified using agreed sets of data. For example</w:t>
      </w:r>
      <w:r w:rsidRPr="008D0DEB">
        <w:t xml:space="preserve">, </w:t>
      </w:r>
      <w:r w:rsidR="00F97405" w:rsidRPr="008D0DEB">
        <w:t xml:space="preserve">the </w:t>
      </w:r>
      <w:r w:rsidR="00546F96" w:rsidRPr="008D0DEB">
        <w:t xml:space="preserve">Foyer Central trial </w:t>
      </w:r>
      <w:r w:rsidR="0008517F" w:rsidRPr="008D0DEB">
        <w:t>involved assessing</w:t>
      </w:r>
      <w:r w:rsidR="00546F96" w:rsidRPr="008D0DEB">
        <w:t xml:space="preserve"> sustained income and independent housing for a period of 12 months, with </w:t>
      </w:r>
      <w:r w:rsidR="0008517F" w:rsidRPr="008D0DEB">
        <w:t>relevant</w:t>
      </w:r>
      <w:r w:rsidR="00546F96" w:rsidRPr="008D0DEB">
        <w:t xml:space="preserve"> data sourced from Centrelink.</w:t>
      </w:r>
      <w:r w:rsidR="0059559F" w:rsidRPr="008D0DEB">
        <w:t xml:space="preserve"> </w:t>
      </w:r>
      <w:r w:rsidR="001D0255" w:rsidRPr="008D0DEB">
        <w:t>S</w:t>
      </w:r>
      <w:r w:rsidR="00F97405" w:rsidRPr="008D0DEB">
        <w:t>uccessful achievement of verified outcomes</w:t>
      </w:r>
      <w:r w:rsidR="006B061E" w:rsidRPr="008D0DEB">
        <w:t xml:space="preserve"> </w:t>
      </w:r>
      <w:r w:rsidR="00066E07" w:rsidRPr="008D0DEB">
        <w:t xml:space="preserve">signal </w:t>
      </w:r>
      <w:r w:rsidR="006B061E" w:rsidRPr="008D0DEB">
        <w:t xml:space="preserve">more than just </w:t>
      </w:r>
      <w:r w:rsidR="006B303C" w:rsidRPr="008D0DEB">
        <w:t xml:space="preserve">improved circumstances for program </w:t>
      </w:r>
      <w:r w:rsidR="00CA4C95" w:rsidRPr="008D0DEB">
        <w:t>participants</w:t>
      </w:r>
      <w:r w:rsidR="006D0BF7" w:rsidRPr="008D0DEB">
        <w:t>,</w:t>
      </w:r>
      <w:r w:rsidR="00841800" w:rsidRPr="008D0DEB">
        <w:t xml:space="preserve"> </w:t>
      </w:r>
      <w:r w:rsidR="006D0BF7" w:rsidRPr="008D0DEB">
        <w:t>or</w:t>
      </w:r>
      <w:r w:rsidR="003F7BD4" w:rsidRPr="008D0DEB">
        <w:t xml:space="preserve"> information </w:t>
      </w:r>
      <w:r w:rsidR="006B303C" w:rsidRPr="008D0DEB">
        <w:t xml:space="preserve">for </w:t>
      </w:r>
      <w:r w:rsidR="007470E7" w:rsidRPr="008D0DEB">
        <w:t>improv</w:t>
      </w:r>
      <w:r w:rsidR="006B303C" w:rsidRPr="008D0DEB">
        <w:t>ing</w:t>
      </w:r>
      <w:r w:rsidR="007470E7" w:rsidRPr="008D0DEB">
        <w:t xml:space="preserve"> future programs </w:t>
      </w:r>
      <w:r w:rsidR="00841800" w:rsidRPr="008D0DEB">
        <w:t xml:space="preserve">– they also trigger payment events. </w:t>
      </w:r>
    </w:p>
    <w:p w14:paraId="1A83FF45" w14:textId="4AEB79CB" w:rsidR="00E468A2" w:rsidRPr="008D0DEB" w:rsidRDefault="006B04BE" w:rsidP="0065556E">
      <w:pPr>
        <w:rPr>
          <w:color w:val="333333" w:themeColor="text2" w:themeShade="80"/>
        </w:rPr>
      </w:pPr>
      <w:r w:rsidRPr="008D0DEB">
        <w:t xml:space="preserve">Data requirements for this type of program are often higher compared to </w:t>
      </w:r>
      <w:r w:rsidR="00337659" w:rsidRPr="008D0DEB">
        <w:t xml:space="preserve">a </w:t>
      </w:r>
      <w:r w:rsidRPr="008D0DEB">
        <w:t xml:space="preserve">more ‘traditional’ program delivery </w:t>
      </w:r>
      <w:r w:rsidR="00337659" w:rsidRPr="008D0DEB">
        <w:t xml:space="preserve">model </w:t>
      </w:r>
      <w:r w:rsidRPr="008D0DEB">
        <w:t xml:space="preserve">which may focus </w:t>
      </w:r>
      <w:r w:rsidR="00337659" w:rsidRPr="008D0DEB">
        <w:t xml:space="preserve">solely </w:t>
      </w:r>
      <w:r w:rsidRPr="008D0DEB">
        <w:t>on inputs or outputs.</w:t>
      </w:r>
      <w:r w:rsidR="00E468A2" w:rsidRPr="008D0DEB">
        <w:t xml:space="preserve"> </w:t>
      </w:r>
      <w:r w:rsidR="00337659" w:rsidRPr="008D0DEB">
        <w:t>Data for these types of programs</w:t>
      </w:r>
      <w:r w:rsidR="001F7350" w:rsidRPr="008D0DEB">
        <w:t xml:space="preserve"> is also required to understand the counterfactual – </w:t>
      </w:r>
      <w:r w:rsidR="00B66404" w:rsidRPr="008D0DEB">
        <w:t>i.e</w:t>
      </w:r>
      <w:r w:rsidR="00337659" w:rsidRPr="008D0DEB">
        <w:t>.,</w:t>
      </w:r>
      <w:r w:rsidR="00B66404" w:rsidRPr="008D0DEB">
        <w:t xml:space="preserve"> </w:t>
      </w:r>
      <w:r w:rsidR="001F7350" w:rsidRPr="008D0DEB">
        <w:t>what would have happened without these interventions</w:t>
      </w:r>
      <w:r w:rsidR="00B66404" w:rsidRPr="008D0DEB">
        <w:t xml:space="preserve">. The </w:t>
      </w:r>
      <w:r w:rsidR="00E76D8C" w:rsidRPr="008D0DEB">
        <w:t xml:space="preserve">additional requirements often equate to </w:t>
      </w:r>
      <w:r w:rsidR="00E468A2" w:rsidRPr="008D0DEB">
        <w:rPr>
          <w:color w:val="333333" w:themeColor="text2" w:themeShade="80"/>
        </w:rPr>
        <w:t>high</w:t>
      </w:r>
      <w:r w:rsidR="00E76D8C" w:rsidRPr="008D0DEB">
        <w:rPr>
          <w:color w:val="333333" w:themeColor="text2" w:themeShade="80"/>
        </w:rPr>
        <w:t>er</w:t>
      </w:r>
      <w:r w:rsidR="00E468A2" w:rsidRPr="008D0DEB">
        <w:rPr>
          <w:color w:val="333333" w:themeColor="text2" w:themeShade="80"/>
        </w:rPr>
        <w:t xml:space="preserve"> upfront costs in setting up required data, administration and reporting systems.</w:t>
      </w:r>
    </w:p>
    <w:p w14:paraId="049F0FD8" w14:textId="1765CB0D" w:rsidR="0023012E" w:rsidRPr="008D0DEB" w:rsidRDefault="006332FA" w:rsidP="0065556E">
      <w:r w:rsidRPr="008D0DEB">
        <w:rPr>
          <w:rStyle w:val="normaltextrun"/>
        </w:rPr>
        <w:t>T</w:t>
      </w:r>
      <w:r w:rsidRPr="008D0DEB">
        <w:t xml:space="preserve">he requirement for robust outcome measurement through the SII trials has driven development in government processes, outcome measurement capacity within government, and within the broader sector. </w:t>
      </w:r>
      <w:r w:rsidR="004B6B6D" w:rsidRPr="008D0DEB">
        <w:t>D</w:t>
      </w:r>
      <w:r w:rsidR="00B27AD8" w:rsidRPr="008D0DEB">
        <w:rPr>
          <w:rStyle w:val="normaltextrun"/>
        </w:rPr>
        <w:t>ata partnerships</w:t>
      </w:r>
      <w:r w:rsidR="005D4B5A" w:rsidRPr="008D0DEB">
        <w:rPr>
          <w:rStyle w:val="normaltextrun"/>
        </w:rPr>
        <w:t>,</w:t>
      </w:r>
      <w:r w:rsidR="008C507B" w:rsidRPr="008D0DEB">
        <w:rPr>
          <w:rStyle w:val="normaltextrun"/>
        </w:rPr>
        <w:t xml:space="preserve"> </w:t>
      </w:r>
      <w:r w:rsidR="00B27AD8" w:rsidRPr="008D0DEB">
        <w:rPr>
          <w:rStyle w:val="normaltextrun"/>
        </w:rPr>
        <w:t>including cross-jurisdictional and cross-portfolio data sharing</w:t>
      </w:r>
      <w:r w:rsidR="005D4B5A" w:rsidRPr="008D0DEB">
        <w:rPr>
          <w:rStyle w:val="normaltextrun"/>
        </w:rPr>
        <w:t xml:space="preserve">, </w:t>
      </w:r>
      <w:r w:rsidR="008C507B" w:rsidRPr="008D0DEB">
        <w:rPr>
          <w:rStyle w:val="normaltextrun"/>
        </w:rPr>
        <w:t>can</w:t>
      </w:r>
      <w:r w:rsidR="005D4B5A" w:rsidRPr="008D0DEB">
        <w:rPr>
          <w:rStyle w:val="normaltextrun"/>
        </w:rPr>
        <w:t xml:space="preserve"> provide different data sets</w:t>
      </w:r>
      <w:r w:rsidR="002F17B2" w:rsidRPr="008D0DEB">
        <w:rPr>
          <w:rStyle w:val="normaltextrun"/>
        </w:rPr>
        <w:t xml:space="preserve"> to</w:t>
      </w:r>
      <w:r w:rsidR="008C507B" w:rsidRPr="008D0DEB">
        <w:rPr>
          <w:rStyle w:val="normaltextrun"/>
        </w:rPr>
        <w:t xml:space="preserve"> </w:t>
      </w:r>
      <w:r w:rsidR="008C507B" w:rsidRPr="008D0DEB">
        <w:t xml:space="preserve">inform </w:t>
      </w:r>
      <w:r w:rsidR="00B27AD8" w:rsidRPr="008D0DEB">
        <w:t>better measurement of outcomes and</w:t>
      </w:r>
      <w:r w:rsidR="00337659" w:rsidRPr="008D0DEB">
        <w:t xml:space="preserve"> a</w:t>
      </w:r>
      <w:r w:rsidR="00B27AD8" w:rsidRPr="008D0DEB">
        <w:t xml:space="preserve"> greater understanding of financial implications and pricing. </w:t>
      </w:r>
      <w:r w:rsidR="0023012E" w:rsidRPr="008D0DEB">
        <w:t xml:space="preserve">The trials have informed </w:t>
      </w:r>
      <w:r w:rsidR="00337659" w:rsidRPr="008D0DEB">
        <w:t>DSS’</w:t>
      </w:r>
      <w:r w:rsidR="0023012E" w:rsidRPr="008D0DEB">
        <w:t xml:space="preserve"> contribution to the APS Reform Multi-Agency Data Integration Project (MADIP) underway. This project will facilitate “</w:t>
      </w:r>
      <w:r w:rsidR="0023012E" w:rsidRPr="008D0DEB">
        <w:rPr>
          <w:rFonts w:cs="Arial"/>
          <w:color w:val="343A40"/>
          <w:shd w:val="clear" w:color="auto" w:fill="FFFFFF"/>
        </w:rPr>
        <w:t>users to undertake policy analysis more efficiently</w:t>
      </w:r>
      <w:r w:rsidR="00337659" w:rsidRPr="008D0DEB">
        <w:rPr>
          <w:rFonts w:cs="Arial"/>
          <w:color w:val="343A40"/>
          <w:shd w:val="clear" w:color="auto" w:fill="FFFFFF"/>
        </w:rPr>
        <w:t>.”</w:t>
      </w:r>
      <w:r w:rsidR="0023012E" w:rsidRPr="008D0DEB">
        <w:rPr>
          <w:rStyle w:val="FootnoteReference"/>
          <w:rFonts w:cs="Arial"/>
          <w:shd w:val="clear" w:color="auto" w:fill="FFFFFF"/>
        </w:rPr>
        <w:footnoteReference w:id="25"/>
      </w:r>
      <w:r w:rsidR="0023012E" w:rsidRPr="008D0DEB">
        <w:rPr>
          <w:rFonts w:cs="Arial"/>
          <w:color w:val="343A40"/>
          <w:shd w:val="clear" w:color="auto" w:fill="FFFFFF"/>
        </w:rPr>
        <w:t> </w:t>
      </w:r>
    </w:p>
    <w:p w14:paraId="7C426AD4" w14:textId="6A2FBF24" w:rsidR="00A657C2" w:rsidRPr="008D0DEB" w:rsidRDefault="00A657C2" w:rsidP="0065556E">
      <w:r w:rsidRPr="008D0DEB">
        <w:t xml:space="preserve">There are limitations </w:t>
      </w:r>
      <w:r w:rsidR="00DD4057" w:rsidRPr="008D0DEB">
        <w:t>associated with g</w:t>
      </w:r>
      <w:r w:rsidR="00244F17" w:rsidRPr="008D0DEB">
        <w:t xml:space="preserve">overnment data. </w:t>
      </w:r>
      <w:r w:rsidR="00DD4057" w:rsidRPr="008D0DEB">
        <w:t>One limitation arises from us</w:t>
      </w:r>
      <w:r w:rsidR="00AF215F" w:rsidRPr="008D0DEB">
        <w:t xml:space="preserve">ing data collected for one purpose </w:t>
      </w:r>
      <w:r w:rsidR="006F7EF6" w:rsidRPr="008D0DEB">
        <w:t>to inform other purposes</w:t>
      </w:r>
      <w:r w:rsidR="00AF215F" w:rsidRPr="008D0DEB">
        <w:t xml:space="preserve">. </w:t>
      </w:r>
      <w:r w:rsidR="00244F17" w:rsidRPr="008D0DEB">
        <w:t>For example, welfare data</w:t>
      </w:r>
      <w:r w:rsidR="00776F09" w:rsidRPr="008D0DEB">
        <w:t>,</w:t>
      </w:r>
      <w:r w:rsidR="00244F17" w:rsidRPr="008D0DEB">
        <w:t xml:space="preserve"> </w:t>
      </w:r>
      <w:r w:rsidR="00D52BCA" w:rsidRPr="008D0DEB">
        <w:t>collected for the purpose of welfare payments</w:t>
      </w:r>
      <w:r w:rsidR="00776F09" w:rsidRPr="008D0DEB">
        <w:t>,</w:t>
      </w:r>
      <w:r w:rsidR="005F1D61" w:rsidRPr="008D0DEB">
        <w:t xml:space="preserve"> </w:t>
      </w:r>
      <w:r w:rsidR="00D52BCA" w:rsidRPr="008D0DEB">
        <w:t xml:space="preserve">may be useful as </w:t>
      </w:r>
      <w:r w:rsidR="000C77C5" w:rsidRPr="008D0DEB">
        <w:t xml:space="preserve">a </w:t>
      </w:r>
      <w:r w:rsidR="00D52BCA" w:rsidRPr="008D0DEB">
        <w:t xml:space="preserve">proxy </w:t>
      </w:r>
      <w:r w:rsidR="000C77C5" w:rsidRPr="008D0DEB">
        <w:t>for other measures</w:t>
      </w:r>
      <w:r w:rsidR="00776F09" w:rsidRPr="008D0DEB">
        <w:t xml:space="preserve">. However, </w:t>
      </w:r>
      <w:r w:rsidR="00611F2C" w:rsidRPr="008D0DEB">
        <w:t>this data</w:t>
      </w:r>
      <w:r w:rsidR="000C77C5" w:rsidRPr="008D0DEB">
        <w:t xml:space="preserve"> </w:t>
      </w:r>
      <w:r w:rsidR="00611F2C" w:rsidRPr="008D0DEB">
        <w:t xml:space="preserve">ceases to </w:t>
      </w:r>
      <w:r w:rsidR="000C77C5" w:rsidRPr="008D0DEB">
        <w:t xml:space="preserve">be captured </w:t>
      </w:r>
      <w:r w:rsidR="00611F2C" w:rsidRPr="008D0DEB">
        <w:t>once</w:t>
      </w:r>
      <w:r w:rsidR="000C77C5" w:rsidRPr="008D0DEB">
        <w:t xml:space="preserve"> a client gains employment </w:t>
      </w:r>
      <w:r w:rsidR="008938D8" w:rsidRPr="008D0DEB">
        <w:t xml:space="preserve">then no longer </w:t>
      </w:r>
      <w:r w:rsidR="000C77C5" w:rsidRPr="008D0DEB">
        <w:t>rece</w:t>
      </w:r>
      <w:r w:rsidR="00776F09" w:rsidRPr="008D0DEB">
        <w:t>i</w:t>
      </w:r>
      <w:r w:rsidR="000C77C5" w:rsidRPr="008D0DEB">
        <w:t>ve</w:t>
      </w:r>
      <w:r w:rsidR="008938D8" w:rsidRPr="008D0DEB">
        <w:t>s</w:t>
      </w:r>
      <w:r w:rsidR="000C77C5" w:rsidRPr="008D0DEB">
        <w:t xml:space="preserve"> payments</w:t>
      </w:r>
      <w:r w:rsidR="00776F09" w:rsidRPr="008D0DEB">
        <w:t xml:space="preserve">, </w:t>
      </w:r>
      <w:r w:rsidR="008938D8" w:rsidRPr="008D0DEB">
        <w:t>at which point</w:t>
      </w:r>
      <w:r w:rsidR="00EE42E6" w:rsidRPr="008D0DEB">
        <w:t>, the client effectively disappears from the dataset.</w:t>
      </w:r>
    </w:p>
    <w:p w14:paraId="529EAB39" w14:textId="593653D1" w:rsidR="0023012E" w:rsidRPr="008D0DEB" w:rsidRDefault="00EE42E6" w:rsidP="0065556E">
      <w:r w:rsidRPr="008D0DEB">
        <w:t xml:space="preserve">Access to data is another limitation. Although DSS </w:t>
      </w:r>
      <w:r w:rsidR="003F577E" w:rsidRPr="008D0DEB">
        <w:t xml:space="preserve">may be </w:t>
      </w:r>
      <w:r w:rsidRPr="008D0DEB">
        <w:t xml:space="preserve">the </w:t>
      </w:r>
      <w:r w:rsidR="003F577E" w:rsidRPr="008D0DEB">
        <w:t xml:space="preserve">data </w:t>
      </w:r>
      <w:r w:rsidRPr="008D0DEB">
        <w:t>owner</w:t>
      </w:r>
      <w:r w:rsidR="003F577E" w:rsidRPr="008D0DEB">
        <w:t xml:space="preserve">, </w:t>
      </w:r>
      <w:r w:rsidRPr="008D0DEB">
        <w:t xml:space="preserve">there are </w:t>
      </w:r>
      <w:r w:rsidR="00B22D36" w:rsidRPr="008D0DEB">
        <w:t xml:space="preserve">restrictions on how the data </w:t>
      </w:r>
      <w:r w:rsidR="003F577E" w:rsidRPr="008D0DEB">
        <w:t>may be</w:t>
      </w:r>
      <w:r w:rsidR="00B22D36" w:rsidRPr="008D0DEB">
        <w:t xml:space="preserve"> used and who can access it, even </w:t>
      </w:r>
      <w:r w:rsidR="00374B73" w:rsidRPr="008D0DEB">
        <w:t xml:space="preserve">by the </w:t>
      </w:r>
      <w:r w:rsidR="00337659" w:rsidRPr="008D0DEB">
        <w:t>Government</w:t>
      </w:r>
      <w:r w:rsidR="00374B73" w:rsidRPr="008D0DEB">
        <w:t xml:space="preserve"> or </w:t>
      </w:r>
      <w:r w:rsidR="00B22D36" w:rsidRPr="008D0DEB">
        <w:t xml:space="preserve">within the department. </w:t>
      </w:r>
      <w:r w:rsidR="0012493D" w:rsidRPr="008D0DEB">
        <w:t xml:space="preserve">Through the trials, DSS was allowed to use the data </w:t>
      </w:r>
      <w:r w:rsidR="00B416D4" w:rsidRPr="008D0DEB">
        <w:t xml:space="preserve">for the purposes of </w:t>
      </w:r>
      <w:r w:rsidR="0012493D" w:rsidRPr="008D0DEB">
        <w:t>policy research</w:t>
      </w:r>
      <w:r w:rsidR="00337659" w:rsidRPr="008D0DEB">
        <w:t xml:space="preserve"> -</w:t>
      </w:r>
      <w:r w:rsidR="00B416D4" w:rsidRPr="008D0DEB">
        <w:t xml:space="preserve"> a permitted </w:t>
      </w:r>
      <w:r w:rsidR="0012493D" w:rsidRPr="008D0DEB">
        <w:t>secondary purpose</w:t>
      </w:r>
      <w:r w:rsidR="00B416D4" w:rsidRPr="008D0DEB">
        <w:t xml:space="preserve">. </w:t>
      </w:r>
      <w:r w:rsidR="00337659" w:rsidRPr="008D0DEB">
        <w:t>Consideration</w:t>
      </w:r>
      <w:r w:rsidR="0012493D" w:rsidRPr="008D0DEB">
        <w:t xml:space="preserve"> </w:t>
      </w:r>
      <w:r w:rsidR="00B416D4" w:rsidRPr="008D0DEB">
        <w:t>should be</w:t>
      </w:r>
      <w:r w:rsidR="0012493D" w:rsidRPr="008D0DEB">
        <w:t xml:space="preserve"> given to the type of data required for outcomes</w:t>
      </w:r>
      <w:r w:rsidR="007541C3" w:rsidRPr="008D0DEB">
        <w:t>-</w:t>
      </w:r>
      <w:r w:rsidR="0012493D" w:rsidRPr="008D0DEB">
        <w:t xml:space="preserve">based approaches in new policy initiatives, as </w:t>
      </w:r>
      <w:r w:rsidR="0023012E" w:rsidRPr="008D0DEB">
        <w:t>t</w:t>
      </w:r>
      <w:r w:rsidR="008259EE" w:rsidRPr="008D0DEB">
        <w:t>he Australian Government has limited scope to share data outside of a ‘trial’ environment, which will need to be addressed to further develop this capacity in the future.</w:t>
      </w:r>
      <w:r w:rsidR="00D6498B" w:rsidRPr="008D0DEB">
        <w:t xml:space="preserve"> </w:t>
      </w:r>
    </w:p>
    <w:p w14:paraId="0565DB25" w14:textId="77777777" w:rsidR="003F3710" w:rsidRDefault="003F3710">
      <w:pPr>
        <w:rPr>
          <w:rFonts w:eastAsia="Times New Roman" w:cs="Times New Roman"/>
          <w:i/>
          <w:szCs w:val="24"/>
        </w:rPr>
      </w:pPr>
      <w:r>
        <w:br w:type="page"/>
      </w:r>
    </w:p>
    <w:p w14:paraId="4D7916EA" w14:textId="44016AAA" w:rsidR="000A6360" w:rsidRPr="008D0DEB" w:rsidRDefault="007C65C5" w:rsidP="0065556E">
      <w:pPr>
        <w:pStyle w:val="HangingQuote"/>
        <w:rPr>
          <w:iCs/>
        </w:rPr>
      </w:pPr>
      <w:r w:rsidRPr="008D0DEB">
        <w:lastRenderedPageBreak/>
        <w:t>“</w:t>
      </w:r>
      <w:r w:rsidR="003D6680" w:rsidRPr="008D0DEB">
        <w:t xml:space="preserve">…we have always worked in aggregate data, and this is individually focused data, and what that means is that we really examine the question of are we doing everything we can to support this client in their journey, in the way that they would expect and the way that our funders would expect.” </w:t>
      </w:r>
      <w:r w:rsidR="003D6680" w:rsidRPr="008D0DEB">
        <w:rPr>
          <w:iCs/>
        </w:rPr>
        <w:t xml:space="preserve">[Service </w:t>
      </w:r>
      <w:r w:rsidR="00337659" w:rsidRPr="008D0DEB">
        <w:rPr>
          <w:iCs/>
        </w:rPr>
        <w:t>Provider</w:t>
      </w:r>
      <w:r w:rsidR="000A6360" w:rsidRPr="008D0DEB">
        <w:rPr>
          <w:iCs/>
        </w:rPr>
        <w:t>]</w:t>
      </w:r>
    </w:p>
    <w:p w14:paraId="2C04E52E" w14:textId="04C27696" w:rsidR="00344163" w:rsidRPr="008D0DEB" w:rsidRDefault="00C23CCC" w:rsidP="0065556E">
      <w:pPr>
        <w:pStyle w:val="Head3"/>
      </w:pPr>
      <w:bookmarkStart w:id="118" w:name="_Toc137210939"/>
      <w:bookmarkStart w:id="119" w:name="_Toc137211181"/>
      <w:bookmarkStart w:id="120" w:name="_Toc137219035"/>
      <w:r w:rsidRPr="008D0DEB">
        <w:t>Strong problem identification</w:t>
      </w:r>
      <w:r w:rsidR="00D34850" w:rsidRPr="008D0DEB">
        <w:t>, cohort selection and verification</w:t>
      </w:r>
      <w:r w:rsidR="00272EA5" w:rsidRPr="008D0DEB">
        <w:t xml:space="preserve"> through</w:t>
      </w:r>
      <w:r w:rsidRPr="008D0DEB">
        <w:t xml:space="preserve"> </w:t>
      </w:r>
      <w:r w:rsidR="00EC3DAF" w:rsidRPr="008D0DEB">
        <w:t>independent data</w:t>
      </w:r>
      <w:r w:rsidRPr="008D0DEB">
        <w:t xml:space="preserve"> </w:t>
      </w:r>
      <w:r w:rsidR="00825538" w:rsidRPr="008D0DEB">
        <w:t>leads to better</w:t>
      </w:r>
      <w:r w:rsidRPr="008D0DEB">
        <w:t xml:space="preserve"> outcomes for clients</w:t>
      </w:r>
      <w:bookmarkEnd w:id="118"/>
      <w:bookmarkEnd w:id="119"/>
      <w:bookmarkEnd w:id="120"/>
    </w:p>
    <w:p w14:paraId="2C28A34E" w14:textId="1ECAA0C1" w:rsidR="003E4AEB" w:rsidRPr="008D0DEB" w:rsidRDefault="00180EB2" w:rsidP="0065556E">
      <w:r w:rsidRPr="008D0DEB">
        <w:t>The impacts of r</w:t>
      </w:r>
      <w:r w:rsidR="003E4AEB" w:rsidRPr="008D0DEB">
        <w:t>egular program</w:t>
      </w:r>
      <w:r w:rsidR="00D93163" w:rsidRPr="008D0DEB">
        <w:t>ming</w:t>
      </w:r>
      <w:r w:rsidRPr="008D0DEB">
        <w:t>, which</w:t>
      </w:r>
      <w:r w:rsidR="00D93163" w:rsidRPr="008D0DEB">
        <w:t xml:space="preserve"> relies on a theory of change and </w:t>
      </w:r>
      <w:r w:rsidRPr="008D0DEB">
        <w:t xml:space="preserve">the </w:t>
      </w:r>
      <w:r w:rsidR="00D93163" w:rsidRPr="008D0DEB">
        <w:t xml:space="preserve">measurement </w:t>
      </w:r>
      <w:r w:rsidRPr="008D0DEB">
        <w:t xml:space="preserve">of inputs and outputs, is usually only </w:t>
      </w:r>
      <w:r w:rsidR="00337659" w:rsidRPr="008D0DEB">
        <w:t>known</w:t>
      </w:r>
      <w:r w:rsidRPr="008D0DEB">
        <w:t xml:space="preserve"> </w:t>
      </w:r>
      <w:r w:rsidR="00C106F4" w:rsidRPr="008D0DEB">
        <w:t>through</w:t>
      </w:r>
      <w:r w:rsidR="00BE042E" w:rsidRPr="008D0DEB">
        <w:t xml:space="preserve"> evaluations</w:t>
      </w:r>
      <w:r w:rsidR="00C106F4" w:rsidRPr="008D0DEB">
        <w:t xml:space="preserve"> undertaken </w:t>
      </w:r>
      <w:r w:rsidR="00770709" w:rsidRPr="008D0DEB">
        <w:t xml:space="preserve">long </w:t>
      </w:r>
      <w:r w:rsidR="00FA4A4B" w:rsidRPr="008D0DEB">
        <w:t>after the program is completed</w:t>
      </w:r>
      <w:r w:rsidR="00BE042E" w:rsidRPr="008D0DEB">
        <w:t>. Outcomes</w:t>
      </w:r>
      <w:r w:rsidR="0049538F" w:rsidRPr="008D0DEB">
        <w:t>-</w:t>
      </w:r>
      <w:r w:rsidR="00BE042E" w:rsidRPr="008D0DEB">
        <w:t xml:space="preserve">based programming can provide </w:t>
      </w:r>
      <w:r w:rsidR="00303505" w:rsidRPr="008D0DEB">
        <w:t>earlier information</w:t>
      </w:r>
      <w:r w:rsidR="0049538F" w:rsidRPr="008D0DEB">
        <w:t>,</w:t>
      </w:r>
      <w:r w:rsidR="00111E48" w:rsidRPr="008D0DEB">
        <w:t xml:space="preserve"> through </w:t>
      </w:r>
      <w:r w:rsidR="008D32E8" w:rsidRPr="008D0DEB">
        <w:t xml:space="preserve">the verification of outcomes enabled by </w:t>
      </w:r>
      <w:r w:rsidR="00E16012" w:rsidRPr="008D0DEB">
        <w:t xml:space="preserve">independent data. This relies on a solid </w:t>
      </w:r>
      <w:r w:rsidR="001266D5" w:rsidRPr="008D0DEB">
        <w:t>understanding of the root cause of the problem being addressed</w:t>
      </w:r>
      <w:r w:rsidR="008D1415" w:rsidRPr="008D0DEB">
        <w:t xml:space="preserve"> and </w:t>
      </w:r>
      <w:r w:rsidR="00600D2C" w:rsidRPr="008D0DEB">
        <w:t xml:space="preserve">specific needs of the identified cohort. </w:t>
      </w:r>
    </w:p>
    <w:p w14:paraId="29FBBF22" w14:textId="5E85CAAD" w:rsidR="006377B0" w:rsidRPr="008D0DEB" w:rsidRDefault="004F30A2" w:rsidP="0065556E">
      <w:r w:rsidRPr="008D0DEB">
        <w:t xml:space="preserve">Outcomes-based payments are usually based on the change achieved for </w:t>
      </w:r>
      <w:r w:rsidR="00BE101F" w:rsidRPr="008D0DEB">
        <w:t>an</w:t>
      </w:r>
      <w:r w:rsidRPr="008D0DEB">
        <w:t xml:space="preserve"> agreed proportion of enrolled participants. This focus may lead service providers to adapt or modify their working practices to better meet the needs of their clients. </w:t>
      </w:r>
      <w:r w:rsidR="006377B0" w:rsidRPr="008D0DEB">
        <w:t>In the PBO trials, service providers were initially confident they knew the make-up of their clients</w:t>
      </w:r>
      <w:r w:rsidR="005C7447" w:rsidRPr="008D0DEB">
        <w:t>,</w:t>
      </w:r>
      <w:r w:rsidR="006377B0" w:rsidRPr="008D0DEB">
        <w:t xml:space="preserve"> and that </w:t>
      </w:r>
      <w:r w:rsidR="00337659" w:rsidRPr="008D0DEB">
        <w:t>clients</w:t>
      </w:r>
      <w:r w:rsidR="006377B0" w:rsidRPr="008D0DEB">
        <w:t xml:space="preserve"> were receiving the benefits of their services. However, during the contract negotiation process where measurements were being set, service providers </w:t>
      </w:r>
      <w:r w:rsidR="00106EA1" w:rsidRPr="008D0DEB">
        <w:t>found some gaps in their existing understanding</w:t>
      </w:r>
      <w:r w:rsidR="001E5339" w:rsidRPr="008D0DEB">
        <w:t xml:space="preserve">, and </w:t>
      </w:r>
      <w:r w:rsidR="006377B0" w:rsidRPr="008D0DEB">
        <w:t xml:space="preserve">realised further </w:t>
      </w:r>
      <w:r w:rsidR="001E5339" w:rsidRPr="008D0DEB">
        <w:t>awareness of</w:t>
      </w:r>
      <w:r w:rsidR="006377B0" w:rsidRPr="008D0DEB">
        <w:t xml:space="preserve"> clients’ needs </w:t>
      </w:r>
      <w:r w:rsidR="001E5339" w:rsidRPr="008D0DEB">
        <w:t>was needed to achieve the desired outcomes</w:t>
      </w:r>
      <w:r w:rsidR="006377B0" w:rsidRPr="008D0DEB">
        <w:t xml:space="preserve">. </w:t>
      </w:r>
      <w:r w:rsidR="00BC485D" w:rsidRPr="008D0DEB">
        <w:t>N</w:t>
      </w:r>
      <w:r w:rsidR="00BC485D" w:rsidRPr="008D0DEB">
        <w:rPr>
          <w:color w:val="333333" w:themeColor="text2" w:themeShade="80"/>
        </w:rPr>
        <w:t xml:space="preserve">arrowing of eligibility criteria, </w:t>
      </w:r>
      <w:r w:rsidR="00337659" w:rsidRPr="008D0DEB">
        <w:rPr>
          <w:color w:val="333333" w:themeColor="text2" w:themeShade="80"/>
        </w:rPr>
        <w:t>where needed</w:t>
      </w:r>
      <w:r w:rsidR="00BC485D" w:rsidRPr="008D0DEB">
        <w:rPr>
          <w:color w:val="333333" w:themeColor="text2" w:themeShade="80"/>
        </w:rPr>
        <w:t>, also led to changes in service models, referral and enrolment processes.</w:t>
      </w:r>
      <w:r w:rsidR="00BC485D" w:rsidRPr="008D0DEB">
        <w:rPr>
          <w:rStyle w:val="FootnoteReference"/>
          <w:color w:val="333333" w:themeColor="text2" w:themeShade="80"/>
        </w:rPr>
        <w:footnoteReference w:id="26"/>
      </w:r>
    </w:p>
    <w:p w14:paraId="6EECE0C1" w14:textId="5DE7DEAA" w:rsidR="00BE4E2C" w:rsidRPr="008D0DEB" w:rsidRDefault="00BE4E2C" w:rsidP="0065556E">
      <w:pPr>
        <w:pStyle w:val="HangingQuote"/>
      </w:pPr>
      <w:r w:rsidRPr="008D0DEB">
        <w:t>“…it’s also important I think from an operational perspective, because it has – it’s provided us a lens through which we can really examine the quality of the journey that we embark on with clients as well.” [Service Provider]</w:t>
      </w:r>
    </w:p>
    <w:p w14:paraId="7971233A" w14:textId="4DBD4263" w:rsidR="001A6471" w:rsidRPr="008D0DEB" w:rsidRDefault="002D232A" w:rsidP="0065556E">
      <w:r w:rsidRPr="008D0DEB">
        <w:t xml:space="preserve">This focus on outcomes also promotes greater accountability for their delivery by service providers. Setting a price for the achievement of a social change for a specific cohort of people can disincentivise practices of </w:t>
      </w:r>
      <w:r w:rsidR="00337659" w:rsidRPr="008D0DEB">
        <w:t>‘cramming’</w:t>
      </w:r>
      <w:r w:rsidRPr="008D0DEB">
        <w:t xml:space="preserve">” or </w:t>
      </w:r>
      <w:r w:rsidR="00337659" w:rsidRPr="008D0DEB">
        <w:t>’parking’</w:t>
      </w:r>
      <w:r w:rsidRPr="008D0DEB">
        <w:t xml:space="preserve"> where service providers might choose to work with clients where outcome</w:t>
      </w:r>
      <w:r w:rsidR="00C70F62" w:rsidRPr="008D0DEB">
        <w:t>s</w:t>
      </w:r>
      <w:r w:rsidRPr="008D0DEB">
        <w:t xml:space="preserve"> are more readily achieved. </w:t>
      </w:r>
      <w:r w:rsidR="00577292" w:rsidRPr="008D0DEB">
        <w:t xml:space="preserve">In the case of the PBO trials, once participants were enrolled in the programs, the service </w:t>
      </w:r>
      <w:r w:rsidR="00AB70FD" w:rsidRPr="008D0DEB">
        <w:t>provider</w:t>
      </w:r>
      <w:r w:rsidR="00577292" w:rsidRPr="008D0DEB">
        <w:t xml:space="preserve"> was responsible for the outcomes achieved on their behalf.</w:t>
      </w:r>
      <w:r w:rsidR="007A1D97" w:rsidRPr="008D0DEB">
        <w:t xml:space="preserve"> In that context, ensuring the </w:t>
      </w:r>
      <w:r w:rsidR="00337659" w:rsidRPr="008D0DEB">
        <w:t>right</w:t>
      </w:r>
      <w:r w:rsidR="007A1D97" w:rsidRPr="008D0DEB">
        <w:t xml:space="preserve"> participants are enrolled in the program is a key challenge.</w:t>
      </w:r>
    </w:p>
    <w:p w14:paraId="4479B080" w14:textId="77777777" w:rsidR="009A1C1E" w:rsidRPr="008D0DEB" w:rsidRDefault="009A1C1E" w:rsidP="0065556E">
      <w:pPr>
        <w:pStyle w:val="HangingQuote"/>
      </w:pPr>
      <w:r w:rsidRPr="008D0DEB">
        <w:t xml:space="preserve">“…verifying that people meet the eligibility criteria. This is where I think the PBOs have all struggled.” </w:t>
      </w:r>
      <w:r w:rsidRPr="008D0DEB">
        <w:rPr>
          <w:iCs/>
        </w:rPr>
        <w:t>[DSS staff member]</w:t>
      </w:r>
    </w:p>
    <w:p w14:paraId="29BA8C28" w14:textId="496B177F" w:rsidR="001A6471" w:rsidRPr="008D0DEB" w:rsidRDefault="001A6471" w:rsidP="0065556E">
      <w:r w:rsidRPr="008D0DEB">
        <w:t xml:space="preserve">Defining </w:t>
      </w:r>
      <w:r w:rsidR="007427B5" w:rsidRPr="008D0DEB">
        <w:t xml:space="preserve">and understanding </w:t>
      </w:r>
      <w:r w:rsidRPr="008D0DEB">
        <w:t xml:space="preserve">the problem </w:t>
      </w:r>
      <w:r w:rsidR="007427B5" w:rsidRPr="008D0DEB">
        <w:t xml:space="preserve">and identifying and accessing the data to </w:t>
      </w:r>
      <w:r w:rsidR="00206E9E" w:rsidRPr="008D0DEB">
        <w:t>measure and verify outcomes</w:t>
      </w:r>
      <w:r w:rsidR="000319D6" w:rsidRPr="008D0DEB">
        <w:t xml:space="preserve"> is resource intensive and</w:t>
      </w:r>
      <w:r w:rsidR="00206E9E" w:rsidRPr="008D0DEB">
        <w:t xml:space="preserve"> takes significant time</w:t>
      </w:r>
      <w:r w:rsidR="00896B0A" w:rsidRPr="008D0DEB">
        <w:t xml:space="preserve">, particularly as there needs to be agreement from all parties. </w:t>
      </w:r>
      <w:r w:rsidR="00263EF5" w:rsidRPr="008D0DEB">
        <w:t>However, t</w:t>
      </w:r>
      <w:r w:rsidR="00D8743A" w:rsidRPr="008D0DEB">
        <w:t>his is a foundational step in establishing an outc</w:t>
      </w:r>
      <w:r w:rsidR="00896B0A" w:rsidRPr="008D0DEB">
        <w:t>omes</w:t>
      </w:r>
      <w:r w:rsidR="00B17F15" w:rsidRPr="008D0DEB">
        <w:t>-</w:t>
      </w:r>
      <w:r w:rsidR="00896B0A" w:rsidRPr="008D0DEB">
        <w:t xml:space="preserve">based approach and cannot </w:t>
      </w:r>
      <w:r w:rsidR="00263EF5" w:rsidRPr="008D0DEB">
        <w:t xml:space="preserve">be </w:t>
      </w:r>
      <w:r w:rsidR="009C2BE3" w:rsidRPr="008D0DEB">
        <w:t>avoided</w:t>
      </w:r>
      <w:r w:rsidR="00896B0A" w:rsidRPr="008D0DEB">
        <w:t>.</w:t>
      </w:r>
    </w:p>
    <w:p w14:paraId="655F151C" w14:textId="2924FE3F" w:rsidR="00AF48E8" w:rsidRPr="008D0DEB" w:rsidRDefault="000B3918" w:rsidP="0065556E">
      <w:pPr>
        <w:pStyle w:val="Head3"/>
      </w:pPr>
      <w:bookmarkStart w:id="121" w:name="_Toc137210940"/>
      <w:bookmarkStart w:id="122" w:name="_Toc137211182"/>
      <w:bookmarkStart w:id="123" w:name="_Toc137219036"/>
      <w:r w:rsidRPr="008D0DEB">
        <w:t>Sc</w:t>
      </w:r>
      <w:r w:rsidR="00D37DF9" w:rsidRPr="008D0DEB">
        <w:t>al</w:t>
      </w:r>
      <w:r w:rsidRPr="008D0DEB">
        <w:t>ing</w:t>
      </w:r>
      <w:r w:rsidR="00D37DF9" w:rsidRPr="008D0DEB">
        <w:t xml:space="preserve"> o</w:t>
      </w:r>
      <w:r w:rsidR="008E2E9C" w:rsidRPr="008D0DEB">
        <w:t xml:space="preserve">utcomes-based </w:t>
      </w:r>
      <w:r w:rsidR="00654A14" w:rsidRPr="008D0DEB">
        <w:t>approaches</w:t>
      </w:r>
      <w:r w:rsidRPr="008D0DEB">
        <w:t xml:space="preserve"> is not simple arithmetic</w:t>
      </w:r>
      <w:bookmarkEnd w:id="121"/>
      <w:bookmarkEnd w:id="122"/>
      <w:bookmarkEnd w:id="123"/>
    </w:p>
    <w:p w14:paraId="590B968F" w14:textId="77777777" w:rsidR="00337659" w:rsidRPr="008D0DEB" w:rsidRDefault="00337659" w:rsidP="00501490">
      <w:r w:rsidRPr="008D0DEB">
        <w:t xml:space="preserve">Scaling of outcomes-based approaches can occur through the expansion of programs or by the replication of program models. However, outcome measures are typically highly bespoke and tailored for individual investments. This means that scaling solutions is more complicated than simply increasing the targeted cohort size as a function of investment. </w:t>
      </w:r>
    </w:p>
    <w:p w14:paraId="3C0AD1C5" w14:textId="70A8AD3F" w:rsidR="00FD6EC3" w:rsidRPr="008D0DEB" w:rsidRDefault="00362E9E" w:rsidP="00501490">
      <w:r w:rsidRPr="00501490">
        <w:t>For</w:t>
      </w:r>
      <w:r w:rsidR="00063D5B" w:rsidRPr="008D0DEB">
        <w:t xml:space="preserve"> example</w:t>
      </w:r>
      <w:r w:rsidR="006E5368" w:rsidRPr="008D0DEB">
        <w:t xml:space="preserve">, </w:t>
      </w:r>
      <w:r w:rsidR="00EC3B09" w:rsidRPr="00501490">
        <w:t xml:space="preserve">the </w:t>
      </w:r>
      <w:r w:rsidRPr="00501490">
        <w:t>OMI</w:t>
      </w:r>
      <w:r w:rsidR="00954241" w:rsidRPr="008D0DEB">
        <w:t xml:space="preserve"> case </w:t>
      </w:r>
      <w:r w:rsidRPr="00501490">
        <w:t>s</w:t>
      </w:r>
      <w:r w:rsidR="0066150C" w:rsidRPr="00501490">
        <w:t>tudy organisations inves</w:t>
      </w:r>
      <w:r w:rsidR="002061AE" w:rsidRPr="00501490">
        <w:t xml:space="preserve">tigated </w:t>
      </w:r>
      <w:r w:rsidR="000F5195" w:rsidRPr="00501490">
        <w:t xml:space="preserve">scaling up, but </w:t>
      </w:r>
      <w:r w:rsidR="00C614EF" w:rsidRPr="00501490">
        <w:t xml:space="preserve">this would have involved </w:t>
      </w:r>
      <w:r w:rsidR="00287B20" w:rsidRPr="00501490">
        <w:t>step-changes</w:t>
      </w:r>
      <w:r w:rsidR="00337659" w:rsidRPr="00501490">
        <w:t>.</w:t>
      </w:r>
      <w:r w:rsidR="00287B20" w:rsidRPr="00501490">
        <w:t xml:space="preserve"> </w:t>
      </w:r>
      <w:r w:rsidR="00D36687" w:rsidRPr="00501490">
        <w:t xml:space="preserve">In PBO2, </w:t>
      </w:r>
      <w:r w:rsidR="00EC3B09" w:rsidRPr="00501490">
        <w:t>the philanthropic</w:t>
      </w:r>
      <w:r w:rsidR="00954241" w:rsidRPr="008D0DEB">
        <w:t xml:space="preserve"> investor offered to pay for the doubling of already agreed outcomes for a defined cohort. The service provider </w:t>
      </w:r>
      <w:r w:rsidR="00475A7D" w:rsidRPr="008D0DEB">
        <w:t>recognised</w:t>
      </w:r>
      <w:r w:rsidR="00954241" w:rsidRPr="008D0DEB">
        <w:t xml:space="preserve"> that it was not possible to simply expand the </w:t>
      </w:r>
      <w:r w:rsidR="00ED5C2B" w:rsidRPr="008D0DEB">
        <w:t xml:space="preserve">pool of candidates in the region </w:t>
      </w:r>
      <w:r w:rsidR="009F0110" w:rsidRPr="008D0DEB">
        <w:t xml:space="preserve">as they did </w:t>
      </w:r>
      <w:r w:rsidR="00A42150" w:rsidRPr="00501490">
        <w:t>not</w:t>
      </w:r>
      <w:r w:rsidR="009F0110" w:rsidRPr="00501490">
        <w:t xml:space="preserve"> </w:t>
      </w:r>
      <w:r w:rsidR="009F0110" w:rsidRPr="008D0DEB">
        <w:t xml:space="preserve">meet eligibility criteria for participation. </w:t>
      </w:r>
      <w:r w:rsidR="00007B68" w:rsidRPr="008D0DEB">
        <w:t xml:space="preserve">Further </w:t>
      </w:r>
      <w:r w:rsidR="00954241" w:rsidRPr="008D0DEB">
        <w:t>work</w:t>
      </w:r>
      <w:r w:rsidR="00A15377" w:rsidRPr="008D0DEB">
        <w:t xml:space="preserve"> was undertaken</w:t>
      </w:r>
      <w:r w:rsidR="00954241" w:rsidRPr="008D0DEB">
        <w:t xml:space="preserve"> to determine the diverse needs and responses of a larger cohort</w:t>
      </w:r>
      <w:r w:rsidR="00027C53" w:rsidRPr="008D0DEB">
        <w:t xml:space="preserve"> and ensure eligibility and data </w:t>
      </w:r>
      <w:r w:rsidR="00FD6EC3" w:rsidRPr="008D0DEB">
        <w:t xml:space="preserve">collection and verification. </w:t>
      </w:r>
    </w:p>
    <w:p w14:paraId="127E64A7" w14:textId="77777777" w:rsidR="00954241" w:rsidRPr="008D0DEB" w:rsidRDefault="00954241" w:rsidP="0065556E">
      <w:pPr>
        <w:pStyle w:val="HangingQuote"/>
      </w:pPr>
      <w:r w:rsidRPr="008D0DEB">
        <w:lastRenderedPageBreak/>
        <w:t xml:space="preserve">“it’s the ultimate check of whether the real impact that we think exists is actually occurring with our clients.” </w:t>
      </w:r>
      <w:r w:rsidRPr="008D0DEB">
        <w:rPr>
          <w:iCs/>
        </w:rPr>
        <w:t>[Service Provider]</w:t>
      </w:r>
    </w:p>
    <w:p w14:paraId="7BBDAD95" w14:textId="77777777" w:rsidR="00337659" w:rsidRPr="008D0DEB" w:rsidRDefault="00337659" w:rsidP="00501490">
      <w:r w:rsidRPr="008D0DEB">
        <w:t>There are other aspects of outcomes-based approaches such as tools, contractual templates and processes that can be replicated or adapted for multiple use. Governments can facilitate scaling and replication by establishing platforms for knowledge sharing of tools, data and advice between organisations.</w:t>
      </w:r>
    </w:p>
    <w:p w14:paraId="772754FC" w14:textId="09CAB8A3" w:rsidR="00C47427" w:rsidRPr="008D0DEB" w:rsidRDefault="0044606B" w:rsidP="0065556E">
      <w:pPr>
        <w:pStyle w:val="Head3"/>
      </w:pPr>
      <w:bookmarkStart w:id="124" w:name="_Toc137210941"/>
      <w:bookmarkStart w:id="125" w:name="_Toc137211183"/>
      <w:bookmarkStart w:id="126" w:name="_Toc137219037"/>
      <w:r w:rsidRPr="008D0DEB">
        <w:t>Commission</w:t>
      </w:r>
      <w:r w:rsidR="000D08AC" w:rsidRPr="008D0DEB">
        <w:t>ers of</w:t>
      </w:r>
      <w:r w:rsidRPr="008D0DEB">
        <w:t xml:space="preserve"> o</w:t>
      </w:r>
      <w:r w:rsidR="00C648B8" w:rsidRPr="008D0DEB">
        <w:t>utcomes</w:t>
      </w:r>
      <w:r w:rsidR="00F67042" w:rsidRPr="008D0DEB">
        <w:t>-</w:t>
      </w:r>
      <w:r w:rsidR="00C648B8" w:rsidRPr="008D0DEB">
        <w:t xml:space="preserve">based </w:t>
      </w:r>
      <w:r w:rsidR="00CF0609" w:rsidRPr="008D0DEB">
        <w:t>approaches</w:t>
      </w:r>
      <w:r w:rsidR="00C648B8" w:rsidRPr="008D0DEB">
        <w:t xml:space="preserve"> </w:t>
      </w:r>
      <w:r w:rsidR="008C03B0" w:rsidRPr="008D0DEB">
        <w:t xml:space="preserve">require </w:t>
      </w:r>
      <w:r w:rsidR="0024422C" w:rsidRPr="008D0DEB">
        <w:t>speci</w:t>
      </w:r>
      <w:r w:rsidR="00386B7F" w:rsidRPr="008D0DEB">
        <w:t>al</w:t>
      </w:r>
      <w:r w:rsidR="0024422C" w:rsidRPr="008D0DEB">
        <w:t xml:space="preserve"> skillsets</w:t>
      </w:r>
      <w:bookmarkEnd w:id="124"/>
      <w:bookmarkEnd w:id="125"/>
      <w:bookmarkEnd w:id="126"/>
    </w:p>
    <w:p w14:paraId="796066F2" w14:textId="120B4F90" w:rsidR="00526D57" w:rsidRPr="008D0DEB" w:rsidRDefault="00B5430B" w:rsidP="0065556E">
      <w:r w:rsidRPr="008D0DEB">
        <w:t xml:space="preserve">The skills required to </w:t>
      </w:r>
      <w:r w:rsidR="000D08AC" w:rsidRPr="008D0DEB">
        <w:t xml:space="preserve">commission and </w:t>
      </w:r>
      <w:r w:rsidRPr="008D0DEB">
        <w:t xml:space="preserve">manage </w:t>
      </w:r>
      <w:r w:rsidR="00337659" w:rsidRPr="008D0DEB">
        <w:t>outcomes</w:t>
      </w:r>
      <w:r w:rsidRPr="008D0DEB">
        <w:t xml:space="preserve">-based </w:t>
      </w:r>
      <w:r w:rsidR="000D08AC" w:rsidRPr="008D0DEB">
        <w:t>approaches</w:t>
      </w:r>
      <w:r w:rsidRPr="008D0DEB">
        <w:t xml:space="preserve"> are different from </w:t>
      </w:r>
      <w:r w:rsidR="008262B3" w:rsidRPr="008D0DEB">
        <w:t>more</w:t>
      </w:r>
      <w:r w:rsidRPr="008D0DEB">
        <w:t xml:space="preserve"> </w:t>
      </w:r>
      <w:r w:rsidR="00337659" w:rsidRPr="008D0DEB">
        <w:t>’traditional’</w:t>
      </w:r>
      <w:r w:rsidR="002C7D75" w:rsidRPr="008D0DEB">
        <w:t xml:space="preserve"> public policy and programs. The</w:t>
      </w:r>
      <w:r w:rsidR="00BF7D0F" w:rsidRPr="008D0DEB">
        <w:t xml:space="preserve"> latter</w:t>
      </w:r>
      <w:r w:rsidR="002C7D75" w:rsidRPr="008D0DEB">
        <w:t xml:space="preserve"> tend to </w:t>
      </w:r>
      <w:r w:rsidR="00337659" w:rsidRPr="008D0DEB">
        <w:t>involve a</w:t>
      </w:r>
      <w:r w:rsidRPr="008D0DEB">
        <w:t xml:space="preserve"> </w:t>
      </w:r>
      <w:r w:rsidR="00764433" w:rsidRPr="008D0DEB">
        <w:t xml:space="preserve">delivery of services by the public service, or </w:t>
      </w:r>
      <w:r w:rsidR="00643927" w:rsidRPr="008D0DEB">
        <w:t xml:space="preserve">the </w:t>
      </w:r>
      <w:r w:rsidR="00764433" w:rsidRPr="008D0DEB">
        <w:t xml:space="preserve">outsourcing </w:t>
      </w:r>
      <w:r w:rsidR="00643927" w:rsidRPr="008D0DEB">
        <w:t xml:space="preserve">of </w:t>
      </w:r>
      <w:r w:rsidR="007F7758" w:rsidRPr="008D0DEB">
        <w:t xml:space="preserve">program delivery through </w:t>
      </w:r>
      <w:r w:rsidR="00764433" w:rsidRPr="008D0DEB">
        <w:t>fee</w:t>
      </w:r>
      <w:r w:rsidR="00543D0B" w:rsidRPr="008D0DEB">
        <w:t>-</w:t>
      </w:r>
      <w:r w:rsidR="00764433" w:rsidRPr="008D0DEB">
        <w:t>for</w:t>
      </w:r>
      <w:r w:rsidR="00543D0B" w:rsidRPr="008D0DEB">
        <w:t>-</w:t>
      </w:r>
      <w:r w:rsidR="00764433" w:rsidRPr="008D0DEB">
        <w:t>service</w:t>
      </w:r>
      <w:r w:rsidRPr="008D0DEB">
        <w:t xml:space="preserve"> </w:t>
      </w:r>
      <w:r w:rsidR="009948F3" w:rsidRPr="008D0DEB">
        <w:t xml:space="preserve">contract management </w:t>
      </w:r>
      <w:r w:rsidR="007F7758" w:rsidRPr="008D0DEB">
        <w:t>or</w:t>
      </w:r>
      <w:r w:rsidR="009948F3" w:rsidRPr="008D0DEB">
        <w:t xml:space="preserve"> </w:t>
      </w:r>
      <w:r w:rsidRPr="008D0DEB">
        <w:t xml:space="preserve">grant funding arrangements. </w:t>
      </w:r>
      <w:r w:rsidR="00F61E6E" w:rsidRPr="008D0DEB">
        <w:t>In traditional programs, p</w:t>
      </w:r>
      <w:r w:rsidR="006E22B3" w:rsidRPr="008D0DEB">
        <w:t xml:space="preserve">ayments are usually linked to the </w:t>
      </w:r>
      <w:r w:rsidR="00106321" w:rsidRPr="008D0DEB">
        <w:t xml:space="preserve">delivery of specified inputs </w:t>
      </w:r>
      <w:r w:rsidR="00DF76B0" w:rsidRPr="008D0DEB">
        <w:t xml:space="preserve">(e.g. hours of service) </w:t>
      </w:r>
      <w:r w:rsidR="00ED770F" w:rsidRPr="008D0DEB">
        <w:t xml:space="preserve">or activities undertaken by the service provider or contracted party. </w:t>
      </w:r>
    </w:p>
    <w:p w14:paraId="42ACE095" w14:textId="56F7FC96" w:rsidR="00B75BF2" w:rsidRPr="008D0DEB" w:rsidRDefault="00CB5A8D" w:rsidP="0065556E">
      <w:r w:rsidRPr="008D0DEB">
        <w:t>In outcomes-based approaches,</w:t>
      </w:r>
      <w:r w:rsidR="00217340" w:rsidRPr="008D0DEB">
        <w:t xml:space="preserve"> </w:t>
      </w:r>
      <w:r w:rsidR="00D15FCB" w:rsidRPr="008D0DEB">
        <w:t>where</w:t>
      </w:r>
      <w:r w:rsidR="00217340" w:rsidRPr="008D0DEB">
        <w:t xml:space="preserve"> payments are made in part o</w:t>
      </w:r>
      <w:r w:rsidR="00ED770F" w:rsidRPr="008D0DEB">
        <w:t>r</w:t>
      </w:r>
      <w:r w:rsidR="00217340" w:rsidRPr="008D0DEB">
        <w:t xml:space="preserve"> entirely </w:t>
      </w:r>
      <w:r w:rsidR="00086B3A" w:rsidRPr="008D0DEB">
        <w:t>up</w:t>
      </w:r>
      <w:r w:rsidR="00217340" w:rsidRPr="008D0DEB">
        <w:t xml:space="preserve">on the successful delivery of </w:t>
      </w:r>
      <w:r w:rsidR="008B473F" w:rsidRPr="008D0DEB">
        <w:t xml:space="preserve">verified </w:t>
      </w:r>
      <w:r w:rsidR="00217340" w:rsidRPr="008D0DEB">
        <w:t>agreed outcomes</w:t>
      </w:r>
      <w:r w:rsidR="00D15FCB" w:rsidRPr="008D0DEB">
        <w:t xml:space="preserve">, commissioners work with </w:t>
      </w:r>
      <w:r w:rsidR="00F92C54" w:rsidRPr="008D0DEB">
        <w:t>stakeholders</w:t>
      </w:r>
      <w:r w:rsidR="00A67978" w:rsidRPr="008D0DEB">
        <w:t xml:space="preserve"> and </w:t>
      </w:r>
      <w:r w:rsidR="00D15FCB" w:rsidRPr="008D0DEB">
        <w:t xml:space="preserve">service providers to </w:t>
      </w:r>
      <w:r w:rsidR="001119D0" w:rsidRPr="008D0DEB">
        <w:t xml:space="preserve">agree on the conditions in which </w:t>
      </w:r>
      <w:r w:rsidR="007B1CCB" w:rsidRPr="008D0DEB">
        <w:t xml:space="preserve">outcomes will be </w:t>
      </w:r>
      <w:r w:rsidR="00B75BF2" w:rsidRPr="008D0DEB">
        <w:t xml:space="preserve">identified, measured and verified. </w:t>
      </w:r>
      <w:r w:rsidR="00245DB9" w:rsidRPr="008D0DEB">
        <w:t xml:space="preserve">In these approaches, the financial risk is shared between government and service providers who do not receive full payment until the successful achievement of outcomes is verified. </w:t>
      </w:r>
      <w:r w:rsidR="0069035A" w:rsidRPr="008D0DEB">
        <w:t xml:space="preserve">Additional complexity </w:t>
      </w:r>
      <w:r w:rsidR="00072E3C" w:rsidRPr="008D0DEB">
        <w:t>arises</w:t>
      </w:r>
      <w:r w:rsidR="000A2FB5" w:rsidRPr="008D0DEB">
        <w:t xml:space="preserve"> where </w:t>
      </w:r>
      <w:r w:rsidR="007C56BD" w:rsidRPr="008D0DEB">
        <w:t xml:space="preserve">external funders </w:t>
      </w:r>
      <w:r w:rsidR="00070BFA" w:rsidRPr="008D0DEB">
        <w:t xml:space="preserve">or capital providers </w:t>
      </w:r>
      <w:r w:rsidR="00072E3C" w:rsidRPr="008D0DEB">
        <w:t xml:space="preserve">take on the financial risk by providing working capital to service delivery organisations, as </w:t>
      </w:r>
      <w:r w:rsidR="00337659" w:rsidRPr="008D0DEB">
        <w:t>is</w:t>
      </w:r>
      <w:r w:rsidR="00072E3C" w:rsidRPr="008D0DEB">
        <w:t xml:space="preserve"> the case for </w:t>
      </w:r>
      <w:r w:rsidR="00337659" w:rsidRPr="008D0DEB">
        <w:t>SIBs</w:t>
      </w:r>
      <w:r w:rsidR="00072E3C" w:rsidRPr="008D0DEB">
        <w:t xml:space="preserve">. </w:t>
      </w:r>
    </w:p>
    <w:p w14:paraId="7A5FD600" w14:textId="6D346E1C" w:rsidR="001757A9" w:rsidRPr="008D0DEB" w:rsidRDefault="00653717" w:rsidP="0065556E">
      <w:r w:rsidRPr="008D0DEB">
        <w:t xml:space="preserve">Expanded skillsets </w:t>
      </w:r>
      <w:r w:rsidR="00932B7B" w:rsidRPr="008D0DEB">
        <w:t xml:space="preserve">are </w:t>
      </w:r>
      <w:r w:rsidRPr="008D0DEB">
        <w:t xml:space="preserve">required of public servants to manage these approaches </w:t>
      </w:r>
      <w:r w:rsidR="00574224" w:rsidRPr="008D0DEB">
        <w:t>(</w:t>
      </w:r>
      <w:r w:rsidR="00A02426" w:rsidRPr="008D0DEB">
        <w:t xml:space="preserve">discussed </w:t>
      </w:r>
      <w:r w:rsidR="00574224" w:rsidRPr="008D0DEB">
        <w:t>further</w:t>
      </w:r>
      <w:r w:rsidR="00A02426" w:rsidRPr="008D0DEB">
        <w:t xml:space="preserve"> in Section </w:t>
      </w:r>
      <w:r w:rsidR="00574224" w:rsidRPr="008D0DEB">
        <w:t>4)</w:t>
      </w:r>
      <w:r w:rsidR="00A02426" w:rsidRPr="008D0DEB">
        <w:t xml:space="preserve">. These include, </w:t>
      </w:r>
      <w:r w:rsidR="007264A0" w:rsidRPr="008D0DEB">
        <w:t xml:space="preserve">but </w:t>
      </w:r>
      <w:r w:rsidR="00574224" w:rsidRPr="008D0DEB">
        <w:t xml:space="preserve">are </w:t>
      </w:r>
      <w:r w:rsidR="007264A0" w:rsidRPr="008D0DEB">
        <w:t>not limited to</w:t>
      </w:r>
      <w:r w:rsidR="00337659" w:rsidRPr="008D0DEB">
        <w:t>,</w:t>
      </w:r>
      <w:r w:rsidR="00A02426" w:rsidRPr="008D0DEB">
        <w:t xml:space="preserve"> </w:t>
      </w:r>
      <w:r w:rsidR="00B3564B" w:rsidRPr="008D0DEB">
        <w:t>sectoral knowledge,</w:t>
      </w:r>
      <w:r w:rsidR="00707386" w:rsidRPr="008D0DEB">
        <w:t xml:space="preserve"> </w:t>
      </w:r>
      <w:r w:rsidR="00B3564B" w:rsidRPr="008D0DEB">
        <w:t xml:space="preserve">familiarity with underserved cohorts, </w:t>
      </w:r>
      <w:r w:rsidR="00707386" w:rsidRPr="008D0DEB">
        <w:t xml:space="preserve">partnership brokering </w:t>
      </w:r>
      <w:r w:rsidR="00436875" w:rsidRPr="008D0DEB">
        <w:t xml:space="preserve">and building </w:t>
      </w:r>
      <w:r w:rsidR="002935E8" w:rsidRPr="008D0DEB">
        <w:t xml:space="preserve">trust-based relationships, </w:t>
      </w:r>
      <w:r w:rsidR="008C13A6" w:rsidRPr="008D0DEB">
        <w:t>understanding data and outcomes measurement,</w:t>
      </w:r>
      <w:r w:rsidR="00B5430B" w:rsidRPr="008D0DEB">
        <w:t xml:space="preserve"> a greater understanding of financial models</w:t>
      </w:r>
      <w:r w:rsidR="00B3564B" w:rsidRPr="008D0DEB">
        <w:t xml:space="preserve"> and risk sharing, </w:t>
      </w:r>
      <w:r w:rsidR="001E3476" w:rsidRPr="008D0DEB">
        <w:t>negotiating and managing (commercial) contracts</w:t>
      </w:r>
      <w:r w:rsidR="00B5430B" w:rsidRPr="008D0DEB">
        <w:t xml:space="preserve">, legislative/legal issues, and how to manage cross-government and cross-jurisdictional data access. </w:t>
      </w:r>
      <w:r w:rsidR="006B2B4E" w:rsidRPr="008D0DEB">
        <w:t xml:space="preserve">These skills have been identified and built within the </w:t>
      </w:r>
      <w:r w:rsidR="00C2317E" w:rsidRPr="008D0DEB">
        <w:t xml:space="preserve">SII </w:t>
      </w:r>
      <w:r w:rsidR="00337659" w:rsidRPr="008D0DEB">
        <w:t>uni</w:t>
      </w:r>
      <w:r w:rsidR="00C2317E" w:rsidRPr="008D0DEB">
        <w:t>t</w:t>
      </w:r>
      <w:r w:rsidR="002436D0" w:rsidRPr="008D0DEB">
        <w:t xml:space="preserve"> as part of the trials and have also </w:t>
      </w:r>
      <w:r w:rsidR="004403E6" w:rsidRPr="008D0DEB">
        <w:t>been developed within state and territory governments via specialist teams (e.g. the NSW Office of Social Impact Investment).</w:t>
      </w:r>
    </w:p>
    <w:p w14:paraId="1C216B35" w14:textId="17FF84DB" w:rsidR="00B5430B" w:rsidRPr="008D0DEB" w:rsidRDefault="00EF59BF" w:rsidP="0065556E">
      <w:r w:rsidRPr="008D0DEB">
        <w:t>Despite this development, these skills remain novel to much of the public sector.</w:t>
      </w:r>
      <w:r w:rsidR="00052DD8" w:rsidRPr="008D0DEB">
        <w:t xml:space="preserve"> </w:t>
      </w:r>
      <w:r w:rsidR="001757A9" w:rsidRPr="008D0DEB">
        <w:t>While</w:t>
      </w:r>
      <w:r w:rsidR="00FB7872" w:rsidRPr="008D0DEB">
        <w:t xml:space="preserve"> </w:t>
      </w:r>
      <w:r w:rsidR="007463E8" w:rsidRPr="008D0DEB">
        <w:t xml:space="preserve">such </w:t>
      </w:r>
      <w:r w:rsidR="00337659" w:rsidRPr="008D0DEB">
        <w:t>skills</w:t>
      </w:r>
      <w:r w:rsidR="00A817D1" w:rsidRPr="008D0DEB">
        <w:t xml:space="preserve"> </w:t>
      </w:r>
      <w:r w:rsidR="004D5442" w:rsidRPr="008D0DEB">
        <w:t xml:space="preserve">would </w:t>
      </w:r>
      <w:r w:rsidR="00A3530B" w:rsidRPr="008D0DEB">
        <w:t xml:space="preserve">be </w:t>
      </w:r>
      <w:r w:rsidR="00A817D1" w:rsidRPr="008D0DEB">
        <w:t xml:space="preserve">held within different parts of government, </w:t>
      </w:r>
      <w:r w:rsidR="00385723" w:rsidRPr="008D0DEB">
        <w:t xml:space="preserve">the need for </w:t>
      </w:r>
      <w:r w:rsidR="007463E8" w:rsidRPr="008D0DEB">
        <w:t xml:space="preserve">combined </w:t>
      </w:r>
      <w:r w:rsidR="00385723" w:rsidRPr="008D0DEB">
        <w:t xml:space="preserve">sectoral knowledge, </w:t>
      </w:r>
      <w:r w:rsidR="00C2719C" w:rsidRPr="008D0DEB">
        <w:t xml:space="preserve">outcome ‘literacy’, and </w:t>
      </w:r>
      <w:r w:rsidR="006440BD" w:rsidRPr="008D0DEB">
        <w:t xml:space="preserve">capabilities in financial </w:t>
      </w:r>
      <w:r w:rsidR="007D750D" w:rsidRPr="008D0DEB">
        <w:t xml:space="preserve">models and commercial </w:t>
      </w:r>
      <w:r w:rsidR="007463E8" w:rsidRPr="008D0DEB">
        <w:t>contra</w:t>
      </w:r>
      <w:r w:rsidR="00A3530B" w:rsidRPr="008D0DEB">
        <w:t xml:space="preserve">cts make SII more </w:t>
      </w:r>
      <w:r w:rsidR="00BB6E18" w:rsidRPr="008D0DEB">
        <w:t>challenging</w:t>
      </w:r>
      <w:r w:rsidR="007A0712" w:rsidRPr="008D0DEB">
        <w:t xml:space="preserve">, and by contrast, lead to a capability result </w:t>
      </w:r>
      <w:r w:rsidR="001757A9" w:rsidRPr="008D0DEB">
        <w:t>that is greater than the sum of its parts.</w:t>
      </w:r>
    </w:p>
    <w:p w14:paraId="1A4AA274" w14:textId="2D5DA42D" w:rsidR="00B5430B" w:rsidRPr="00501490" w:rsidRDefault="00B5430B" w:rsidP="0065556E">
      <w:pPr>
        <w:pStyle w:val="HangingQuote"/>
      </w:pPr>
      <w:r w:rsidRPr="008D0DEB">
        <w:t>“</w:t>
      </w:r>
      <w:r w:rsidRPr="00501490">
        <w:t>… make sure that you’re bringing people with the right capability set into this team in the first place. Then, really supporting them in knowledge transfer and rapid skill building. Because it’s complex work, it’s different work to the work that they’re doing across other parts of the public service.” [</w:t>
      </w:r>
      <w:r w:rsidR="00CB41E9" w:rsidRPr="00501490">
        <w:t>I</w:t>
      </w:r>
      <w:r w:rsidRPr="00501490">
        <w:t>ntermediary] </w:t>
      </w:r>
    </w:p>
    <w:p w14:paraId="60429F78" w14:textId="77777777" w:rsidR="00337659" w:rsidRPr="008D0DEB" w:rsidRDefault="00337659" w:rsidP="0065556E">
      <w:pPr>
        <w:pStyle w:val="Head3"/>
      </w:pPr>
      <w:bookmarkStart w:id="127" w:name="_Toc137210942"/>
      <w:bookmarkStart w:id="128" w:name="_Toc137211184"/>
      <w:bookmarkStart w:id="129" w:name="_Toc137219038"/>
      <w:r w:rsidRPr="008D0DEB">
        <w:t>Outcomes-based contracting requires fit-for-purpose systems</w:t>
      </w:r>
    </w:p>
    <w:bookmarkEnd w:id="127"/>
    <w:bookmarkEnd w:id="128"/>
    <w:bookmarkEnd w:id="129"/>
    <w:p w14:paraId="76EC9D00" w14:textId="77777777" w:rsidR="00337659" w:rsidRPr="008D0DEB" w:rsidRDefault="00337659" w:rsidP="0065556E">
      <w:r w:rsidRPr="008D0DEB">
        <w:t xml:space="preserve">Existing administrative and financial management systems within DSS were found not to be fit for the hybrid requirements of outcomes-based approaches and SII. The trials exposed the inflexibility of existing infrastructure and systems which were not designed to accommodate different ways of using government capital to achieve social impacts. </w:t>
      </w:r>
    </w:p>
    <w:p w14:paraId="1AA3A126" w14:textId="64B8FFF0" w:rsidR="00AF6193" w:rsidRPr="008D0DEB" w:rsidRDefault="007F49F3" w:rsidP="0065556E">
      <w:r w:rsidRPr="008D0DEB">
        <w:t xml:space="preserve">To implement the trials, </w:t>
      </w:r>
      <w:r w:rsidR="007909BC" w:rsidRPr="008D0DEB">
        <w:t>DSS</w:t>
      </w:r>
      <w:r w:rsidR="005E36F0" w:rsidRPr="008D0DEB">
        <w:t xml:space="preserve"> had to </w:t>
      </w:r>
      <w:r w:rsidR="007909BC" w:rsidRPr="008D0DEB">
        <w:t xml:space="preserve">develop or </w:t>
      </w:r>
      <w:r w:rsidR="005E36F0" w:rsidRPr="008D0DEB">
        <w:t xml:space="preserve">build </w:t>
      </w:r>
      <w:r w:rsidR="007909BC" w:rsidRPr="008D0DEB">
        <w:t>upon existing</w:t>
      </w:r>
      <w:r w:rsidR="005E36F0" w:rsidRPr="008D0DEB">
        <w:t xml:space="preserve"> systems </w:t>
      </w:r>
      <w:r w:rsidR="007909BC" w:rsidRPr="008D0DEB">
        <w:t xml:space="preserve">to meet new </w:t>
      </w:r>
      <w:r w:rsidR="00ED50D6" w:rsidRPr="008D0DEB">
        <w:t xml:space="preserve">requirements for </w:t>
      </w:r>
      <w:r w:rsidR="00995961" w:rsidRPr="008D0DEB">
        <w:t>data sharing</w:t>
      </w:r>
      <w:r w:rsidR="002C177D" w:rsidRPr="008D0DEB">
        <w:t xml:space="preserve"> and</w:t>
      </w:r>
      <w:r w:rsidR="00995961" w:rsidRPr="008D0DEB">
        <w:t xml:space="preserve"> </w:t>
      </w:r>
      <w:r w:rsidR="006F015F" w:rsidRPr="008D0DEB">
        <w:t>contract management</w:t>
      </w:r>
      <w:r w:rsidR="00ED50D6" w:rsidRPr="008D0DEB">
        <w:t>.</w:t>
      </w:r>
      <w:r w:rsidR="00BF0143">
        <w:t xml:space="preserve"> </w:t>
      </w:r>
      <w:r w:rsidR="007427DA" w:rsidRPr="008D0DEB">
        <w:t>F</w:t>
      </w:r>
      <w:r w:rsidR="005E36F0" w:rsidRPr="008D0DEB">
        <w:t>or example</w:t>
      </w:r>
      <w:r w:rsidR="00A73BD4" w:rsidRPr="008D0DEB">
        <w:t xml:space="preserve">, to enable </w:t>
      </w:r>
      <w:r w:rsidR="00C749F5" w:rsidRPr="008D0DEB">
        <w:t xml:space="preserve">the identification of targeted cohorts and verification of </w:t>
      </w:r>
      <w:r w:rsidR="005D4E21" w:rsidRPr="008D0DEB">
        <w:t>achieved outcomes,</w:t>
      </w:r>
      <w:r w:rsidR="00A73BD4" w:rsidRPr="008D0DEB">
        <w:t xml:space="preserve"> </w:t>
      </w:r>
      <w:r w:rsidR="00A44CF4" w:rsidRPr="008D0DEB">
        <w:t xml:space="preserve">data which previously had not been shared </w:t>
      </w:r>
      <w:r w:rsidR="00924F0B" w:rsidRPr="008D0DEB">
        <w:t>within</w:t>
      </w:r>
      <w:r w:rsidR="00AF6193" w:rsidRPr="008D0DEB">
        <w:t xml:space="preserve"> the department, was now required to be shared</w:t>
      </w:r>
      <w:r w:rsidR="009A75C2" w:rsidRPr="008D0DEB">
        <w:t xml:space="preserve"> at the unit record </w:t>
      </w:r>
      <w:r w:rsidR="00AF6193" w:rsidRPr="008D0DEB">
        <w:t>level with external partners. This required the build</w:t>
      </w:r>
      <w:r w:rsidR="00306595" w:rsidRPr="008D0DEB">
        <w:t>ing</w:t>
      </w:r>
      <w:r w:rsidR="00AF6193" w:rsidRPr="008D0DEB">
        <w:t xml:space="preserve"> of new data applications and</w:t>
      </w:r>
      <w:r w:rsidR="00337659" w:rsidRPr="008D0DEB">
        <w:t xml:space="preserve"> the</w:t>
      </w:r>
      <w:r w:rsidR="00AF6193" w:rsidRPr="008D0DEB">
        <w:t xml:space="preserve"> associated development of </w:t>
      </w:r>
      <w:r w:rsidR="009A75C2" w:rsidRPr="008D0DEB">
        <w:t>bespoke governance arrangements</w:t>
      </w:r>
      <w:r w:rsidR="00AF6193" w:rsidRPr="008D0DEB">
        <w:t xml:space="preserve"> and</w:t>
      </w:r>
      <w:r w:rsidR="009A75C2" w:rsidRPr="008D0DEB">
        <w:t xml:space="preserve"> data protocols</w:t>
      </w:r>
      <w:r w:rsidR="00AF6193" w:rsidRPr="008D0DEB">
        <w:t>.</w:t>
      </w:r>
      <w:r w:rsidR="00BF0143">
        <w:t xml:space="preserve"> </w:t>
      </w:r>
    </w:p>
    <w:p w14:paraId="6C23A8FD" w14:textId="77777777" w:rsidR="003F3710" w:rsidRDefault="003F3710">
      <w:r>
        <w:br w:type="page"/>
      </w:r>
    </w:p>
    <w:p w14:paraId="40788263" w14:textId="0D3CAF74" w:rsidR="00A66A1D" w:rsidRPr="008D0DEB" w:rsidRDefault="00A66A1D" w:rsidP="0065556E">
      <w:r w:rsidRPr="00501490">
        <w:lastRenderedPageBreak/>
        <w:t>Government accounting protocols and the annual budgetary cycle have presented challenges to the implementation of the PBO trials. Present systems require “greater certainty of anticipated payment amounts and timing than is often available under PBO projects, and the bureaucratic processes needed to move funding from one accounting period to another</w:t>
      </w:r>
      <w:r w:rsidRPr="00501490">
        <w:rPr>
          <w:rStyle w:val="normaltextrun"/>
          <w:rFonts w:cs="Arial"/>
        </w:rPr>
        <w:t>.”</w:t>
      </w:r>
      <w:r w:rsidRPr="00501490">
        <w:rPr>
          <w:rStyle w:val="FootnoteReference"/>
          <w:rFonts w:cs="Arial"/>
          <w:color w:val="auto"/>
          <w:shd w:val="clear" w:color="auto" w:fill="FFFFFF"/>
        </w:rPr>
        <w:footnoteReference w:id="27"/>
      </w:r>
      <w:r w:rsidRPr="00501490">
        <w:rPr>
          <w:rStyle w:val="eop"/>
          <w:rFonts w:cs="Arial"/>
          <w:shd w:val="clear" w:color="auto" w:fill="FFFFFF"/>
        </w:rPr>
        <w:t> </w:t>
      </w:r>
      <w:r w:rsidRPr="00501490">
        <w:t xml:space="preserve">At </w:t>
      </w:r>
      <w:r w:rsidRPr="008D0DEB">
        <w:t xml:space="preserve">present, any portfolio savings and underspend are returned to consolidated revenue. This means any funding not expended in one year would not necessarily be returned to the social services portfolio, nor reinvested in social policy initiatives. </w:t>
      </w:r>
    </w:p>
    <w:p w14:paraId="6A2ED559" w14:textId="2EA3DA26" w:rsidR="00A66A1D" w:rsidRPr="008D0DEB" w:rsidRDefault="00A66A1D" w:rsidP="0065556E">
      <w:r w:rsidRPr="008D0DEB">
        <w:t xml:space="preserve">PBO3 </w:t>
      </w:r>
      <w:r w:rsidR="009B4E18" w:rsidRPr="008D0DEB">
        <w:t>(White Box Enterprises)</w:t>
      </w:r>
      <w:r w:rsidRPr="008D0DEB">
        <w:t xml:space="preserve"> is utilising an innovative finance mechanism through a trust (managed by a third party) to organise payments from DSS. The PBO2 team </w:t>
      </w:r>
      <w:r w:rsidR="009B4E18" w:rsidRPr="008D0DEB">
        <w:t xml:space="preserve">also </w:t>
      </w:r>
      <w:r w:rsidRPr="008D0DEB">
        <w:t xml:space="preserve">advised they would have made use of a </w:t>
      </w:r>
      <w:r w:rsidR="009B4E18" w:rsidRPr="008D0DEB">
        <w:t xml:space="preserve">similar </w:t>
      </w:r>
      <w:r w:rsidRPr="008D0DEB">
        <w:t>trust structure were they to undertake the project again.</w:t>
      </w:r>
      <w:r w:rsidRPr="008D0DEB">
        <w:rPr>
          <w:rStyle w:val="FootnoteReference"/>
          <w:color w:val="333333" w:themeColor="text2" w:themeShade="80"/>
        </w:rPr>
        <w:footnoteReference w:id="28"/>
      </w:r>
      <w:r w:rsidRPr="008D0DEB">
        <w:t xml:space="preserve"> Additional considerations </w:t>
      </w:r>
      <w:r w:rsidR="0012137C" w:rsidRPr="008D0DEB">
        <w:t>include</w:t>
      </w:r>
      <w:r w:rsidRPr="008D0DEB">
        <w:t xml:space="preserve"> the management of interest accrued through the </w:t>
      </w:r>
      <w:r w:rsidR="00337659" w:rsidRPr="008D0DEB">
        <w:t>fund</w:t>
      </w:r>
      <w:r w:rsidR="009F39A0" w:rsidRPr="008D0DEB">
        <w:t xml:space="preserve"> </w:t>
      </w:r>
      <w:r w:rsidR="00337659" w:rsidRPr="008D0DEB">
        <w:t>and</w:t>
      </w:r>
      <w:r w:rsidRPr="008D0DEB">
        <w:t xml:space="preserve"> whether it is considered part of the outcome payments, returned to government, or paid to the service provider.</w:t>
      </w:r>
      <w:r w:rsidRPr="008D0DEB">
        <w:rPr>
          <w:rStyle w:val="FootnoteReference"/>
          <w:color w:val="333333" w:themeColor="text2" w:themeShade="80"/>
        </w:rPr>
        <w:footnoteReference w:id="29"/>
      </w:r>
    </w:p>
    <w:p w14:paraId="3FF9AB10" w14:textId="57379E4F" w:rsidR="002519CC" w:rsidRPr="008D0DEB" w:rsidRDefault="003E414E" w:rsidP="0065556E">
      <w:pPr>
        <w:pStyle w:val="Head3"/>
      </w:pPr>
      <w:bookmarkStart w:id="130" w:name="_Toc137210943"/>
      <w:bookmarkStart w:id="131" w:name="_Toc137211185"/>
      <w:bookmarkStart w:id="132" w:name="_Toc137219039"/>
      <w:r w:rsidRPr="008D0DEB">
        <w:t>Cross</w:t>
      </w:r>
      <w:r w:rsidR="004A69C8" w:rsidRPr="008D0DEB">
        <w:t>-</w:t>
      </w:r>
      <w:r w:rsidRPr="008D0DEB">
        <w:t>g</w:t>
      </w:r>
      <w:r w:rsidR="00026222" w:rsidRPr="008D0DEB">
        <w:t>overnment partnersh</w:t>
      </w:r>
      <w:r w:rsidRPr="008D0DEB">
        <w:t xml:space="preserve">ips can </w:t>
      </w:r>
      <w:r w:rsidR="003B5721" w:rsidRPr="008D0DEB">
        <w:t>pursue shared outcomes</w:t>
      </w:r>
      <w:bookmarkEnd w:id="130"/>
      <w:bookmarkEnd w:id="131"/>
      <w:bookmarkEnd w:id="132"/>
    </w:p>
    <w:p w14:paraId="21160CE8" w14:textId="0EDEAF0F" w:rsidR="000317B3" w:rsidRPr="008D0DEB" w:rsidRDefault="00841B2C" w:rsidP="0065556E">
      <w:r w:rsidRPr="008D0DEB">
        <w:t xml:space="preserve">Impact investment approaches can be used to address cross-portfolio and inter-jurisdictional government issues. The State Partnerships trials explored the opportunity of impact investing </w:t>
      </w:r>
      <w:r w:rsidR="00337659" w:rsidRPr="008D0DEB">
        <w:t>in</w:t>
      </w:r>
      <w:r w:rsidRPr="008D0DEB">
        <w:t xml:space="preserve"> two </w:t>
      </w:r>
      <w:r w:rsidR="00E63271" w:rsidRPr="008D0DEB">
        <w:t>s</w:t>
      </w:r>
      <w:r w:rsidRPr="008D0DEB">
        <w:t>tates: in NSW (Foyer Central) and South Australia (Newpin, Resilient Families) targeting support for people at risk of homelessness, youth homelessness and other priority groups.</w:t>
      </w:r>
      <w:r w:rsidR="000317B3" w:rsidRPr="008D0DEB">
        <w:t xml:space="preserve"> Investments from </w:t>
      </w:r>
      <w:r w:rsidR="007461FE" w:rsidRPr="008D0DEB">
        <w:t>both</w:t>
      </w:r>
      <w:r w:rsidR="000317B3" w:rsidRPr="008D0DEB">
        <w:t xml:space="preserve"> the </w:t>
      </w:r>
      <w:r w:rsidR="00341523" w:rsidRPr="008D0DEB">
        <w:t>Australian</w:t>
      </w:r>
      <w:r w:rsidR="000317B3" w:rsidRPr="008D0DEB">
        <w:t xml:space="preserve"> and </w:t>
      </w:r>
      <w:r w:rsidR="00341523" w:rsidRPr="008D0DEB">
        <w:t>s</w:t>
      </w:r>
      <w:r w:rsidR="000317B3" w:rsidRPr="008D0DEB">
        <w:t xml:space="preserve">tate governments in these trials have </w:t>
      </w:r>
      <w:r w:rsidR="00167A57" w:rsidRPr="008D0DEB">
        <w:t xml:space="preserve">meant more </w:t>
      </w:r>
      <w:r w:rsidR="00337659" w:rsidRPr="008D0DEB">
        <w:t>attention</w:t>
      </w:r>
      <w:r w:rsidR="009F39A0" w:rsidRPr="008D0DEB">
        <w:t xml:space="preserve"> </w:t>
      </w:r>
      <w:r w:rsidR="00337659" w:rsidRPr="008D0DEB">
        <w:t>on</w:t>
      </w:r>
      <w:r w:rsidR="00167A57" w:rsidRPr="008D0DEB">
        <w:t xml:space="preserve"> the results and </w:t>
      </w:r>
      <w:r w:rsidR="000317B3" w:rsidRPr="008D0DEB">
        <w:t>provided a greater sense of accountability</w:t>
      </w:r>
      <w:r w:rsidR="00167A57" w:rsidRPr="008D0DEB">
        <w:t>. The</w:t>
      </w:r>
      <w:r w:rsidR="000317B3" w:rsidRPr="008D0DEB">
        <w:t xml:space="preserve"> Australian Government involvement helped to </w:t>
      </w:r>
      <w:r w:rsidR="00202927" w:rsidRPr="008D0DEB">
        <w:t>enable relevant</w:t>
      </w:r>
      <w:r w:rsidR="000317B3" w:rsidRPr="008D0DEB">
        <w:t xml:space="preserve"> data is produced and recorded in a useful and shareable way</w:t>
      </w:r>
      <w:r w:rsidR="00951C59" w:rsidRPr="008D0DEB">
        <w:t>.</w:t>
      </w:r>
    </w:p>
    <w:p w14:paraId="0BAF9BCA" w14:textId="2B8F7FF8" w:rsidR="00E82239" w:rsidRPr="008D0DEB" w:rsidRDefault="00841B2C" w:rsidP="0065556E">
      <w:r w:rsidRPr="008D0DEB">
        <w:t>P</w:t>
      </w:r>
      <w:r w:rsidR="00FD3FB6" w:rsidRPr="008D0DEB">
        <w:t>artnerships between different levels of government are most suited to p</w:t>
      </w:r>
      <w:r w:rsidRPr="008D0DEB">
        <w:t>olicy areas with shared responsibility between state and territory and the Australian governments, or where the costs and benefits of action are explicitly borne by both levels of government</w:t>
      </w:r>
      <w:r w:rsidR="00FD3FB6" w:rsidRPr="008D0DEB">
        <w:t xml:space="preserve">. </w:t>
      </w:r>
      <w:r w:rsidRPr="008D0DEB">
        <w:t>For impact investing policies, where there is shared responsibility for issues</w:t>
      </w:r>
      <w:r w:rsidR="00337659" w:rsidRPr="008D0DEB">
        <w:t xml:space="preserve"> among the Australian Government and states and territories</w:t>
      </w:r>
      <w:r w:rsidRPr="008D0DEB">
        <w:t xml:space="preserve">, “the principle of subsidiarity should apply with Australian Government action facilitating </w:t>
      </w:r>
      <w:r w:rsidR="00A25EA4" w:rsidRPr="008D0DEB">
        <w:t>s</w:t>
      </w:r>
      <w:r w:rsidRPr="008D0DEB">
        <w:t>tate-based activity and service delivery</w:t>
      </w:r>
      <w:r w:rsidR="00337659" w:rsidRPr="008D0DEB">
        <w:t>.”</w:t>
      </w:r>
      <w:r w:rsidRPr="008D0DEB">
        <w:rPr>
          <w:rStyle w:val="FootnoteReference"/>
        </w:rPr>
        <w:footnoteReference w:id="30"/>
      </w:r>
      <w:r w:rsidRPr="008D0DEB">
        <w:t xml:space="preserve"> That is, “powers and responsibilities should be left with the lowest level of government practicable</w:t>
      </w:r>
      <w:r w:rsidR="00337659" w:rsidRPr="008D0DEB">
        <w:t>.”</w:t>
      </w:r>
      <w:r w:rsidRPr="008D0DEB">
        <w:rPr>
          <w:rStyle w:val="FootnoteReference"/>
        </w:rPr>
        <w:footnoteReference w:id="31"/>
      </w:r>
      <w:r w:rsidRPr="008D0DEB">
        <w:t xml:space="preserve"> </w:t>
      </w:r>
    </w:p>
    <w:p w14:paraId="7B74ACA9" w14:textId="472C0614" w:rsidR="0043058E" w:rsidRPr="008D0DEB" w:rsidRDefault="00B413EE" w:rsidP="0065556E">
      <w:r w:rsidRPr="008D0DEB">
        <w:t>The establishment of inter-jurisdictional networks has been</w:t>
      </w:r>
      <w:r w:rsidR="007E192F" w:rsidRPr="008D0DEB">
        <w:t xml:space="preserve"> widely acknowle</w:t>
      </w:r>
      <w:r w:rsidR="00ED7A57" w:rsidRPr="008D0DEB">
        <w:t>d</w:t>
      </w:r>
      <w:r w:rsidR="007E192F" w:rsidRPr="008D0DEB">
        <w:t xml:space="preserve">ged by </w:t>
      </w:r>
      <w:r w:rsidR="00BC6949" w:rsidRPr="008D0DEB">
        <w:t>government partners as a</w:t>
      </w:r>
      <w:r w:rsidRPr="008D0DEB">
        <w:t xml:space="preserve"> great </w:t>
      </w:r>
      <w:r w:rsidR="00BC6949" w:rsidRPr="008D0DEB">
        <w:t>platform for</w:t>
      </w:r>
      <w:r w:rsidRPr="008D0DEB">
        <w:t xml:space="preserve"> sharing SII knowledge across </w:t>
      </w:r>
      <w:r w:rsidR="007E192F" w:rsidRPr="008D0DEB">
        <w:t>jurisdictions</w:t>
      </w:r>
      <w:r w:rsidR="00ED7A57" w:rsidRPr="008D0DEB">
        <w:t>. Building upon this established network and trusted relationships could</w:t>
      </w:r>
      <w:r w:rsidR="007E192F" w:rsidRPr="008D0DEB">
        <w:t xml:space="preserve"> facilitate future cross-governmental partnerships. </w:t>
      </w:r>
    </w:p>
    <w:p w14:paraId="5AA90EF6" w14:textId="77777777" w:rsidR="00337659" w:rsidRPr="008D0DEB" w:rsidRDefault="00337659" w:rsidP="0065556E">
      <w:pPr>
        <w:pStyle w:val="Head3"/>
      </w:pPr>
      <w:bookmarkStart w:id="133" w:name="_Toc137210944"/>
      <w:bookmarkStart w:id="134" w:name="_Toc137211186"/>
      <w:bookmarkStart w:id="135" w:name="_Toc137219040"/>
      <w:r w:rsidRPr="008D0DEB">
        <w:t>Outcomes-based commissioning can unlock innovation in service delivery and the creation of social impact</w:t>
      </w:r>
    </w:p>
    <w:bookmarkEnd w:id="133"/>
    <w:bookmarkEnd w:id="134"/>
    <w:bookmarkEnd w:id="135"/>
    <w:p w14:paraId="54FED9D6" w14:textId="111DD84E" w:rsidR="006972FA" w:rsidRPr="008D0DEB" w:rsidRDefault="00337659" w:rsidP="0065556E">
      <w:r w:rsidRPr="008D0DEB">
        <w:t>Governments</w:t>
      </w:r>
      <w:r w:rsidR="00BE28C3" w:rsidRPr="008D0DEB">
        <w:t xml:space="preserve"> can incentivise social innovation and enable new approaches through the commissioning of outcomes. </w:t>
      </w:r>
      <w:r w:rsidR="006972FA" w:rsidRPr="008D0DEB">
        <w:t xml:space="preserve">The </w:t>
      </w:r>
      <w:r w:rsidR="0057082B" w:rsidRPr="008D0DEB">
        <w:t>State Partnerships and</w:t>
      </w:r>
      <w:r w:rsidR="004F5AF9" w:rsidRPr="008D0DEB">
        <w:t xml:space="preserve"> PBO </w:t>
      </w:r>
      <w:r w:rsidR="006972FA" w:rsidRPr="008D0DEB">
        <w:t xml:space="preserve">trials have </w:t>
      </w:r>
      <w:r w:rsidR="00B155DC" w:rsidRPr="008D0DEB">
        <w:t xml:space="preserve">provided </w:t>
      </w:r>
      <w:r w:rsidR="000F51AB" w:rsidRPr="008D0DEB">
        <w:t>examples</w:t>
      </w:r>
      <w:r w:rsidR="00B155DC" w:rsidRPr="008D0DEB">
        <w:t xml:space="preserve"> of</w:t>
      </w:r>
      <w:r w:rsidR="006972FA" w:rsidRPr="008D0DEB">
        <w:t xml:space="preserve"> shift</w:t>
      </w:r>
      <w:r w:rsidR="00E969F9" w:rsidRPr="008D0DEB">
        <w:t>ing</w:t>
      </w:r>
      <w:r w:rsidR="006972FA" w:rsidRPr="008D0DEB">
        <w:t xml:space="preserve"> from a purchaser-provider model, to shared risk and reward and trust-based co-de</w:t>
      </w:r>
      <w:r w:rsidR="004F5AF9" w:rsidRPr="008D0DEB">
        <w:t>sign</w:t>
      </w:r>
      <w:r w:rsidR="006972FA" w:rsidRPr="008D0DEB">
        <w:t xml:space="preserve">. The potential benefits of these approaches have been summarised in the evidence </w:t>
      </w:r>
      <w:r w:rsidR="00B95376" w:rsidRPr="008D0DEB">
        <w:t xml:space="preserve">base </w:t>
      </w:r>
      <w:r w:rsidR="006972FA" w:rsidRPr="008D0DEB">
        <w:t xml:space="preserve">as: </w:t>
      </w:r>
    </w:p>
    <w:p w14:paraId="4FF7D21D" w14:textId="77777777" w:rsidR="006972FA" w:rsidRPr="008D0DEB" w:rsidRDefault="006972FA" w:rsidP="0065556E">
      <w:pPr>
        <w:pStyle w:val="ListBullet"/>
      </w:pPr>
      <w:r w:rsidRPr="008D0DEB">
        <w:t>incentivising innovation</w:t>
      </w:r>
    </w:p>
    <w:p w14:paraId="71448789" w14:textId="77777777" w:rsidR="006972FA" w:rsidRPr="008D0DEB" w:rsidRDefault="006972FA" w:rsidP="0065556E">
      <w:pPr>
        <w:pStyle w:val="ListBullet"/>
      </w:pPr>
      <w:r w:rsidRPr="008D0DEB">
        <w:t xml:space="preserve">improved accountability and increased visibility of outcomes </w:t>
      </w:r>
    </w:p>
    <w:p w14:paraId="6D108D46" w14:textId="77777777" w:rsidR="006972FA" w:rsidRPr="008D0DEB" w:rsidRDefault="006972FA" w:rsidP="0065556E">
      <w:pPr>
        <w:pStyle w:val="ListBullet"/>
      </w:pPr>
      <w:r w:rsidRPr="008D0DEB">
        <w:t xml:space="preserve">financial savings to government. </w:t>
      </w:r>
    </w:p>
    <w:p w14:paraId="25C76695" w14:textId="06F3FEAF" w:rsidR="00003201" w:rsidRPr="008D0DEB" w:rsidRDefault="00003201" w:rsidP="0065556E">
      <w:r w:rsidRPr="008D0DEB">
        <w:lastRenderedPageBreak/>
        <w:t xml:space="preserve">For DSS, the innovation </w:t>
      </w:r>
      <w:r w:rsidR="009030D5" w:rsidRPr="008D0DEB">
        <w:t xml:space="preserve">enabled during the trials </w:t>
      </w:r>
      <w:r w:rsidR="002D0631" w:rsidRPr="008D0DEB">
        <w:t xml:space="preserve">related to </w:t>
      </w:r>
      <w:r w:rsidR="003C6082" w:rsidRPr="008D0DEB">
        <w:t xml:space="preserve">the funding mechanisms and outcome </w:t>
      </w:r>
      <w:r w:rsidR="00133CB4" w:rsidRPr="008D0DEB">
        <w:t xml:space="preserve">measurement </w:t>
      </w:r>
      <w:r w:rsidR="002D0631" w:rsidRPr="008D0DEB">
        <w:t>used</w:t>
      </w:r>
      <w:r w:rsidR="003C6082" w:rsidRPr="008D0DEB">
        <w:t xml:space="preserve">, rather than </w:t>
      </w:r>
      <w:r w:rsidR="00133CB4" w:rsidRPr="008D0DEB">
        <w:t>focusing on</w:t>
      </w:r>
      <w:r w:rsidR="003C6082" w:rsidRPr="008D0DEB">
        <w:t xml:space="preserve"> service delivery</w:t>
      </w:r>
      <w:r w:rsidR="00133CB4" w:rsidRPr="008D0DEB">
        <w:t xml:space="preserve"> itself.</w:t>
      </w:r>
      <w:r w:rsidR="003F2EA4" w:rsidRPr="008D0DEB">
        <w:t xml:space="preserve"> The services delivered </w:t>
      </w:r>
      <w:r w:rsidR="002737E6" w:rsidRPr="008D0DEB">
        <w:t>as part of</w:t>
      </w:r>
      <w:r w:rsidR="003F2EA4" w:rsidRPr="008D0DEB">
        <w:t xml:space="preserve"> the trials </w:t>
      </w:r>
      <w:r w:rsidR="002737E6" w:rsidRPr="008D0DEB">
        <w:t xml:space="preserve">had </w:t>
      </w:r>
      <w:r w:rsidR="00287E27" w:rsidRPr="008D0DEB">
        <w:t>some previous history of use, although there were some alterations made to account for local contexts.</w:t>
      </w:r>
      <w:r w:rsidR="003F2EA4" w:rsidRPr="008D0DEB">
        <w:t xml:space="preserve"> </w:t>
      </w:r>
    </w:p>
    <w:p w14:paraId="44E82597" w14:textId="3D6BBEE5" w:rsidR="00315F16" w:rsidRPr="008D0DEB" w:rsidRDefault="00D57BFF" w:rsidP="0065556E">
      <w:r w:rsidRPr="008D0DEB">
        <w:t>T</w:t>
      </w:r>
      <w:r w:rsidR="00315F16" w:rsidRPr="008D0DEB">
        <w:t>o encourage innovation</w:t>
      </w:r>
      <w:r w:rsidRPr="008D0DEB">
        <w:t xml:space="preserve"> in services</w:t>
      </w:r>
      <w:r w:rsidR="00315F16" w:rsidRPr="008D0DEB">
        <w:t>, performance targets need to allow for service level flexibility, as well as creating some leeway when considering failure to deliver results. Over-weighting a focus on failure can lead to unintended downside risks, including encouraging service providers to “stick to tried and tested service models</w:t>
      </w:r>
      <w:r w:rsidR="00337659" w:rsidRPr="008D0DEB">
        <w:t>.”</w:t>
      </w:r>
      <w:r w:rsidR="00315F16" w:rsidRPr="008D0DEB">
        <w:rPr>
          <w:rStyle w:val="FootnoteReference"/>
        </w:rPr>
        <w:footnoteReference w:id="32"/>
      </w:r>
    </w:p>
    <w:p w14:paraId="08187B93" w14:textId="77777777" w:rsidR="00D57BFF" w:rsidRPr="008D0DEB" w:rsidRDefault="00D57BFF" w:rsidP="0065556E">
      <w:r w:rsidRPr="008D0DEB">
        <w:t>Outcomes-based approaches may also deliver additional favourable social outcomes beyond those identified for payment. Conversely, there is a need to consider the possibility of unfulfilled outcomes for some participants.</w:t>
      </w:r>
      <w:r w:rsidRPr="008D0DEB">
        <w:rPr>
          <w:vertAlign w:val="superscript"/>
        </w:rPr>
        <w:footnoteReference w:id="33"/>
      </w:r>
      <w:r w:rsidRPr="008D0DEB">
        <w:t xml:space="preserve"> </w:t>
      </w:r>
    </w:p>
    <w:p w14:paraId="4A75C41F" w14:textId="698720FE" w:rsidR="00DF38A9" w:rsidRPr="008D0DEB" w:rsidRDefault="006972FA" w:rsidP="0065556E">
      <w:r w:rsidRPr="008D0DEB">
        <w:t xml:space="preserve">The comparative value of these approaches versus other funding models is dependent on the price settings and payment model adopted, as well as budget treatment of any </w:t>
      </w:r>
      <w:r w:rsidR="00960D7D" w:rsidRPr="008D0DEB">
        <w:t>savings</w:t>
      </w:r>
      <w:r w:rsidRPr="008D0DEB">
        <w:t>.</w:t>
      </w:r>
      <w:r w:rsidRPr="008D0DEB">
        <w:rPr>
          <w:vertAlign w:val="superscript"/>
        </w:rPr>
        <w:footnoteReference w:id="34"/>
      </w:r>
      <w:r w:rsidR="005A3CBA" w:rsidRPr="008D0DEB">
        <w:t xml:space="preserve"> </w:t>
      </w:r>
      <w:r w:rsidR="00B9471B" w:rsidRPr="008D0DEB">
        <w:t>However, public value</w:t>
      </w:r>
      <w:r w:rsidR="00867630" w:rsidRPr="008D0DEB">
        <w:t xml:space="preserve"> generated by these approaches </w:t>
      </w:r>
      <w:r w:rsidR="00DD4069" w:rsidRPr="008D0DEB">
        <w:t xml:space="preserve">is </w:t>
      </w:r>
      <w:r w:rsidR="00272B57" w:rsidRPr="008D0DEB">
        <w:t>often</w:t>
      </w:r>
      <w:r w:rsidR="005A2C17" w:rsidRPr="008D0DEB">
        <w:t xml:space="preserve"> </w:t>
      </w:r>
      <w:r w:rsidR="00604B96" w:rsidRPr="008D0DEB">
        <w:t xml:space="preserve">greater than the measured outcomes they </w:t>
      </w:r>
      <w:r w:rsidR="00337659" w:rsidRPr="008D0DEB">
        <w:t>deliver.</w:t>
      </w:r>
      <w:r w:rsidR="00272B57" w:rsidRPr="008D0DEB">
        <w:t xml:space="preserve"> Public value</w:t>
      </w:r>
      <w:r w:rsidR="00604B96" w:rsidRPr="008D0DEB">
        <w:t xml:space="preserve"> for </w:t>
      </w:r>
      <w:r w:rsidR="00651E90" w:rsidRPr="008D0DEB">
        <w:t xml:space="preserve">these social innovations can leverage external </w:t>
      </w:r>
      <w:r w:rsidR="006E6164" w:rsidRPr="008D0DEB">
        <w:t>resource</w:t>
      </w:r>
      <w:r w:rsidR="00651E90" w:rsidRPr="008D0DEB">
        <w:t>s</w:t>
      </w:r>
      <w:r w:rsidR="006E6164" w:rsidRPr="008D0DEB">
        <w:t>,</w:t>
      </w:r>
      <w:r w:rsidR="00651E90" w:rsidRPr="008D0DEB">
        <w:t xml:space="preserve"> lead to new solutions to tackling policy issues and associated expansion of the policy toolbox</w:t>
      </w:r>
      <w:r w:rsidR="00337659" w:rsidRPr="008D0DEB">
        <w:t>,</w:t>
      </w:r>
      <w:r w:rsidR="00651E90" w:rsidRPr="008D0DEB">
        <w:t xml:space="preserve"> and </w:t>
      </w:r>
      <w:r w:rsidR="00532F4D" w:rsidRPr="008D0DEB">
        <w:t>may be</w:t>
      </w:r>
      <w:r w:rsidR="00023908" w:rsidRPr="008D0DEB">
        <w:t xml:space="preserve"> amplified </w:t>
      </w:r>
      <w:r w:rsidR="00DD4069" w:rsidRPr="008D0DEB">
        <w:t xml:space="preserve">for those </w:t>
      </w:r>
      <w:r w:rsidR="00BF6CFC" w:rsidRPr="008D0DEB">
        <w:t>clients who benefit from the life-changing impacts arising from the program interventions</w:t>
      </w:r>
      <w:r w:rsidR="00DD4069" w:rsidRPr="008D0DEB">
        <w:t>.</w:t>
      </w:r>
      <w:r w:rsidR="382A40B4" w:rsidRPr="008D0DEB">
        <w:t xml:space="preserve"> Value creation also arises from improved impact governance</w:t>
      </w:r>
      <w:r w:rsidR="00337659" w:rsidRPr="008D0DEB">
        <w:t>,</w:t>
      </w:r>
      <w:r w:rsidR="382A40B4" w:rsidRPr="008D0DEB">
        <w:t xml:space="preserve"> i.e. the intentional targeting, measuring and management of impact. </w:t>
      </w:r>
    </w:p>
    <w:p w14:paraId="4D7F003D" w14:textId="20E1BD3E" w:rsidR="002E7E90" w:rsidRPr="008D0DEB" w:rsidRDefault="009E456C" w:rsidP="0065556E">
      <w:pPr>
        <w:pStyle w:val="Head3"/>
      </w:pPr>
      <w:bookmarkStart w:id="136" w:name="_Toc137210945"/>
      <w:bookmarkStart w:id="137" w:name="_Toc137211187"/>
      <w:bookmarkStart w:id="138" w:name="_Toc137219041"/>
      <w:r w:rsidRPr="008D0DEB">
        <w:t xml:space="preserve">Sharing of financial risk is not well understood </w:t>
      </w:r>
      <w:r w:rsidR="00B729FF" w:rsidRPr="008D0DEB">
        <w:t>by service providers</w:t>
      </w:r>
      <w:bookmarkEnd w:id="136"/>
      <w:bookmarkEnd w:id="137"/>
      <w:bookmarkEnd w:id="138"/>
    </w:p>
    <w:p w14:paraId="02C6EA4F" w14:textId="0009AD42" w:rsidR="00B35CC2" w:rsidRPr="008D0DEB" w:rsidRDefault="00911EEF" w:rsidP="0065556E">
      <w:r w:rsidRPr="008D0DEB">
        <w:t>T</w:t>
      </w:r>
      <w:r w:rsidR="00251E94" w:rsidRPr="008D0DEB">
        <w:t>he</w:t>
      </w:r>
      <w:r w:rsidR="00C303B0" w:rsidRPr="008D0DEB">
        <w:t xml:space="preserve"> </w:t>
      </w:r>
      <w:r w:rsidR="00251E94" w:rsidRPr="008D0DEB">
        <w:t>sharing of financial risk is an</w:t>
      </w:r>
      <w:r w:rsidR="009E30AC" w:rsidRPr="008D0DEB">
        <w:t xml:space="preserve"> attractive</w:t>
      </w:r>
      <w:r w:rsidR="002402B5" w:rsidRPr="008D0DEB">
        <w:t xml:space="preserve"> feature of</w:t>
      </w:r>
      <w:r w:rsidR="00C303B0" w:rsidRPr="008D0DEB">
        <w:t xml:space="preserve"> outcomes-based contracts </w:t>
      </w:r>
      <w:r w:rsidR="00251E94" w:rsidRPr="008D0DEB">
        <w:t>for governments</w:t>
      </w:r>
      <w:r w:rsidR="00C303B0" w:rsidRPr="008D0DEB">
        <w:t xml:space="preserve"> and </w:t>
      </w:r>
      <w:r w:rsidR="00251E94" w:rsidRPr="008D0DEB">
        <w:t xml:space="preserve">payers. </w:t>
      </w:r>
      <w:r w:rsidR="00337659" w:rsidRPr="008D0DEB">
        <w:t>Funders</w:t>
      </w:r>
      <w:r w:rsidR="006F1DC7" w:rsidRPr="008D0DEB">
        <w:t xml:space="preserve"> </w:t>
      </w:r>
      <w:r w:rsidR="00B35CC2" w:rsidRPr="008D0DEB">
        <w:t xml:space="preserve">in </w:t>
      </w:r>
      <w:r w:rsidR="00FF1BCC" w:rsidRPr="008D0DEB">
        <w:t>outcomes-based</w:t>
      </w:r>
      <w:r w:rsidR="00B35CC2" w:rsidRPr="008D0DEB">
        <w:t xml:space="preserve"> approaches have multiple levers which can be adjusted to affect the price and balance the risk-reward ratio</w:t>
      </w:r>
      <w:r w:rsidR="002E0554" w:rsidRPr="008D0DEB">
        <w:t xml:space="preserve">. </w:t>
      </w:r>
      <w:r w:rsidR="00337659" w:rsidRPr="008D0DEB">
        <w:t>Government funders</w:t>
      </w:r>
      <w:r w:rsidR="005A0565" w:rsidRPr="008D0DEB">
        <w:t xml:space="preserve"> can use these levers</w:t>
      </w:r>
      <w:r w:rsidR="00B35CC2" w:rsidRPr="008D0DEB">
        <w:t xml:space="preserve"> to create incentives for innovation or improvements to service delivery</w:t>
      </w:r>
      <w:r w:rsidR="005A0565" w:rsidRPr="008D0DEB">
        <w:t>.</w:t>
      </w:r>
      <w:r w:rsidR="005A0565" w:rsidRPr="008D0DEB">
        <w:rPr>
          <w:vertAlign w:val="superscript"/>
        </w:rPr>
        <w:footnoteReference w:id="35"/>
      </w:r>
    </w:p>
    <w:p w14:paraId="2E0D8FBF" w14:textId="0E486F8E" w:rsidR="00F743AA" w:rsidRPr="008D0DEB" w:rsidRDefault="00911EEF" w:rsidP="0065556E">
      <w:pPr>
        <w:rPr>
          <w:rStyle w:val="normaltextrun"/>
          <w:color w:val="000000"/>
          <w:szCs w:val="22"/>
        </w:rPr>
      </w:pPr>
      <w:r w:rsidRPr="008D0DEB">
        <w:t xml:space="preserve">In outcomes-based approaches, the payer </w:t>
      </w:r>
      <w:r w:rsidR="00F755E4" w:rsidRPr="008D0DEB">
        <w:t xml:space="preserve">agrees on a set price for the delivery of outcomes at a unit level, or </w:t>
      </w:r>
      <w:r w:rsidRPr="008D0DEB">
        <w:t xml:space="preserve">an agreed price </w:t>
      </w:r>
      <w:r w:rsidR="00BC6F9A" w:rsidRPr="008D0DEB">
        <w:t>per unit or for a target level</w:t>
      </w:r>
      <w:r w:rsidR="00CF006A" w:rsidRPr="008D0DEB">
        <w:t xml:space="preserve">. </w:t>
      </w:r>
      <w:r w:rsidR="00DC36DA" w:rsidRPr="008D0DEB">
        <w:t xml:space="preserve">Delaying payment until after the verification of </w:t>
      </w:r>
      <w:r w:rsidR="00EA731C" w:rsidRPr="008D0DEB">
        <w:t>delivered outcomes creates a</w:t>
      </w:r>
      <w:r w:rsidR="00CF006A" w:rsidRPr="008D0DEB">
        <w:t xml:space="preserve"> funding</w:t>
      </w:r>
      <w:r w:rsidR="0096204E" w:rsidRPr="008D0DEB">
        <w:t xml:space="preserve"> gap between the cost </w:t>
      </w:r>
      <w:r w:rsidR="00E05B29" w:rsidRPr="008D0DEB">
        <w:t>of providing services and receiving payment</w:t>
      </w:r>
      <w:r w:rsidR="0098404C" w:rsidRPr="008D0DEB">
        <w:t>. This can</w:t>
      </w:r>
      <w:r w:rsidR="00E05B29" w:rsidRPr="008D0DEB">
        <w:t xml:space="preserve"> be </w:t>
      </w:r>
      <w:r w:rsidR="00A21574" w:rsidRPr="008D0DEB">
        <w:t xml:space="preserve">challenging for service providers to </w:t>
      </w:r>
      <w:r w:rsidR="00324CB4" w:rsidRPr="008D0DEB">
        <w:t xml:space="preserve">manage, particularly for smaller organisations with lower </w:t>
      </w:r>
      <w:r w:rsidR="002B617B" w:rsidRPr="008D0DEB">
        <w:t>volumes</w:t>
      </w:r>
      <w:r w:rsidR="00E05B29" w:rsidRPr="008D0DEB">
        <w:t xml:space="preserve"> of </w:t>
      </w:r>
      <w:r w:rsidR="002B617B" w:rsidRPr="008D0DEB">
        <w:t xml:space="preserve">operating capital. </w:t>
      </w:r>
      <w:r w:rsidR="005B288F" w:rsidRPr="008D0DEB">
        <w:t>Impact invest</w:t>
      </w:r>
      <w:r w:rsidR="00B002D1" w:rsidRPr="008D0DEB">
        <w:t>ing solutions</w:t>
      </w:r>
      <w:r w:rsidR="006F1028" w:rsidRPr="008D0DEB">
        <w:t xml:space="preserve"> are increasingly used to cover this funding gap</w:t>
      </w:r>
      <w:r w:rsidR="00A372AE" w:rsidRPr="008D0DEB">
        <w:t>, through mechanisms</w:t>
      </w:r>
      <w:r w:rsidR="00D10515" w:rsidRPr="008D0DEB">
        <w:t xml:space="preserve"> such as </w:t>
      </w:r>
      <w:r w:rsidR="00337659" w:rsidRPr="008D0DEB">
        <w:t>SIBs.</w:t>
      </w:r>
      <w:r w:rsidR="00870EE1" w:rsidRPr="008D0DEB">
        <w:t xml:space="preserve"> </w:t>
      </w:r>
      <w:r w:rsidR="00FA5526" w:rsidRPr="008D0DEB">
        <w:t xml:space="preserve">Service providers or investors </w:t>
      </w:r>
      <w:r w:rsidR="00B80827" w:rsidRPr="008D0DEB">
        <w:t>reasonably</w:t>
      </w:r>
      <w:r w:rsidR="004A1BFC" w:rsidRPr="008D0DEB">
        <w:t xml:space="preserve"> expect to</w:t>
      </w:r>
      <w:r w:rsidR="00FA5526" w:rsidRPr="008D0DEB">
        <w:t xml:space="preserve"> be compensated </w:t>
      </w:r>
      <w:r w:rsidR="00571BA8" w:rsidRPr="008D0DEB">
        <w:t xml:space="preserve">for the </w:t>
      </w:r>
      <w:r w:rsidR="00FE09A6" w:rsidRPr="008D0DEB">
        <w:t>additional financial</w:t>
      </w:r>
      <w:r w:rsidR="00571BA8" w:rsidRPr="008D0DEB">
        <w:t xml:space="preserve"> risks they are taking on</w:t>
      </w:r>
      <w:r w:rsidR="00CE0917" w:rsidRPr="008D0DEB">
        <w:t>. In these cases,</w:t>
      </w:r>
      <w:r w:rsidR="00571BA8" w:rsidRPr="008D0DEB">
        <w:t xml:space="preserve"> government </w:t>
      </w:r>
      <w:r w:rsidR="00337659" w:rsidRPr="008D0DEB">
        <w:t>funders pay</w:t>
      </w:r>
      <w:r w:rsidR="00571BA8" w:rsidRPr="008D0DEB">
        <w:t xml:space="preserve"> a </w:t>
      </w:r>
      <w:r w:rsidR="004A1BFC" w:rsidRPr="008D0DEB">
        <w:t xml:space="preserve">commensurate </w:t>
      </w:r>
      <w:r w:rsidR="00571BA8" w:rsidRPr="008D0DEB">
        <w:t>premium</w:t>
      </w:r>
      <w:r w:rsidR="004A1BFC" w:rsidRPr="008D0DEB">
        <w:t xml:space="preserve"> for sharing the risk</w:t>
      </w:r>
      <w:r w:rsidR="00870EE1" w:rsidRPr="008D0DEB">
        <w:t>.</w:t>
      </w:r>
    </w:p>
    <w:p w14:paraId="3781AF2F" w14:textId="29A5B06D" w:rsidR="00A67CB5" w:rsidRPr="008D0DEB" w:rsidRDefault="006627A0" w:rsidP="0065556E">
      <w:r w:rsidRPr="008D0DEB">
        <w:t>E</w:t>
      </w:r>
      <w:r w:rsidR="007A0234" w:rsidRPr="008D0DEB">
        <w:t xml:space="preserve">ach PBO </w:t>
      </w:r>
      <w:r w:rsidRPr="008D0DEB">
        <w:t xml:space="preserve">trial </w:t>
      </w:r>
      <w:r w:rsidR="007A0234" w:rsidRPr="008D0DEB">
        <w:t xml:space="preserve">demonstrated different risk appetites </w:t>
      </w:r>
      <w:r w:rsidR="007E09F2" w:rsidRPr="008D0DEB">
        <w:t>from</w:t>
      </w:r>
      <w:r w:rsidR="007A0234" w:rsidRPr="008D0DEB">
        <w:t xml:space="preserve"> the different service providers</w:t>
      </w:r>
      <w:r w:rsidR="00446C8C" w:rsidRPr="008D0DEB">
        <w:t>, evidenced by</w:t>
      </w:r>
      <w:r w:rsidR="007A0234" w:rsidRPr="008D0DEB">
        <w:t xml:space="preserve"> differences in the proportion of funding tied to outcomes versus fixed payments to cover operational costs.</w:t>
      </w:r>
      <w:r w:rsidR="007A0234" w:rsidRPr="008D0DEB">
        <w:rPr>
          <w:vertAlign w:val="superscript"/>
        </w:rPr>
        <w:footnoteReference w:id="36"/>
      </w:r>
      <w:r w:rsidR="00BF0143">
        <w:t xml:space="preserve"> </w:t>
      </w:r>
      <w:r w:rsidR="007A0234" w:rsidRPr="008D0DEB">
        <w:t xml:space="preserve">In one PBO, the service provider opted to reduce their financial risk by setting a high proportion of payments that were fixed, while another service provider was confident in achieving higher than predicted outcomes and set their fixed outcome at a much lower rate. </w:t>
      </w:r>
      <w:r w:rsidR="00A67CB5" w:rsidRPr="008D0DEB">
        <w:t>However,</w:t>
      </w:r>
      <w:r w:rsidR="00F40D21" w:rsidRPr="008D0DEB">
        <w:t xml:space="preserve"> for this</w:t>
      </w:r>
      <w:r w:rsidR="00181CDD" w:rsidRPr="008D0DEB">
        <w:t xml:space="preserve"> PBO, </w:t>
      </w:r>
      <w:r w:rsidR="00787C42" w:rsidRPr="008D0DEB">
        <w:t>the</w:t>
      </w:r>
      <w:r w:rsidR="00AD0A7B" w:rsidRPr="008D0DEB">
        <w:t xml:space="preserve"> assumptions about availability of inter-departmental data</w:t>
      </w:r>
      <w:r w:rsidR="00DF3468" w:rsidRPr="008D0DEB">
        <w:t xml:space="preserve"> for outcomes</w:t>
      </w:r>
      <w:r w:rsidR="00787C42" w:rsidRPr="008D0DEB">
        <w:t xml:space="preserve"> metrics w</w:t>
      </w:r>
      <w:r w:rsidR="00AD0A7B" w:rsidRPr="008D0DEB">
        <w:t>ere</w:t>
      </w:r>
      <w:r w:rsidR="00DF3468" w:rsidRPr="008D0DEB">
        <w:t xml:space="preserve"> flawed. </w:t>
      </w:r>
      <w:r w:rsidR="001022F4" w:rsidRPr="008D0DEB">
        <w:t>Th</w:t>
      </w:r>
      <w:r w:rsidR="009D2985" w:rsidRPr="008D0DEB">
        <w:t xml:space="preserve">is meant </w:t>
      </w:r>
      <w:r w:rsidR="000F0BAA" w:rsidRPr="008D0DEB">
        <w:t xml:space="preserve">a </w:t>
      </w:r>
      <w:r w:rsidR="00F66B3C" w:rsidRPr="008D0DEB">
        <w:t xml:space="preserve">gap in </w:t>
      </w:r>
      <w:r w:rsidR="000F0BAA" w:rsidRPr="008D0DEB">
        <w:t xml:space="preserve">baseline data to inform a counterfactual scenario </w:t>
      </w:r>
      <w:r w:rsidR="009A3E1F" w:rsidRPr="008D0DEB">
        <w:t xml:space="preserve">of what would have happened to this cohort but for the PBO intervention. </w:t>
      </w:r>
    </w:p>
    <w:p w14:paraId="0D5D29F9" w14:textId="77777777" w:rsidR="00BF0143" w:rsidRDefault="00BF0143">
      <w:r>
        <w:br w:type="page"/>
      </w:r>
    </w:p>
    <w:p w14:paraId="70A26FDE" w14:textId="183D93D6" w:rsidR="00337659" w:rsidRPr="008D0DEB" w:rsidRDefault="00337659" w:rsidP="0065556E">
      <w:r w:rsidRPr="008D0DEB">
        <w:lastRenderedPageBreak/>
        <w:t xml:space="preserve">Overall, while there was some evidence of tailoring of risk tolerance from providers, feedback from some stakeholders suggests that while the sector is growing, many organisations in Australia have limited understanding of the potential risks involved in outcomes-based approaches, particularly in the case of outcomes not being achieved. Higher risks, greater uncertainty, and initial set up costs also mean outcomes-based funding approaches will not be suitable for some organisations. The trials privileged larger organisations who could more readily absorb the financial risks associated with outcomes-based approaches. Future efforts could explore ways to reduce the risk of participation for smaller organisations who may have other benefits, including networks on the ground. </w:t>
      </w:r>
    </w:p>
    <w:p w14:paraId="22AA9755" w14:textId="77777777" w:rsidR="00337659" w:rsidRPr="008D0DEB" w:rsidRDefault="00337659" w:rsidP="0065556E">
      <w:pPr>
        <w:pStyle w:val="HangingQuote"/>
      </w:pPr>
      <w:r w:rsidRPr="008D0DEB">
        <w:t>“It seems like the understanding around the financial risk of these contracts and how much money service providers can stand to lose is not really well understood." [Intermediary]</w:t>
      </w:r>
    </w:p>
    <w:p w14:paraId="0BB26766" w14:textId="0CDDD377" w:rsidR="0073078C" w:rsidRPr="008D0DEB" w:rsidRDefault="0073078C" w:rsidP="0065556E">
      <w:pPr>
        <w:pStyle w:val="Head3"/>
      </w:pPr>
      <w:bookmarkStart w:id="139" w:name="_Toc137210946"/>
      <w:bookmarkStart w:id="140" w:name="_Toc137211188"/>
      <w:bookmarkStart w:id="141" w:name="_Toc137219042"/>
      <w:r w:rsidRPr="008D0DEB">
        <w:t>Outcomes</w:t>
      </w:r>
      <w:r w:rsidR="00566179" w:rsidRPr="008D0DEB">
        <w:t>-</w:t>
      </w:r>
      <w:r w:rsidRPr="008D0DEB">
        <w:t xml:space="preserve">based </w:t>
      </w:r>
      <w:r w:rsidR="002A691F" w:rsidRPr="008D0DEB">
        <w:t>approaches can facilitate co-investment</w:t>
      </w:r>
      <w:bookmarkEnd w:id="139"/>
      <w:bookmarkEnd w:id="140"/>
      <w:bookmarkEnd w:id="141"/>
      <w:r w:rsidRPr="008D0DEB">
        <w:t xml:space="preserve"> </w:t>
      </w:r>
    </w:p>
    <w:p w14:paraId="0D102BF9" w14:textId="1D9995CE" w:rsidR="00337659" w:rsidRPr="008D0DEB" w:rsidRDefault="00337659" w:rsidP="0065556E">
      <w:r w:rsidRPr="008D0DEB">
        <w:t>Outcomes-based impact investments can facilitate co-investment and can attract and accommodate multiple investors. Different types of investment capital can have different risk appetites, terms and expectations for financial returns.</w:t>
      </w:r>
      <w:r w:rsidR="00BF0143">
        <w:t xml:space="preserve"> </w:t>
      </w:r>
      <w:r w:rsidRPr="008D0DEB">
        <w:t xml:space="preserve">Investors may also prefer to co-invest to leverage existing funding or de-risk their own capital. Co-investment can also reduce the costs of due diligence and can facilitate diversification of investor portfolios. The outcomes-based trials demonstrated the blending of capital with diverse combinations of more than one investor participating in the deals. </w:t>
      </w:r>
    </w:p>
    <w:p w14:paraId="4073B7C3" w14:textId="24A209C8" w:rsidR="00337659" w:rsidRPr="008D0DEB" w:rsidRDefault="00337659" w:rsidP="0065556E">
      <w:r w:rsidRPr="008D0DEB">
        <w:t>In the case of the State Partnerships, Australian Government funds were sub-scale but were attractive to parties for more than the financial benefits. For example, the opportunity to build relationships across jurisdictions for future opportunities was cited by both State partners across the three trials as a desired feature. For the SII unit, these partnerships provided learning opportunities, capability building and additional scope to explore its role in inter</w:t>
      </w:r>
      <w:r w:rsidR="005F40A3">
        <w:t>-</w:t>
      </w:r>
      <w:r w:rsidRPr="008D0DEB">
        <w:t>jurisdictional outcomes commissioning.</w:t>
      </w:r>
    </w:p>
    <w:p w14:paraId="325D988B" w14:textId="77777777" w:rsidR="00337659" w:rsidRPr="008D0DEB" w:rsidRDefault="00337659" w:rsidP="0065556E">
      <w:r w:rsidRPr="008D0DEB">
        <w:t xml:space="preserve">The PBO trials did not fully explore or leverage the different types of investor capital to full advantage. For example, in PBO2, there was an opportunity for the philanthropic investor, which has different risk appetite and drivers, to fund supplementary outcomes rather than increased levels of outcomes already required by government. </w:t>
      </w:r>
    </w:p>
    <w:p w14:paraId="0281CF04" w14:textId="6838E864" w:rsidR="00A51267" w:rsidRPr="008D0DEB" w:rsidRDefault="00A51267" w:rsidP="0065556E">
      <w:pPr>
        <w:pStyle w:val="Heading2"/>
      </w:pPr>
      <w:bookmarkStart w:id="142" w:name="_Toc137210722"/>
      <w:bookmarkStart w:id="143" w:name="_Toc153801733"/>
      <w:r w:rsidRPr="008D0DEB">
        <w:t>Building the market</w:t>
      </w:r>
      <w:bookmarkEnd w:id="142"/>
      <w:bookmarkEnd w:id="143"/>
    </w:p>
    <w:p w14:paraId="50AA5FF5" w14:textId="77777777" w:rsidR="00A52B99" w:rsidRPr="008D0DEB" w:rsidRDefault="00A52B99" w:rsidP="0065556E">
      <w:pPr>
        <w:pStyle w:val="Head3"/>
      </w:pPr>
      <w:bookmarkStart w:id="144" w:name="_Toc137210948"/>
      <w:bookmarkStart w:id="145" w:name="_Toc137211190"/>
      <w:bookmarkStart w:id="146" w:name="_Toc137219044"/>
      <w:r w:rsidRPr="008D0DEB">
        <w:t xml:space="preserve">Government can </w:t>
      </w:r>
      <w:r w:rsidR="00B77E33" w:rsidRPr="008D0DEB">
        <w:t>mobilise</w:t>
      </w:r>
      <w:r w:rsidRPr="008D0DEB">
        <w:t xml:space="preserve"> private resources </w:t>
      </w:r>
      <w:r w:rsidR="006464CA" w:rsidRPr="008D0DEB">
        <w:t xml:space="preserve">to address </w:t>
      </w:r>
      <w:r w:rsidR="00A957A8" w:rsidRPr="008D0DEB">
        <w:t>identified social issues</w:t>
      </w:r>
      <w:bookmarkEnd w:id="144"/>
      <w:bookmarkEnd w:id="145"/>
      <w:bookmarkEnd w:id="146"/>
    </w:p>
    <w:p w14:paraId="333019C3" w14:textId="77777777" w:rsidR="009A539C" w:rsidRPr="008D0DEB" w:rsidRDefault="001017BF" w:rsidP="0065556E">
      <w:r w:rsidRPr="008D0DEB">
        <w:t>As in other areas of innovation, government can incentivise market direction through policy initiatives</w:t>
      </w:r>
      <w:r w:rsidR="00D2133B" w:rsidRPr="008D0DEB">
        <w:t xml:space="preserve"> -</w:t>
      </w:r>
      <w:r w:rsidRPr="008D0DEB">
        <w:t xml:space="preserve"> </w:t>
      </w:r>
      <w:r w:rsidR="003365E5" w:rsidRPr="008D0DEB">
        <w:t>the</w:t>
      </w:r>
      <w:r w:rsidR="00C84B3A" w:rsidRPr="008D0DEB">
        <w:t xml:space="preserve"> </w:t>
      </w:r>
      <w:r w:rsidR="00313CFA" w:rsidRPr="008D0DEB">
        <w:t>SR</w:t>
      </w:r>
      <w:r w:rsidR="00526993" w:rsidRPr="008D0DEB">
        <w:t>F</w:t>
      </w:r>
      <w:r w:rsidR="00313CFA" w:rsidRPr="008D0DEB">
        <w:t xml:space="preserve"> </w:t>
      </w:r>
      <w:r w:rsidR="00C84B3A" w:rsidRPr="008D0DEB">
        <w:t>trial show</w:t>
      </w:r>
      <w:r w:rsidR="00313CFA" w:rsidRPr="008D0DEB">
        <w:t>cased</w:t>
      </w:r>
      <w:r w:rsidR="00ED58B9" w:rsidRPr="008D0DEB">
        <w:t xml:space="preserve"> </w:t>
      </w:r>
      <w:r w:rsidR="00E16DB5" w:rsidRPr="008D0DEB">
        <w:t>one</w:t>
      </w:r>
      <w:r w:rsidR="00526993" w:rsidRPr="008D0DEB">
        <w:t xml:space="preserve"> </w:t>
      </w:r>
      <w:r w:rsidR="00E16DB5" w:rsidRPr="008D0DEB">
        <w:t>way in which</w:t>
      </w:r>
      <w:r w:rsidR="009009AB" w:rsidRPr="008D0DEB">
        <w:t xml:space="preserve"> </w:t>
      </w:r>
      <w:r w:rsidR="00C84B3A" w:rsidRPr="008D0DEB">
        <w:t xml:space="preserve">governments can leverage market </w:t>
      </w:r>
      <w:r w:rsidR="003047E6" w:rsidRPr="008D0DEB">
        <w:t xml:space="preserve">activity to </w:t>
      </w:r>
      <w:r w:rsidR="00F21B82" w:rsidRPr="008D0DEB">
        <w:t>direct capital to areas of priority</w:t>
      </w:r>
      <w:r w:rsidR="00313CFA" w:rsidRPr="008D0DEB">
        <w:t xml:space="preserve"> without </w:t>
      </w:r>
      <w:r w:rsidR="00434C10" w:rsidRPr="008D0DEB">
        <w:t xml:space="preserve">having </w:t>
      </w:r>
      <w:r w:rsidR="00313CFA" w:rsidRPr="008D0DEB">
        <w:t>to be</w:t>
      </w:r>
      <w:r w:rsidR="00C84B3A" w:rsidRPr="008D0DEB">
        <w:t xml:space="preserve"> the payer or commission</w:t>
      </w:r>
      <w:r w:rsidR="00313CFA" w:rsidRPr="008D0DEB">
        <w:t xml:space="preserve">er. </w:t>
      </w:r>
      <w:r w:rsidR="007042DA" w:rsidRPr="008D0DEB">
        <w:t>W</w:t>
      </w:r>
      <w:r w:rsidR="00330187" w:rsidRPr="008D0DEB">
        <w:t xml:space="preserve">hile </w:t>
      </w:r>
      <w:r w:rsidR="00476C5B" w:rsidRPr="008D0DEB">
        <w:t xml:space="preserve">the </w:t>
      </w:r>
      <w:r w:rsidR="00391604" w:rsidRPr="008D0DEB">
        <w:t xml:space="preserve">impacts </w:t>
      </w:r>
      <w:r w:rsidR="007042DA" w:rsidRPr="008D0DEB">
        <w:t xml:space="preserve">of initiatives such as the SRF </w:t>
      </w:r>
      <w:r w:rsidR="00FB7602" w:rsidRPr="008D0DEB">
        <w:t>should</w:t>
      </w:r>
      <w:r w:rsidR="00330187" w:rsidRPr="008D0DEB">
        <w:t xml:space="preserve"> be intentional and measured</w:t>
      </w:r>
      <w:r w:rsidR="000B7D0E" w:rsidRPr="008D0DEB">
        <w:t>,</w:t>
      </w:r>
      <w:r w:rsidR="006750FC" w:rsidRPr="008D0DEB">
        <w:t xml:space="preserve"> </w:t>
      </w:r>
      <w:r w:rsidR="00D73460" w:rsidRPr="008D0DEB">
        <w:t xml:space="preserve">the </w:t>
      </w:r>
      <w:r w:rsidR="00EF6C18" w:rsidRPr="008D0DEB">
        <w:t>outputs and outcomes</w:t>
      </w:r>
      <w:r w:rsidR="00391604" w:rsidRPr="008D0DEB">
        <w:t xml:space="preserve"> </w:t>
      </w:r>
      <w:r w:rsidR="00D73460" w:rsidRPr="008D0DEB">
        <w:t xml:space="preserve">of these approaches </w:t>
      </w:r>
      <w:r w:rsidR="00391604" w:rsidRPr="008D0DEB">
        <w:t xml:space="preserve">are </w:t>
      </w:r>
      <w:r w:rsidR="00D73460" w:rsidRPr="008D0DEB">
        <w:t xml:space="preserve">typically </w:t>
      </w:r>
      <w:r w:rsidR="00391604" w:rsidRPr="008D0DEB">
        <w:t>less prescriptive</w:t>
      </w:r>
      <w:r w:rsidR="008F7C9E" w:rsidRPr="008D0DEB">
        <w:t xml:space="preserve"> </w:t>
      </w:r>
      <w:r w:rsidR="00C82DC7" w:rsidRPr="008D0DEB">
        <w:t xml:space="preserve">than </w:t>
      </w:r>
      <w:r w:rsidR="00D73460" w:rsidRPr="008D0DEB">
        <w:t xml:space="preserve">in </w:t>
      </w:r>
      <w:r w:rsidR="00C14D07" w:rsidRPr="008D0DEB">
        <w:t xml:space="preserve">outcomes-based contracting. </w:t>
      </w:r>
      <w:r w:rsidR="00D73460" w:rsidRPr="008D0DEB">
        <w:t xml:space="preserve">This </w:t>
      </w:r>
      <w:r w:rsidR="006750FC" w:rsidRPr="008D0DEB">
        <w:t>mean</w:t>
      </w:r>
      <w:r w:rsidR="00D73460" w:rsidRPr="008D0DEB">
        <w:t>s</w:t>
      </w:r>
      <w:r w:rsidR="00073D25" w:rsidRPr="008D0DEB">
        <w:t xml:space="preserve"> the </w:t>
      </w:r>
      <w:r w:rsidR="00C14D07" w:rsidRPr="008D0DEB">
        <w:t>transaction</w:t>
      </w:r>
      <w:r w:rsidR="00073D25" w:rsidRPr="008D0DEB">
        <w:t xml:space="preserve"> </w:t>
      </w:r>
      <w:r w:rsidR="00B5260F" w:rsidRPr="008D0DEB">
        <w:t xml:space="preserve">costs </w:t>
      </w:r>
      <w:r w:rsidR="00073D25" w:rsidRPr="008D0DEB">
        <w:t>are considerably smaller</w:t>
      </w:r>
      <w:r w:rsidR="00B83379" w:rsidRPr="008D0DEB">
        <w:t>,</w:t>
      </w:r>
      <w:r w:rsidR="00073D25" w:rsidRPr="008D0DEB">
        <w:t xml:space="preserve"> and the investments – and the</w:t>
      </w:r>
      <w:r w:rsidR="00891E0F" w:rsidRPr="008D0DEB">
        <w:t xml:space="preserve"> social impacts they enable -</w:t>
      </w:r>
      <w:r w:rsidR="00073D25" w:rsidRPr="008D0DEB">
        <w:t xml:space="preserve"> can be more readily scaled.</w:t>
      </w:r>
    </w:p>
    <w:p w14:paraId="131D46D5" w14:textId="77777777" w:rsidR="002D7E7B" w:rsidRPr="008D0DEB" w:rsidRDefault="00CD7604" w:rsidP="0065556E">
      <w:r w:rsidRPr="008D0DEB">
        <w:t xml:space="preserve">As regulators, government can set national policies </w:t>
      </w:r>
      <w:r w:rsidR="00E623AD" w:rsidRPr="008D0DEB">
        <w:t xml:space="preserve">that </w:t>
      </w:r>
      <w:r w:rsidR="00981BDE" w:rsidRPr="008D0DEB">
        <w:t>require</w:t>
      </w:r>
      <w:r w:rsidRPr="008D0DEB">
        <w:t xml:space="preserve"> social procurement or </w:t>
      </w:r>
      <w:r w:rsidR="00981BDE" w:rsidRPr="008D0DEB">
        <w:t xml:space="preserve">the </w:t>
      </w:r>
      <w:r w:rsidRPr="008D0DEB">
        <w:t xml:space="preserve">measurement of impact. </w:t>
      </w:r>
      <w:r w:rsidR="00504E84" w:rsidRPr="008D0DEB">
        <w:t>As market builders, g</w:t>
      </w:r>
      <w:r w:rsidR="00D666CA" w:rsidRPr="008D0DEB">
        <w:t>overnmen</w:t>
      </w:r>
      <w:r w:rsidR="00504E84" w:rsidRPr="008D0DEB">
        <w:t xml:space="preserve">t </w:t>
      </w:r>
      <w:r w:rsidR="00C837F7" w:rsidRPr="008D0DEB">
        <w:t xml:space="preserve">can incentivise and encourage resources to flow to </w:t>
      </w:r>
      <w:r w:rsidR="00363862" w:rsidRPr="008D0DEB">
        <w:t>areas of social need through</w:t>
      </w:r>
      <w:r w:rsidR="001F718D" w:rsidRPr="008D0DEB">
        <w:t xml:space="preserve"> a range of market building tools, </w:t>
      </w:r>
      <w:r w:rsidR="00632A45" w:rsidRPr="008D0DEB">
        <w:t>like</w:t>
      </w:r>
      <w:r w:rsidR="001F718D" w:rsidRPr="008D0DEB">
        <w:t xml:space="preserve"> those used in other areas of market innovation. </w:t>
      </w:r>
      <w:r w:rsidR="00311A4B" w:rsidRPr="008D0DEB">
        <w:t>This includes</w:t>
      </w:r>
      <w:r w:rsidR="00363862" w:rsidRPr="008D0DEB">
        <w:t xml:space="preserve"> </w:t>
      </w:r>
      <w:r w:rsidR="001F718D" w:rsidRPr="008D0DEB">
        <w:t xml:space="preserve">the provision of </w:t>
      </w:r>
      <w:r w:rsidR="00363862" w:rsidRPr="008D0DEB">
        <w:t xml:space="preserve">catalytic </w:t>
      </w:r>
      <w:r w:rsidR="001F718D" w:rsidRPr="008D0DEB">
        <w:t xml:space="preserve">capital </w:t>
      </w:r>
      <w:r w:rsidR="00363862" w:rsidRPr="008D0DEB">
        <w:t>or market signalling</w:t>
      </w:r>
      <w:r w:rsidR="001F718D" w:rsidRPr="008D0DEB">
        <w:t xml:space="preserve">. </w:t>
      </w:r>
      <w:r w:rsidR="002D7E7B" w:rsidRPr="008D0DEB">
        <w:t xml:space="preserve">The PBO2 and PBO3 </w:t>
      </w:r>
      <w:r w:rsidR="0079687A" w:rsidRPr="008D0DEB">
        <w:t xml:space="preserve">trials </w:t>
      </w:r>
      <w:r w:rsidR="002D7E7B" w:rsidRPr="008D0DEB">
        <w:t>demonstrated the opportunities available to mobilise private capital, into areas where the Australian Government may already be active.</w:t>
      </w:r>
    </w:p>
    <w:p w14:paraId="65331ED6" w14:textId="77777777" w:rsidR="005A4568" w:rsidRPr="008D0DEB" w:rsidRDefault="00675D14" w:rsidP="0065556E">
      <w:bookmarkStart w:id="147" w:name="_Toc137219045"/>
      <w:r w:rsidRPr="008D0DEB">
        <w:t xml:space="preserve">Intermediaries are an important part of the SII market. </w:t>
      </w:r>
      <w:r w:rsidR="007F14B8" w:rsidRPr="008D0DEB">
        <w:t xml:space="preserve">Each of the trials </w:t>
      </w:r>
      <w:r w:rsidR="00B50E00" w:rsidRPr="008D0DEB">
        <w:t>involved</w:t>
      </w:r>
      <w:r w:rsidR="007F14B8" w:rsidRPr="008D0DEB">
        <w:t xml:space="preserve"> advisers, intermediaries and/or investors </w:t>
      </w:r>
      <w:r w:rsidR="00B50E00" w:rsidRPr="008D0DEB">
        <w:t>applying</w:t>
      </w:r>
      <w:r w:rsidR="007F14B8" w:rsidRPr="008D0DEB">
        <w:t xml:space="preserve"> their specialist skills in pricing, program design and measurement. Service providers would not be expected to have these capabilities in-house. </w:t>
      </w:r>
      <w:r w:rsidR="005A4568" w:rsidRPr="008D0DEB">
        <w:lastRenderedPageBreak/>
        <w:t xml:space="preserve">Intermediaries </w:t>
      </w:r>
      <w:r w:rsidR="007F14B8" w:rsidRPr="008D0DEB">
        <w:t>provide a</w:t>
      </w:r>
      <w:r w:rsidR="005A4568" w:rsidRPr="008D0DEB">
        <w:t xml:space="preserve"> critical</w:t>
      </w:r>
      <w:r w:rsidR="00AA4991" w:rsidRPr="008D0DEB">
        <w:t xml:space="preserve"> role in connecting for-purpose organisations with </w:t>
      </w:r>
      <w:r w:rsidR="008E27E3" w:rsidRPr="008D0DEB">
        <w:t xml:space="preserve">investment </w:t>
      </w:r>
      <w:r w:rsidR="008A0E5F" w:rsidRPr="008D0DEB">
        <w:t>capital and</w:t>
      </w:r>
      <w:r w:rsidR="008E27E3" w:rsidRPr="008D0DEB">
        <w:t xml:space="preserve"> </w:t>
      </w:r>
      <w:r w:rsidR="00F77FB1" w:rsidRPr="008D0DEB">
        <w:t>bri</w:t>
      </w:r>
      <w:r w:rsidR="002F3C5F" w:rsidRPr="008D0DEB">
        <w:t>dging the</w:t>
      </w:r>
      <w:r w:rsidR="008E27E3" w:rsidRPr="008D0DEB">
        <w:t xml:space="preserve"> gap</w:t>
      </w:r>
      <w:r w:rsidR="002F3C5F" w:rsidRPr="008D0DEB">
        <w:t>s</w:t>
      </w:r>
      <w:r w:rsidR="008E27E3" w:rsidRPr="008D0DEB">
        <w:t xml:space="preserve"> in knowledge and expertise</w:t>
      </w:r>
      <w:r w:rsidR="00692A96" w:rsidRPr="008D0DEB">
        <w:t>.</w:t>
      </w:r>
    </w:p>
    <w:p w14:paraId="7532E030" w14:textId="77777777" w:rsidR="00536DFB" w:rsidRPr="008D0DEB" w:rsidRDefault="004D0407" w:rsidP="0065556E">
      <w:r w:rsidRPr="008D0DEB">
        <w:t xml:space="preserve">Supporting the </w:t>
      </w:r>
      <w:r w:rsidR="004F60F6" w:rsidRPr="008D0DEB">
        <w:t xml:space="preserve">intermediary market </w:t>
      </w:r>
      <w:r w:rsidRPr="008D0DEB">
        <w:t xml:space="preserve">will enable the </w:t>
      </w:r>
      <w:r w:rsidR="00262E6D" w:rsidRPr="008D0DEB">
        <w:t xml:space="preserve">ecosystem </w:t>
      </w:r>
      <w:r w:rsidR="00D9157B" w:rsidRPr="008D0DEB">
        <w:t xml:space="preserve">and its impact </w:t>
      </w:r>
      <w:r w:rsidR="00262E6D" w:rsidRPr="008D0DEB">
        <w:t>to grow</w:t>
      </w:r>
      <w:bookmarkEnd w:id="147"/>
      <w:r w:rsidR="00DE23A5" w:rsidRPr="008D0DEB">
        <w:t>.</w:t>
      </w:r>
      <w:r w:rsidR="00692A96" w:rsidRPr="008D0DEB">
        <w:t xml:space="preserve"> </w:t>
      </w:r>
      <w:r w:rsidR="001051E2" w:rsidRPr="008D0DEB">
        <w:t>Australia still has a limited number of intermediaries who can provide specialist services to the impact market</w:t>
      </w:r>
      <w:r w:rsidR="008A0E5F" w:rsidRPr="008D0DEB">
        <w:t>, and g</w:t>
      </w:r>
      <w:r w:rsidR="001051E2" w:rsidRPr="008D0DEB">
        <w:t xml:space="preserve">rowth in this sector has been </w:t>
      </w:r>
      <w:r w:rsidR="008A0E5F" w:rsidRPr="008D0DEB">
        <w:t xml:space="preserve">significantly </w:t>
      </w:r>
      <w:r w:rsidR="001051E2" w:rsidRPr="008D0DEB">
        <w:t>enabled by government</w:t>
      </w:r>
      <w:r w:rsidR="00D944D0" w:rsidRPr="008D0DEB">
        <w:t xml:space="preserve"> to this point</w:t>
      </w:r>
      <w:r w:rsidR="001051E2" w:rsidRPr="008D0DEB">
        <w:t>.</w:t>
      </w:r>
      <w:r w:rsidR="002F3C5F" w:rsidRPr="008D0DEB">
        <w:t xml:space="preserve"> </w:t>
      </w:r>
      <w:r w:rsidR="00D37853" w:rsidRPr="008D0DEB">
        <w:t>Intermediaries are also largely clustered in metropolitan areas in the eastern states.</w:t>
      </w:r>
    </w:p>
    <w:p w14:paraId="3BCF9995" w14:textId="77777777" w:rsidR="00174980" w:rsidRPr="008D0DEB" w:rsidRDefault="002F3C5F" w:rsidP="0065556E">
      <w:pPr>
        <w:rPr>
          <w:shd w:val="clear" w:color="auto" w:fill="FFFFFF"/>
        </w:rPr>
      </w:pPr>
      <w:r w:rsidRPr="008D0DEB">
        <w:t xml:space="preserve">The small pool of </w:t>
      </w:r>
      <w:r w:rsidR="00445CD6" w:rsidRPr="008D0DEB">
        <w:t xml:space="preserve">intermediaries has </w:t>
      </w:r>
      <w:r w:rsidR="00DC26E5" w:rsidRPr="008D0DEB">
        <w:t xml:space="preserve">the potential to </w:t>
      </w:r>
      <w:r w:rsidR="009A5BFB" w:rsidRPr="008D0DEB">
        <w:t>create real or perceived conflicts of interest; this occurred during more than one of the trials.</w:t>
      </w:r>
      <w:r w:rsidR="00492EAC" w:rsidRPr="008D0DEB">
        <w:rPr>
          <w:shd w:val="clear" w:color="auto" w:fill="FFFFFF"/>
        </w:rPr>
        <w:t xml:space="preserve"> </w:t>
      </w:r>
      <w:r w:rsidR="00C14D07" w:rsidRPr="008D0DEB">
        <w:rPr>
          <w:shd w:val="clear" w:color="auto" w:fill="FFFFFF"/>
        </w:rPr>
        <w:t>In saying this,</w:t>
      </w:r>
      <w:r w:rsidR="005733D5" w:rsidRPr="008D0DEB">
        <w:rPr>
          <w:shd w:val="clear" w:color="auto" w:fill="FFFFFF"/>
        </w:rPr>
        <w:t xml:space="preserve"> there is a sense that support for growing </w:t>
      </w:r>
      <w:r w:rsidR="005B106A" w:rsidRPr="008D0DEB">
        <w:rPr>
          <w:shd w:val="clear" w:color="auto" w:fill="FFFFFF"/>
        </w:rPr>
        <w:t xml:space="preserve">the intermediary market is shrinking at a time </w:t>
      </w:r>
      <w:r w:rsidR="003031AF" w:rsidRPr="008D0DEB">
        <w:rPr>
          <w:shd w:val="clear" w:color="auto" w:fill="FFFFFF"/>
        </w:rPr>
        <w:t>whe</w:t>
      </w:r>
      <w:r w:rsidR="00063680" w:rsidRPr="008D0DEB">
        <w:rPr>
          <w:shd w:val="clear" w:color="auto" w:fill="FFFFFF"/>
        </w:rPr>
        <w:t xml:space="preserve">n </w:t>
      </w:r>
      <w:r w:rsidR="009E477F" w:rsidRPr="008D0DEB">
        <w:rPr>
          <w:shd w:val="clear" w:color="auto" w:fill="FFFFFF"/>
        </w:rPr>
        <w:t>the impact market is still growing</w:t>
      </w:r>
      <w:r w:rsidR="00C14D07" w:rsidRPr="008D0DEB">
        <w:rPr>
          <w:shd w:val="clear" w:color="auto" w:fill="FFFFFF"/>
        </w:rPr>
        <w:t>,</w:t>
      </w:r>
      <w:r w:rsidR="009E477F" w:rsidRPr="008D0DEB">
        <w:rPr>
          <w:shd w:val="clear" w:color="auto" w:fill="FFFFFF"/>
        </w:rPr>
        <w:t xml:space="preserve"> and support </w:t>
      </w:r>
      <w:r w:rsidR="00C14D07" w:rsidRPr="008D0DEB">
        <w:rPr>
          <w:shd w:val="clear" w:color="auto" w:fill="FFFFFF"/>
        </w:rPr>
        <w:t>is needed.</w:t>
      </w:r>
      <w:r w:rsidR="00174980" w:rsidRPr="008D0DEB">
        <w:rPr>
          <w:shd w:val="clear" w:color="auto" w:fill="FFFFFF"/>
        </w:rPr>
        <w:t xml:space="preserve"> </w:t>
      </w:r>
    </w:p>
    <w:p w14:paraId="2643C49E" w14:textId="77777777" w:rsidR="00825C00" w:rsidRPr="00501490" w:rsidRDefault="00825C00" w:rsidP="0065556E">
      <w:pPr>
        <w:pStyle w:val="HangingQuote"/>
      </w:pPr>
      <w:r w:rsidRPr="00501490">
        <w:t>“</w:t>
      </w:r>
      <w:r w:rsidR="00E81ADB" w:rsidRPr="00501490">
        <w:t>…</w:t>
      </w:r>
      <w:r w:rsidRPr="00501490">
        <w:t>our sense from talking to intermediaries is there is still a need for government investment in market building in this area.”</w:t>
      </w:r>
      <w:r w:rsidR="00E81ADB" w:rsidRPr="00501490">
        <w:t xml:space="preserve"> [</w:t>
      </w:r>
      <w:r w:rsidR="0045782F" w:rsidRPr="00501490">
        <w:t>DSS stakeholder</w:t>
      </w:r>
      <w:r w:rsidR="00E81ADB" w:rsidRPr="00501490">
        <w:t>]</w:t>
      </w:r>
    </w:p>
    <w:p w14:paraId="10DAB2EC" w14:textId="77777777" w:rsidR="00152E3F" w:rsidRPr="008D0DEB" w:rsidRDefault="00205A38" w:rsidP="0065556E">
      <w:pPr>
        <w:pStyle w:val="Head3"/>
      </w:pPr>
      <w:bookmarkStart w:id="148" w:name="_Toc137210950"/>
      <w:bookmarkStart w:id="149" w:name="_Toc137211192"/>
      <w:bookmarkStart w:id="150" w:name="_Toc137219046"/>
      <w:r w:rsidRPr="008D0DEB">
        <w:t>For-purpose organisations benefit from support throughout their growth journey</w:t>
      </w:r>
      <w:bookmarkEnd w:id="148"/>
      <w:bookmarkEnd w:id="149"/>
      <w:bookmarkEnd w:id="150"/>
    </w:p>
    <w:p w14:paraId="310ED330" w14:textId="77777777" w:rsidR="00021981" w:rsidRPr="008D0DEB" w:rsidRDefault="00021981" w:rsidP="0065556E">
      <w:r w:rsidRPr="008D0DEB">
        <w:t xml:space="preserve">Support is </w:t>
      </w:r>
      <w:r w:rsidR="00426AFA" w:rsidRPr="008D0DEB">
        <w:t>needed for for-purpose organisations</w:t>
      </w:r>
      <w:r w:rsidR="002F16CA" w:rsidRPr="008D0DEB">
        <w:t xml:space="preserve"> (agnostic of form) throughout their maturation</w:t>
      </w:r>
      <w:r w:rsidR="00B02E64" w:rsidRPr="008D0DEB">
        <w:t xml:space="preserve"> process.</w:t>
      </w:r>
      <w:r w:rsidR="00426AFA" w:rsidRPr="008D0DEB">
        <w:t xml:space="preserve"> </w:t>
      </w:r>
    </w:p>
    <w:p w14:paraId="20C8AEE8" w14:textId="090F8974" w:rsidR="00D13EC5" w:rsidRPr="008D0DEB" w:rsidRDefault="008B67CF" w:rsidP="0065556E">
      <w:r w:rsidRPr="008D0DEB">
        <w:t>To</w:t>
      </w:r>
      <w:r w:rsidR="00C14D07" w:rsidRPr="008D0DEB">
        <w:t xml:space="preserve"> address the three</w:t>
      </w:r>
      <w:r w:rsidR="00795FB8" w:rsidRPr="008D0DEB">
        <w:t xml:space="preserve"> gaps</w:t>
      </w:r>
      <w:r w:rsidR="007A51EE" w:rsidRPr="008D0DEB">
        <w:t xml:space="preserve"> (enterprise, intermediary, investor)</w:t>
      </w:r>
      <w:r w:rsidR="00795FB8" w:rsidRPr="008D0DEB">
        <w:t xml:space="preserve"> in the market, t</w:t>
      </w:r>
      <w:r w:rsidR="00D13EC5" w:rsidRPr="008D0DEB">
        <w:t xml:space="preserve">he SRF growth grants targeted </w:t>
      </w:r>
      <w:r w:rsidR="00FD3C00" w:rsidRPr="008D0DEB">
        <w:t xml:space="preserve">early-stage enterprises who already had a track record and were looking to grow. </w:t>
      </w:r>
      <w:r w:rsidR="00795FB8" w:rsidRPr="008D0DEB">
        <w:t xml:space="preserve">This is an area where support continues to be needed. However, support </w:t>
      </w:r>
      <w:r w:rsidR="000550FE" w:rsidRPr="008D0DEB">
        <w:t xml:space="preserve">is also required for enterprises </w:t>
      </w:r>
      <w:r w:rsidR="00BB4E80" w:rsidRPr="008D0DEB">
        <w:t xml:space="preserve">in between the startup </w:t>
      </w:r>
      <w:r w:rsidR="00C14D07" w:rsidRPr="008D0DEB">
        <w:t>and early stage.</w:t>
      </w:r>
      <w:r w:rsidR="00BB4E80" w:rsidRPr="008D0DEB">
        <w:t xml:space="preserve"> </w:t>
      </w:r>
    </w:p>
    <w:p w14:paraId="4DEAC549" w14:textId="3AD6780F" w:rsidR="00825036" w:rsidRPr="008D0DEB" w:rsidRDefault="003763EC" w:rsidP="0065556E">
      <w:r w:rsidRPr="008D0DEB">
        <w:t xml:space="preserve">In the SRF, enterprises were encouraged to select intermediaries with whom the enterprises had already established trust and rapport. Previous research indicates these trust-based relationships lead to the best </w:t>
      </w:r>
      <w:r w:rsidR="00D1321A" w:rsidRPr="008D0DEB">
        <w:t xml:space="preserve">chance of successful capital raising. </w:t>
      </w:r>
      <w:r w:rsidR="00825036" w:rsidRPr="008D0DEB">
        <w:t xml:space="preserve">Feedback from the trials </w:t>
      </w:r>
      <w:r w:rsidR="00D1321A" w:rsidRPr="008D0DEB">
        <w:t xml:space="preserve">however </w:t>
      </w:r>
      <w:r w:rsidR="00825036" w:rsidRPr="008D0DEB">
        <w:t>also indicate</w:t>
      </w:r>
      <w:r w:rsidR="00D1321A" w:rsidRPr="008D0DEB">
        <w:t>d</w:t>
      </w:r>
      <w:r w:rsidR="00825036" w:rsidRPr="008D0DEB">
        <w:t xml:space="preserve"> that support is better offered in discrete parcels, with an ability for enterprises to easily move to different suppliers or intermediaries. </w:t>
      </w:r>
      <w:r w:rsidR="00C43F47" w:rsidRPr="008D0DEB">
        <w:t xml:space="preserve">Offering smaller, more flexible funding would also serve to help diversify and grow the intermediary market. However, </w:t>
      </w:r>
      <w:r w:rsidR="000650BC" w:rsidRPr="008D0DEB">
        <w:t xml:space="preserve">design needs to consider limiting the administrative burden on resource-poor enterprises. </w:t>
      </w:r>
    </w:p>
    <w:p w14:paraId="429F548A" w14:textId="77777777" w:rsidR="00BB4E80" w:rsidRPr="008D0DEB" w:rsidRDefault="00C47DF8" w:rsidP="0065556E">
      <w:r w:rsidRPr="008D0DEB">
        <w:t xml:space="preserve">The </w:t>
      </w:r>
      <w:r w:rsidR="00A064BC" w:rsidRPr="008D0DEB">
        <w:t xml:space="preserve">selection </w:t>
      </w:r>
      <w:r w:rsidRPr="008D0DEB">
        <w:t xml:space="preserve">panel of experts who </w:t>
      </w:r>
      <w:r w:rsidR="00A064BC" w:rsidRPr="008D0DEB">
        <w:t xml:space="preserve">provided their pro-bono services </w:t>
      </w:r>
      <w:r w:rsidR="004C7253" w:rsidRPr="008D0DEB">
        <w:t xml:space="preserve">played </w:t>
      </w:r>
      <w:r w:rsidR="00040B91" w:rsidRPr="008D0DEB">
        <w:t xml:space="preserve">a value-adding </w:t>
      </w:r>
      <w:r w:rsidR="004C7253" w:rsidRPr="008D0DEB">
        <w:t xml:space="preserve">role of </w:t>
      </w:r>
      <w:r w:rsidR="00040B91" w:rsidRPr="008D0DEB">
        <w:t>quasi</w:t>
      </w:r>
      <w:r w:rsidR="00F4196C" w:rsidRPr="008D0DEB">
        <w:t>-</w:t>
      </w:r>
      <w:r w:rsidR="004C7253" w:rsidRPr="008D0DEB">
        <w:t xml:space="preserve">investment committee. </w:t>
      </w:r>
      <w:r w:rsidR="00017921" w:rsidRPr="008D0DEB">
        <w:t>The panels were comprised of individuals w</w:t>
      </w:r>
      <w:r w:rsidR="004D104D" w:rsidRPr="008D0DEB">
        <w:t>ith</w:t>
      </w:r>
      <w:r w:rsidR="00A92B52" w:rsidRPr="008D0DEB">
        <w:t xml:space="preserve"> an intentional mix of</w:t>
      </w:r>
      <w:r w:rsidR="004D104D" w:rsidRPr="008D0DEB">
        <w:t xml:space="preserve"> diverse backgrounds</w:t>
      </w:r>
      <w:r w:rsidR="00017921" w:rsidRPr="008D0DEB">
        <w:t>. There were</w:t>
      </w:r>
      <w:r w:rsidR="000173FA" w:rsidRPr="008D0DEB">
        <w:t xml:space="preserve"> </w:t>
      </w:r>
      <w:r w:rsidR="004C7253" w:rsidRPr="008D0DEB">
        <w:t xml:space="preserve">from a cross-section of </w:t>
      </w:r>
      <w:r w:rsidR="00951630" w:rsidRPr="008D0DEB">
        <w:t xml:space="preserve">entrepreneur to impact specialist and from </w:t>
      </w:r>
      <w:r w:rsidR="00C14D07" w:rsidRPr="008D0DEB">
        <w:t>venture capital to institutional investors. The selection panels provided bespoke and specialist advice</w:t>
      </w:r>
      <w:r w:rsidR="00DE1960" w:rsidRPr="008D0DEB">
        <w:t xml:space="preserve"> to all interviewed applicants, irrespective of whether or not they were successful in being awarded a grant.</w:t>
      </w:r>
    </w:p>
    <w:p w14:paraId="757B15DC" w14:textId="6D58BD68" w:rsidR="00250997" w:rsidRPr="008D0DEB" w:rsidRDefault="005648B2" w:rsidP="0065556E">
      <w:r w:rsidRPr="008D0DEB">
        <w:t xml:space="preserve">The SRF </w:t>
      </w:r>
      <w:r w:rsidR="00C14D07" w:rsidRPr="008D0DEB">
        <w:t>trial’s</w:t>
      </w:r>
      <w:r w:rsidRPr="008D0DEB">
        <w:t xml:space="preserve"> evidence showed that 29</w:t>
      </w:r>
      <w:r w:rsidR="00C14D07" w:rsidRPr="008D0DEB">
        <w:t xml:space="preserve"> per cent</w:t>
      </w:r>
      <w:r w:rsidR="00C82BAA" w:rsidRPr="008D0DEB">
        <w:t xml:space="preserve"> of applicants </w:t>
      </w:r>
      <w:r w:rsidR="00FC0872" w:rsidRPr="008D0DEB">
        <w:t>were</w:t>
      </w:r>
      <w:r w:rsidR="00C82BAA" w:rsidRPr="008D0DEB">
        <w:t xml:space="preserve"> assessed as ineligible at the expression of interest stage</w:t>
      </w:r>
      <w:r w:rsidR="00FC0872" w:rsidRPr="008D0DEB">
        <w:t xml:space="preserve"> because their impact did not align with the</w:t>
      </w:r>
      <w:r w:rsidR="00C82BAA" w:rsidRPr="008D0DEB">
        <w:t xml:space="preserve"> </w:t>
      </w:r>
      <w:r w:rsidR="008A5D64" w:rsidRPr="008D0DEB">
        <w:t>DSS social impact areas</w:t>
      </w:r>
      <w:r w:rsidR="00740754" w:rsidRPr="008D0DEB">
        <w:t>; many</w:t>
      </w:r>
      <w:r w:rsidR="008A5D64" w:rsidRPr="008D0DEB">
        <w:t xml:space="preserve"> </w:t>
      </w:r>
      <w:r w:rsidR="00740754" w:rsidRPr="008D0DEB">
        <w:t xml:space="preserve">of these </w:t>
      </w:r>
      <w:r w:rsidR="008A5D64" w:rsidRPr="008D0DEB">
        <w:t xml:space="preserve">were targeting environmental impacts. </w:t>
      </w:r>
      <w:r w:rsidR="0081097A" w:rsidRPr="008D0DEB">
        <w:t xml:space="preserve">In designing the SRF, DSS worked hard to </w:t>
      </w:r>
      <w:r w:rsidR="00F6645C" w:rsidRPr="008D0DEB">
        <w:t xml:space="preserve">expand the range of eligible social issues </w:t>
      </w:r>
      <w:r w:rsidR="00AF38AA" w:rsidRPr="008D0DEB">
        <w:t xml:space="preserve">within the limits </w:t>
      </w:r>
      <w:r w:rsidR="00F6645C" w:rsidRPr="008D0DEB">
        <w:t>allowed by Constitution</w:t>
      </w:r>
      <w:r w:rsidR="00AF38AA" w:rsidRPr="008D0DEB">
        <w:t xml:space="preserve"> requirements</w:t>
      </w:r>
      <w:r w:rsidR="00F6645C" w:rsidRPr="008D0DEB">
        <w:t>.</w:t>
      </w:r>
      <w:r w:rsidR="00AF38AA" w:rsidRPr="008D0DEB">
        <w:t xml:space="preserve"> </w:t>
      </w:r>
      <w:r w:rsidR="00B361D0" w:rsidRPr="008D0DEB">
        <w:t>Working across portfolios with other government departments might be a way to extend the</w:t>
      </w:r>
      <w:r w:rsidR="003060FF" w:rsidRPr="008D0DEB">
        <w:t xml:space="preserve"> eligibility criteria. Considerations could be given to working with the </w:t>
      </w:r>
      <w:r w:rsidR="00B361D0" w:rsidRPr="008D0DEB">
        <w:t xml:space="preserve">Department </w:t>
      </w:r>
      <w:r w:rsidR="003060FF" w:rsidRPr="008D0DEB">
        <w:t>of Industry</w:t>
      </w:r>
      <w:r w:rsidR="001D3DD7" w:rsidRPr="008D0DEB">
        <w:t>, Science and Resources</w:t>
      </w:r>
      <w:r w:rsidR="00C14D07" w:rsidRPr="008D0DEB">
        <w:t>,</w:t>
      </w:r>
      <w:r w:rsidR="003060FF" w:rsidRPr="008D0DEB">
        <w:t xml:space="preserve"> for example</w:t>
      </w:r>
      <w:r w:rsidR="00C14D07" w:rsidRPr="008D0DEB">
        <w:t>,</w:t>
      </w:r>
      <w:r w:rsidR="003060FF" w:rsidRPr="008D0DEB">
        <w:t xml:space="preserve"> which </w:t>
      </w:r>
      <w:r w:rsidR="00381286" w:rsidRPr="008D0DEB">
        <w:t xml:space="preserve">is establishing an Industry Growth Program to support Australia </w:t>
      </w:r>
      <w:r w:rsidR="00C14D07" w:rsidRPr="008D0DEB">
        <w:t>small</w:t>
      </w:r>
      <w:r w:rsidR="00381286" w:rsidRPr="008D0DEB">
        <w:t xml:space="preserve"> and </w:t>
      </w:r>
      <w:r w:rsidR="00C14D07" w:rsidRPr="008D0DEB">
        <w:t>medium enterprises (SMEs)s and startups to commercialise their ideas and grow their operations.</w:t>
      </w:r>
      <w:r w:rsidR="00C23A54" w:rsidRPr="008D0DEB">
        <w:t xml:space="preserve"> </w:t>
      </w:r>
    </w:p>
    <w:p w14:paraId="0E029010" w14:textId="77777777" w:rsidR="00802089" w:rsidRPr="008D0DEB" w:rsidRDefault="00E400DA" w:rsidP="0065556E">
      <w:pPr>
        <w:pStyle w:val="Head3"/>
      </w:pPr>
      <w:r w:rsidRPr="008D0DEB">
        <w:t>E</w:t>
      </w:r>
      <w:r w:rsidR="00106EFF" w:rsidRPr="008D0DEB">
        <w:t>nabling</w:t>
      </w:r>
      <w:r w:rsidRPr="008D0DEB">
        <w:t xml:space="preserve"> market participation through capacity building</w:t>
      </w:r>
    </w:p>
    <w:p w14:paraId="135D6219" w14:textId="77777777" w:rsidR="002F6B7C" w:rsidRPr="008D0DEB" w:rsidRDefault="00CA3346" w:rsidP="0065556E">
      <w:r w:rsidRPr="008D0DEB">
        <w:t>To build the market, government policy</w:t>
      </w:r>
      <w:r w:rsidR="00CA6F35" w:rsidRPr="008D0DEB">
        <w:t xml:space="preserve"> </w:t>
      </w:r>
      <w:r w:rsidR="00611EE6" w:rsidRPr="008D0DEB">
        <w:t xml:space="preserve">focus should be on enabling organisations to participate </w:t>
      </w:r>
      <w:r w:rsidR="0093011E" w:rsidRPr="008D0DEB">
        <w:t>independently</w:t>
      </w:r>
      <w:r w:rsidR="003C7920" w:rsidRPr="008D0DEB">
        <w:t xml:space="preserve">. As the market matures, this requires </w:t>
      </w:r>
      <w:r w:rsidR="006D4DE6" w:rsidRPr="008D0DEB">
        <w:t>a range of</w:t>
      </w:r>
      <w:r w:rsidR="00A94C09" w:rsidRPr="008D0DEB">
        <w:t xml:space="preserve"> supportive measures, but care should be taken to </w:t>
      </w:r>
      <w:r w:rsidR="00F1574C" w:rsidRPr="008D0DEB">
        <w:t>build capacity where possible</w:t>
      </w:r>
      <w:r w:rsidR="002F6B7C" w:rsidRPr="008D0DEB">
        <w:t xml:space="preserve">. </w:t>
      </w:r>
    </w:p>
    <w:p w14:paraId="011CF227" w14:textId="77777777" w:rsidR="00BF0143" w:rsidRDefault="00BF0143">
      <w:r>
        <w:br w:type="page"/>
      </w:r>
    </w:p>
    <w:p w14:paraId="008919F9" w14:textId="3EDC2277" w:rsidR="00106EFF" w:rsidRPr="008D0DEB" w:rsidRDefault="002F6B7C" w:rsidP="0065556E">
      <w:r w:rsidRPr="008D0DEB">
        <w:lastRenderedPageBreak/>
        <w:t>For example, f</w:t>
      </w:r>
      <w:r w:rsidR="00356D47" w:rsidRPr="008D0DEB">
        <w:t>eedback from some intermediaries and social enterprises in the SRF indicate</w:t>
      </w:r>
      <w:r w:rsidR="00523BBD" w:rsidRPr="008D0DEB">
        <w:t>d</w:t>
      </w:r>
      <w:r w:rsidR="00356D47" w:rsidRPr="008D0DEB">
        <w:t xml:space="preserve"> that </w:t>
      </w:r>
      <w:r w:rsidR="009E328B" w:rsidRPr="008D0DEB">
        <w:t xml:space="preserve">they needed more support to help manage </w:t>
      </w:r>
      <w:r w:rsidR="00186654" w:rsidRPr="008D0DEB">
        <w:t>relationship</w:t>
      </w:r>
      <w:r w:rsidR="009E328B" w:rsidRPr="008D0DEB">
        <w:t xml:space="preserve"> disputes </w:t>
      </w:r>
      <w:r w:rsidR="00186654" w:rsidRPr="008D0DEB">
        <w:t xml:space="preserve">in the </w:t>
      </w:r>
      <w:r w:rsidR="00FA1272" w:rsidRPr="008D0DEB">
        <w:t xml:space="preserve">implementation of grant-enabled services. </w:t>
      </w:r>
      <w:r w:rsidR="007C7302" w:rsidRPr="008D0DEB">
        <w:t>In response, r</w:t>
      </w:r>
      <w:r w:rsidR="00106EFF" w:rsidRPr="008D0DEB">
        <w:t xml:space="preserve">ecommendations from the SRF evaluation </w:t>
      </w:r>
      <w:r w:rsidR="00BA3A0D" w:rsidRPr="008D0DEB">
        <w:t>prescribed</w:t>
      </w:r>
      <w:r w:rsidR="00106EFF" w:rsidRPr="008D0DEB">
        <w:t xml:space="preserve"> a more hands-on role for grant administrators in managing relationships between intermediaries and grant recipients. This level of engagement may </w:t>
      </w:r>
      <w:r w:rsidR="00BA3A0D" w:rsidRPr="008D0DEB">
        <w:t>resolve the immediate problem of managing a contractual dispute</w:t>
      </w:r>
      <w:r w:rsidR="00C14D07" w:rsidRPr="008D0DEB">
        <w:t xml:space="preserve"> but may undermine the business’ ability to manage such issues on their own.</w:t>
      </w:r>
      <w:r w:rsidR="00902AC8" w:rsidRPr="008D0DEB">
        <w:t xml:space="preserve"> </w:t>
      </w:r>
      <w:r w:rsidR="00CA6F35" w:rsidRPr="008D0DEB">
        <w:t xml:space="preserve">A better solution could be to provide education about </w:t>
      </w:r>
      <w:r w:rsidR="00BE36E2" w:rsidRPr="008D0DEB">
        <w:t>contract management as part of the grant</w:t>
      </w:r>
      <w:r w:rsidR="003D55E9" w:rsidRPr="008D0DEB">
        <w:t>.</w:t>
      </w:r>
      <w:r w:rsidR="00BF0143">
        <w:t xml:space="preserve"> </w:t>
      </w:r>
    </w:p>
    <w:p w14:paraId="26B62479" w14:textId="77777777" w:rsidR="37BD2F6D" w:rsidRPr="008D0DEB" w:rsidRDefault="37BD2F6D" w:rsidP="0065556E">
      <w:pPr>
        <w:pStyle w:val="Head3"/>
      </w:pPr>
      <w:r w:rsidRPr="008D0DEB">
        <w:t>Value creation can be embedded throughout SII policy initiatives</w:t>
      </w:r>
    </w:p>
    <w:p w14:paraId="34A20695" w14:textId="77777777" w:rsidR="4F696B1B" w:rsidRPr="008D0DEB" w:rsidRDefault="00EE5257" w:rsidP="0065556E">
      <w:r w:rsidRPr="008D0DEB">
        <w:t xml:space="preserve">Intentional policy design can </w:t>
      </w:r>
      <w:r w:rsidR="00C742EF" w:rsidRPr="008D0DEB">
        <w:t xml:space="preserve">embed value creation throughout </w:t>
      </w:r>
      <w:r w:rsidR="000E21A1" w:rsidRPr="008D0DEB">
        <w:t xml:space="preserve">an initiative. </w:t>
      </w:r>
      <w:r w:rsidR="00C14D07" w:rsidRPr="008D0DEB">
        <w:t>For example,</w:t>
      </w:r>
      <w:r w:rsidR="4436015F" w:rsidRPr="008D0DEB">
        <w:t xml:space="preserve"> the SRF growth grant process was designed to leverage external value at every stage. At the application stage, intermediaries worked in consultation with growth grant applicants to recommend a suite of services they would deliver to achieve agreed capital raising results. Awarding the grant funding to the enterprise for the purpose of commissioning intermediary services, and a 30</w:t>
      </w:r>
      <w:r w:rsidR="00C14D07" w:rsidRPr="008D0DEB">
        <w:t xml:space="preserve"> per cent performance hurdle for capital raising helped the parties to drive towards mutually reinforcing objectives.</w:t>
      </w:r>
      <w:r w:rsidR="4436015F" w:rsidRPr="008D0DEB">
        <w:t xml:space="preserve"> This approach meant that intermediaries were not only responsible for delivering an agreed set of services, but they also had responsibility to ensure the services achieved the outcomes they were designed to deliver. </w:t>
      </w:r>
      <w:r w:rsidR="6D683AB6" w:rsidRPr="008D0DEB">
        <w:t>At the application stage, an external panel of market experts played the role of a quasi-investment committe</w:t>
      </w:r>
      <w:r w:rsidR="00216A9E" w:rsidRPr="008D0DEB">
        <w:t>e</w:t>
      </w:r>
      <w:r w:rsidR="6D683AB6" w:rsidRPr="008D0DEB">
        <w:t xml:space="preserve"> and assessed applications for their impact and lik</w:t>
      </w:r>
      <w:r w:rsidR="21960B09" w:rsidRPr="008D0DEB">
        <w:t xml:space="preserve">elihood of achieving capital raising. </w:t>
      </w:r>
    </w:p>
    <w:p w14:paraId="46E35231" w14:textId="77777777" w:rsidR="4436015F" w:rsidRPr="008D0DEB" w:rsidRDefault="21960B09" w:rsidP="0065556E">
      <w:r w:rsidRPr="008D0DEB">
        <w:t xml:space="preserve">The SRF also relied on the administrating organisation, </w:t>
      </w:r>
      <w:r w:rsidR="00C06E58" w:rsidRPr="008D0DEB">
        <w:t>I</w:t>
      </w:r>
      <w:r w:rsidRPr="008D0DEB">
        <w:t>IA, to fundraise operational capital to manage the grant. This re</w:t>
      </w:r>
      <w:r w:rsidR="07A30E9D" w:rsidRPr="008D0DEB">
        <w:t xml:space="preserve">directed philanthropic capital from being used for purposes best suited to philanthropy. </w:t>
      </w:r>
    </w:p>
    <w:p w14:paraId="19D4EBA5" w14:textId="2A63D9E5" w:rsidR="007D1B65" w:rsidRPr="008D0DEB" w:rsidRDefault="005066FF" w:rsidP="0065556E">
      <w:pPr>
        <w:pStyle w:val="Head3"/>
      </w:pPr>
      <w:bookmarkStart w:id="151" w:name="_Toc137210951"/>
      <w:bookmarkStart w:id="152" w:name="_Toc137211193"/>
      <w:bookmarkStart w:id="153" w:name="_Toc137219047"/>
      <w:r w:rsidRPr="008D0DEB">
        <w:t xml:space="preserve">Impact measurement </w:t>
      </w:r>
      <w:r w:rsidR="0031524D" w:rsidRPr="008D0DEB">
        <w:t>and management remain</w:t>
      </w:r>
      <w:r w:rsidR="00207716" w:rsidRPr="008D0DEB">
        <w:t>s</w:t>
      </w:r>
      <w:r w:rsidR="0031524D" w:rsidRPr="008D0DEB">
        <w:t xml:space="preserve"> challenging for many</w:t>
      </w:r>
      <w:bookmarkEnd w:id="151"/>
      <w:bookmarkEnd w:id="152"/>
      <w:bookmarkEnd w:id="153"/>
    </w:p>
    <w:p w14:paraId="1860DFD4" w14:textId="52227AE4" w:rsidR="00FB3162" w:rsidRPr="008D0DEB" w:rsidRDefault="00A77DAE" w:rsidP="0065556E">
      <w:r w:rsidRPr="008D0DEB">
        <w:t>For impact-led businesses, their social impact is an important part of how the</w:t>
      </w:r>
      <w:r w:rsidR="00216A9E" w:rsidRPr="008D0DEB">
        <w:t>y</w:t>
      </w:r>
      <w:r w:rsidRPr="008D0DEB">
        <w:t xml:space="preserve"> build their value. </w:t>
      </w:r>
      <w:r w:rsidR="00FB3162" w:rsidRPr="008D0DEB">
        <w:t xml:space="preserve">As the SII market grows, the ability for service providers to measure impact reliably and cost-effectively will become more critical. </w:t>
      </w:r>
      <w:r w:rsidR="00C16BE3" w:rsidRPr="008D0DEB">
        <w:t>A DSS</w:t>
      </w:r>
      <w:r w:rsidR="003B1179" w:rsidRPr="008D0DEB" w:rsidDel="0079218C">
        <w:t xml:space="preserve"> </w:t>
      </w:r>
      <w:r w:rsidR="0079218C" w:rsidRPr="008D0DEB">
        <w:t xml:space="preserve">scoping study of outcome and impact measurement </w:t>
      </w:r>
      <w:r w:rsidR="003B1179" w:rsidRPr="008D0DEB">
        <w:t xml:space="preserve">suggested </w:t>
      </w:r>
      <w:r w:rsidR="00FA39DE" w:rsidRPr="008D0DEB">
        <w:t xml:space="preserve">limitations among service providers in </w:t>
      </w:r>
      <w:r w:rsidR="00CE7F65" w:rsidRPr="008D0DEB">
        <w:t>reporting on</w:t>
      </w:r>
      <w:r w:rsidR="00FA39DE" w:rsidRPr="008D0DEB">
        <w:t xml:space="preserve"> outcomes were </w:t>
      </w:r>
      <w:r w:rsidR="000C097D" w:rsidRPr="008D0DEB">
        <w:t xml:space="preserve">barriers to private investment, as investors are unable to </w:t>
      </w:r>
      <w:r w:rsidR="001F5098" w:rsidRPr="008D0DEB">
        <w:t>assess opportunities</w:t>
      </w:r>
      <w:r w:rsidR="00FF05E8" w:rsidRPr="008D0DEB">
        <w:t>.</w:t>
      </w:r>
      <w:r w:rsidR="00FF05E8" w:rsidRPr="008D0DEB">
        <w:rPr>
          <w:rStyle w:val="FootnoteReference"/>
        </w:rPr>
        <w:footnoteReference w:id="37"/>
      </w:r>
      <w:r w:rsidR="00FF05E8" w:rsidRPr="008D0DEB">
        <w:t xml:space="preserve"> </w:t>
      </w:r>
      <w:r w:rsidR="00FA39DE" w:rsidRPr="008D0DEB">
        <w:t>The findings from the trials</w:t>
      </w:r>
      <w:r w:rsidR="001F5098" w:rsidRPr="008D0DEB">
        <w:t xml:space="preserve"> </w:t>
      </w:r>
      <w:r w:rsidR="00777F92" w:rsidRPr="008D0DEB">
        <w:t xml:space="preserve">have reiterated </w:t>
      </w:r>
      <w:r w:rsidR="00FB3162" w:rsidRPr="008D0DEB">
        <w:rPr>
          <w:color w:val="333333" w:themeColor="text2" w:themeShade="80"/>
        </w:rPr>
        <w:t>the importance of outcome measurement to enhance social enterprises’ ability to communicate and build relationships with potential and existing funders.</w:t>
      </w:r>
    </w:p>
    <w:p w14:paraId="5777750C" w14:textId="77777777" w:rsidR="00FB3162" w:rsidRPr="008D0DEB" w:rsidRDefault="00FB3162" w:rsidP="0065556E">
      <w:r w:rsidRPr="008D0DEB">
        <w:t xml:space="preserve">However, measuring social outcomes and impact is inherently challenging. Outcomes can be difficult to measure, hard to quantify and are sometimes only visible except at longer timescales. The factors which contribute to social change are complex and it is difficult to isolate and precisely attribute the change created by a single initiative. Consequently, measurement often requires using (generally imperfect) indicators that act as proxies for the underlying change. </w:t>
      </w:r>
    </w:p>
    <w:p w14:paraId="1CD22D92" w14:textId="77777777" w:rsidR="00FB3162" w:rsidRPr="008D0DEB" w:rsidRDefault="00FB3162" w:rsidP="0065556E">
      <w:r w:rsidRPr="008D0DEB">
        <w:rPr>
          <w:shd w:val="clear" w:color="auto" w:fill="FFFFFF"/>
        </w:rPr>
        <w:t xml:space="preserve">The capacity of all actors in SII, including non-government and private sector organisations, to measure social impact </w:t>
      </w:r>
      <w:r w:rsidR="00FA4047" w:rsidRPr="008D0DEB">
        <w:rPr>
          <w:shd w:val="clear" w:color="auto" w:fill="FFFFFF"/>
        </w:rPr>
        <w:t>continues to be</w:t>
      </w:r>
      <w:r w:rsidRPr="008D0DEB">
        <w:rPr>
          <w:shd w:val="clear" w:color="auto" w:fill="FFFFFF"/>
        </w:rPr>
        <w:t xml:space="preserve"> challenging and will likely</w:t>
      </w:r>
      <w:r w:rsidRPr="008D0DEB">
        <w:t xml:space="preserve"> require ongoing</w:t>
      </w:r>
      <w:r w:rsidR="00FA4047" w:rsidRPr="008D0DEB">
        <w:t xml:space="preserve"> attention to continue to grow the market.</w:t>
      </w:r>
    </w:p>
    <w:p w14:paraId="462AF635" w14:textId="77777777" w:rsidR="00D803F1" w:rsidRPr="008D0DEB" w:rsidRDefault="00D803F1" w:rsidP="0065556E">
      <w:pPr>
        <w:pStyle w:val="HangingQuote"/>
        <w:rPr>
          <w:rFonts w:ascii="Calibri" w:hAnsi="Calibri" w:cs="Calibri"/>
          <w:szCs w:val="22"/>
          <w:lang w:val="en-AU"/>
        </w:rPr>
      </w:pPr>
      <w:r w:rsidRPr="008D0DEB">
        <w:rPr>
          <w:rFonts w:ascii="Calibri" w:hAnsi="Calibri" w:cs="Calibri"/>
          <w:iCs/>
          <w:szCs w:val="22"/>
          <w:lang w:val="en-AU"/>
        </w:rPr>
        <w:t>“</w:t>
      </w:r>
      <w:r w:rsidRPr="008D0DEB">
        <w:rPr>
          <w:lang w:val="en-AU"/>
        </w:rPr>
        <w:t>It also needs to be remembered that an impact investment approach is not inherently riskier than any grant funded program, just less familiar.”</w:t>
      </w:r>
      <w:r w:rsidRPr="008D0DEB">
        <w:rPr>
          <w:rStyle w:val="FootnoteReference"/>
          <w:rFonts w:ascii="Calibri" w:hAnsi="Calibri" w:cs="Calibri"/>
          <w:i w:val="0"/>
          <w:iCs/>
          <w:szCs w:val="22"/>
          <w:lang w:val="en-AU"/>
        </w:rPr>
        <w:footnoteReference w:id="38"/>
      </w:r>
      <w:r w:rsidRPr="008D0DEB">
        <w:rPr>
          <w:rFonts w:ascii="Calibri" w:hAnsi="Calibri" w:cs="Calibri"/>
          <w:szCs w:val="22"/>
          <w:lang w:val="en-AU"/>
        </w:rPr>
        <w:t xml:space="preserve"> </w:t>
      </w:r>
    </w:p>
    <w:p w14:paraId="7934239F" w14:textId="0019A722" w:rsidR="00C14D07" w:rsidRPr="008D0DEB" w:rsidRDefault="00C14D07" w:rsidP="0065556E">
      <w:pPr>
        <w:pStyle w:val="HangingQuote"/>
        <w:rPr>
          <w:rFonts w:eastAsiaTheme="minorEastAsia" w:cs="Verdana"/>
          <w:szCs w:val="20"/>
        </w:rPr>
      </w:pPr>
      <w:bookmarkStart w:id="154" w:name="_Toc137210723"/>
      <w:r w:rsidRPr="008D0DEB">
        <w:t>“There’s certainly so many learnings coming through.</w:t>
      </w:r>
      <w:r w:rsidR="00BF0143">
        <w:t xml:space="preserve"> </w:t>
      </w:r>
      <w:r w:rsidRPr="008D0DEB">
        <w:t>I think with a different lens–- I’m going into it understanding that every learning is great.</w:t>
      </w:r>
      <w:r w:rsidR="00BF0143">
        <w:t xml:space="preserve"> </w:t>
      </w:r>
      <w:r w:rsidRPr="008D0DEB">
        <w:t>That’s my understanding, is every learning is important”</w:t>
      </w:r>
      <w:r w:rsidRPr="008D0DEB">
        <w:rPr>
          <w:rFonts w:eastAsiaTheme="minorEastAsia" w:cs="Verdana"/>
          <w:szCs w:val="20"/>
        </w:rPr>
        <w:t xml:space="preserve"> [Stakeholder interview]</w:t>
      </w:r>
    </w:p>
    <w:p w14:paraId="78874B0B" w14:textId="334B83C8" w:rsidR="00F4142E" w:rsidRPr="008D0DEB" w:rsidRDefault="00D63AA3" w:rsidP="0065556E">
      <w:pPr>
        <w:pStyle w:val="Heading2"/>
      </w:pPr>
      <w:bookmarkStart w:id="155" w:name="_Toc153801734"/>
      <w:r w:rsidRPr="008D0DEB">
        <w:lastRenderedPageBreak/>
        <w:t>The</w:t>
      </w:r>
      <w:r w:rsidR="008560E6" w:rsidRPr="008D0DEB">
        <w:t xml:space="preserve"> role</w:t>
      </w:r>
      <w:r w:rsidR="00DF5E06" w:rsidRPr="008D0DEB">
        <w:t xml:space="preserve"> of </w:t>
      </w:r>
      <w:r w:rsidR="008560E6" w:rsidRPr="008D0DEB">
        <w:t>government</w:t>
      </w:r>
      <w:bookmarkEnd w:id="154"/>
      <w:bookmarkEnd w:id="155"/>
    </w:p>
    <w:p w14:paraId="357EE9C9" w14:textId="1432C6A4" w:rsidR="00400598" w:rsidRPr="008D0DEB" w:rsidRDefault="00400598" w:rsidP="0065556E">
      <w:pPr>
        <w:pStyle w:val="Head3"/>
      </w:pPr>
      <w:bookmarkStart w:id="156" w:name="_Toc137210953"/>
      <w:bookmarkStart w:id="157" w:name="_Toc137211195"/>
      <w:bookmarkStart w:id="158" w:name="_Toc137219049"/>
      <w:r w:rsidRPr="008D0DEB">
        <w:t>Legal</w:t>
      </w:r>
      <w:r w:rsidR="004D59FB" w:rsidRPr="008D0DEB">
        <w:t xml:space="preserve"> constraints are real and </w:t>
      </w:r>
      <w:r w:rsidR="008A112D" w:rsidRPr="008D0DEB">
        <w:t>need to be understood</w:t>
      </w:r>
      <w:bookmarkEnd w:id="156"/>
      <w:bookmarkEnd w:id="157"/>
      <w:bookmarkEnd w:id="158"/>
    </w:p>
    <w:p w14:paraId="3058CAB7" w14:textId="7DC29AB8" w:rsidR="004E424C" w:rsidRPr="008D0DEB" w:rsidRDefault="00E81AF3" w:rsidP="0065556E">
      <w:r w:rsidRPr="008D0DEB">
        <w:t xml:space="preserve">There are important constraints on how governments can act within the space of SII, which have arisen within the trials. </w:t>
      </w:r>
      <w:r w:rsidR="00D32D6E" w:rsidRPr="008D0DEB">
        <w:t xml:space="preserve">First among these are the limitations on areas within which the Australian Government </w:t>
      </w:r>
      <w:r w:rsidR="009B2162" w:rsidRPr="008D0DEB">
        <w:t>can</w:t>
      </w:r>
      <w:r w:rsidR="00D32D6E" w:rsidRPr="008D0DEB">
        <w:t xml:space="preserve"> make </w:t>
      </w:r>
      <w:r w:rsidR="000F651F" w:rsidRPr="008D0DEB">
        <w:t xml:space="preserve">laws and apply policy, given the constraints of section 51 of the Constitution. </w:t>
      </w:r>
      <w:r w:rsidR="00E70561" w:rsidRPr="008D0DEB">
        <w:t xml:space="preserve">These limitations </w:t>
      </w:r>
      <w:r w:rsidR="00B37C51" w:rsidRPr="008D0DEB">
        <w:t xml:space="preserve">need to be appropriately considered in </w:t>
      </w:r>
      <w:r w:rsidR="0046588B" w:rsidRPr="008D0DEB">
        <w:t xml:space="preserve">the development of </w:t>
      </w:r>
      <w:r w:rsidR="009B2162" w:rsidRPr="008D0DEB">
        <w:t xml:space="preserve">future </w:t>
      </w:r>
      <w:r w:rsidR="0046588B" w:rsidRPr="008D0DEB">
        <w:t xml:space="preserve">SII policy and </w:t>
      </w:r>
      <w:r w:rsidR="009B2162" w:rsidRPr="008D0DEB">
        <w:t>programming</w:t>
      </w:r>
      <w:r w:rsidR="0046588B" w:rsidRPr="008D0DEB">
        <w:t>.</w:t>
      </w:r>
    </w:p>
    <w:p w14:paraId="081EF84A" w14:textId="5A86112F" w:rsidR="0046588B" w:rsidRPr="008D0DEB" w:rsidRDefault="0046588B" w:rsidP="0065556E">
      <w:r w:rsidRPr="008D0DEB">
        <w:t xml:space="preserve">The second constraint lies in the </w:t>
      </w:r>
      <w:r w:rsidR="00AB0F66" w:rsidRPr="008D0DEB">
        <w:t xml:space="preserve">administrative arrangements of government in portfolio areas, with departments required to </w:t>
      </w:r>
      <w:r w:rsidR="00527A68" w:rsidRPr="008D0DEB">
        <w:t>pursue the purposes of funding set out in appropriations bills relevant to their portfolio.</w:t>
      </w:r>
      <w:r w:rsidRPr="008D0DEB">
        <w:t xml:space="preserve"> Impact investments can be cross-disciplinary and typically do not adhere to the </w:t>
      </w:r>
      <w:r w:rsidR="007A2D30" w:rsidRPr="008D0DEB">
        <w:t>Government’s</w:t>
      </w:r>
      <w:r w:rsidRPr="008D0DEB">
        <w:t xml:space="preserve"> organising portfolio structure. This means that a budgetary allocation or expense from one portfolio area may not deliver impacts aligned with that portfolio’s outcomes. </w:t>
      </w:r>
    </w:p>
    <w:p w14:paraId="408F759E" w14:textId="77777777" w:rsidR="007A2D30" w:rsidRPr="008D0DEB" w:rsidRDefault="007A2D30" w:rsidP="0065556E">
      <w:r w:rsidRPr="008D0DEB">
        <w:t xml:space="preserve">One case study for the SRF is an example of an impact delivered across portfolios. In this case, the enterprise was assessed as eligible to be awarded a growth grant because it created employment opportunities in an underserved and formerly mining region of NSW. It did so by building lithium batteries which will deliver positive environmental impact. </w:t>
      </w:r>
    </w:p>
    <w:p w14:paraId="4137A8AE" w14:textId="644E23D2" w:rsidR="0046588B" w:rsidRPr="008D0DEB" w:rsidRDefault="007A2D30" w:rsidP="0065556E">
      <w:pPr>
        <w:pStyle w:val="HangingQuote"/>
      </w:pPr>
      <w:r w:rsidRPr="008D0DEB">
        <w:t>“</w:t>
      </w:r>
      <w:r w:rsidR="0046588B" w:rsidRPr="008D0DEB">
        <w:t>And it felt to me like it was very difficult for people in DSS to talk to their colleagues in other departments just because of the nature of government</w:t>
      </w:r>
      <w:r w:rsidRPr="008D0DEB">
        <w:t xml:space="preserve">.” </w:t>
      </w:r>
      <w:r w:rsidRPr="008D0DEB">
        <w:rPr>
          <w:iCs/>
        </w:rPr>
        <w:t>[Stakeholder</w:t>
      </w:r>
      <w:r w:rsidR="0046588B" w:rsidRPr="008D0DEB">
        <w:rPr>
          <w:iCs/>
        </w:rPr>
        <w:t xml:space="preserve"> interview]</w:t>
      </w:r>
    </w:p>
    <w:p w14:paraId="79AB1440" w14:textId="17E47D0E" w:rsidR="008560E6" w:rsidRPr="008D0DEB" w:rsidRDefault="007C3319" w:rsidP="0065556E">
      <w:pPr>
        <w:pStyle w:val="Head3"/>
      </w:pPr>
      <w:bookmarkStart w:id="159" w:name="_Toc137210954"/>
      <w:bookmarkStart w:id="160" w:name="_Toc137211196"/>
      <w:bookmarkStart w:id="161" w:name="_Toc137219050"/>
      <w:r w:rsidRPr="008D0DEB">
        <w:t>The right s</w:t>
      </w:r>
      <w:r w:rsidR="006C4AEF" w:rsidRPr="008D0DEB">
        <w:t xml:space="preserve">kills, tools and experience are </w:t>
      </w:r>
      <w:r w:rsidRPr="008D0DEB">
        <w:t>required for success</w:t>
      </w:r>
      <w:bookmarkEnd w:id="159"/>
      <w:bookmarkEnd w:id="160"/>
      <w:bookmarkEnd w:id="161"/>
    </w:p>
    <w:p w14:paraId="4DE1025B" w14:textId="24C110C6" w:rsidR="001179ED" w:rsidRPr="008D0DEB" w:rsidRDefault="00DB7D73" w:rsidP="0065556E">
      <w:r w:rsidRPr="008D0DEB">
        <w:t>Findings from the</w:t>
      </w:r>
      <w:r w:rsidR="002403AE" w:rsidRPr="008D0DEB">
        <w:t xml:space="preserve"> trials suggest there is a key set of </w:t>
      </w:r>
      <w:r w:rsidR="00AC1967" w:rsidRPr="008D0DEB">
        <w:t xml:space="preserve">capabilities required by any individual or team working in the impact investing sector. These comprise a series of technical skills, underpinned by </w:t>
      </w:r>
      <w:r w:rsidR="009F7478" w:rsidRPr="008D0DEB">
        <w:t>an ability t</w:t>
      </w:r>
      <w:r w:rsidR="00AC1967" w:rsidRPr="008D0DEB">
        <w:t xml:space="preserve">o build </w:t>
      </w:r>
      <w:r w:rsidR="00C0081D" w:rsidRPr="008D0DEB">
        <w:t xml:space="preserve">trust and strong </w:t>
      </w:r>
      <w:r w:rsidR="00AC1967" w:rsidRPr="008D0DEB">
        <w:t>relationships and with different stakeholders</w:t>
      </w:r>
      <w:r w:rsidR="007A2D30" w:rsidRPr="008D0DEB">
        <w:t>. The</w:t>
      </w:r>
      <w:r w:rsidR="00CF3FFC" w:rsidRPr="008D0DEB">
        <w:t xml:space="preserve"> trials have demonstrated </w:t>
      </w:r>
      <w:r w:rsidR="007A2D30" w:rsidRPr="008D0DEB">
        <w:t xml:space="preserve">this </w:t>
      </w:r>
      <w:r w:rsidR="00CF3FFC" w:rsidRPr="008D0DEB">
        <w:t>makes a large difference in how projects proceed.</w:t>
      </w:r>
      <w:r w:rsidR="009F7478" w:rsidRPr="008D0DEB">
        <w:t xml:space="preserve"> This is </w:t>
      </w:r>
      <w:r w:rsidR="00D95E8C" w:rsidRPr="008D0DEB">
        <w:t>discussed further in Section 4.</w:t>
      </w:r>
    </w:p>
    <w:p w14:paraId="245CD279" w14:textId="3D3010AB" w:rsidR="007A2D30" w:rsidRPr="008D0DEB" w:rsidRDefault="007A2D30" w:rsidP="0065556E">
      <w:r w:rsidRPr="008D0DEB">
        <w:t>There is also a need to maintain organisational knowledge on SII within Government, including within DSS and the SII unit. SII is a relatively unique concept within the Australian Government, which requires specialist skills and knowledge. Public sector workforces are typically highly mobile with staff moving positions regularly. Staff turnover in the SII unit can have a larger impact on progress than many other areas where there is a higher foundational level of understanding. Turnover has also led to a high reliance on a small number of external partners, which raises the risk of conflicts of interest.</w:t>
      </w:r>
    </w:p>
    <w:p w14:paraId="180321D5" w14:textId="77777777" w:rsidR="007A2D30" w:rsidRPr="008D0DEB" w:rsidRDefault="007A2D30" w:rsidP="0065556E">
      <w:r w:rsidRPr="008D0DEB">
        <w:t>The combination of a different set of necessary skills and the lower awareness of SII points to a need for a greater institutional understanding of SII within DSS. Embedding this understanding is explored further in Section 4.</w:t>
      </w:r>
    </w:p>
    <w:p w14:paraId="4B35B2DB" w14:textId="77777777" w:rsidR="007A2D30" w:rsidRPr="008D0DEB" w:rsidRDefault="007A2D30" w:rsidP="0065556E">
      <w:pPr>
        <w:pStyle w:val="HangingQuote"/>
      </w:pPr>
      <w:r w:rsidRPr="008D0DEB">
        <w:t>“So, I think that’s really a key learning for government, is that the resourcing to support this actually needs to be far more significant to ensure that things like the lessons learned are really actually preserved properly and relevant and maintained at a relevant point… there is a big disconnect in knowledge loss between teams if there’s a turnover of staff.”</w:t>
      </w:r>
      <w:r w:rsidRPr="008D0DEB">
        <w:rPr>
          <w:color w:val="000000"/>
        </w:rPr>
        <w:t xml:space="preserve"> </w:t>
      </w:r>
      <w:r w:rsidRPr="008D0DEB">
        <w:t>[Stakeholder interview]</w:t>
      </w:r>
    </w:p>
    <w:p w14:paraId="6FCBAFD0" w14:textId="3F501BB7" w:rsidR="00E41D4D" w:rsidRPr="008D0DEB" w:rsidRDefault="00630339" w:rsidP="0065556E">
      <w:pPr>
        <w:pStyle w:val="Head3"/>
      </w:pPr>
      <w:bookmarkStart w:id="162" w:name="_Toc137210956"/>
      <w:bookmarkStart w:id="163" w:name="_Toc137211198"/>
      <w:bookmarkStart w:id="164" w:name="_Toc137219052"/>
      <w:r w:rsidRPr="008D0DEB">
        <w:t xml:space="preserve">Departmental norms </w:t>
      </w:r>
      <w:r w:rsidR="00241178" w:rsidRPr="008D0DEB">
        <w:t>may need to be</w:t>
      </w:r>
      <w:r w:rsidR="00E52111" w:rsidRPr="008D0DEB">
        <w:t xml:space="preserve"> </w:t>
      </w:r>
      <w:r w:rsidR="00446578" w:rsidRPr="008D0DEB">
        <w:t>reshaped</w:t>
      </w:r>
      <w:bookmarkEnd w:id="162"/>
      <w:bookmarkEnd w:id="163"/>
      <w:bookmarkEnd w:id="164"/>
    </w:p>
    <w:p w14:paraId="784DA1C2" w14:textId="2D7C8E1A" w:rsidR="00132FB9" w:rsidRPr="008D0DEB" w:rsidRDefault="00132FB9" w:rsidP="0065556E">
      <w:r w:rsidRPr="008D0DEB">
        <w:t xml:space="preserve">Implementation of the trials took place in a context of patchy awareness, understanding and support from </w:t>
      </w:r>
      <w:r w:rsidR="00B4054D" w:rsidRPr="008D0DEB">
        <w:t>within</w:t>
      </w:r>
      <w:r w:rsidRPr="008D0DEB">
        <w:t xml:space="preserve"> DSS</w:t>
      </w:r>
      <w:r w:rsidR="00B4054D" w:rsidRPr="008D0DEB">
        <w:t xml:space="preserve">, </w:t>
      </w:r>
      <w:r w:rsidR="007A2D30" w:rsidRPr="008D0DEB">
        <w:t>which created</w:t>
      </w:r>
      <w:r w:rsidRPr="008D0DEB">
        <w:t xml:space="preserve"> additional challenges and hurdles for the </w:t>
      </w:r>
      <w:r w:rsidR="00C2317E" w:rsidRPr="008D0DEB">
        <w:t>SII unit</w:t>
      </w:r>
      <w:r w:rsidRPr="008D0DEB">
        <w:t xml:space="preserve"> </w:t>
      </w:r>
      <w:r w:rsidR="007A2D30" w:rsidRPr="008D0DEB">
        <w:t>which</w:t>
      </w:r>
      <w:r w:rsidRPr="008D0DEB">
        <w:t xml:space="preserve"> was itself embarking on a learning journey. </w:t>
      </w:r>
      <w:r w:rsidR="007A2D30" w:rsidRPr="008D0DEB">
        <w:t>SII</w:t>
      </w:r>
      <w:r w:rsidR="00C2317E" w:rsidRPr="008D0DEB">
        <w:t xml:space="preserve"> unit</w:t>
      </w:r>
      <w:r w:rsidRPr="008D0DEB">
        <w:t xml:space="preserve"> staff also described some </w:t>
      </w:r>
      <w:r w:rsidR="0030000B" w:rsidRPr="008D0DEB">
        <w:t>broader</w:t>
      </w:r>
      <w:r w:rsidRPr="008D0DEB">
        <w:t xml:space="preserve"> ideological barriers</w:t>
      </w:r>
      <w:r w:rsidR="0030000B" w:rsidRPr="008D0DEB">
        <w:t>.</w:t>
      </w:r>
      <w:r w:rsidRPr="008D0DEB">
        <w:t xml:space="preserve"> This reportedly included an expressed view that through the SII trials, government was “supporting investors” who may be seeking to “profit from social disadvantage</w:t>
      </w:r>
      <w:r w:rsidR="007A2D30" w:rsidRPr="008D0DEB">
        <w:t>.”</w:t>
      </w:r>
      <w:r w:rsidRPr="008D0DEB">
        <w:t xml:space="preserve"> </w:t>
      </w:r>
    </w:p>
    <w:p w14:paraId="64DAC27E" w14:textId="77777777" w:rsidR="00BF0143" w:rsidRDefault="00BF0143">
      <w:r>
        <w:br w:type="page"/>
      </w:r>
    </w:p>
    <w:p w14:paraId="3DD2F48C" w14:textId="674BDFEF" w:rsidR="0083755C" w:rsidRPr="008D0DEB" w:rsidRDefault="0083755C" w:rsidP="0065556E">
      <w:r w:rsidRPr="008D0DEB">
        <w:lastRenderedPageBreak/>
        <w:t xml:space="preserve">Aligning the authorising and enabling environment within the department will set up future SII initiatives to </w:t>
      </w:r>
      <w:r w:rsidR="009C7E1C" w:rsidRPr="008D0DEB">
        <w:t xml:space="preserve">be more likely </w:t>
      </w:r>
      <w:r w:rsidR="00AA0CED" w:rsidRPr="008D0DEB">
        <w:t xml:space="preserve">to </w:t>
      </w:r>
      <w:r w:rsidRPr="008D0DEB">
        <w:t xml:space="preserve">successfully and efficaciously meet policy objectives. In practice, this means that the DSS executive understands SII and is committed to delivering the </w:t>
      </w:r>
      <w:r w:rsidR="007A2D30" w:rsidRPr="008D0DEB">
        <w:t>Government’s</w:t>
      </w:r>
      <w:r w:rsidRPr="008D0DEB">
        <w:t xml:space="preserve"> stated strategic objectives. </w:t>
      </w:r>
    </w:p>
    <w:p w14:paraId="38EE4F07" w14:textId="46F1652C" w:rsidR="007A2D30" w:rsidRPr="008D0DEB" w:rsidRDefault="007A2D30" w:rsidP="0065556E">
      <w:r w:rsidRPr="008D0DEB">
        <w:t>A shift away from the existing mindset within DSS will be required to allow SII initiatives to meet their objectives and full potential. The shift involves an expanded view of government (and specifically DSS) in achieving intended social benefits. Such a shift does not negate the important and predominant role government plays in providing welfare and services to its clients. It extends the policy toolbox, including</w:t>
      </w:r>
      <w:r w:rsidR="001A2E2F" w:rsidRPr="008D0DEB">
        <w:t xml:space="preserve"> </w:t>
      </w:r>
      <w:r w:rsidRPr="008D0DEB">
        <w:t xml:space="preserve">additional roles for government in leveraging external resources in pursuit of positive societal change. </w:t>
      </w:r>
    </w:p>
    <w:p w14:paraId="6995A5DE" w14:textId="71FE16B8" w:rsidR="0069311F" w:rsidRPr="008D0DEB" w:rsidRDefault="0069311F" w:rsidP="0065556E">
      <w:r w:rsidRPr="008D0DEB">
        <w:t xml:space="preserve">The </w:t>
      </w:r>
      <w:r w:rsidR="00BA146D" w:rsidRPr="008D0DEB">
        <w:t xml:space="preserve">trials </w:t>
      </w:r>
      <w:r w:rsidRPr="008D0DEB">
        <w:t xml:space="preserve">required a </w:t>
      </w:r>
      <w:r w:rsidR="007A2D30" w:rsidRPr="008D0DEB">
        <w:t>mindset</w:t>
      </w:r>
      <w:r w:rsidR="00885155" w:rsidRPr="008D0DEB">
        <w:t xml:space="preserve"> shift</w:t>
      </w:r>
      <w:r w:rsidRPr="008D0DEB">
        <w:t xml:space="preserve"> in DSS, a department more accustomed to providing grants or managing contracts for the delivery of agreed activities.</w:t>
      </w:r>
      <w:r w:rsidR="005F01AC" w:rsidRPr="008D0DEB">
        <w:t xml:space="preserve"> For example, the SRF </w:t>
      </w:r>
      <w:r w:rsidR="002F4FD2" w:rsidRPr="008D0DEB">
        <w:t>provided</w:t>
      </w:r>
      <w:r w:rsidR="005F01AC" w:rsidRPr="008D0DEB">
        <w:t xml:space="preserve"> </w:t>
      </w:r>
      <w:r w:rsidR="00172E88" w:rsidRPr="008D0DEB">
        <w:t xml:space="preserve">grants </w:t>
      </w:r>
      <w:r w:rsidR="002F4FD2" w:rsidRPr="008D0DEB">
        <w:t xml:space="preserve">to build </w:t>
      </w:r>
      <w:r w:rsidR="00172E88" w:rsidRPr="008D0DEB">
        <w:t xml:space="preserve">capacity within providers, with the intention of </w:t>
      </w:r>
      <w:r w:rsidR="00FB407E" w:rsidRPr="008D0DEB">
        <w:t>leverag</w:t>
      </w:r>
      <w:r w:rsidR="002F4FD2" w:rsidRPr="008D0DEB">
        <w:t>ing further</w:t>
      </w:r>
      <w:r w:rsidR="00FB407E" w:rsidRPr="008D0DEB">
        <w:t xml:space="preserve"> </w:t>
      </w:r>
      <w:r w:rsidR="00C804F0" w:rsidRPr="008D0DEB">
        <w:t>investment capital</w:t>
      </w:r>
      <w:r w:rsidR="002F4FD2" w:rsidRPr="008D0DEB">
        <w:t xml:space="preserve">. Funding was also earmarked </w:t>
      </w:r>
      <w:r w:rsidR="00521539" w:rsidRPr="008D0DEB">
        <w:t xml:space="preserve">for other intermediaries to build </w:t>
      </w:r>
      <w:r w:rsidR="00E23047" w:rsidRPr="008D0DEB">
        <w:t>provider capacity</w:t>
      </w:r>
      <w:r w:rsidR="00521539" w:rsidRPr="008D0DEB">
        <w:t xml:space="preserve">, rather than </w:t>
      </w:r>
      <w:r w:rsidR="00E23047" w:rsidRPr="008D0DEB">
        <w:t>being directed towards service delivery</w:t>
      </w:r>
      <w:r w:rsidR="007F7BF5" w:rsidRPr="008D0DEB">
        <w:t>, and by extension, beneficiaries</w:t>
      </w:r>
      <w:r w:rsidR="005A1C35" w:rsidRPr="008D0DEB">
        <w:t xml:space="preserve"> of those services.</w:t>
      </w:r>
    </w:p>
    <w:p w14:paraId="1A5A0F7A" w14:textId="3D4ED947" w:rsidR="00646F7A" w:rsidRPr="008D0DEB" w:rsidRDefault="00CB6B2B" w:rsidP="0065556E">
      <w:r w:rsidRPr="008D0DEB">
        <w:t xml:space="preserve">The </w:t>
      </w:r>
      <w:r w:rsidR="00C2317E" w:rsidRPr="008D0DEB">
        <w:t>SII unit</w:t>
      </w:r>
      <w:r w:rsidRPr="008D0DEB">
        <w:t xml:space="preserve"> was widely acknowledged as being </w:t>
      </w:r>
      <w:r w:rsidR="00BD28EF" w:rsidRPr="008D0DEB">
        <w:t>trusted, collegiate and well-intentioned. However,</w:t>
      </w:r>
      <w:r w:rsidR="00370A73" w:rsidRPr="008D0DEB">
        <w:t xml:space="preserve"> </w:t>
      </w:r>
      <w:r w:rsidR="003E4217" w:rsidRPr="008D0DEB">
        <w:t xml:space="preserve">some partners in the trials noted that the </w:t>
      </w:r>
      <w:r w:rsidR="003542C6" w:rsidRPr="008D0DEB">
        <w:t xml:space="preserve">power dynamics of purchaser-provider </w:t>
      </w:r>
      <w:r w:rsidR="009F2ADE" w:rsidRPr="008D0DEB">
        <w:t xml:space="preserve">were </w:t>
      </w:r>
      <w:r w:rsidR="007A2D30" w:rsidRPr="008D0DEB">
        <w:t>omnipresent</w:t>
      </w:r>
      <w:r w:rsidR="009F2ADE" w:rsidRPr="008D0DEB">
        <w:t xml:space="preserve"> in the trials. </w:t>
      </w:r>
      <w:r w:rsidR="00222064" w:rsidRPr="008D0DEB">
        <w:t>This was evident</w:t>
      </w:r>
      <w:r w:rsidR="008F1AAF" w:rsidRPr="008D0DEB">
        <w:t xml:space="preserve"> in both the PBO trials and the SRF. </w:t>
      </w:r>
    </w:p>
    <w:p w14:paraId="06AB2F70" w14:textId="14F24D04" w:rsidR="00C5261E" w:rsidRPr="008D0DEB" w:rsidRDefault="007A2D30" w:rsidP="0065556E">
      <w:pPr>
        <w:pStyle w:val="HangingQuote"/>
        <w:rPr>
          <w:iCs/>
        </w:rPr>
      </w:pPr>
      <w:r w:rsidRPr="008D0DEB">
        <w:t>“</w:t>
      </w:r>
      <w:r w:rsidR="00E946D7" w:rsidRPr="008D0DEB">
        <w:t>The power dynamic is completely wrong</w:t>
      </w:r>
      <w:r w:rsidR="008F2B33" w:rsidRPr="008D0DEB">
        <w:t>,</w:t>
      </w:r>
      <w:r w:rsidR="00E946D7" w:rsidRPr="008D0DEB">
        <w:t xml:space="preserve"> between how the government work</w:t>
      </w:r>
      <w:r w:rsidR="008F2B33" w:rsidRPr="008D0DEB">
        <w:t>s</w:t>
      </w:r>
      <w:r w:rsidR="00E946D7" w:rsidRPr="008D0DEB">
        <w:t xml:space="preserve"> with the service delivery partner</w:t>
      </w:r>
      <w:r w:rsidR="008F2B33" w:rsidRPr="008D0DEB">
        <w:t>,</w:t>
      </w:r>
      <w:r w:rsidR="00E946D7" w:rsidRPr="008D0DEB">
        <w:t xml:space="preserve"> all of the power is held with government and the delivery partner has got to play by whatever tune they p</w:t>
      </w:r>
      <w:r w:rsidR="00EF6C18" w:rsidRPr="008D0DEB">
        <w:t>l</w:t>
      </w:r>
      <w:r w:rsidR="00E946D7" w:rsidRPr="008D0DEB">
        <w:t>ay.”</w:t>
      </w:r>
      <w:r w:rsidR="00E946D7" w:rsidRPr="008D0DEB">
        <w:rPr>
          <w:iCs/>
        </w:rPr>
        <w:t xml:space="preserve"> </w:t>
      </w:r>
      <w:r w:rsidRPr="008D0DEB">
        <w:rPr>
          <w:iCs/>
        </w:rPr>
        <w:t>[Stakeholder</w:t>
      </w:r>
      <w:r w:rsidR="00E946D7" w:rsidRPr="008D0DEB">
        <w:rPr>
          <w:iCs/>
        </w:rPr>
        <w:t xml:space="preserve"> interview]</w:t>
      </w:r>
    </w:p>
    <w:p w14:paraId="04412965" w14:textId="316A9375" w:rsidR="00316422" w:rsidRPr="008D0DEB" w:rsidRDefault="009B288B" w:rsidP="0065556E">
      <w:r w:rsidRPr="008D0DEB">
        <w:t>I</w:t>
      </w:r>
      <w:r w:rsidR="002F0CBB" w:rsidRPr="008D0DEB">
        <w:t xml:space="preserve">mbalances in </w:t>
      </w:r>
      <w:r w:rsidR="00B048FF" w:rsidRPr="008D0DEB">
        <w:t xml:space="preserve">power dynamics </w:t>
      </w:r>
      <w:r w:rsidR="00316422" w:rsidRPr="008D0DEB">
        <w:t xml:space="preserve">in the future may be mitigated </w:t>
      </w:r>
      <w:r w:rsidRPr="008D0DEB">
        <w:t>through</w:t>
      </w:r>
      <w:r w:rsidR="00316422" w:rsidRPr="008D0DEB">
        <w:t>:</w:t>
      </w:r>
    </w:p>
    <w:p w14:paraId="27B35388" w14:textId="12D36FFF" w:rsidR="00B22966" w:rsidRPr="008D0DEB" w:rsidRDefault="00492A0E" w:rsidP="0065556E">
      <w:pPr>
        <w:pStyle w:val="ListBullet"/>
      </w:pPr>
      <w:r w:rsidRPr="008D0DEB">
        <w:t xml:space="preserve">structurally and culturally establishing </w:t>
      </w:r>
      <w:r w:rsidR="004F5BB6" w:rsidRPr="008D0DEB">
        <w:t>‘</w:t>
      </w:r>
      <w:r w:rsidRPr="008D0DEB">
        <w:t>true</w:t>
      </w:r>
      <w:r w:rsidR="004F5BB6" w:rsidRPr="008D0DEB">
        <w:t>’</w:t>
      </w:r>
      <w:r w:rsidRPr="008D0DEB">
        <w:t xml:space="preserve"> partnership arrangement </w:t>
      </w:r>
      <w:r w:rsidR="00657A30" w:rsidRPr="008D0DEB">
        <w:t>reflecting the</w:t>
      </w:r>
      <w:r w:rsidRPr="008D0DEB">
        <w:t xml:space="preserve"> strengths </w:t>
      </w:r>
      <w:r w:rsidR="009A1FB4" w:rsidRPr="008D0DEB">
        <w:t xml:space="preserve">and capacities </w:t>
      </w:r>
      <w:r w:rsidR="00657A30" w:rsidRPr="008D0DEB">
        <w:t xml:space="preserve">of </w:t>
      </w:r>
      <w:r w:rsidR="004F5BB6" w:rsidRPr="008D0DEB">
        <w:t xml:space="preserve">the </w:t>
      </w:r>
      <w:r w:rsidR="00657A30" w:rsidRPr="008D0DEB">
        <w:t xml:space="preserve">different </w:t>
      </w:r>
      <w:r w:rsidRPr="008D0DEB">
        <w:t>parties</w:t>
      </w:r>
      <w:r w:rsidR="004F5BB6" w:rsidRPr="008D0DEB">
        <w:t xml:space="preserve">, </w:t>
      </w:r>
      <w:r w:rsidR="00AF5859" w:rsidRPr="008D0DEB">
        <w:t>while</w:t>
      </w:r>
      <w:r w:rsidR="00316422" w:rsidRPr="008D0DEB">
        <w:t xml:space="preserve"> acknowledg</w:t>
      </w:r>
      <w:r w:rsidR="00AF5859" w:rsidRPr="008D0DEB">
        <w:t>ing</w:t>
      </w:r>
      <w:r w:rsidR="004F5BB6" w:rsidRPr="008D0DEB">
        <w:t xml:space="preserve"> </w:t>
      </w:r>
      <w:r w:rsidR="002878C5" w:rsidRPr="008D0DEB">
        <w:t xml:space="preserve">all parties are invested in the outcomes and impact of </w:t>
      </w:r>
      <w:r w:rsidR="00B22966" w:rsidRPr="008D0DEB">
        <w:t>an intervention</w:t>
      </w:r>
    </w:p>
    <w:p w14:paraId="3A6D0283" w14:textId="664720D7" w:rsidR="00C06E58" w:rsidRPr="008D0DEB" w:rsidRDefault="009B288B" w:rsidP="0065556E">
      <w:pPr>
        <w:pStyle w:val="ListBullet"/>
      </w:pPr>
      <w:r w:rsidRPr="008D0DEB">
        <w:t xml:space="preserve">increasing </w:t>
      </w:r>
      <w:r w:rsidR="004F5BB6" w:rsidRPr="008D0DEB">
        <w:t xml:space="preserve">the </w:t>
      </w:r>
      <w:r w:rsidR="002F0CBB" w:rsidRPr="008D0DEB">
        <w:t xml:space="preserve">capacity of service providers to understand </w:t>
      </w:r>
      <w:r w:rsidR="00B22966" w:rsidRPr="008D0DEB">
        <w:t xml:space="preserve">the </w:t>
      </w:r>
      <w:r w:rsidR="002F0CBB" w:rsidRPr="008D0DEB">
        <w:t>structure and risks of PBO contracts</w:t>
      </w:r>
      <w:r w:rsidR="00B22966" w:rsidRPr="008D0DEB">
        <w:t xml:space="preserve"> so they feel e</w:t>
      </w:r>
      <w:r w:rsidR="00492A0E" w:rsidRPr="008D0DEB">
        <w:t>mpowered as a true ‘partner’</w:t>
      </w:r>
      <w:r w:rsidR="00AF5859" w:rsidRPr="008D0DEB">
        <w:t>.</w:t>
      </w:r>
    </w:p>
    <w:p w14:paraId="105F3895" w14:textId="0C3BD540" w:rsidR="006D7368" w:rsidRPr="008D0DEB" w:rsidRDefault="00E32F2E" w:rsidP="0065556E">
      <w:pPr>
        <w:pStyle w:val="Head3"/>
      </w:pPr>
      <w:bookmarkStart w:id="165" w:name="_Toc137210957"/>
      <w:bookmarkStart w:id="166" w:name="_Toc137211199"/>
      <w:bookmarkStart w:id="167" w:name="_Toc137219053"/>
      <w:r w:rsidRPr="008D0DEB">
        <w:t>P</w:t>
      </w:r>
      <w:r w:rsidR="00A33C12" w:rsidRPr="008D0DEB">
        <w:t>rivacy</w:t>
      </w:r>
      <w:r w:rsidR="00782C70" w:rsidRPr="008D0DEB">
        <w:t xml:space="preserve"> limitations</w:t>
      </w:r>
      <w:r w:rsidR="00A33C12" w:rsidRPr="008D0DEB">
        <w:t>/r</w:t>
      </w:r>
      <w:r w:rsidR="00782C70" w:rsidRPr="008D0DEB">
        <w:t xml:space="preserve">isk aversion </w:t>
      </w:r>
      <w:r w:rsidR="00A33C12" w:rsidRPr="008D0DEB">
        <w:t>toward</w:t>
      </w:r>
      <w:r w:rsidR="00A358ED" w:rsidRPr="008D0DEB">
        <w:t xml:space="preserve"> </w:t>
      </w:r>
      <w:r w:rsidR="002617E8" w:rsidRPr="008D0DEB">
        <w:t xml:space="preserve">data </w:t>
      </w:r>
      <w:r w:rsidR="00782C70" w:rsidRPr="008D0DEB">
        <w:t xml:space="preserve">sharing </w:t>
      </w:r>
      <w:r w:rsidR="00D54823" w:rsidRPr="008D0DEB">
        <w:t>is a substantial constraint</w:t>
      </w:r>
      <w:bookmarkEnd w:id="165"/>
      <w:bookmarkEnd w:id="166"/>
      <w:bookmarkEnd w:id="167"/>
    </w:p>
    <w:p w14:paraId="671DD832" w14:textId="2E814C39" w:rsidR="00F433A5" w:rsidRPr="008D0DEB" w:rsidRDefault="006A135E" w:rsidP="0065556E">
      <w:r w:rsidRPr="008D0DEB">
        <w:t xml:space="preserve">At the outset of the trials, </w:t>
      </w:r>
      <w:r w:rsidR="00E5005F" w:rsidRPr="008D0DEB">
        <w:t xml:space="preserve">feedback indicates that </w:t>
      </w:r>
      <w:r w:rsidRPr="008D0DEB">
        <w:t xml:space="preserve">DSS </w:t>
      </w:r>
      <w:r w:rsidR="00E5005F" w:rsidRPr="008D0DEB">
        <w:t>tended to</w:t>
      </w:r>
      <w:r w:rsidR="00526AC1" w:rsidRPr="008D0DEB">
        <w:t>wards</w:t>
      </w:r>
      <w:r w:rsidR="00E5005F" w:rsidRPr="008D0DEB">
        <w:t xml:space="preserve"> risk avers</w:t>
      </w:r>
      <w:r w:rsidR="00526AC1" w:rsidRPr="008D0DEB">
        <w:t>ion</w:t>
      </w:r>
      <w:r w:rsidR="00E5005F" w:rsidRPr="008D0DEB">
        <w:t xml:space="preserve"> in its approach to </w:t>
      </w:r>
      <w:r w:rsidR="00E11831" w:rsidRPr="008D0DEB">
        <w:t xml:space="preserve">data access and sharing. </w:t>
      </w:r>
      <w:r w:rsidR="00891826" w:rsidRPr="008D0DEB">
        <w:t xml:space="preserve">One stakeholder described the default response to any </w:t>
      </w:r>
      <w:r w:rsidR="00526AC1" w:rsidRPr="008D0DEB">
        <w:t>request in which there was any chance of a breach or misuse of data as “no”. However,</w:t>
      </w:r>
      <w:r w:rsidR="00C91A16" w:rsidRPr="008D0DEB">
        <w:t xml:space="preserve"> changes more broadly across government in recent years, including data initiatives</w:t>
      </w:r>
      <w:r w:rsidR="007A2D30" w:rsidRPr="008D0DEB">
        <w:t>,</w:t>
      </w:r>
      <w:r w:rsidR="00C91A16" w:rsidRPr="008D0DEB">
        <w:t xml:space="preserve"> have led to a shift in how data is managed and shared. </w:t>
      </w:r>
    </w:p>
    <w:p w14:paraId="232AB4DD" w14:textId="77777777" w:rsidR="007A2D30" w:rsidRPr="008D0DEB" w:rsidRDefault="007A2D30" w:rsidP="0065556E">
      <w:r w:rsidRPr="008D0DEB">
        <w:t xml:space="preserve">As noted earlier, data requirements are greater in outcomes-based approaches. In addition, the risks are heightened as data is being collected about individual clients. Although it is de-identified, data is assigned a common client ID and shared at the record level with third parties and independent certifiers. This carries some risk that individuals could be re-identified by providers. </w:t>
      </w:r>
    </w:p>
    <w:p w14:paraId="38694C64" w14:textId="77777777" w:rsidR="007A2D30" w:rsidRPr="008D0DEB" w:rsidRDefault="007A2D30" w:rsidP="0065556E">
      <w:r w:rsidRPr="008D0DEB">
        <w:t xml:space="preserve">The trials took a risk management approach to data sharing, through the establishment of extensive data protocols and permissions from data custodians. These generated a high administrative burden for each individual program. </w:t>
      </w:r>
    </w:p>
    <w:p w14:paraId="754B117F" w14:textId="37A2BB35" w:rsidR="0096722A" w:rsidRPr="008D0DEB" w:rsidRDefault="0096722A" w:rsidP="0065556E">
      <w:r w:rsidRPr="008D0DEB">
        <w:t xml:space="preserve">Another privacy concern </w:t>
      </w:r>
      <w:r w:rsidR="00FD6B8D" w:rsidRPr="008D0DEB">
        <w:t xml:space="preserve">which arose </w:t>
      </w:r>
      <w:r w:rsidR="00931005" w:rsidRPr="008D0DEB">
        <w:t>centred around “coerced consent</w:t>
      </w:r>
      <w:r w:rsidR="007A2D30" w:rsidRPr="008D0DEB">
        <w:t>.” This was not exclusive to the trials.</w:t>
      </w:r>
      <w:r w:rsidR="00FD6B8D" w:rsidRPr="008D0DEB">
        <w:t xml:space="preserve"> </w:t>
      </w:r>
      <w:r w:rsidR="00F30F61" w:rsidRPr="008D0DEB">
        <w:t>Clients</w:t>
      </w:r>
      <w:r w:rsidR="002B2E5D" w:rsidRPr="008D0DEB">
        <w:t xml:space="preserve"> who </w:t>
      </w:r>
      <w:r w:rsidR="008D3090" w:rsidRPr="008D0DEB">
        <w:t xml:space="preserve">wished to participate in the trials and receive </w:t>
      </w:r>
      <w:r w:rsidR="00F30F61" w:rsidRPr="008D0DEB">
        <w:t xml:space="preserve">access to welfare </w:t>
      </w:r>
      <w:r w:rsidR="00931005" w:rsidRPr="008D0DEB">
        <w:t>were</w:t>
      </w:r>
      <w:r w:rsidR="00112D31" w:rsidRPr="008D0DEB">
        <w:t xml:space="preserve"> asked to sign </w:t>
      </w:r>
      <w:r w:rsidR="007A2D30" w:rsidRPr="008D0DEB">
        <w:t xml:space="preserve">a </w:t>
      </w:r>
      <w:r w:rsidR="00112D31" w:rsidRPr="008D0DEB">
        <w:t xml:space="preserve">waiver stating </w:t>
      </w:r>
      <w:r w:rsidR="00931005" w:rsidRPr="008D0DEB">
        <w:t xml:space="preserve">that their </w:t>
      </w:r>
      <w:r w:rsidR="00112D31" w:rsidRPr="008D0DEB">
        <w:t>data could be used for other purposes</w:t>
      </w:r>
      <w:r w:rsidR="00AA4B49" w:rsidRPr="008D0DEB">
        <w:t xml:space="preserve"> within the project</w:t>
      </w:r>
      <w:r w:rsidR="00931005" w:rsidRPr="008D0DEB">
        <w:t xml:space="preserve">. </w:t>
      </w:r>
      <w:r w:rsidR="00543411" w:rsidRPr="008D0DEB">
        <w:t xml:space="preserve">If participants did not agree to this waiver, they would be excluded from the trials and </w:t>
      </w:r>
      <w:r w:rsidR="00B5765D" w:rsidRPr="008D0DEB">
        <w:t>disqualified from receiving potentially life-enhancing support.</w:t>
      </w:r>
    </w:p>
    <w:p w14:paraId="0526077A" w14:textId="77777777" w:rsidR="00BF0143" w:rsidRDefault="00BF0143">
      <w:r>
        <w:br w:type="page"/>
      </w:r>
    </w:p>
    <w:p w14:paraId="6598FB0C" w14:textId="67C82AFD" w:rsidR="00F16859" w:rsidRPr="008D0DEB" w:rsidRDefault="00F16859" w:rsidP="0065556E">
      <w:r w:rsidRPr="008D0DEB">
        <w:lastRenderedPageBreak/>
        <w:t xml:space="preserve">Resolving these issues </w:t>
      </w:r>
      <w:r w:rsidR="006966AE" w:rsidRPr="008D0DEB">
        <w:t>will</w:t>
      </w:r>
      <w:r w:rsidRPr="008D0DEB">
        <w:t xml:space="preserve"> require alternative strategies</w:t>
      </w:r>
      <w:r w:rsidR="00332D22" w:rsidRPr="008D0DEB">
        <w:t xml:space="preserve">, e.g. </w:t>
      </w:r>
      <w:r w:rsidRPr="008D0DEB">
        <w:t>a less 'risk-averse' policy</w:t>
      </w:r>
      <w:r w:rsidR="00332D22" w:rsidRPr="008D0DEB">
        <w:t xml:space="preserve"> around privacy</w:t>
      </w:r>
      <w:r w:rsidR="006966AE" w:rsidRPr="008D0DEB">
        <w:t xml:space="preserve">. For </w:t>
      </w:r>
      <w:r w:rsidRPr="008D0DEB">
        <w:t xml:space="preserve">example, </w:t>
      </w:r>
      <w:r w:rsidR="00332D22" w:rsidRPr="008D0DEB">
        <w:t xml:space="preserve">consideration should be given to </w:t>
      </w:r>
      <w:r w:rsidRPr="008D0DEB">
        <w:t xml:space="preserve">whether consent could potentially be waived with sufficiently strong data privacy safeguards in place. </w:t>
      </w:r>
      <w:r w:rsidR="00332D22" w:rsidRPr="008D0DEB">
        <w:t>The feasibility of l</w:t>
      </w:r>
      <w:r w:rsidR="006966AE" w:rsidRPr="008D0DEB">
        <w:t>arge-scale</w:t>
      </w:r>
      <w:r w:rsidR="00332D22" w:rsidRPr="008D0DEB">
        <w:t xml:space="preserve"> PBO</w:t>
      </w:r>
      <w:r w:rsidR="006966AE" w:rsidRPr="008D0DEB">
        <w:t xml:space="preserve"> approaches</w:t>
      </w:r>
      <w:r w:rsidR="00332D22" w:rsidRPr="008D0DEB">
        <w:t xml:space="preserve"> </w:t>
      </w:r>
      <w:r w:rsidR="00B35056" w:rsidRPr="008D0DEB">
        <w:t xml:space="preserve">may not be feasible if restrictions around data are too onerous to permit the tracking of outcomes required. </w:t>
      </w:r>
    </w:p>
    <w:p w14:paraId="47D77E66" w14:textId="4AEFF402" w:rsidR="00540E26" w:rsidRPr="0065556E" w:rsidRDefault="00804DEA" w:rsidP="0065556E">
      <w:pPr>
        <w:pStyle w:val="HangingQuote"/>
        <w:rPr>
          <w:rStyle w:val="normaltextrun"/>
        </w:rPr>
      </w:pPr>
      <w:r w:rsidRPr="0065556E">
        <w:rPr>
          <w:rStyle w:val="normaltextrun"/>
        </w:rPr>
        <w:t>“…the administrative burden is significant at this point in time, just for small projects. So, there would have to be significant investment in infrastructure, and legislative change, and other things for us to be able to even use our own data better and more efficiently.” [DSS staff member]</w:t>
      </w:r>
      <w:r w:rsidR="00BF0143">
        <w:rPr>
          <w:rStyle w:val="normaltextrun"/>
        </w:rPr>
        <w:t xml:space="preserve"> </w:t>
      </w:r>
    </w:p>
    <w:p w14:paraId="69C3DFAD" w14:textId="03845D7D" w:rsidR="00D54823" w:rsidRPr="008D0DEB" w:rsidRDefault="002A2461" w:rsidP="0065556E">
      <w:pPr>
        <w:pStyle w:val="Head3"/>
      </w:pPr>
      <w:bookmarkStart w:id="168" w:name="_Toc137210958"/>
      <w:bookmarkStart w:id="169" w:name="_Toc137211200"/>
      <w:bookmarkStart w:id="170" w:name="_Toc137219054"/>
      <w:r w:rsidRPr="008D0DEB">
        <w:t>The Australian Government</w:t>
      </w:r>
      <w:r w:rsidR="00A22374" w:rsidRPr="008D0DEB">
        <w:t xml:space="preserve"> </w:t>
      </w:r>
      <w:r w:rsidR="00E35E31" w:rsidRPr="008D0DEB">
        <w:t>is</w:t>
      </w:r>
      <w:r w:rsidR="00A22374" w:rsidRPr="008D0DEB">
        <w:t xml:space="preserve"> unique</w:t>
      </w:r>
      <w:r w:rsidR="00E35E31" w:rsidRPr="008D0DEB">
        <w:t>ly</w:t>
      </w:r>
      <w:r w:rsidR="00A22374" w:rsidRPr="008D0DEB">
        <w:t xml:space="preserve"> </w:t>
      </w:r>
      <w:r w:rsidRPr="008D0DEB">
        <w:t>p</w:t>
      </w:r>
      <w:r w:rsidR="00E35E31" w:rsidRPr="008D0DEB">
        <w:t xml:space="preserve">laced </w:t>
      </w:r>
      <w:r w:rsidRPr="008D0DEB">
        <w:t xml:space="preserve">in </w:t>
      </w:r>
      <w:r w:rsidR="00E35E31" w:rsidRPr="008D0DEB">
        <w:t>the Australian social impact investment market</w:t>
      </w:r>
      <w:bookmarkEnd w:id="168"/>
      <w:bookmarkEnd w:id="169"/>
      <w:bookmarkEnd w:id="170"/>
    </w:p>
    <w:p w14:paraId="6A7ABA80" w14:textId="7810371F" w:rsidR="00D36242" w:rsidRPr="008D0DEB" w:rsidRDefault="00E35E31" w:rsidP="0065556E">
      <w:r w:rsidRPr="008D0DEB">
        <w:t xml:space="preserve">The Australian Government Social Impact Investment Taskforce (SIIT) has provided advice about the roles </w:t>
      </w:r>
      <w:r w:rsidR="008863D7" w:rsidRPr="008D0DEB">
        <w:t>of the Australian Government</w:t>
      </w:r>
      <w:r w:rsidR="00902989" w:rsidRPr="008D0DEB">
        <w:t>,</w:t>
      </w:r>
      <w:r w:rsidR="008863D7" w:rsidRPr="008D0DEB">
        <w:t xml:space="preserve"> as </w:t>
      </w:r>
      <w:r w:rsidR="007A2D30" w:rsidRPr="008D0DEB">
        <w:t xml:space="preserve">a </w:t>
      </w:r>
      <w:r w:rsidR="00902989" w:rsidRPr="008D0DEB">
        <w:t>m</w:t>
      </w:r>
      <w:r w:rsidR="008863D7" w:rsidRPr="008D0DEB">
        <w:t xml:space="preserve">arket </w:t>
      </w:r>
      <w:r w:rsidR="00902989" w:rsidRPr="008D0DEB">
        <w:t>e</w:t>
      </w:r>
      <w:r w:rsidR="008863D7" w:rsidRPr="008D0DEB">
        <w:t xml:space="preserve">nabler, </w:t>
      </w:r>
      <w:r w:rsidR="00902989" w:rsidRPr="008D0DEB">
        <w:t>p</w:t>
      </w:r>
      <w:r w:rsidR="008863D7" w:rsidRPr="008D0DEB">
        <w:t xml:space="preserve">articipant and </w:t>
      </w:r>
      <w:r w:rsidR="00902989" w:rsidRPr="008D0DEB">
        <w:t>f</w:t>
      </w:r>
      <w:r w:rsidR="008863D7" w:rsidRPr="008D0DEB">
        <w:t>acilitator.</w:t>
      </w:r>
      <w:r w:rsidR="006065E7" w:rsidRPr="008D0DEB">
        <w:rPr>
          <w:rStyle w:val="FootnoteReference"/>
        </w:rPr>
        <w:footnoteReference w:id="39"/>
      </w:r>
      <w:r w:rsidR="008863D7" w:rsidRPr="008D0DEB">
        <w:t xml:space="preserve"> </w:t>
      </w:r>
      <w:r w:rsidR="00B86EE3" w:rsidRPr="008D0DEB">
        <w:t>Through the trials, t</w:t>
      </w:r>
      <w:r w:rsidR="003B477B" w:rsidRPr="008D0DEB">
        <w:t xml:space="preserve">he </w:t>
      </w:r>
      <w:r w:rsidR="007A2D30" w:rsidRPr="008D0DEB">
        <w:t>Australian Government acted as</w:t>
      </w:r>
      <w:r w:rsidR="00736220" w:rsidRPr="008D0DEB">
        <w:t xml:space="preserve"> both a</w:t>
      </w:r>
      <w:r w:rsidR="00E02FED" w:rsidRPr="008D0DEB">
        <w:t xml:space="preserve"> market participant </w:t>
      </w:r>
      <w:r w:rsidR="00736220" w:rsidRPr="008D0DEB">
        <w:t>through paying directly for social outcomes</w:t>
      </w:r>
      <w:r w:rsidR="00E02FED" w:rsidRPr="008D0DEB">
        <w:t>, and as a market facilitator</w:t>
      </w:r>
      <w:r w:rsidR="008367BB" w:rsidRPr="008D0DEB">
        <w:t xml:space="preserve">, </w:t>
      </w:r>
      <w:r w:rsidR="00D7625F" w:rsidRPr="008D0DEB">
        <w:t>through assisting service providers to grow their capacity</w:t>
      </w:r>
      <w:r w:rsidR="007A2D30" w:rsidRPr="008D0DEB">
        <w:t xml:space="preserve"> and</w:t>
      </w:r>
      <w:r w:rsidR="00D7625F" w:rsidRPr="008D0DEB">
        <w:t xml:space="preserve"> the r</w:t>
      </w:r>
      <w:r w:rsidR="003F0C6C" w:rsidRPr="008D0DEB">
        <w:t>e-activati</w:t>
      </w:r>
      <w:r w:rsidR="00D7625F" w:rsidRPr="008D0DEB">
        <w:t>on of</w:t>
      </w:r>
      <w:r w:rsidR="003F0C6C" w:rsidRPr="008D0DEB">
        <w:t xml:space="preserve"> the </w:t>
      </w:r>
      <w:r w:rsidR="00D7625F" w:rsidRPr="008D0DEB">
        <w:t>inter</w:t>
      </w:r>
      <w:r w:rsidR="005F40A3">
        <w:t>-</w:t>
      </w:r>
      <w:r w:rsidR="00D7625F" w:rsidRPr="008D0DEB">
        <w:t>jurisdictional</w:t>
      </w:r>
      <w:r w:rsidR="0062098D" w:rsidRPr="008D0DEB">
        <w:t xml:space="preserve"> community of practice</w:t>
      </w:r>
      <w:r w:rsidR="003F0C6C" w:rsidRPr="008D0DEB">
        <w:t xml:space="preserve">. </w:t>
      </w:r>
      <w:r w:rsidR="00D36242" w:rsidRPr="008D0DEB">
        <w:t xml:space="preserve">The trials </w:t>
      </w:r>
      <w:r w:rsidR="00BC0A04" w:rsidRPr="008D0DEB">
        <w:t>have</w:t>
      </w:r>
      <w:r w:rsidR="00D36242" w:rsidRPr="008D0DEB">
        <w:t xml:space="preserve"> provided less evidence in relation to the Australian Government’s role as a regulator of the SII market, largely due to the nature of the trials as targeted projects and the role of DSS within government.</w:t>
      </w:r>
    </w:p>
    <w:p w14:paraId="142D261A" w14:textId="4C87D2FF" w:rsidR="003E26F3" w:rsidRPr="008D0DEB" w:rsidRDefault="00B86CE0" w:rsidP="0065556E">
      <w:r w:rsidRPr="008D0DEB">
        <w:t xml:space="preserve">The trials </w:t>
      </w:r>
      <w:r w:rsidR="002729B9" w:rsidRPr="008D0DEB">
        <w:t>re-affirmed the Australian Government’s unique</w:t>
      </w:r>
      <w:r w:rsidR="004E73C1" w:rsidRPr="008D0DEB">
        <w:t xml:space="preserve"> </w:t>
      </w:r>
      <w:r w:rsidR="00B961DC" w:rsidRPr="008D0DEB">
        <w:t>position</w:t>
      </w:r>
      <w:r w:rsidR="00B37861" w:rsidRPr="008D0DEB">
        <w:t xml:space="preserve"> </w:t>
      </w:r>
      <w:r w:rsidR="0076659A" w:rsidRPr="008D0DEB">
        <w:t>at the heart</w:t>
      </w:r>
      <w:r w:rsidR="004503EC" w:rsidRPr="008D0DEB">
        <w:t xml:space="preserve"> of Australia’s SII ecosystem. </w:t>
      </w:r>
      <w:r w:rsidR="003E26F3" w:rsidRPr="008D0DEB">
        <w:t xml:space="preserve">Moving beyond the role of payer, </w:t>
      </w:r>
      <w:r w:rsidR="007A2D30" w:rsidRPr="008D0DEB">
        <w:t xml:space="preserve">the Australian Government </w:t>
      </w:r>
      <w:r w:rsidR="003E26F3" w:rsidRPr="008D0DEB">
        <w:t>is well placed to catalyse market activity</w:t>
      </w:r>
      <w:r w:rsidR="007A2D30" w:rsidRPr="008D0DEB">
        <w:t>. There are</w:t>
      </w:r>
      <w:r w:rsidR="00F50535" w:rsidRPr="008D0DEB">
        <w:t xml:space="preserve"> further opportunities </w:t>
      </w:r>
      <w:r w:rsidR="007A2D30" w:rsidRPr="008D0DEB">
        <w:t xml:space="preserve">for the government </w:t>
      </w:r>
      <w:r w:rsidR="00F50535" w:rsidRPr="008D0DEB">
        <w:t>to:</w:t>
      </w:r>
    </w:p>
    <w:p w14:paraId="15775AFA" w14:textId="324FF106" w:rsidR="00DD4338" w:rsidRPr="008D0DEB" w:rsidRDefault="00AB2801" w:rsidP="0065556E">
      <w:pPr>
        <w:pStyle w:val="ListBullet"/>
      </w:pPr>
      <w:r w:rsidRPr="008D0DEB">
        <w:t>f</w:t>
      </w:r>
      <w:r w:rsidR="00DD4338" w:rsidRPr="008D0DEB">
        <w:t>acilitate</w:t>
      </w:r>
      <w:r w:rsidR="00DD4338" w:rsidRPr="0065556E">
        <w:rPr>
          <w:iCs/>
        </w:rPr>
        <w:t xml:space="preserve"> </w:t>
      </w:r>
      <w:r w:rsidR="00DD4338" w:rsidRPr="008D0DEB">
        <w:t>the market by</w:t>
      </w:r>
      <w:r w:rsidRPr="008D0DEB">
        <w:t>:</w:t>
      </w:r>
      <w:r w:rsidR="00DD4338" w:rsidRPr="0065556E">
        <w:rPr>
          <w:iCs/>
        </w:rPr>
        <w:t xml:space="preserve"> </w:t>
      </w:r>
    </w:p>
    <w:p w14:paraId="3C408335" w14:textId="77777777" w:rsidR="007A2D30" w:rsidRPr="008D0DEB" w:rsidRDefault="007A2D30" w:rsidP="0065556E">
      <w:pPr>
        <w:pStyle w:val="ListBullet2"/>
      </w:pPr>
      <w:r w:rsidRPr="008D0DEB">
        <w:t xml:space="preserve">developing </w:t>
      </w:r>
      <w:r w:rsidRPr="008D0DEB">
        <w:rPr>
          <w:iCs/>
        </w:rPr>
        <w:t xml:space="preserve">a whole-of-government </w:t>
      </w:r>
      <w:r w:rsidRPr="008D0DEB">
        <w:t>approach to impact investing which incorporates not just social impact but also environmental impact</w:t>
      </w:r>
    </w:p>
    <w:p w14:paraId="55461F0D" w14:textId="11B66E7C" w:rsidR="008F416F" w:rsidRPr="008D0DEB" w:rsidRDefault="00AB2801" w:rsidP="0065556E">
      <w:pPr>
        <w:pStyle w:val="ListBullet2"/>
      </w:pPr>
      <w:r w:rsidRPr="008D0DEB">
        <w:t xml:space="preserve">further </w:t>
      </w:r>
      <w:r w:rsidR="007A2D30" w:rsidRPr="008D0DEB">
        <w:t>expanding</w:t>
      </w:r>
      <w:r w:rsidRPr="008D0DEB">
        <w:t xml:space="preserve"> and </w:t>
      </w:r>
      <w:r w:rsidR="007A2D30" w:rsidRPr="008D0DEB">
        <w:t>convening</w:t>
      </w:r>
      <w:r w:rsidR="008F416F" w:rsidRPr="008D0DEB">
        <w:t xml:space="preserve"> the inter-jurisdictional network</w:t>
      </w:r>
      <w:r w:rsidR="00AF4512" w:rsidRPr="008D0DEB">
        <w:t>, facilitating</w:t>
      </w:r>
      <w:r w:rsidR="008F416F" w:rsidRPr="008D0DEB">
        <w:t xml:space="preserve"> dialogue, sharing of lessons and data sharing among the participating States and Territories </w:t>
      </w:r>
    </w:p>
    <w:p w14:paraId="7E221627" w14:textId="3DBCC8FE" w:rsidR="008F416F" w:rsidRPr="008D0DEB" w:rsidRDefault="00AF4512" w:rsidP="0065556E">
      <w:pPr>
        <w:pStyle w:val="ListBullet2"/>
      </w:pPr>
      <w:r w:rsidRPr="008D0DEB">
        <w:t>incentivising</w:t>
      </w:r>
      <w:r w:rsidR="008F416F" w:rsidRPr="008D0DEB">
        <w:t xml:space="preserve"> transactions through the States </w:t>
      </w:r>
    </w:p>
    <w:p w14:paraId="7CB8CD9A" w14:textId="6B46C3B3" w:rsidR="008F416F" w:rsidRPr="008D0DEB" w:rsidRDefault="008F416F" w:rsidP="0065556E">
      <w:pPr>
        <w:pStyle w:val="ListBullet2"/>
      </w:pPr>
      <w:r w:rsidRPr="008D0DEB">
        <w:t xml:space="preserve">setting </w:t>
      </w:r>
      <w:r w:rsidR="004334C0" w:rsidRPr="008D0DEB">
        <w:t xml:space="preserve">an </w:t>
      </w:r>
      <w:r w:rsidRPr="008D0DEB">
        <w:t>outcomes framework</w:t>
      </w:r>
      <w:r w:rsidR="004334C0" w:rsidRPr="008D0DEB">
        <w:t xml:space="preserve"> for SII that will streamline </w:t>
      </w:r>
      <w:r w:rsidR="009706D6" w:rsidRPr="008D0DEB">
        <w:t>measurement and reporting</w:t>
      </w:r>
    </w:p>
    <w:p w14:paraId="5328A06D" w14:textId="77777777" w:rsidR="007A2D30" w:rsidRPr="008D0DEB" w:rsidRDefault="007A2D30" w:rsidP="0065556E">
      <w:pPr>
        <w:pStyle w:val="ListBullet2"/>
      </w:pPr>
      <w:r w:rsidRPr="008D0DEB">
        <w:t>considering national policies to link up activities nationwide, for example, establishing a social procurement policy with a mission to scale impact opportunities</w:t>
      </w:r>
    </w:p>
    <w:p w14:paraId="414105CA" w14:textId="1EB94977" w:rsidR="00BA4D00" w:rsidRPr="008D0DEB" w:rsidRDefault="00BA4D00" w:rsidP="0065556E">
      <w:pPr>
        <w:pStyle w:val="ListBullet2"/>
        <w:rPr>
          <w:shd w:val="clear" w:color="auto" w:fill="FFFFFF"/>
        </w:rPr>
      </w:pPr>
      <w:r w:rsidRPr="008D0DEB">
        <w:t xml:space="preserve">enabling additional investment from philanthropy and the private sector </w:t>
      </w:r>
      <w:r w:rsidRPr="008D0DEB">
        <w:rPr>
          <w:shd w:val="clear" w:color="auto" w:fill="FFFFFF"/>
        </w:rPr>
        <w:t>through market signals and creating incentives for participation</w:t>
      </w:r>
      <w:r w:rsidR="007A2D30" w:rsidRPr="008D0DEB">
        <w:rPr>
          <w:shd w:val="clear" w:color="auto" w:fill="FFFFFF"/>
        </w:rPr>
        <w:t>.</w:t>
      </w:r>
      <w:r w:rsidRPr="008D0DEB">
        <w:rPr>
          <w:shd w:val="clear" w:color="auto" w:fill="FFFFFF"/>
        </w:rPr>
        <w:t xml:space="preserve"> </w:t>
      </w:r>
    </w:p>
    <w:p w14:paraId="58B47B77" w14:textId="48BF4977" w:rsidR="008F416F" w:rsidRPr="008D0DEB" w:rsidRDefault="00F50535" w:rsidP="0065556E">
      <w:pPr>
        <w:pStyle w:val="ListBullet"/>
      </w:pPr>
      <w:r w:rsidRPr="008D0DEB">
        <w:t>b</w:t>
      </w:r>
      <w:r w:rsidR="008F416F" w:rsidRPr="008D0DEB">
        <w:t>uild</w:t>
      </w:r>
      <w:r w:rsidR="00BA4D00" w:rsidRPr="008D0DEB">
        <w:t xml:space="preserve"> the</w:t>
      </w:r>
      <w:r w:rsidR="008F416F" w:rsidRPr="008D0DEB">
        <w:t xml:space="preserve"> capacity of the market</w:t>
      </w:r>
      <w:r w:rsidR="00AA5447" w:rsidRPr="008D0DEB">
        <w:t xml:space="preserve"> </w:t>
      </w:r>
      <w:r w:rsidR="00B10709" w:rsidRPr="008D0DEB">
        <w:t xml:space="preserve">by continuing to support organisations to raise capital </w:t>
      </w:r>
      <w:r w:rsidR="009706D6" w:rsidRPr="008D0DEB">
        <w:t>through</w:t>
      </w:r>
      <w:r w:rsidR="00B10709" w:rsidRPr="008D0DEB">
        <w:t xml:space="preserve"> improved</w:t>
      </w:r>
      <w:r w:rsidR="008F416F" w:rsidRPr="008D0DEB">
        <w:t xml:space="preserve"> </w:t>
      </w:r>
      <w:r w:rsidR="00B10709" w:rsidRPr="008D0DEB">
        <w:t>outcome measurement and reporting</w:t>
      </w:r>
      <w:r w:rsidR="008F4C73" w:rsidRPr="008D0DEB">
        <w:t>.</w:t>
      </w:r>
    </w:p>
    <w:p w14:paraId="370AD13A" w14:textId="77777777" w:rsidR="00BF0143" w:rsidRDefault="00BF0143">
      <w:pPr>
        <w:rPr>
          <w:rFonts w:eastAsia="Times New Roman" w:cs="Courier New"/>
          <w:b/>
          <w:sz w:val="28"/>
        </w:rPr>
      </w:pPr>
      <w:bookmarkStart w:id="171" w:name="_Toc137210959"/>
      <w:bookmarkStart w:id="172" w:name="_Toc137211201"/>
      <w:bookmarkStart w:id="173" w:name="_Toc137219055"/>
      <w:r>
        <w:br w:type="page"/>
      </w:r>
    </w:p>
    <w:p w14:paraId="3A07FCA5" w14:textId="65B049C4" w:rsidR="00E55429" w:rsidRPr="008D0DEB" w:rsidRDefault="00D458A8" w:rsidP="0065556E">
      <w:pPr>
        <w:pStyle w:val="Head3"/>
      </w:pPr>
      <w:r w:rsidRPr="008D0DEB">
        <w:lastRenderedPageBreak/>
        <w:t xml:space="preserve">Supporting engagement of other market </w:t>
      </w:r>
      <w:r w:rsidR="00217D0F" w:rsidRPr="008D0DEB">
        <w:t>builders</w:t>
      </w:r>
      <w:bookmarkEnd w:id="171"/>
      <w:bookmarkEnd w:id="172"/>
      <w:bookmarkEnd w:id="173"/>
    </w:p>
    <w:p w14:paraId="08539684" w14:textId="45441978" w:rsidR="00DA047E" w:rsidRPr="008D0DEB" w:rsidRDefault="00200829" w:rsidP="0065556E">
      <w:r w:rsidRPr="008D0DEB">
        <w:rPr>
          <w:shd w:val="clear" w:color="auto" w:fill="FFFFFF"/>
        </w:rPr>
        <w:t xml:space="preserve">An important aspect of enabling participation in the SII market is </w:t>
      </w:r>
      <w:r w:rsidR="00C56AAC" w:rsidRPr="008D0DEB">
        <w:rPr>
          <w:shd w:val="clear" w:color="auto" w:fill="FFFFFF"/>
        </w:rPr>
        <w:t>through</w:t>
      </w:r>
      <w:r w:rsidRPr="008D0DEB">
        <w:rPr>
          <w:shd w:val="clear" w:color="auto" w:fill="FFFFFF"/>
        </w:rPr>
        <w:t xml:space="preserve"> market </w:t>
      </w:r>
      <w:r w:rsidR="00C56AAC" w:rsidRPr="008D0DEB">
        <w:rPr>
          <w:shd w:val="clear" w:color="auto" w:fill="FFFFFF"/>
        </w:rPr>
        <w:t>signals</w:t>
      </w:r>
      <w:r w:rsidR="00213B6C" w:rsidRPr="008D0DEB">
        <w:rPr>
          <w:shd w:val="clear" w:color="auto" w:fill="FFFFFF"/>
        </w:rPr>
        <w:t xml:space="preserve"> and creating the right</w:t>
      </w:r>
      <w:r w:rsidR="00C56AAC" w:rsidRPr="008D0DEB">
        <w:rPr>
          <w:shd w:val="clear" w:color="auto" w:fill="FFFFFF"/>
        </w:rPr>
        <w:t xml:space="preserve"> incentives </w:t>
      </w:r>
      <w:r w:rsidR="000B65DD" w:rsidRPr="008D0DEB">
        <w:rPr>
          <w:shd w:val="clear" w:color="auto" w:fill="FFFFFF"/>
        </w:rPr>
        <w:t>for</w:t>
      </w:r>
      <w:r w:rsidR="00967C52" w:rsidRPr="008D0DEB">
        <w:rPr>
          <w:shd w:val="clear" w:color="auto" w:fill="FFFFFF"/>
        </w:rPr>
        <w:t xml:space="preserve"> actors</w:t>
      </w:r>
      <w:r w:rsidR="00213B6C" w:rsidRPr="008D0DEB">
        <w:rPr>
          <w:shd w:val="clear" w:color="auto" w:fill="FFFFFF"/>
        </w:rPr>
        <w:t xml:space="preserve"> in the SII ecosystem</w:t>
      </w:r>
      <w:r w:rsidR="00E53E24" w:rsidRPr="008D0DEB">
        <w:rPr>
          <w:shd w:val="clear" w:color="auto" w:fill="FFFFFF"/>
        </w:rPr>
        <w:t>, beyond service providers. For example,</w:t>
      </w:r>
      <w:r w:rsidR="00583AE4" w:rsidRPr="008D0DEB">
        <w:rPr>
          <w:shd w:val="clear" w:color="auto" w:fill="FFFFFF"/>
        </w:rPr>
        <w:t xml:space="preserve"> </w:t>
      </w:r>
      <w:r w:rsidR="00583AE4" w:rsidRPr="008D0DEB">
        <w:t xml:space="preserve">philanthropy </w:t>
      </w:r>
      <w:r w:rsidR="00F70AB5" w:rsidRPr="008D0DEB">
        <w:rPr>
          <w:iCs/>
        </w:rPr>
        <w:t>has a</w:t>
      </w:r>
      <w:r w:rsidR="002A6A6D" w:rsidRPr="008D0DEB">
        <w:rPr>
          <w:iCs/>
        </w:rPr>
        <w:t xml:space="preserve"> </w:t>
      </w:r>
      <w:r w:rsidR="002A6A6D" w:rsidRPr="008D0DEB">
        <w:t xml:space="preserve">unique potential </w:t>
      </w:r>
      <w:r w:rsidR="00F70AB5" w:rsidRPr="008D0DEB">
        <w:t>for higher</w:t>
      </w:r>
      <w:r w:rsidR="006F606B" w:rsidRPr="008D0DEB">
        <w:t xml:space="preserve">-risk opportunities </w:t>
      </w:r>
      <w:r w:rsidR="00ED6CD0" w:rsidRPr="008D0DEB">
        <w:t xml:space="preserve">through its granting capability, and to seed opportunities which it can scale through </w:t>
      </w:r>
      <w:r w:rsidR="00323423" w:rsidRPr="008D0DEB">
        <w:t>invest</w:t>
      </w:r>
      <w:r w:rsidR="003E38A6" w:rsidRPr="008D0DEB">
        <w:t>ment of its corpus. The recently announced alliance of F</w:t>
      </w:r>
      <w:r w:rsidR="00356AFE" w:rsidRPr="008D0DEB">
        <w:t xml:space="preserve">oundations Group for </w:t>
      </w:r>
      <w:r w:rsidR="003E38A6" w:rsidRPr="008D0DEB">
        <w:t>I</w:t>
      </w:r>
      <w:r w:rsidR="00441088" w:rsidRPr="008D0DEB">
        <w:t>mpact Investing</w:t>
      </w:r>
      <w:r w:rsidR="003E38A6" w:rsidRPr="008D0DEB">
        <w:t xml:space="preserve"> </w:t>
      </w:r>
      <w:r w:rsidR="009C183D" w:rsidRPr="008D0DEB">
        <w:t>(FGII</w:t>
      </w:r>
      <w:r w:rsidR="007A2D30" w:rsidRPr="008D0DEB">
        <w:t>),</w:t>
      </w:r>
      <w:r w:rsidR="009C183D" w:rsidRPr="008D0DEB">
        <w:t xml:space="preserve"> which brings together </w:t>
      </w:r>
      <w:r w:rsidR="007C7A2E" w:rsidRPr="008D0DEB">
        <w:t>a group of Australia’s progressive foundations</w:t>
      </w:r>
      <w:r w:rsidR="007A2D30" w:rsidRPr="008D0DEB">
        <w:t>,</w:t>
      </w:r>
      <w:r w:rsidR="007C7A2E" w:rsidRPr="008D0DEB">
        <w:t xml:space="preserve"> </w:t>
      </w:r>
      <w:r w:rsidR="00F23F33" w:rsidRPr="008D0DEB">
        <w:t xml:space="preserve">is a step change in support for social enterprises. </w:t>
      </w:r>
      <w:r w:rsidR="00712419" w:rsidRPr="008D0DEB">
        <w:t xml:space="preserve">In addition, philanthropy </w:t>
      </w:r>
      <w:r w:rsidR="00E40BB9" w:rsidRPr="008D0DEB">
        <w:t xml:space="preserve">can </w:t>
      </w:r>
      <w:r w:rsidR="009F1C22" w:rsidRPr="008D0DEB">
        <w:t xml:space="preserve">help build the field by </w:t>
      </w:r>
      <w:r w:rsidR="00E40BB9" w:rsidRPr="008D0DEB">
        <w:t>support</w:t>
      </w:r>
      <w:r w:rsidR="009F1C22" w:rsidRPr="008D0DEB">
        <w:t>ing</w:t>
      </w:r>
      <w:r w:rsidR="00E40BB9" w:rsidRPr="008D0DEB">
        <w:t xml:space="preserve"> new market entrants or smaller service providers by </w:t>
      </w:r>
      <w:r w:rsidR="00D64FC5" w:rsidRPr="008D0DEB">
        <w:t xml:space="preserve">absorbing some of their risks or underwriting </w:t>
      </w:r>
      <w:r w:rsidR="00235063" w:rsidRPr="008D0DEB">
        <w:t>of costs.</w:t>
      </w:r>
    </w:p>
    <w:p w14:paraId="0B8BF5D9" w14:textId="77777777" w:rsidR="007A2D30" w:rsidRPr="008D0DEB" w:rsidRDefault="007A2D30" w:rsidP="0065556E">
      <w:r w:rsidRPr="008D0DEB">
        <w:t xml:space="preserve">Mobilising impact-aligned resources is key to scaling the impact market. There is an opportunity to further engage institutional investors, who require opportunities at scale and need to better understand the risks of investing in this market. An impact wholesale fund as proposed by the SIIT and IIA is a key solution to mobilising investment at scale. </w:t>
      </w:r>
    </w:p>
    <w:p w14:paraId="625331BE" w14:textId="6091F61F" w:rsidR="00011372" w:rsidRPr="008D0DEB" w:rsidRDefault="00B075C5" w:rsidP="0065556E">
      <w:r w:rsidRPr="008D0DEB">
        <w:t xml:space="preserve">Networks of social enterprises are emerging in </w:t>
      </w:r>
      <w:r w:rsidR="007A2D30" w:rsidRPr="008D0DEB">
        <w:t>states</w:t>
      </w:r>
      <w:r w:rsidRPr="008D0DEB">
        <w:t xml:space="preserve"> around Australia, and forming new alliances nationally</w:t>
      </w:r>
      <w:r w:rsidR="007A2D30" w:rsidRPr="008D0DEB">
        <w:t>. In saying this,</w:t>
      </w:r>
      <w:r w:rsidR="00B53640" w:rsidRPr="008D0DEB">
        <w:t xml:space="preserve"> t</w:t>
      </w:r>
      <w:r w:rsidR="00E630E3" w:rsidRPr="008D0DEB">
        <w:t>he</w:t>
      </w:r>
      <w:r w:rsidR="00034F2E" w:rsidRPr="008D0DEB">
        <w:t xml:space="preserve"> narrow definitio</w:t>
      </w:r>
      <w:r w:rsidR="00B53640" w:rsidRPr="008D0DEB">
        <w:t>n</w:t>
      </w:r>
      <w:r w:rsidR="00034F2E" w:rsidRPr="008D0DEB">
        <w:t xml:space="preserve"> of what constitutes a</w:t>
      </w:r>
      <w:r w:rsidR="00866A69" w:rsidRPr="008D0DEB">
        <w:t xml:space="preserve"> social enterprise may make it difficult to scale impact</w:t>
      </w:r>
      <w:r w:rsidR="00340BE6" w:rsidRPr="008D0DEB">
        <w:t>. Finally, c</w:t>
      </w:r>
      <w:r w:rsidR="0024558E" w:rsidRPr="008D0DEB">
        <w:t xml:space="preserve">ivil society organisations can be strong conduits to the </w:t>
      </w:r>
      <w:r w:rsidR="00583AE4" w:rsidRPr="008D0DEB">
        <w:t>participation</w:t>
      </w:r>
      <w:r w:rsidR="0024558E" w:rsidRPr="008D0DEB">
        <w:t xml:space="preserve"> of affected </w:t>
      </w:r>
      <w:r w:rsidR="003E7BEB" w:rsidRPr="008D0DEB">
        <w:t>communities</w:t>
      </w:r>
      <w:r w:rsidR="0024558E" w:rsidRPr="008D0DEB">
        <w:t xml:space="preserve"> </w:t>
      </w:r>
      <w:r w:rsidR="00583AE4" w:rsidRPr="008D0DEB">
        <w:t>and can provide useful insights into the unexpected consequences of emerging opportunities for impact investing activities.</w:t>
      </w:r>
    </w:p>
    <w:p w14:paraId="3EBE0A81" w14:textId="142A0C49" w:rsidR="009A092F" w:rsidRPr="008D0DEB" w:rsidRDefault="009A092F" w:rsidP="0065556E">
      <w:r w:rsidRPr="008D0DEB">
        <w:t xml:space="preserve">Government has a role in supporting </w:t>
      </w:r>
      <w:r w:rsidR="009E722D" w:rsidRPr="008D0DEB">
        <w:t>new and p</w:t>
      </w:r>
      <w:r w:rsidRPr="008D0DEB">
        <w:t xml:space="preserve">otential market players </w:t>
      </w:r>
      <w:r w:rsidR="009E722D" w:rsidRPr="008D0DEB">
        <w:t xml:space="preserve">to </w:t>
      </w:r>
      <w:r w:rsidRPr="008D0DEB">
        <w:t>understand the basics of outcomes</w:t>
      </w:r>
      <w:r w:rsidR="000836C7" w:rsidRPr="008D0DEB">
        <w:t>-</w:t>
      </w:r>
      <w:r w:rsidRPr="008D0DEB">
        <w:t>based commissioning</w:t>
      </w:r>
      <w:r w:rsidR="009E722D" w:rsidRPr="008D0DEB">
        <w:t>.</w:t>
      </w:r>
      <w:r w:rsidR="00BF6CFE" w:rsidRPr="008D0DEB">
        <w:t xml:space="preserve"> This could include the provision of </w:t>
      </w:r>
      <w:r w:rsidR="000836C7" w:rsidRPr="008D0DEB">
        <w:t xml:space="preserve">definitional level information about how </w:t>
      </w:r>
      <w:r w:rsidR="002E5000" w:rsidRPr="008D0DEB">
        <w:t xml:space="preserve">outcomes-based approaches work, how they are different to more traditional forms of contracting and </w:t>
      </w:r>
      <w:r w:rsidR="00BF6CFE" w:rsidRPr="008D0DEB">
        <w:t xml:space="preserve">building </w:t>
      </w:r>
      <w:r w:rsidR="009E722D" w:rsidRPr="008D0DEB">
        <w:t xml:space="preserve">understanding of the risks </w:t>
      </w:r>
      <w:r w:rsidR="00BF6CFE" w:rsidRPr="008D0DEB">
        <w:t xml:space="preserve">involved. </w:t>
      </w:r>
    </w:p>
    <w:p w14:paraId="23B57827" w14:textId="400D3636" w:rsidR="00092D1D" w:rsidRPr="008D0DEB" w:rsidRDefault="00092D1D" w:rsidP="0065556E">
      <w:pPr>
        <w:pStyle w:val="Heading1"/>
      </w:pPr>
      <w:bookmarkStart w:id="174" w:name="_Toc153801735"/>
      <w:r w:rsidRPr="008D0DEB">
        <w:lastRenderedPageBreak/>
        <w:t>Growing</w:t>
      </w:r>
      <w:r w:rsidR="00DE129B" w:rsidRPr="008D0DEB">
        <w:t xml:space="preserve"> </w:t>
      </w:r>
      <w:r w:rsidRPr="008D0DEB">
        <w:t>Capability</w:t>
      </w:r>
      <w:bookmarkEnd w:id="174"/>
    </w:p>
    <w:p w14:paraId="57EBF4CC" w14:textId="5ADA302F" w:rsidR="00502094" w:rsidRPr="008D0DEB" w:rsidRDefault="00502094" w:rsidP="0065556E">
      <w:r w:rsidRPr="008D0DEB">
        <w:t xml:space="preserve">Given the insights from the trials, there are key activities that will be required to grow SII in Australia, </w:t>
      </w:r>
      <w:r w:rsidR="004A465D" w:rsidRPr="008D0DEB">
        <w:t>incorporating</w:t>
      </w:r>
      <w:r w:rsidRPr="008D0DEB">
        <w:t xml:space="preserve"> lessons learned not just about process but about required </w:t>
      </w:r>
      <w:r w:rsidR="003D3700" w:rsidRPr="008D0DEB">
        <w:t>skillsets</w:t>
      </w:r>
      <w:r w:rsidRPr="008D0DEB">
        <w:t xml:space="preserve">, capabilities, </w:t>
      </w:r>
      <w:r w:rsidR="0030718B" w:rsidRPr="008D0DEB">
        <w:t xml:space="preserve">and </w:t>
      </w:r>
      <w:r w:rsidRPr="008D0DEB">
        <w:t>authorising environments</w:t>
      </w:r>
      <w:r w:rsidR="000E033E" w:rsidRPr="008D0DEB">
        <w:t>.</w:t>
      </w:r>
      <w:r w:rsidR="00F3760B" w:rsidRPr="008D0DEB">
        <w:t xml:space="preserve"> </w:t>
      </w:r>
      <w:r w:rsidRPr="008D0DEB">
        <w:t>We have focused on developing SII capacity at three levels:</w:t>
      </w:r>
      <w:r w:rsidR="002B36C9" w:rsidRPr="008D0DEB">
        <w:t xml:space="preserve"> a</w:t>
      </w:r>
      <w:r w:rsidRPr="008D0DEB">
        <w:t xml:space="preserve">t the level of the </w:t>
      </w:r>
      <w:r w:rsidR="00C2317E" w:rsidRPr="008D0DEB">
        <w:t>SII unit</w:t>
      </w:r>
      <w:r w:rsidRPr="008D0DEB">
        <w:t>, within DSS, and within the Australian Government more broadly</w:t>
      </w:r>
      <w:r w:rsidR="002B36C9" w:rsidRPr="008D0DEB">
        <w:t>.</w:t>
      </w:r>
    </w:p>
    <w:p w14:paraId="7259A8FA" w14:textId="71FD31E4" w:rsidR="00152E3F" w:rsidRPr="008D0DEB" w:rsidRDefault="00DF2C06" w:rsidP="0065556E">
      <w:pPr>
        <w:pStyle w:val="Head3"/>
      </w:pPr>
      <w:bookmarkStart w:id="175" w:name="_Toc137210961"/>
      <w:bookmarkStart w:id="176" w:name="_Toc137211203"/>
      <w:bookmarkStart w:id="177" w:name="_Toc137219057"/>
      <w:r w:rsidRPr="008D0DEB">
        <w:t xml:space="preserve">Core </w:t>
      </w:r>
      <w:r w:rsidR="00DD451F" w:rsidRPr="008D0DEB">
        <w:t xml:space="preserve">SII </w:t>
      </w:r>
      <w:r w:rsidRPr="008D0DEB">
        <w:t>capabilities required by government</w:t>
      </w:r>
      <w:bookmarkEnd w:id="175"/>
      <w:bookmarkEnd w:id="176"/>
      <w:bookmarkEnd w:id="177"/>
    </w:p>
    <w:p w14:paraId="7670E7C9" w14:textId="77777777" w:rsidR="00145C4A" w:rsidRPr="008D0DEB" w:rsidRDefault="003550AC" w:rsidP="0065556E">
      <w:r w:rsidRPr="008D0DEB">
        <w:t>There are a set of key capabilities required by any individual or team working in the impact investing sector. These comprise a series of technical skills, underpinned by a capacity to build relationships and trust with different stakeholders</w:t>
      </w:r>
      <w:r w:rsidR="003D3700" w:rsidRPr="008D0DEB">
        <w:t>.</w:t>
      </w:r>
      <w:r w:rsidR="00FC75F7" w:rsidRPr="008D0DEB">
        <w:t xml:space="preserve"> </w:t>
      </w:r>
    </w:p>
    <w:p w14:paraId="64536E73" w14:textId="2F183883" w:rsidR="000F792B" w:rsidRPr="008D0DEB" w:rsidRDefault="00FC75F7" w:rsidP="0065556E">
      <w:r w:rsidRPr="008D0DEB">
        <w:t>T</w:t>
      </w:r>
      <w:r w:rsidR="003550AC" w:rsidRPr="008D0DEB">
        <w:t xml:space="preserve">rust </w:t>
      </w:r>
      <w:r w:rsidR="004067A4" w:rsidRPr="008D0DEB">
        <w:t>emerged</w:t>
      </w:r>
      <w:r w:rsidR="003550AC" w:rsidRPr="008D0DEB">
        <w:t xml:space="preserve"> </w:t>
      </w:r>
      <w:r w:rsidR="00A23527" w:rsidRPr="008D0DEB">
        <w:t>a</w:t>
      </w:r>
      <w:r w:rsidR="003550AC" w:rsidRPr="008D0DEB">
        <w:t xml:space="preserve">s a critical component for successful </w:t>
      </w:r>
      <w:r w:rsidR="004067A4" w:rsidRPr="008D0DEB">
        <w:t>SII projects</w:t>
      </w:r>
      <w:r w:rsidRPr="008D0DEB">
        <w:t xml:space="preserve"> throughout the evaluation</w:t>
      </w:r>
      <w:r w:rsidR="00F41BF4" w:rsidRPr="008D0DEB">
        <w:t xml:space="preserve"> at multiple levels</w:t>
      </w:r>
      <w:r w:rsidR="00240FE1" w:rsidRPr="008D0DEB">
        <w:t>. F</w:t>
      </w:r>
      <w:r w:rsidRPr="008D0DEB">
        <w:t>or example</w:t>
      </w:r>
      <w:r w:rsidR="00EE74DE" w:rsidRPr="008D0DEB">
        <w:t>,</w:t>
      </w:r>
      <w:r w:rsidRPr="008D0DEB">
        <w:t xml:space="preserve"> </w:t>
      </w:r>
      <w:r w:rsidR="003550AC" w:rsidRPr="008D0DEB">
        <w:t xml:space="preserve">at the program level with </w:t>
      </w:r>
      <w:r w:rsidR="00F41BF4" w:rsidRPr="008D0DEB">
        <w:t>clients/beneficiaries</w:t>
      </w:r>
      <w:r w:rsidR="003550AC" w:rsidRPr="008D0DEB">
        <w:t xml:space="preserve">, </w:t>
      </w:r>
      <w:r w:rsidRPr="008D0DEB">
        <w:t xml:space="preserve">and </w:t>
      </w:r>
      <w:r w:rsidR="00F41BF4" w:rsidRPr="008D0DEB">
        <w:t>between</w:t>
      </w:r>
      <w:r w:rsidR="003550AC" w:rsidRPr="008D0DEB">
        <w:t xml:space="preserve"> intermediaries, </w:t>
      </w:r>
      <w:r w:rsidR="00F41BF4" w:rsidRPr="008D0DEB">
        <w:t xml:space="preserve">providers and the </w:t>
      </w:r>
      <w:r w:rsidR="00DC2E28" w:rsidRPr="008D0DEB">
        <w:t>g</w:t>
      </w:r>
      <w:r w:rsidR="00F41BF4" w:rsidRPr="008D0DEB">
        <w:t>overnment.</w:t>
      </w:r>
      <w:r w:rsidR="00BF0143">
        <w:t xml:space="preserve"> </w:t>
      </w:r>
    </w:p>
    <w:p w14:paraId="2184BFB1" w14:textId="3D50563C" w:rsidR="003550AC" w:rsidRPr="008D0DEB" w:rsidRDefault="00145C4A" w:rsidP="0065556E">
      <w:pPr>
        <w:pStyle w:val="ListBullet"/>
      </w:pPr>
      <w:r w:rsidRPr="008D0DEB">
        <w:t>Negotiating and managing different types of contracts</w:t>
      </w:r>
    </w:p>
    <w:p w14:paraId="4E091AF5" w14:textId="4E5BF6B4" w:rsidR="00145C4A" w:rsidRPr="008D0DEB" w:rsidRDefault="00145C4A" w:rsidP="0065556E">
      <w:pPr>
        <w:pStyle w:val="ListBullet2"/>
      </w:pPr>
      <w:r w:rsidRPr="008D0DEB">
        <w:t>Outcomes-based commissioning and SII require more complex and commercial contracts than are typically created for government-funded services. The ability to create and manage these contracts, including when performance is lower than expected, is an important skill for public servants when government is paying for outcomes.</w:t>
      </w:r>
    </w:p>
    <w:p w14:paraId="3E8AE28E" w14:textId="55D71D3F" w:rsidR="00145C4A" w:rsidRPr="008D0DEB" w:rsidRDefault="00145C4A" w:rsidP="0065556E">
      <w:pPr>
        <w:pStyle w:val="ListBullet"/>
      </w:pPr>
      <w:r w:rsidRPr="008D0DEB">
        <w:t>Being flexible and allowing risk</w:t>
      </w:r>
    </w:p>
    <w:p w14:paraId="3889E629" w14:textId="03EAC01E" w:rsidR="00145C4A" w:rsidRPr="008D0DEB" w:rsidRDefault="00145C4A" w:rsidP="0065556E">
      <w:pPr>
        <w:pStyle w:val="ListBullet2"/>
      </w:pPr>
      <w:r w:rsidRPr="008D0DEB">
        <w:t>To enable social innovations, government cannot be overly prescriptive. Like any type of investment, there are inherent risks in SII which should not be removed or avoided but managed. Managing risk effectively (including pricing) will allow the full opportunities of SII to be achieved.</w:t>
      </w:r>
    </w:p>
    <w:p w14:paraId="58C53E2E" w14:textId="1E1C54AA" w:rsidR="00145C4A" w:rsidRPr="008D0DEB" w:rsidRDefault="00145C4A" w:rsidP="0065556E">
      <w:pPr>
        <w:pStyle w:val="ListBullet"/>
      </w:pPr>
      <w:r w:rsidRPr="008D0DEB">
        <w:t>Sectoral knowledge</w:t>
      </w:r>
    </w:p>
    <w:p w14:paraId="4B6B8A91" w14:textId="77777777" w:rsidR="004C08A8" w:rsidRPr="008D0DEB" w:rsidRDefault="004C08A8" w:rsidP="0065556E">
      <w:pPr>
        <w:pStyle w:val="ListBullet2"/>
      </w:pPr>
      <w:r w:rsidRPr="008D0DEB">
        <w:t>Establishing deep sectoral knowledge will allow public servants to understand the root causes of issues to be addressed and the unintended consequences of interventions. Crucially, it also gives other actors confidence in government.</w:t>
      </w:r>
    </w:p>
    <w:p w14:paraId="3FE8AE3D" w14:textId="2CF72B61" w:rsidR="00145C4A" w:rsidRPr="008D0DEB" w:rsidRDefault="004C08A8" w:rsidP="0065556E">
      <w:pPr>
        <w:pStyle w:val="ListBullet"/>
      </w:pPr>
      <w:r w:rsidRPr="008D0DEB">
        <w:t>Using shared language</w:t>
      </w:r>
    </w:p>
    <w:p w14:paraId="2147EAC7" w14:textId="5F069328" w:rsidR="004C08A8" w:rsidRPr="008D0DEB" w:rsidRDefault="004C08A8" w:rsidP="0065556E">
      <w:pPr>
        <w:pStyle w:val="ListBullet2"/>
      </w:pPr>
      <w:r w:rsidRPr="008D0DEB">
        <w:t>The SII sector involves its own specific language and set of technical terms. Misunderstanding key terms can happen in SII projects, so being able to establish a shared language among different stakeholders will contribute to project efficiency and success.</w:t>
      </w:r>
    </w:p>
    <w:p w14:paraId="7E9C73A0" w14:textId="1A484E95" w:rsidR="004C08A8" w:rsidRPr="008D0DEB" w:rsidRDefault="004C08A8" w:rsidP="0065556E">
      <w:pPr>
        <w:pStyle w:val="ListBullet"/>
      </w:pPr>
      <w:r w:rsidRPr="008D0DEB">
        <w:t>Understanding data and outcomes</w:t>
      </w:r>
    </w:p>
    <w:p w14:paraId="62FB76EE" w14:textId="6BBA0C29" w:rsidR="004C08A8" w:rsidRPr="008D0DEB" w:rsidRDefault="004C08A8" w:rsidP="0065556E">
      <w:pPr>
        <w:pStyle w:val="ListBullet2"/>
      </w:pPr>
      <w:r w:rsidRPr="008D0DEB">
        <w:t>As mentioned, there is an increased focus on social outcomes in SII. Understanding outcomes, the data that is available and how this data can be used to measure those outcomes is a highly advantageous skill.</w:t>
      </w:r>
    </w:p>
    <w:p w14:paraId="6703041D" w14:textId="1363DF40" w:rsidR="004C08A8" w:rsidRPr="008D0DEB" w:rsidRDefault="004C08A8" w:rsidP="0065556E">
      <w:pPr>
        <w:pStyle w:val="ListBullet"/>
      </w:pPr>
      <w:r w:rsidRPr="008D0DEB">
        <w:t>Developing trust</w:t>
      </w:r>
    </w:p>
    <w:p w14:paraId="1B1951F7" w14:textId="486DAEAB" w:rsidR="00145C4A" w:rsidRPr="008D0DEB" w:rsidRDefault="004C08A8" w:rsidP="0065556E">
      <w:pPr>
        <w:pStyle w:val="ListBullet2"/>
      </w:pPr>
      <w:r w:rsidRPr="008D0DEB">
        <w:t>Building relationships and trust is the underpinning skill that will be required for public servants engaged in SII. The SII unit was widely praised by trial participants for its collaborative and trustworthy approach.</w:t>
      </w:r>
      <w:bookmarkStart w:id="178" w:name="_Toc137219064"/>
      <w:bookmarkStart w:id="179" w:name="_Toc137210968"/>
      <w:bookmarkStart w:id="180" w:name="_Toc137211210"/>
    </w:p>
    <w:p w14:paraId="5A604658" w14:textId="64510C54" w:rsidR="00DF2C06" w:rsidRPr="008D0DEB" w:rsidRDefault="00B92899" w:rsidP="0065556E">
      <w:pPr>
        <w:pStyle w:val="Head3"/>
      </w:pPr>
      <w:r w:rsidRPr="008D0DEB">
        <w:t xml:space="preserve">Consolidating and strengthening </w:t>
      </w:r>
      <w:bookmarkEnd w:id="178"/>
      <w:bookmarkEnd w:id="179"/>
      <w:bookmarkEnd w:id="180"/>
      <w:r w:rsidR="00C2317E" w:rsidRPr="008D0DEB">
        <w:t>SII unit</w:t>
      </w:r>
    </w:p>
    <w:p w14:paraId="51311DA8" w14:textId="391B1B11" w:rsidR="002622CE" w:rsidRPr="008D0DEB" w:rsidRDefault="002622CE" w:rsidP="0065556E">
      <w:r w:rsidRPr="008D0DEB">
        <w:t xml:space="preserve">The DSS </w:t>
      </w:r>
      <w:r w:rsidR="00C2317E" w:rsidRPr="008D0DEB">
        <w:t>SII unit</w:t>
      </w:r>
      <w:r w:rsidRPr="008D0DEB">
        <w:t xml:space="preserve"> has been widely praised by the sector for its engagement in the SII trials. The Unit has developed significant social capital among </w:t>
      </w:r>
      <w:r w:rsidR="00135D3A" w:rsidRPr="008D0DEB">
        <w:t>trial</w:t>
      </w:r>
      <w:r w:rsidRPr="008D0DEB">
        <w:t xml:space="preserve"> participants</w:t>
      </w:r>
      <w:r w:rsidR="00135D3A" w:rsidRPr="008D0DEB">
        <w:t xml:space="preserve"> and</w:t>
      </w:r>
      <w:r w:rsidRPr="008D0DEB">
        <w:t xml:space="preserve"> has established itself as a trustworthy stakeholder. In addition, the Unit has developed wide-ranging skills, experience</w:t>
      </w:r>
      <w:r w:rsidR="003D3700" w:rsidRPr="008D0DEB">
        <w:t>,</w:t>
      </w:r>
      <w:r w:rsidRPr="008D0DEB">
        <w:t xml:space="preserve"> and learning required for the next phase of </w:t>
      </w:r>
      <w:r w:rsidR="006A22A2" w:rsidRPr="008D0DEB">
        <w:t>g</w:t>
      </w:r>
      <w:r w:rsidRPr="008D0DEB">
        <w:t xml:space="preserve">overnment engagement in the SII market. </w:t>
      </w:r>
    </w:p>
    <w:p w14:paraId="58390BED" w14:textId="179E1397" w:rsidR="00CA429F" w:rsidRPr="008D0DEB" w:rsidRDefault="002622CE" w:rsidP="0065556E">
      <w:r w:rsidRPr="008D0DEB">
        <w:lastRenderedPageBreak/>
        <w:t xml:space="preserve">However, due to resource constraints, high staff turnover and other external factors including the disruptions to </w:t>
      </w:r>
      <w:r w:rsidR="00135D3A" w:rsidRPr="008D0DEB">
        <w:t>business-as-usual</w:t>
      </w:r>
      <w:r w:rsidRPr="008D0DEB">
        <w:t xml:space="preserve"> arising from the COVID pandemic, not all of these learnings have been captured for sharing or embedded into the processes and institutional knowledge. This section suggests actions the </w:t>
      </w:r>
      <w:r w:rsidR="00C2317E" w:rsidRPr="008D0DEB">
        <w:t>SII unit</w:t>
      </w:r>
      <w:r w:rsidRPr="008D0DEB">
        <w:t xml:space="preserve"> could take to enable it to lead the </w:t>
      </w:r>
      <w:r w:rsidR="00956B93" w:rsidRPr="008D0DEB">
        <w:t>g</w:t>
      </w:r>
      <w:r w:rsidRPr="008D0DEB">
        <w:t xml:space="preserve">overnment’s SII efforts, share knowledge, and build capacity of others. </w:t>
      </w:r>
    </w:p>
    <w:p w14:paraId="163B7C13" w14:textId="4AA492A5" w:rsidR="00CB3B14" w:rsidRPr="008D0DEB" w:rsidRDefault="00963AC4" w:rsidP="0065556E">
      <w:pPr>
        <w:pStyle w:val="Head4"/>
      </w:pPr>
      <w:bookmarkStart w:id="181" w:name="_Toc140826442"/>
      <w:r w:rsidRPr="008D0DEB">
        <w:t xml:space="preserve">Potential actions for </w:t>
      </w:r>
      <w:r w:rsidR="00921476" w:rsidRPr="008D0DEB">
        <w:t xml:space="preserve">strengthening the DSS </w:t>
      </w:r>
      <w:r w:rsidR="00C2317E" w:rsidRPr="008D0DEB">
        <w:t>SII unit</w:t>
      </w:r>
      <w:bookmarkEnd w:id="181"/>
    </w:p>
    <w:p w14:paraId="269A99BC" w14:textId="368F0410" w:rsidR="004C08A8" w:rsidRPr="008D0DEB" w:rsidRDefault="004C08A8" w:rsidP="0065556E">
      <w:pPr>
        <w:pStyle w:val="ListBullet"/>
      </w:pPr>
      <w:r w:rsidRPr="008D0DEB">
        <w:t>Create team manual: To support on-boarding of new staff and to mitigate challenges of high staff turnover by articulating mission, ways of working, and approach to SII</w:t>
      </w:r>
    </w:p>
    <w:p w14:paraId="5DAD8C52" w14:textId="77777777" w:rsidR="004C08A8" w:rsidRPr="008D0DEB" w:rsidRDefault="004C08A8" w:rsidP="0065556E">
      <w:pPr>
        <w:pStyle w:val="ListBullet2"/>
      </w:pPr>
      <w:r w:rsidRPr="008D0DEB">
        <w:t xml:space="preserve">Establish policies, processes and practices which embed learnings into the work of the SII unit. </w:t>
      </w:r>
    </w:p>
    <w:p w14:paraId="12BFC1C4" w14:textId="454AB278" w:rsidR="004C08A8" w:rsidRPr="008D0DEB" w:rsidRDefault="004C08A8" w:rsidP="0065556E">
      <w:pPr>
        <w:pStyle w:val="ListBullet2"/>
      </w:pPr>
      <w:r w:rsidRPr="008D0DEB">
        <w:t>Keep registry of periodic issues, briefs, and updates.</w:t>
      </w:r>
    </w:p>
    <w:p w14:paraId="0C8C15F0" w14:textId="43A34FCF" w:rsidR="004C08A8" w:rsidRPr="008D0DEB" w:rsidRDefault="004C08A8" w:rsidP="0065556E">
      <w:pPr>
        <w:pStyle w:val="ListBullet"/>
      </w:pPr>
      <w:r w:rsidRPr="008D0DEB">
        <w:t>Establish team roles: Specialist skills are required for SII – more specific team roles will consider the make-up of the team and address any existing gaps:</w:t>
      </w:r>
    </w:p>
    <w:p w14:paraId="1A497B89" w14:textId="77777777" w:rsidR="004C08A8" w:rsidRPr="008D0DEB" w:rsidRDefault="004C08A8" w:rsidP="0065556E">
      <w:pPr>
        <w:pStyle w:val="ListBullet2"/>
      </w:pPr>
      <w:r w:rsidRPr="008D0DEB">
        <w:t xml:space="preserve">Define capability requirements of team. Key skillsets to consider include: </w:t>
      </w:r>
    </w:p>
    <w:p w14:paraId="1014FDE1" w14:textId="77777777" w:rsidR="004C08A8" w:rsidRPr="008D0DEB" w:rsidRDefault="004C08A8" w:rsidP="0065556E">
      <w:pPr>
        <w:pStyle w:val="ListBullet3"/>
      </w:pPr>
      <w:r w:rsidRPr="008D0DEB">
        <w:t>Finance (financial and benefit modelling and structuring deals)</w:t>
      </w:r>
    </w:p>
    <w:p w14:paraId="105C62AE" w14:textId="77777777" w:rsidR="004C08A8" w:rsidRPr="008D0DEB" w:rsidRDefault="004C08A8" w:rsidP="0065556E">
      <w:pPr>
        <w:pStyle w:val="ListBullet3"/>
      </w:pPr>
      <w:r w:rsidRPr="008D0DEB">
        <w:t>Legal professionals (ensuring compliance with government legal requirements and complex contract management)</w:t>
      </w:r>
    </w:p>
    <w:p w14:paraId="43425AB1" w14:textId="6C1D6DE8" w:rsidR="004C08A8" w:rsidRPr="008D0DEB" w:rsidRDefault="004C08A8" w:rsidP="0065556E">
      <w:pPr>
        <w:pStyle w:val="ListBullet3"/>
      </w:pPr>
      <w:r w:rsidRPr="008D0DEB">
        <w:t>Procurement (commissioning of outcomes)</w:t>
      </w:r>
      <w:r w:rsidR="00BF0143">
        <w:t xml:space="preserve"> </w:t>
      </w:r>
    </w:p>
    <w:p w14:paraId="1A6980B5" w14:textId="639E1BF4" w:rsidR="004C08A8" w:rsidRPr="008D0DEB" w:rsidRDefault="004C08A8" w:rsidP="0065556E">
      <w:pPr>
        <w:pStyle w:val="ListBullet3"/>
      </w:pPr>
      <w:r w:rsidRPr="008D0DEB">
        <w:t>Risk management.</w:t>
      </w:r>
    </w:p>
    <w:p w14:paraId="66C6608C" w14:textId="40CDEAF7" w:rsidR="004C08A8" w:rsidRPr="008D0DEB" w:rsidRDefault="004C08A8" w:rsidP="0065556E">
      <w:pPr>
        <w:pStyle w:val="ListBullet"/>
      </w:pPr>
      <w:r w:rsidRPr="008D0DEB">
        <w:t>Synthesise key learnings: The trials have led DSS to engage in new ways and create a body of lessons and papers. These should be updated, synthesised, and made available to staff on an ongoing basis.</w:t>
      </w:r>
    </w:p>
    <w:p w14:paraId="5FCDC354" w14:textId="77777777" w:rsidR="004C08A8" w:rsidRPr="008D0DEB" w:rsidRDefault="004C08A8" w:rsidP="0065556E">
      <w:pPr>
        <w:pStyle w:val="ListBullet2"/>
      </w:pPr>
      <w:r w:rsidRPr="008D0DEB">
        <w:t xml:space="preserve">Key learnings include: </w:t>
      </w:r>
    </w:p>
    <w:p w14:paraId="4EFA5D92" w14:textId="7EB5975D" w:rsidR="004C08A8" w:rsidRPr="008D0DEB" w:rsidRDefault="004C08A8" w:rsidP="0065556E">
      <w:pPr>
        <w:pStyle w:val="ListBullet3"/>
      </w:pPr>
      <w:r w:rsidRPr="008D0DEB">
        <w:t>co-development – incentivising innovation, enabling flexibility, and improving business models for the increased efficiency and effectiveness delivering outcomes.</w:t>
      </w:r>
      <w:r w:rsidR="00BF0143">
        <w:t xml:space="preserve"> </w:t>
      </w:r>
    </w:p>
    <w:p w14:paraId="75E4915D" w14:textId="77777777" w:rsidR="004C08A8" w:rsidRPr="008D0DEB" w:rsidRDefault="004C08A8" w:rsidP="0065556E">
      <w:pPr>
        <w:pStyle w:val="ListBullet3"/>
      </w:pPr>
      <w:r w:rsidRPr="008D0DEB">
        <w:t>implementation – creation of operations manuals between government and service provider setting out how the parties will deliver routine operations of the outcomes-based trials.</w:t>
      </w:r>
    </w:p>
    <w:p w14:paraId="5CA98921" w14:textId="29C07ADE" w:rsidR="004C08A8" w:rsidRPr="008D0DEB" w:rsidRDefault="00D111CA" w:rsidP="0065556E">
      <w:pPr>
        <w:pStyle w:val="ListBullet3"/>
      </w:pPr>
      <w:r>
        <w:t>l</w:t>
      </w:r>
      <w:r w:rsidR="004C08A8" w:rsidRPr="008D0DEB">
        <w:t>egal – provision of template legal documentation.</w:t>
      </w:r>
      <w:r w:rsidR="00BF0143">
        <w:t xml:space="preserve"> </w:t>
      </w:r>
    </w:p>
    <w:p w14:paraId="6EFEAA00" w14:textId="39FC6ECD" w:rsidR="004C08A8" w:rsidRPr="008D0DEB" w:rsidRDefault="004C08A8" w:rsidP="0065556E">
      <w:pPr>
        <w:pStyle w:val="ListBullet3"/>
      </w:pPr>
      <w:r w:rsidRPr="008D0DEB">
        <w:t>data sharing – cross-government and cross-jurisdictional access to data is highly complex, and stronger data systems are required to support pricing outcomes and to measure and verify outcomes for payments.</w:t>
      </w:r>
      <w:r w:rsidR="00BF0143">
        <w:t xml:space="preserve"> </w:t>
      </w:r>
    </w:p>
    <w:p w14:paraId="3ACCBB3C" w14:textId="664F2A43" w:rsidR="004C08A8" w:rsidRPr="008D0DEB" w:rsidRDefault="004C08A8" w:rsidP="0065556E">
      <w:pPr>
        <w:pStyle w:val="ListBullet3"/>
      </w:pPr>
      <w:r w:rsidRPr="008D0DEB">
        <w:t>payment structure – payment ratios, eligibility criteria, and risk-reward balance.</w:t>
      </w:r>
      <w:r w:rsidR="00BF0143">
        <w:t xml:space="preserve"> </w:t>
      </w:r>
    </w:p>
    <w:p w14:paraId="5B37C2BD" w14:textId="77777777" w:rsidR="004C08A8" w:rsidRPr="008D0DEB" w:rsidRDefault="004C08A8" w:rsidP="0065556E">
      <w:pPr>
        <w:pStyle w:val="ListBullet3"/>
      </w:pPr>
      <w:r w:rsidRPr="008D0DEB">
        <w:t xml:space="preserve">managing different financial instruments – existing IT systems were set up to manage grants or procurements. Adjustments needed to be made to manage outcome payments. </w:t>
      </w:r>
    </w:p>
    <w:p w14:paraId="0536B39E" w14:textId="7B3A7031" w:rsidR="004C08A8" w:rsidRPr="008D0DEB" w:rsidRDefault="004C08A8" w:rsidP="0065556E">
      <w:pPr>
        <w:pStyle w:val="ListBullet3"/>
      </w:pPr>
      <w:r w:rsidRPr="008D0DEB">
        <w:t>pricing and risk sharing – there is limited understanding among service providers of the risk implications in outcomes-based financing (particularly in the case of poor performance) and the capability to undertake the due diligence required to appreciate the risk profile. The trials have produced lessons and materials relating to the adjusting of risk in PBO approaches, including useful explanation of the levers available to adjust the level of financial risk borne by providers, investors or payers.</w:t>
      </w:r>
      <w:r w:rsidR="00BF0143">
        <w:t xml:space="preserve">  </w:t>
      </w:r>
      <w:r w:rsidRPr="008D0DEB">
        <w:t xml:space="preserve"> </w:t>
      </w:r>
    </w:p>
    <w:p w14:paraId="1E95578B" w14:textId="77777777" w:rsidR="004C08A8" w:rsidRPr="008D0DEB" w:rsidRDefault="004C08A8" w:rsidP="0065556E">
      <w:pPr>
        <w:pStyle w:val="ListBullet3"/>
      </w:pPr>
      <w:r w:rsidRPr="008D0DEB">
        <w:t>impact investment readiness – greater understanding of opportunities and challenges for social enterprise growth.</w:t>
      </w:r>
    </w:p>
    <w:p w14:paraId="36BBD17C" w14:textId="7B1C424E" w:rsidR="004C08A8" w:rsidRPr="0065556E" w:rsidRDefault="004C08A8" w:rsidP="0065556E">
      <w:pPr>
        <w:pStyle w:val="ListBullet3"/>
        <w:rPr>
          <w:rFonts w:cs="Verdana"/>
        </w:rPr>
      </w:pPr>
      <w:r w:rsidRPr="008D0DEB">
        <w:lastRenderedPageBreak/>
        <w:t xml:space="preserve">outcomes measurement and impact management – the trials have captured insights from engagement with datasets, indicator development and measurement and reporting practice in different policy areas. </w:t>
      </w:r>
    </w:p>
    <w:p w14:paraId="6569D963" w14:textId="59C0D140" w:rsidR="004C08A8" w:rsidRPr="008D0DEB" w:rsidRDefault="004C08A8" w:rsidP="0065556E">
      <w:pPr>
        <w:pStyle w:val="ListBullet"/>
      </w:pPr>
      <w:r w:rsidRPr="0065556E">
        <w:rPr>
          <w:rFonts w:eastAsiaTheme="minorEastAsia"/>
        </w:rPr>
        <w:t>Education and training for other DSS staff</w:t>
      </w:r>
      <w:r w:rsidR="00E76F6A" w:rsidRPr="0065556E">
        <w:rPr>
          <w:rFonts w:eastAsiaTheme="minorEastAsia"/>
        </w:rPr>
        <w:t>: Building an organisational understanding of SII, and building the skills required that will insulate the SII unit from negative impacts due to staff movements or machinery of government changes</w:t>
      </w:r>
    </w:p>
    <w:p w14:paraId="23AA30FC" w14:textId="77777777" w:rsidR="00E76F6A" w:rsidRPr="008D0DEB" w:rsidRDefault="00E76F6A" w:rsidP="0065556E">
      <w:pPr>
        <w:pStyle w:val="ListBullet2"/>
        <w:rPr>
          <w:rFonts w:eastAsiaTheme="minorEastAsia"/>
        </w:rPr>
      </w:pPr>
      <w:r w:rsidRPr="008D0DEB">
        <w:rPr>
          <w:rFonts w:eastAsiaTheme="minorEastAsia"/>
        </w:rPr>
        <w:t>Having graduates rotating through the team creates opportunities to influence the future public service workforce.</w:t>
      </w:r>
    </w:p>
    <w:p w14:paraId="5325E752" w14:textId="77777777" w:rsidR="00E76F6A" w:rsidRPr="008D0DEB" w:rsidRDefault="00E76F6A" w:rsidP="0065556E">
      <w:pPr>
        <w:pStyle w:val="ListBullet2"/>
        <w:rPr>
          <w:rFonts w:eastAsiaTheme="minorEastAsia"/>
        </w:rPr>
      </w:pPr>
      <w:r w:rsidRPr="008D0DEB">
        <w:rPr>
          <w:rFonts w:eastAsiaTheme="minorEastAsia"/>
        </w:rPr>
        <w:t xml:space="preserve">A key challenge will be developing skills in how to build and train an ‘innovation’ </w:t>
      </w:r>
      <w:r w:rsidRPr="008D0DEB">
        <w:rPr>
          <w:rFonts w:eastAsiaTheme="minorEastAsia"/>
          <w:szCs w:val="22"/>
        </w:rPr>
        <w:t xml:space="preserve">mindset </w:t>
      </w:r>
      <w:r w:rsidRPr="008D0DEB">
        <w:rPr>
          <w:rFonts w:eastAsiaTheme="minorEastAsia"/>
        </w:rPr>
        <w:t>in a risk averse APS culture.</w:t>
      </w:r>
    </w:p>
    <w:p w14:paraId="19584646" w14:textId="5A98063A" w:rsidR="004C08A8" w:rsidRPr="008D0DEB" w:rsidRDefault="00E76F6A" w:rsidP="0065556E">
      <w:pPr>
        <w:pStyle w:val="ListBullet2"/>
      </w:pPr>
      <w:r w:rsidRPr="008D0DEB">
        <w:rPr>
          <w:rFonts w:eastAsiaTheme="minorEastAsia"/>
        </w:rPr>
        <w:t>Partnership building is a specific skillset – and mindset. There are potential opportunities to consider how to train for effective partnerships (relevant to SII).</w:t>
      </w:r>
    </w:p>
    <w:p w14:paraId="7929ACBE" w14:textId="5FEA1DA3" w:rsidR="007C5FD7" w:rsidRPr="008D0DEB" w:rsidRDefault="00752342" w:rsidP="0065556E">
      <w:pPr>
        <w:pStyle w:val="Head3"/>
      </w:pPr>
      <w:bookmarkStart w:id="182" w:name="_Toc137210969"/>
      <w:bookmarkStart w:id="183" w:name="_Toc137211211"/>
      <w:bookmarkStart w:id="184" w:name="_Toc137219065"/>
      <w:r w:rsidRPr="008D0DEB">
        <w:t xml:space="preserve">Building </w:t>
      </w:r>
      <w:r w:rsidR="007024DE" w:rsidRPr="008D0DEB">
        <w:t xml:space="preserve">awareness, </w:t>
      </w:r>
      <w:r w:rsidRPr="008D0DEB">
        <w:t>capability</w:t>
      </w:r>
      <w:r w:rsidR="003D3700" w:rsidRPr="008D0DEB">
        <w:t>,</w:t>
      </w:r>
      <w:r w:rsidRPr="008D0DEB">
        <w:t xml:space="preserve"> </w:t>
      </w:r>
      <w:r w:rsidR="007024DE" w:rsidRPr="008D0DEB">
        <w:t xml:space="preserve">and support for SII </w:t>
      </w:r>
      <w:r w:rsidRPr="008D0DEB">
        <w:t>within DSS</w:t>
      </w:r>
      <w:r w:rsidR="0035067A" w:rsidRPr="008D0DEB">
        <w:t xml:space="preserve"> and across government</w:t>
      </w:r>
      <w:bookmarkEnd w:id="182"/>
      <w:bookmarkEnd w:id="183"/>
      <w:bookmarkEnd w:id="184"/>
    </w:p>
    <w:p w14:paraId="278ED3B6" w14:textId="337FD47A" w:rsidR="00632A52" w:rsidRPr="008D0DEB" w:rsidRDefault="00A5574E" w:rsidP="0065556E">
      <w:r w:rsidRPr="008D0DEB">
        <w:t xml:space="preserve">Implementation of the SII trials </w:t>
      </w:r>
      <w:r w:rsidR="005D7132" w:rsidRPr="008D0DEB">
        <w:t>has</w:t>
      </w:r>
      <w:r w:rsidRPr="008D0DEB">
        <w:t xml:space="preserve"> </w:t>
      </w:r>
      <w:r w:rsidR="00E11754" w:rsidRPr="008D0DEB">
        <w:t xml:space="preserve">led </w:t>
      </w:r>
      <w:r w:rsidR="005D7132" w:rsidRPr="008D0DEB">
        <w:t xml:space="preserve">the </w:t>
      </w:r>
      <w:r w:rsidR="00C2317E" w:rsidRPr="008D0DEB">
        <w:t>SII unit</w:t>
      </w:r>
      <w:r w:rsidR="00A668D7" w:rsidRPr="008D0DEB">
        <w:t xml:space="preserve"> </w:t>
      </w:r>
      <w:r w:rsidR="00E11754" w:rsidRPr="008D0DEB">
        <w:t xml:space="preserve">to develop </w:t>
      </w:r>
      <w:r w:rsidR="00DA235D" w:rsidRPr="008D0DEB">
        <w:t xml:space="preserve">specialist </w:t>
      </w:r>
      <w:r w:rsidR="008E6CE2" w:rsidRPr="008D0DEB">
        <w:t>capabilities</w:t>
      </w:r>
      <w:r w:rsidR="005D7132" w:rsidRPr="008D0DEB">
        <w:t>.</w:t>
      </w:r>
      <w:r w:rsidR="00DA235D" w:rsidRPr="008D0DEB">
        <w:t xml:space="preserve"> </w:t>
      </w:r>
      <w:r w:rsidR="00632A52" w:rsidRPr="008D0DEB">
        <w:t xml:space="preserve">Greater awareness of the </w:t>
      </w:r>
      <w:r w:rsidR="00C2317E" w:rsidRPr="008D0DEB">
        <w:t>SII unit</w:t>
      </w:r>
      <w:r w:rsidR="00243485" w:rsidRPr="008D0DEB">
        <w:t xml:space="preserve"> </w:t>
      </w:r>
      <w:r w:rsidR="005D7132" w:rsidRPr="008D0DEB">
        <w:t>within DSS, including</w:t>
      </w:r>
      <w:r w:rsidR="00632A52" w:rsidRPr="008D0DEB">
        <w:t xml:space="preserve"> its capabilities </w:t>
      </w:r>
      <w:r w:rsidR="00243485" w:rsidRPr="008D0DEB">
        <w:t xml:space="preserve">and </w:t>
      </w:r>
      <w:r w:rsidR="005D7132" w:rsidRPr="008D0DEB">
        <w:t>potential</w:t>
      </w:r>
      <w:r w:rsidR="003D3700" w:rsidRPr="008D0DEB">
        <w:t>,</w:t>
      </w:r>
      <w:r w:rsidR="006C518F" w:rsidRPr="008D0DEB">
        <w:t xml:space="preserve"> </w:t>
      </w:r>
      <w:r w:rsidR="00632A52" w:rsidRPr="008D0DEB">
        <w:t xml:space="preserve">will facilitate efficacy in delivering the new SII government measures. </w:t>
      </w:r>
    </w:p>
    <w:p w14:paraId="4F914E81" w14:textId="47BA6979" w:rsidR="00D22F23" w:rsidRPr="008D0DEB" w:rsidRDefault="001F6187" w:rsidP="0065556E">
      <w:r w:rsidRPr="008D0DEB">
        <w:t xml:space="preserve">The </w:t>
      </w:r>
      <w:r w:rsidR="00C2317E" w:rsidRPr="008D0DEB">
        <w:t>SII unit</w:t>
      </w:r>
      <w:r w:rsidR="00AF2E59" w:rsidRPr="008D0DEB">
        <w:t>’s location in a line agency means it manages the implementation of programs</w:t>
      </w:r>
      <w:r w:rsidR="001C3F47" w:rsidRPr="008D0DEB">
        <w:t xml:space="preserve">. </w:t>
      </w:r>
      <w:r w:rsidR="002C4475" w:rsidRPr="008D0DEB">
        <w:t>Line agencies</w:t>
      </w:r>
      <w:r w:rsidR="00D512DE" w:rsidRPr="008D0DEB">
        <w:t>, such as DSS,</w:t>
      </w:r>
      <w:r w:rsidR="002C4475" w:rsidRPr="008D0DEB">
        <w:t xml:space="preserve"> </w:t>
      </w:r>
      <w:r w:rsidR="00885A90" w:rsidRPr="008D0DEB">
        <w:t xml:space="preserve">have deep </w:t>
      </w:r>
      <w:r w:rsidR="002C4475" w:rsidRPr="008D0DEB">
        <w:t>sectoral expertise</w:t>
      </w:r>
      <w:r w:rsidR="00885A90" w:rsidRPr="008D0DEB">
        <w:t xml:space="preserve">. </w:t>
      </w:r>
      <w:r w:rsidR="001C3F47" w:rsidRPr="008D0DEB">
        <w:t xml:space="preserve">As an experienced practitioner with </w:t>
      </w:r>
      <w:r w:rsidR="00C36B01" w:rsidRPr="008D0DEB">
        <w:t xml:space="preserve">a </w:t>
      </w:r>
      <w:r w:rsidR="00DD459B" w:rsidRPr="008D0DEB">
        <w:t xml:space="preserve">demonstrated </w:t>
      </w:r>
      <w:r w:rsidR="00C36B01" w:rsidRPr="008D0DEB">
        <w:t>track record and sectoral social capital</w:t>
      </w:r>
      <w:r w:rsidR="001C3F47" w:rsidRPr="008D0DEB">
        <w:t xml:space="preserve">, </w:t>
      </w:r>
      <w:r w:rsidR="00DA11A7" w:rsidRPr="008D0DEB">
        <w:t xml:space="preserve">the </w:t>
      </w:r>
      <w:r w:rsidR="00C2317E" w:rsidRPr="008D0DEB">
        <w:t>SII unit</w:t>
      </w:r>
      <w:r w:rsidR="004C469D" w:rsidRPr="008D0DEB">
        <w:t xml:space="preserve"> is </w:t>
      </w:r>
      <w:r w:rsidR="00D22F23" w:rsidRPr="008D0DEB">
        <w:t>well</w:t>
      </w:r>
      <w:r w:rsidR="004C469D" w:rsidRPr="008D0DEB">
        <w:t>-</w:t>
      </w:r>
      <w:r w:rsidR="00D22F23" w:rsidRPr="008D0DEB">
        <w:t xml:space="preserve">placed </w:t>
      </w:r>
      <w:r w:rsidR="004C469D" w:rsidRPr="008D0DEB">
        <w:t xml:space="preserve">to </w:t>
      </w:r>
      <w:r w:rsidR="003D0D28" w:rsidRPr="008D0DEB">
        <w:t xml:space="preserve">inform the </w:t>
      </w:r>
      <w:r w:rsidR="00285FB7" w:rsidRPr="008D0DEB">
        <w:t xml:space="preserve">policy-making areas </w:t>
      </w:r>
      <w:r w:rsidR="003D0D28" w:rsidRPr="008D0DEB">
        <w:t>of government</w:t>
      </w:r>
      <w:r w:rsidR="00471F4F" w:rsidRPr="008D0DEB">
        <w:t>, for example, The Treasury.</w:t>
      </w:r>
    </w:p>
    <w:p w14:paraId="359843A0" w14:textId="6AFC0CBA" w:rsidR="004D3821" w:rsidRPr="008D0DEB" w:rsidRDefault="003D3700" w:rsidP="0065556E">
      <w:r w:rsidRPr="008D0DEB">
        <w:t>Lessons</w:t>
      </w:r>
      <w:r w:rsidR="00F53872" w:rsidRPr="008D0DEB">
        <w:t xml:space="preserve"> from t</w:t>
      </w:r>
      <w:r w:rsidR="006A0E4A" w:rsidRPr="008D0DEB">
        <w:t xml:space="preserve">he </w:t>
      </w:r>
      <w:r w:rsidR="00C2317E" w:rsidRPr="008D0DEB">
        <w:t>SII unit</w:t>
      </w:r>
      <w:r w:rsidR="006A0E4A" w:rsidRPr="008D0DEB">
        <w:t xml:space="preserve"> trials</w:t>
      </w:r>
      <w:r w:rsidR="00F9438E" w:rsidRPr="008D0DEB">
        <w:t xml:space="preserve"> </w:t>
      </w:r>
      <w:r w:rsidR="009307BD" w:rsidRPr="008D0DEB">
        <w:t>indicate that awareness</w:t>
      </w:r>
      <w:r w:rsidR="009C6CF4" w:rsidRPr="008D0DEB">
        <w:t xml:space="preserve"> and </w:t>
      </w:r>
      <w:r w:rsidR="003D7658" w:rsidRPr="008D0DEB">
        <w:t xml:space="preserve">understanding </w:t>
      </w:r>
      <w:r w:rsidR="009C6CF4" w:rsidRPr="008D0DEB">
        <w:t xml:space="preserve">of SII </w:t>
      </w:r>
      <w:r w:rsidR="003D7658" w:rsidRPr="008D0DEB">
        <w:t xml:space="preserve">and support for </w:t>
      </w:r>
      <w:r w:rsidR="009C6CF4" w:rsidRPr="008D0DEB">
        <w:t xml:space="preserve">the </w:t>
      </w:r>
      <w:r w:rsidR="00C2317E" w:rsidRPr="008D0DEB">
        <w:t>SII unit</w:t>
      </w:r>
      <w:r w:rsidR="004D3821" w:rsidRPr="008D0DEB">
        <w:t xml:space="preserve"> </w:t>
      </w:r>
      <w:r w:rsidR="000A2DE7" w:rsidRPr="008D0DEB">
        <w:t xml:space="preserve">within DSS </w:t>
      </w:r>
      <w:r w:rsidRPr="008D0DEB">
        <w:t>have</w:t>
      </w:r>
      <w:r w:rsidR="006D74C2" w:rsidRPr="008D0DEB">
        <w:t xml:space="preserve"> </w:t>
      </w:r>
      <w:r w:rsidR="00DF198C" w:rsidRPr="008D0DEB">
        <w:t>grow</w:t>
      </w:r>
      <w:r w:rsidR="00061781" w:rsidRPr="008D0DEB">
        <w:t>n</w:t>
      </w:r>
      <w:r w:rsidR="000A2DE7" w:rsidRPr="008D0DEB">
        <w:t>.</w:t>
      </w:r>
      <w:r w:rsidR="006018B6" w:rsidRPr="008D0DEB">
        <w:t xml:space="preserve"> </w:t>
      </w:r>
      <w:r w:rsidR="009923DA" w:rsidRPr="008D0DEB">
        <w:t xml:space="preserve">However, </w:t>
      </w:r>
      <w:r w:rsidR="00D20022" w:rsidRPr="008D0DEB">
        <w:t>changes i</w:t>
      </w:r>
      <w:r w:rsidR="00D72549" w:rsidRPr="008D0DEB">
        <w:t>n staffing (at all levels of the department)</w:t>
      </w:r>
      <w:r w:rsidR="0053053F" w:rsidRPr="008D0DEB">
        <w:t>,</w:t>
      </w:r>
      <w:r w:rsidR="00D72549" w:rsidRPr="008D0DEB">
        <w:t xml:space="preserve"> and </w:t>
      </w:r>
      <w:r w:rsidR="0053053F" w:rsidRPr="008D0DEB">
        <w:t>ongoing</w:t>
      </w:r>
      <w:r w:rsidR="00D72549" w:rsidRPr="008D0DEB">
        <w:t xml:space="preserve"> changes in </w:t>
      </w:r>
      <w:r w:rsidR="00211287" w:rsidRPr="008D0DEB">
        <w:t xml:space="preserve">the </w:t>
      </w:r>
      <w:r w:rsidR="0053053F" w:rsidRPr="008D0DEB">
        <w:t xml:space="preserve">strategic and </w:t>
      </w:r>
      <w:r w:rsidR="00211287" w:rsidRPr="008D0DEB">
        <w:t xml:space="preserve">authorising environment mean that this </w:t>
      </w:r>
      <w:r w:rsidR="0053053F" w:rsidRPr="008D0DEB">
        <w:t xml:space="preserve">will </w:t>
      </w:r>
      <w:r w:rsidR="00211287" w:rsidRPr="008D0DEB">
        <w:t xml:space="preserve">continue </w:t>
      </w:r>
      <w:r w:rsidR="001B7667" w:rsidRPr="008D0DEB">
        <w:t>to be an area of need.</w:t>
      </w:r>
      <w:r w:rsidR="00BF0143">
        <w:t xml:space="preserve"> </w:t>
      </w:r>
    </w:p>
    <w:p w14:paraId="1F45E10B" w14:textId="114821B5" w:rsidR="002906DE" w:rsidRPr="008D0DEB" w:rsidRDefault="00E77C6C" w:rsidP="0065556E">
      <w:r w:rsidRPr="008D0DEB">
        <w:t>Fu</w:t>
      </w:r>
      <w:r w:rsidR="00DB2E21" w:rsidRPr="008D0DEB">
        <w:t xml:space="preserve">ture </w:t>
      </w:r>
      <w:r w:rsidR="001B7667" w:rsidRPr="008D0DEB">
        <w:t>actions</w:t>
      </w:r>
      <w:r w:rsidR="007E6DB4" w:rsidRPr="008D0DEB">
        <w:t xml:space="preserve"> for the </w:t>
      </w:r>
      <w:r w:rsidR="00C2317E" w:rsidRPr="008D0DEB">
        <w:t>SII unit</w:t>
      </w:r>
      <w:r w:rsidR="007E6DB4" w:rsidRPr="008D0DEB">
        <w:t xml:space="preserve"> </w:t>
      </w:r>
      <w:r w:rsidR="000E2DB6" w:rsidRPr="008D0DEB">
        <w:t xml:space="preserve">to </w:t>
      </w:r>
      <w:r w:rsidR="007E6DB4" w:rsidRPr="008D0DEB">
        <w:t>raise its profile and</w:t>
      </w:r>
      <w:r w:rsidR="00F51E67" w:rsidRPr="008D0DEB">
        <w:t xml:space="preserve"> enable knowledge sharing within DSS could </w:t>
      </w:r>
      <w:r w:rsidR="00F83124" w:rsidRPr="008D0DEB">
        <w:t>include</w:t>
      </w:r>
      <w:r w:rsidR="002906DE" w:rsidRPr="008D0DEB">
        <w:t>:</w:t>
      </w:r>
    </w:p>
    <w:p w14:paraId="4F36672C" w14:textId="77777777" w:rsidR="002906DE" w:rsidRPr="00D111CA" w:rsidRDefault="00F51E67" w:rsidP="0065556E">
      <w:pPr>
        <w:pStyle w:val="ListBullet"/>
      </w:pPr>
      <w:r w:rsidRPr="008D0DEB">
        <w:t xml:space="preserve">development of an </w:t>
      </w:r>
      <w:r w:rsidR="00722150" w:rsidRPr="006E3EF3">
        <w:t>external-facing SII education</w:t>
      </w:r>
      <w:r w:rsidR="00722150" w:rsidRPr="00D111CA">
        <w:t xml:space="preserve"> </w:t>
      </w:r>
      <w:r w:rsidR="008D73A2" w:rsidRPr="00D111CA">
        <w:t>package</w:t>
      </w:r>
    </w:p>
    <w:p w14:paraId="7F300D39" w14:textId="77777777" w:rsidR="002906DE" w:rsidRPr="00D111CA" w:rsidRDefault="008F64D8" w:rsidP="0065556E">
      <w:pPr>
        <w:pStyle w:val="ListBullet"/>
      </w:pPr>
      <w:r w:rsidRPr="004E1B29">
        <w:t>inclusion of</w:t>
      </w:r>
      <w:r w:rsidR="00A52233" w:rsidRPr="004E1B29">
        <w:t xml:space="preserve"> </w:t>
      </w:r>
      <w:r w:rsidR="003648CD" w:rsidRPr="004E1B29">
        <w:t>SII</w:t>
      </w:r>
      <w:r w:rsidRPr="004E1B29">
        <w:t xml:space="preserve"> </w:t>
      </w:r>
      <w:r w:rsidR="00C67DD0" w:rsidRPr="004E1B29">
        <w:t xml:space="preserve">information in </w:t>
      </w:r>
      <w:r w:rsidR="00C67DD0" w:rsidRPr="00D111CA">
        <w:t xml:space="preserve">the </w:t>
      </w:r>
      <w:r w:rsidR="00C67DD0" w:rsidRPr="006E3EF3">
        <w:t>DSS</w:t>
      </w:r>
      <w:r w:rsidR="003648CD" w:rsidRPr="006E3EF3">
        <w:t xml:space="preserve"> induction</w:t>
      </w:r>
      <w:r w:rsidR="00C67DD0" w:rsidRPr="00D111CA">
        <w:t xml:space="preserve"> process</w:t>
      </w:r>
    </w:p>
    <w:p w14:paraId="6A8C5576" w14:textId="52A41070" w:rsidR="00722150" w:rsidRPr="008D0DEB" w:rsidRDefault="005D5ECF" w:rsidP="0065556E">
      <w:pPr>
        <w:pStyle w:val="ListBullet"/>
      </w:pPr>
      <w:r w:rsidRPr="00D111CA">
        <w:t xml:space="preserve">regular </w:t>
      </w:r>
      <w:r w:rsidRPr="006E3EF3">
        <w:t>communications through DSS Staffnet</w:t>
      </w:r>
      <w:r w:rsidRPr="00D111CA">
        <w:t xml:space="preserve"> or</w:t>
      </w:r>
      <w:r w:rsidRPr="008D0DEB">
        <w:t xml:space="preserve"> </w:t>
      </w:r>
      <w:r w:rsidR="00D92DCE" w:rsidRPr="008D0DEB">
        <w:t>other avenues</w:t>
      </w:r>
      <w:r w:rsidR="0019324D" w:rsidRPr="008D0DEB">
        <w:t xml:space="preserve">. </w:t>
      </w:r>
    </w:p>
    <w:p w14:paraId="5A46189A" w14:textId="56ACAD43" w:rsidR="00285433" w:rsidRPr="008D0DEB" w:rsidRDefault="00285433" w:rsidP="0065556E">
      <w:r w:rsidRPr="008D0DEB">
        <w:t xml:space="preserve">There are also opportunities to engage closely with other teams in DSS who may be </w:t>
      </w:r>
      <w:r w:rsidR="00FE0C59" w:rsidRPr="008D0DEB">
        <w:t>facing similar issues; for example</w:t>
      </w:r>
      <w:r w:rsidR="005A3CA6" w:rsidRPr="008D0DEB">
        <w:t>,</w:t>
      </w:r>
      <w:r w:rsidR="00FE0C59" w:rsidRPr="008D0DEB">
        <w:t xml:space="preserve"> the G</w:t>
      </w:r>
      <w:r w:rsidR="00B155B6" w:rsidRPr="008D0DEB">
        <w:t xml:space="preserve">etting Better Outcomes </w:t>
      </w:r>
      <w:r w:rsidR="00F00D86" w:rsidRPr="008D0DEB">
        <w:t xml:space="preserve">unit has </w:t>
      </w:r>
      <w:r w:rsidR="00212276" w:rsidRPr="008D0DEB">
        <w:t>recently engaged in a series of capacity building a</w:t>
      </w:r>
      <w:r w:rsidR="005B534C" w:rsidRPr="008D0DEB">
        <w:t xml:space="preserve">ctivities within DSS – which could serve as a guide for the </w:t>
      </w:r>
      <w:r w:rsidR="00C2317E" w:rsidRPr="008D0DEB">
        <w:t>SII unit</w:t>
      </w:r>
      <w:r w:rsidR="005B534C" w:rsidRPr="008D0DEB">
        <w:t>.</w:t>
      </w:r>
    </w:p>
    <w:p w14:paraId="24B77DDD" w14:textId="4A371A49" w:rsidR="00722150" w:rsidRPr="008D0DEB" w:rsidRDefault="00C33C73" w:rsidP="0065556E">
      <w:r w:rsidRPr="008D0DEB">
        <w:t>At the Executive level,</w:t>
      </w:r>
      <w:r w:rsidR="00722150" w:rsidRPr="008D0DEB">
        <w:t xml:space="preserve"> a </w:t>
      </w:r>
      <w:r w:rsidR="006F6A74" w:rsidRPr="008D0DEB">
        <w:t>significant enhancement would be the identification</w:t>
      </w:r>
      <w:r w:rsidR="00722150" w:rsidRPr="008D0DEB">
        <w:t xml:space="preserve"> of </w:t>
      </w:r>
      <w:r w:rsidR="006F6A74" w:rsidRPr="008D0DEB">
        <w:t xml:space="preserve">a </w:t>
      </w:r>
      <w:r w:rsidR="004C733B" w:rsidRPr="008D0DEB">
        <w:t xml:space="preserve">“champion” of </w:t>
      </w:r>
      <w:r w:rsidR="00722150" w:rsidRPr="008D0DEB">
        <w:t>SII within DSS</w:t>
      </w:r>
      <w:r w:rsidR="001C5D4D" w:rsidRPr="008D0DEB">
        <w:t>. This champion could also act as a liaison point for</w:t>
      </w:r>
      <w:r w:rsidR="00722150" w:rsidRPr="008D0DEB">
        <w:t xml:space="preserve"> other government departments.</w:t>
      </w:r>
    </w:p>
    <w:p w14:paraId="377CE4E7" w14:textId="618409C6" w:rsidR="00752342" w:rsidRPr="008D0DEB" w:rsidRDefault="00752342" w:rsidP="0065556E">
      <w:pPr>
        <w:pStyle w:val="Head3"/>
      </w:pPr>
      <w:bookmarkStart w:id="185" w:name="_Toc137210970"/>
      <w:bookmarkStart w:id="186" w:name="_Toc137211212"/>
      <w:bookmarkStart w:id="187" w:name="_Toc137219066"/>
      <w:r w:rsidRPr="008D0DEB">
        <w:t xml:space="preserve">Supporting </w:t>
      </w:r>
      <w:r w:rsidR="00F5142D" w:rsidRPr="008D0DEB">
        <w:t>Australian Government engagement</w:t>
      </w:r>
      <w:bookmarkEnd w:id="185"/>
      <w:bookmarkEnd w:id="186"/>
      <w:bookmarkEnd w:id="187"/>
    </w:p>
    <w:p w14:paraId="5FB809C6" w14:textId="77777777" w:rsidR="003D3700" w:rsidRPr="008D0DEB" w:rsidRDefault="003D3700" w:rsidP="0065556E">
      <w:r w:rsidRPr="008D0DEB">
        <w:t>The trials reaffirmed the Australian Government’s unique position at the heart of Australia’s SII ecosystem. Through the trials, the Australian Government acted as a market participant by paying directly for social outcomes, and as a market facilitator, for example, by assisting service providers to grow their capacity and through the re-activation of the inter-jurisdictional community of practice. The trials provided less evidence in relation to the Australian Government’s role as a regulator of the SII market, largely due to the nature of the trials as targeted projects and the role of DSS within government.</w:t>
      </w:r>
    </w:p>
    <w:p w14:paraId="54178460" w14:textId="77777777" w:rsidR="00BF0143" w:rsidRDefault="00BF0143">
      <w:r>
        <w:br w:type="page"/>
      </w:r>
    </w:p>
    <w:p w14:paraId="65FA4622" w14:textId="2A77E1A0" w:rsidR="008B1A93" w:rsidRPr="008D0DEB" w:rsidRDefault="008B1A93" w:rsidP="0065556E">
      <w:r w:rsidRPr="008D0DEB">
        <w:lastRenderedPageBreak/>
        <w:t xml:space="preserve">Moving beyond the role of payer, </w:t>
      </w:r>
      <w:r w:rsidR="003D3700" w:rsidRPr="008D0DEB">
        <w:t>there</w:t>
      </w:r>
      <w:r w:rsidRPr="008D0DEB">
        <w:t xml:space="preserve"> are further opportunities for the </w:t>
      </w:r>
      <w:r w:rsidR="001033AA" w:rsidRPr="008D0DEB">
        <w:t>g</w:t>
      </w:r>
      <w:r w:rsidRPr="008D0DEB">
        <w:t>overnment to:</w:t>
      </w:r>
    </w:p>
    <w:p w14:paraId="4D61716C" w14:textId="195B0556" w:rsidR="008B1A93" w:rsidRPr="008D0DEB" w:rsidRDefault="00F27E48" w:rsidP="0065556E">
      <w:pPr>
        <w:pStyle w:val="ListBullet"/>
      </w:pPr>
      <w:r w:rsidRPr="0065556E">
        <w:rPr>
          <w:iCs/>
        </w:rPr>
        <w:t>F</w:t>
      </w:r>
      <w:r w:rsidR="008B1A93" w:rsidRPr="0065556E">
        <w:rPr>
          <w:iCs/>
        </w:rPr>
        <w:t xml:space="preserve">acilitate </w:t>
      </w:r>
      <w:r w:rsidR="008B1A93" w:rsidRPr="008D0DEB">
        <w:t>the market by:</w:t>
      </w:r>
      <w:r w:rsidR="008B1A93" w:rsidRPr="0065556E">
        <w:rPr>
          <w:iCs/>
        </w:rPr>
        <w:t xml:space="preserve"> </w:t>
      </w:r>
    </w:p>
    <w:p w14:paraId="2E492BBB" w14:textId="55C75C41" w:rsidR="008B1A93" w:rsidRPr="008D0DEB" w:rsidRDefault="008B1A93" w:rsidP="0065556E">
      <w:pPr>
        <w:pStyle w:val="ListBullet2"/>
      </w:pPr>
      <w:r w:rsidRPr="008D0DEB">
        <w:t xml:space="preserve">developing </w:t>
      </w:r>
      <w:r w:rsidRPr="008D0DEB">
        <w:rPr>
          <w:iCs/>
        </w:rPr>
        <w:t xml:space="preserve">a </w:t>
      </w:r>
      <w:r w:rsidR="002D3D6A" w:rsidRPr="008D0DEB">
        <w:rPr>
          <w:iCs/>
        </w:rPr>
        <w:t>w</w:t>
      </w:r>
      <w:r w:rsidRPr="008D0DEB">
        <w:rPr>
          <w:iCs/>
        </w:rPr>
        <w:t>hole-of-</w:t>
      </w:r>
      <w:r w:rsidR="002D3D6A" w:rsidRPr="008D0DEB">
        <w:rPr>
          <w:iCs/>
        </w:rPr>
        <w:t>g</w:t>
      </w:r>
      <w:r w:rsidRPr="008D0DEB">
        <w:rPr>
          <w:iCs/>
        </w:rPr>
        <w:t xml:space="preserve">overnment </w:t>
      </w:r>
      <w:r w:rsidRPr="008D0DEB">
        <w:t>approach to impact investing which incorporates not just social impact but also environmental</w:t>
      </w:r>
      <w:r w:rsidR="00B94E2D" w:rsidRPr="008D0DEB">
        <w:t xml:space="preserve"> impact</w:t>
      </w:r>
    </w:p>
    <w:p w14:paraId="481F6333" w14:textId="6B7AD3A1" w:rsidR="008B1A93" w:rsidRPr="008D0DEB" w:rsidRDefault="008B1A93" w:rsidP="0065556E">
      <w:pPr>
        <w:pStyle w:val="ListBullet2"/>
      </w:pPr>
      <w:r w:rsidRPr="008D0DEB">
        <w:t xml:space="preserve">further expand and convene the inter-jurisdictional network, facilitating dialogue, sharing of lessons and data sharing among the participating </w:t>
      </w:r>
      <w:r w:rsidR="007A0F56" w:rsidRPr="008D0DEB">
        <w:t>s</w:t>
      </w:r>
      <w:r w:rsidRPr="008D0DEB">
        <w:t xml:space="preserve">tates and </w:t>
      </w:r>
      <w:r w:rsidR="007A0F56" w:rsidRPr="008D0DEB">
        <w:t>t</w:t>
      </w:r>
      <w:r w:rsidRPr="008D0DEB">
        <w:t xml:space="preserve">erritories </w:t>
      </w:r>
    </w:p>
    <w:p w14:paraId="772D7331" w14:textId="1857B7D7" w:rsidR="008B1A93" w:rsidRPr="008D0DEB" w:rsidRDefault="008B1A93" w:rsidP="0065556E">
      <w:pPr>
        <w:pStyle w:val="ListBullet2"/>
      </w:pPr>
      <w:r w:rsidRPr="008D0DEB">
        <w:t xml:space="preserve">incentivising transactions through the </w:t>
      </w:r>
      <w:r w:rsidR="007A0F56" w:rsidRPr="008D0DEB">
        <w:t>s</w:t>
      </w:r>
      <w:r w:rsidRPr="008D0DEB">
        <w:t>tates</w:t>
      </w:r>
      <w:r w:rsidR="003D3700" w:rsidRPr="008D0DEB">
        <w:t>.</w:t>
      </w:r>
      <w:r w:rsidRPr="008D0DEB">
        <w:t xml:space="preserve"> </w:t>
      </w:r>
    </w:p>
    <w:p w14:paraId="25A90C93" w14:textId="48E4ED78" w:rsidR="008B1A93" w:rsidRPr="008D0DEB" w:rsidRDefault="008B1A93" w:rsidP="0065556E">
      <w:pPr>
        <w:pStyle w:val="ListBullet"/>
      </w:pPr>
      <w:r w:rsidRPr="0065556E">
        <w:rPr>
          <w:iCs/>
        </w:rPr>
        <w:t xml:space="preserve">Outcomes platform: </w:t>
      </w:r>
      <w:r w:rsidR="00104AA2" w:rsidRPr="008D0DEB">
        <w:t>p</w:t>
      </w:r>
      <w:r w:rsidRPr="008D0DEB">
        <w:t xml:space="preserve">ooling capital and setting </w:t>
      </w:r>
      <w:r w:rsidR="00104AA2" w:rsidRPr="008D0DEB">
        <w:t xml:space="preserve">an </w:t>
      </w:r>
      <w:r w:rsidRPr="008D0DEB">
        <w:t>outcomes framework</w:t>
      </w:r>
      <w:r w:rsidR="003D3700" w:rsidRPr="008D0DEB">
        <w:t>.</w:t>
      </w:r>
      <w:r w:rsidRPr="008D0DEB">
        <w:t xml:space="preserve"> </w:t>
      </w:r>
    </w:p>
    <w:p w14:paraId="61541AEC" w14:textId="0F5CF6D1" w:rsidR="008B1A93" w:rsidRPr="008D0DEB" w:rsidRDefault="008B1A93" w:rsidP="0065556E">
      <w:pPr>
        <w:pStyle w:val="ListBullet"/>
      </w:pPr>
      <w:r w:rsidRPr="008D0DEB">
        <w:t xml:space="preserve">Building capacity of the market: build the capacity and capability of participants in the SII market, including the intermediary market, </w:t>
      </w:r>
      <w:r w:rsidR="00662EDF" w:rsidRPr="008D0DEB">
        <w:t xml:space="preserve">and </w:t>
      </w:r>
      <w:r w:rsidRPr="008D0DEB">
        <w:t xml:space="preserve">build capacity in areas that will facilitate capital raising, such as outcome measurement and reporting. </w:t>
      </w:r>
    </w:p>
    <w:p w14:paraId="7299C06C" w14:textId="0E8F4573" w:rsidR="008B1A93" w:rsidRPr="0065556E" w:rsidRDefault="008B1A93" w:rsidP="0065556E">
      <w:pPr>
        <w:pStyle w:val="ListBullet"/>
        <w:rPr>
          <w:shd w:val="clear" w:color="auto" w:fill="FFFFFF"/>
        </w:rPr>
      </w:pPr>
      <w:r w:rsidRPr="008D0DEB">
        <w:t xml:space="preserve">Establishing enabling settings to unlock additional investment from philanthropy and the private sector </w:t>
      </w:r>
      <w:r w:rsidRPr="0065556E">
        <w:rPr>
          <w:shd w:val="clear" w:color="auto" w:fill="FFFFFF"/>
        </w:rPr>
        <w:t xml:space="preserve">through market signals, setting up an enabling environment and creating incentives for participation. </w:t>
      </w:r>
    </w:p>
    <w:p w14:paraId="2533F3C8" w14:textId="77777777" w:rsidR="003D3700" w:rsidRPr="008D0DEB" w:rsidRDefault="003D3700" w:rsidP="0065556E">
      <w:pPr>
        <w:pStyle w:val="ListBullet"/>
      </w:pPr>
      <w:r w:rsidRPr="008D0DEB">
        <w:t>Consider national policies to link up activities nationwide. For example, establishing a social procurement policy with a mission to scale impact opportunities.</w:t>
      </w:r>
    </w:p>
    <w:p w14:paraId="180F66F0" w14:textId="7A12F368" w:rsidR="00187A11" w:rsidRPr="008D0DEB" w:rsidRDefault="007F58B5" w:rsidP="0065556E">
      <w:r w:rsidRPr="008D0DEB">
        <w:t>SII</w:t>
      </w:r>
      <w:r w:rsidR="00D31D33" w:rsidRPr="008D0DEB">
        <w:t xml:space="preserve"> and the social innovations it can enable are still</w:t>
      </w:r>
      <w:r w:rsidR="005C4B9B" w:rsidRPr="008D0DEB">
        <w:t xml:space="preserve"> broadly</w:t>
      </w:r>
      <w:r w:rsidR="00D31D33" w:rsidRPr="008D0DEB">
        <w:t xml:space="preserve"> unfamiliar to </w:t>
      </w:r>
      <w:r w:rsidRPr="008D0DEB">
        <w:t>much of the Australian Government</w:t>
      </w:r>
      <w:r w:rsidR="00C732FA" w:rsidRPr="008D0DEB">
        <w:t xml:space="preserve">. </w:t>
      </w:r>
      <w:r w:rsidR="00E475F9" w:rsidRPr="008D0DEB">
        <w:t xml:space="preserve">However, </w:t>
      </w:r>
      <w:r w:rsidR="00F46342" w:rsidRPr="008D0DEB">
        <w:t xml:space="preserve">SII </w:t>
      </w:r>
      <w:r w:rsidR="00E575B0" w:rsidRPr="008D0DEB">
        <w:t>and SII-adjacent</w:t>
      </w:r>
      <w:r w:rsidR="00F46342" w:rsidRPr="008D0DEB">
        <w:t xml:space="preserve"> activity </w:t>
      </w:r>
      <w:r w:rsidR="00D24ADD" w:rsidRPr="008D0DEB">
        <w:t>has been ongoing</w:t>
      </w:r>
      <w:r w:rsidR="00C91ACB" w:rsidRPr="008D0DEB">
        <w:t xml:space="preserve"> in pockets</w:t>
      </w:r>
      <w:r w:rsidR="00F46342" w:rsidRPr="008D0DEB">
        <w:t xml:space="preserve"> across </w:t>
      </w:r>
      <w:r w:rsidR="00C255B1" w:rsidRPr="008D0DEB">
        <w:t>the Australian</w:t>
      </w:r>
      <w:r w:rsidR="00F46342" w:rsidRPr="008D0DEB">
        <w:t xml:space="preserve"> </w:t>
      </w:r>
      <w:r w:rsidR="00263B20" w:rsidRPr="008D0DEB">
        <w:t>G</w:t>
      </w:r>
      <w:r w:rsidR="00F46342" w:rsidRPr="008D0DEB">
        <w:t xml:space="preserve">overnment and </w:t>
      </w:r>
      <w:r w:rsidR="003D3700" w:rsidRPr="008D0DEB">
        <w:t>inter-jurisdictionally.</w:t>
      </w:r>
      <w:r w:rsidR="00200224" w:rsidRPr="008D0DEB">
        <w:t xml:space="preserve"> </w:t>
      </w:r>
      <w:r w:rsidR="0030478B" w:rsidRPr="008D0DEB">
        <w:t xml:space="preserve">Examples include </w:t>
      </w:r>
      <w:r w:rsidR="0096020C" w:rsidRPr="008D0DEB">
        <w:t>the</w:t>
      </w:r>
      <w:r w:rsidR="0030478B" w:rsidRPr="008D0DEB">
        <w:t xml:space="preserve"> Clean Energy Finance</w:t>
      </w:r>
      <w:r w:rsidR="0096020C" w:rsidRPr="008D0DEB">
        <w:t xml:space="preserve"> Corporation</w:t>
      </w:r>
      <w:r w:rsidR="00EA5960" w:rsidRPr="008D0DEB">
        <w:t xml:space="preserve"> (</w:t>
      </w:r>
      <w:r w:rsidR="0030478B" w:rsidRPr="008D0DEB">
        <w:t>CEFC</w:t>
      </w:r>
      <w:r w:rsidR="003D3700" w:rsidRPr="008D0DEB">
        <w:t>),</w:t>
      </w:r>
      <w:r w:rsidR="00C834C0" w:rsidRPr="008D0DEB">
        <w:t xml:space="preserve"> the</w:t>
      </w:r>
      <w:r w:rsidR="0030478B" w:rsidRPr="008D0DEB">
        <w:t xml:space="preserve"> Department of Foreign Affairs and Trade </w:t>
      </w:r>
      <w:r w:rsidR="00EA5960" w:rsidRPr="008D0DEB">
        <w:t>(</w:t>
      </w:r>
      <w:r w:rsidR="0030478B" w:rsidRPr="008D0DEB">
        <w:t>DFAT</w:t>
      </w:r>
      <w:r w:rsidR="00EA5960" w:rsidRPr="008D0DEB">
        <w:t>)</w:t>
      </w:r>
      <w:r w:rsidR="00C16254" w:rsidRPr="008D0DEB">
        <w:t>’s</w:t>
      </w:r>
      <w:r w:rsidR="0030478B" w:rsidRPr="008D0DEB">
        <w:t xml:space="preserve"> Emerging Markets Impact Investment Fund </w:t>
      </w:r>
      <w:r w:rsidR="00EA5960" w:rsidRPr="008D0DEB">
        <w:t>(</w:t>
      </w:r>
      <w:r w:rsidR="0030478B" w:rsidRPr="008D0DEB">
        <w:t>EMIIF</w:t>
      </w:r>
      <w:r w:rsidR="003D3700" w:rsidRPr="008D0DEB">
        <w:t>),</w:t>
      </w:r>
      <w:r w:rsidR="00EA5960" w:rsidRPr="008D0DEB">
        <w:t xml:space="preserve"> and </w:t>
      </w:r>
      <w:r w:rsidR="00C834C0" w:rsidRPr="008D0DEB">
        <w:t>the</w:t>
      </w:r>
      <w:r w:rsidR="0030478B" w:rsidRPr="008D0DEB">
        <w:t xml:space="preserve"> Investing in Women program</w:t>
      </w:r>
      <w:r w:rsidR="0089026D" w:rsidRPr="008D0DEB">
        <w:t xml:space="preserve">. Within </w:t>
      </w:r>
      <w:r w:rsidR="001A434E" w:rsidRPr="008D0DEB">
        <w:t xml:space="preserve">state and territory </w:t>
      </w:r>
      <w:r w:rsidR="0089026D" w:rsidRPr="008D0DEB">
        <w:t>government</w:t>
      </w:r>
      <w:r w:rsidR="001A434E" w:rsidRPr="008D0DEB">
        <w:t>s</w:t>
      </w:r>
      <w:r w:rsidR="0089026D" w:rsidRPr="008D0DEB">
        <w:t xml:space="preserve">, </w:t>
      </w:r>
      <w:r w:rsidR="00BF0E10" w:rsidRPr="008D0DEB">
        <w:t xml:space="preserve">examples include </w:t>
      </w:r>
      <w:r w:rsidR="008A208E" w:rsidRPr="008D0DEB">
        <w:t>the NSW Office of Social Impact Investment (OSII</w:t>
      </w:r>
      <w:r w:rsidR="003D3700" w:rsidRPr="008D0DEB">
        <w:t>),</w:t>
      </w:r>
      <w:r w:rsidR="00BF0E10" w:rsidRPr="008D0DEB">
        <w:t xml:space="preserve"> the South Australian</w:t>
      </w:r>
      <w:r w:rsidR="000E590F" w:rsidRPr="008D0DEB">
        <w:t xml:space="preserve"> Department of Treasury and Finance, and </w:t>
      </w:r>
      <w:r w:rsidR="00386BAD" w:rsidRPr="008D0DEB">
        <w:t>the Victoria Government’s Social Procurement policy</w:t>
      </w:r>
      <w:r w:rsidR="000E590F" w:rsidRPr="008D0DEB">
        <w:t>.</w:t>
      </w:r>
    </w:p>
    <w:p w14:paraId="08D8F8BA" w14:textId="16404AE4" w:rsidR="0030478B" w:rsidRPr="008D0DEB" w:rsidRDefault="00571027" w:rsidP="0065556E">
      <w:r w:rsidRPr="008D0DEB">
        <w:t>SII-adjacent</w:t>
      </w:r>
      <w:r w:rsidR="007636D3" w:rsidRPr="008D0DEB">
        <w:t xml:space="preserve"> policy </w:t>
      </w:r>
      <w:r w:rsidRPr="008D0DEB">
        <w:t>initiatives</w:t>
      </w:r>
      <w:r w:rsidR="00BB0D08" w:rsidRPr="008D0DEB">
        <w:t xml:space="preserve"> </w:t>
      </w:r>
      <w:r w:rsidR="00320D2B" w:rsidRPr="008D0DEB">
        <w:t>include</w:t>
      </w:r>
      <w:r w:rsidR="00C17030" w:rsidRPr="008D0DEB">
        <w:t xml:space="preserve"> opportunities to </w:t>
      </w:r>
      <w:r w:rsidR="00042D90" w:rsidRPr="008D0DEB">
        <w:t xml:space="preserve">adopt </w:t>
      </w:r>
      <w:r w:rsidR="00846A0A" w:rsidRPr="008D0DEB">
        <w:t xml:space="preserve">SII practices to </w:t>
      </w:r>
      <w:r w:rsidR="00DF4696" w:rsidRPr="008D0DEB">
        <w:t>improve effectiveness</w:t>
      </w:r>
      <w:r w:rsidR="00195844" w:rsidRPr="008D0DEB">
        <w:t>. One example might be t</w:t>
      </w:r>
      <w:r w:rsidR="00DF4696" w:rsidRPr="008D0DEB">
        <w:t>he Department of Industry</w:t>
      </w:r>
      <w:r w:rsidR="005125EA" w:rsidRPr="008D0DEB">
        <w:t>, Science and Resources</w:t>
      </w:r>
      <w:r w:rsidR="00DF4696" w:rsidRPr="008D0DEB">
        <w:t xml:space="preserve"> </w:t>
      </w:r>
      <w:r w:rsidR="00D70137" w:rsidRPr="008D0DEB">
        <w:t>Industry Growth Program for SMEs and startups</w:t>
      </w:r>
      <w:r w:rsidR="00B72FAC" w:rsidRPr="008D0DEB">
        <w:t>. This policy</w:t>
      </w:r>
      <w:r w:rsidR="00D70137" w:rsidRPr="008D0DEB">
        <w:t xml:space="preserve"> is part of the National Reconstruction Fund and</w:t>
      </w:r>
      <w:r w:rsidR="000F6592" w:rsidRPr="008D0DEB">
        <w:t xml:space="preserve"> cou</w:t>
      </w:r>
      <w:r w:rsidR="0087222E" w:rsidRPr="008D0DEB">
        <w:t xml:space="preserve">ld </w:t>
      </w:r>
      <w:r w:rsidR="000F6592" w:rsidRPr="008D0DEB">
        <w:t>include impact measurement</w:t>
      </w:r>
      <w:r w:rsidR="0087222E" w:rsidRPr="008D0DEB">
        <w:t xml:space="preserve"> </w:t>
      </w:r>
      <w:r w:rsidR="00CD0FCE" w:rsidRPr="008D0DEB">
        <w:t xml:space="preserve">and other lessons from the SRF </w:t>
      </w:r>
      <w:r w:rsidR="00D46857" w:rsidRPr="008D0DEB">
        <w:t xml:space="preserve">from the outset. This would provide additional information to government about the </w:t>
      </w:r>
      <w:r w:rsidR="003D3700" w:rsidRPr="008D0DEB">
        <w:t>program’s</w:t>
      </w:r>
      <w:r w:rsidR="00D46857" w:rsidRPr="008D0DEB">
        <w:t xml:space="preserve"> effectiveness</w:t>
      </w:r>
      <w:r w:rsidR="00901DD6" w:rsidRPr="008D0DEB">
        <w:t xml:space="preserve">. </w:t>
      </w:r>
    </w:p>
    <w:p w14:paraId="03E36A8E" w14:textId="3B85CD31" w:rsidR="007C17EB" w:rsidRPr="008D0DEB" w:rsidRDefault="00200224" w:rsidP="0065556E">
      <w:r w:rsidRPr="008D0DEB">
        <w:t xml:space="preserve">Paramount to realising the potential of this market and </w:t>
      </w:r>
      <w:r w:rsidR="003D3700" w:rsidRPr="008D0DEB">
        <w:t>enabling</w:t>
      </w:r>
      <w:r w:rsidRPr="008D0DEB">
        <w:t xml:space="preserve"> a whole</w:t>
      </w:r>
      <w:r w:rsidR="003D3700" w:rsidRPr="008D0DEB">
        <w:t>-</w:t>
      </w:r>
      <w:r w:rsidRPr="008D0DEB">
        <w:t>of</w:t>
      </w:r>
      <w:r w:rsidR="003D3700" w:rsidRPr="008D0DEB">
        <w:t>-</w:t>
      </w:r>
      <w:r w:rsidRPr="008D0DEB">
        <w:t>government approach will be a</w:t>
      </w:r>
      <w:r w:rsidR="004C62B9" w:rsidRPr="008D0DEB">
        <w:t xml:space="preserve"> shared understanding of </w:t>
      </w:r>
      <w:r w:rsidR="00F662BF" w:rsidRPr="008D0DEB">
        <w:t xml:space="preserve">SII, </w:t>
      </w:r>
      <w:r w:rsidR="00287E78" w:rsidRPr="008D0DEB">
        <w:t xml:space="preserve">with a </w:t>
      </w:r>
      <w:r w:rsidR="00136B64" w:rsidRPr="008D0DEB">
        <w:t>clear</w:t>
      </w:r>
      <w:r w:rsidR="004C62B9" w:rsidRPr="008D0DEB">
        <w:t xml:space="preserve"> strategic purpose </w:t>
      </w:r>
      <w:r w:rsidR="00136B64" w:rsidRPr="008D0DEB">
        <w:t>that is</w:t>
      </w:r>
      <w:r w:rsidR="004C62B9" w:rsidRPr="008D0DEB">
        <w:t xml:space="preserve"> uniformly understood across </w:t>
      </w:r>
      <w:r w:rsidRPr="008D0DEB">
        <w:t>g</w:t>
      </w:r>
      <w:r w:rsidR="004C62B9" w:rsidRPr="008D0DEB">
        <w:t>overnment</w:t>
      </w:r>
      <w:r w:rsidRPr="008D0DEB">
        <w:t>.</w:t>
      </w:r>
      <w:r w:rsidR="004C62B9" w:rsidRPr="008D0DEB">
        <w:t xml:space="preserve"> </w:t>
      </w:r>
      <w:r w:rsidR="007C17EB" w:rsidRPr="008D0DEB">
        <w:t xml:space="preserve">As a practitioner with an experienced SII team, DSS can support this effort through existing and emerging government-wide initiatives. </w:t>
      </w:r>
      <w:r w:rsidR="004F6997" w:rsidRPr="008D0DEB">
        <w:t>Examples of these</w:t>
      </w:r>
      <w:r w:rsidR="008333FB" w:rsidRPr="008D0DEB">
        <w:t xml:space="preserve"> initiatives </w:t>
      </w:r>
      <w:r w:rsidR="004F6997" w:rsidRPr="008D0DEB">
        <w:t xml:space="preserve">and the role DSS can play </w:t>
      </w:r>
      <w:r w:rsidR="00F25AB3" w:rsidRPr="008D0DEB">
        <w:t>include:</w:t>
      </w:r>
      <w:r w:rsidR="008333FB" w:rsidRPr="008D0DEB">
        <w:t xml:space="preserve"> </w:t>
      </w:r>
    </w:p>
    <w:p w14:paraId="1A7F0B68" w14:textId="2FDD1521" w:rsidR="005B54EA" w:rsidRPr="00D111CA" w:rsidRDefault="00D42500" w:rsidP="0065556E">
      <w:pPr>
        <w:pStyle w:val="ListBullet"/>
      </w:pPr>
      <w:r w:rsidRPr="0065556E">
        <w:rPr>
          <w:bCs/>
        </w:rPr>
        <w:t>APS Reform:</w:t>
      </w:r>
      <w:r w:rsidRPr="00D111CA">
        <w:t xml:space="preserve"> </w:t>
      </w:r>
      <w:r w:rsidR="00A37A79" w:rsidRPr="00D111CA">
        <w:t xml:space="preserve">New ways of working to create social innovation and manage risk are foundational to enabling </w:t>
      </w:r>
      <w:r w:rsidR="001B6C66" w:rsidRPr="004E1B29">
        <w:t xml:space="preserve">APS </w:t>
      </w:r>
      <w:r w:rsidR="005A0F9E" w:rsidRPr="004E1B29">
        <w:t>R</w:t>
      </w:r>
      <w:r w:rsidR="001B6C66" w:rsidRPr="00D111CA">
        <w:t>eform</w:t>
      </w:r>
      <w:r w:rsidR="00A37A79" w:rsidRPr="00D111CA">
        <w:t xml:space="preserve">. </w:t>
      </w:r>
      <w:r w:rsidR="00AF1EC1" w:rsidRPr="00D111CA">
        <w:t xml:space="preserve">The APS Reform has identified building capabilities </w:t>
      </w:r>
      <w:r w:rsidR="0060647C" w:rsidRPr="00D111CA">
        <w:t xml:space="preserve">as a priority area of focus, and DSS is already participating in </w:t>
      </w:r>
      <w:r w:rsidR="00A67550" w:rsidRPr="00D111CA">
        <w:t xml:space="preserve">a Round 1 project of the </w:t>
      </w:r>
      <w:r w:rsidR="007600DA" w:rsidRPr="00D111CA">
        <w:t xml:space="preserve">APS Capability Reinvestment Fund 2023-24. </w:t>
      </w:r>
      <w:r w:rsidR="00303953" w:rsidRPr="00D111CA">
        <w:t>Ano</w:t>
      </w:r>
      <w:r w:rsidR="007600DA" w:rsidRPr="00D111CA">
        <w:t>ther opportunit</w:t>
      </w:r>
      <w:r w:rsidR="00A95454" w:rsidRPr="00D111CA">
        <w:t>y</w:t>
      </w:r>
      <w:r w:rsidR="007600DA" w:rsidRPr="00D111CA">
        <w:t xml:space="preserve"> to participate might include the in-house consulting </w:t>
      </w:r>
      <w:r w:rsidR="00303953" w:rsidRPr="00D111CA">
        <w:t>model</w:t>
      </w:r>
      <w:r w:rsidR="00335137" w:rsidRPr="00D111CA">
        <w:t xml:space="preserve"> currently being trialled.</w:t>
      </w:r>
      <w:r w:rsidR="00D20A3F" w:rsidRPr="00D111CA">
        <w:rPr>
          <w:rStyle w:val="FootnoteReference"/>
        </w:rPr>
        <w:footnoteReference w:id="40"/>
      </w:r>
    </w:p>
    <w:p w14:paraId="119CC333" w14:textId="171DABC4" w:rsidR="00A22283" w:rsidRPr="00D111CA" w:rsidRDefault="00AE0567" w:rsidP="0065556E">
      <w:pPr>
        <w:pStyle w:val="ListBullet"/>
      </w:pPr>
      <w:r w:rsidRPr="0065556E">
        <w:rPr>
          <w:bCs/>
        </w:rPr>
        <w:t>Australian Centre for Evaluation (ACE)</w:t>
      </w:r>
      <w:r w:rsidR="00303953" w:rsidRPr="0065556E">
        <w:rPr>
          <w:bCs/>
        </w:rPr>
        <w:t xml:space="preserve">: </w:t>
      </w:r>
      <w:r w:rsidR="00A37A79" w:rsidRPr="00D111CA">
        <w:t xml:space="preserve">DSS experience in the measurement of outcomes and impact evaluation </w:t>
      </w:r>
      <w:r w:rsidR="003D14E0" w:rsidRPr="004E1B29">
        <w:t xml:space="preserve">could inform </w:t>
      </w:r>
      <w:r w:rsidR="00561ACA" w:rsidRPr="004E1B29">
        <w:t xml:space="preserve">the government objective “to embed a culture of evaluation in the </w:t>
      </w:r>
      <w:r w:rsidR="00E36303" w:rsidRPr="00D111CA">
        <w:t>Australian Public Service</w:t>
      </w:r>
      <w:r w:rsidR="003D3700" w:rsidRPr="00D111CA">
        <w:t>.”</w:t>
      </w:r>
      <w:r w:rsidR="00E36303" w:rsidRPr="00D111CA">
        <w:rPr>
          <w:rStyle w:val="FootnoteReference"/>
        </w:rPr>
        <w:footnoteReference w:id="41"/>
      </w:r>
      <w:r w:rsidR="00066631" w:rsidRPr="00D111CA">
        <w:t xml:space="preserve"> </w:t>
      </w:r>
    </w:p>
    <w:p w14:paraId="389115D5" w14:textId="77777777" w:rsidR="003D3700" w:rsidRPr="00D111CA" w:rsidRDefault="003D3700" w:rsidP="0065556E">
      <w:pPr>
        <w:pStyle w:val="ListBullet"/>
      </w:pPr>
      <w:r w:rsidRPr="0065556E">
        <w:rPr>
          <w:bCs/>
        </w:rPr>
        <w:lastRenderedPageBreak/>
        <w:t>Participate as a go-to</w:t>
      </w:r>
      <w:r w:rsidRPr="006E3EF3">
        <w:t xml:space="preserve"> practitioner in cross-departmental dialogue to inform policy-making.</w:t>
      </w:r>
      <w:r w:rsidRPr="00D111CA">
        <w:t xml:space="preserve"> This would require the DSS to engage in profile-raising work to ensure that the SIIT experience was known, understood, and recognised across government. </w:t>
      </w:r>
    </w:p>
    <w:p w14:paraId="131F811F" w14:textId="6E089884" w:rsidR="000E369F" w:rsidRPr="008D0DEB" w:rsidRDefault="00037C1F" w:rsidP="0065556E">
      <w:pPr>
        <w:pStyle w:val="ListBullet"/>
      </w:pPr>
      <w:r w:rsidRPr="006E3EF3">
        <w:t>Australian Public Service Academy:</w:t>
      </w:r>
      <w:r w:rsidRPr="008D0DEB">
        <w:t xml:space="preserve"> </w:t>
      </w:r>
      <w:r w:rsidR="001F2CE0" w:rsidRPr="008D0DEB">
        <w:t>Support the Academy to develop an e</w:t>
      </w:r>
      <w:r w:rsidRPr="008D0DEB">
        <w:t xml:space="preserve">ducation module for </w:t>
      </w:r>
      <w:r w:rsidR="001F2CE0" w:rsidRPr="008D0DEB">
        <w:t>SII</w:t>
      </w:r>
      <w:r w:rsidR="00C21E69" w:rsidRPr="008D0DEB">
        <w:t>.</w:t>
      </w:r>
    </w:p>
    <w:p w14:paraId="32B75366" w14:textId="08AF7AD3" w:rsidR="00F5142D" w:rsidRPr="008D0DEB" w:rsidRDefault="002F458F" w:rsidP="0065556E">
      <w:pPr>
        <w:pStyle w:val="Heading2"/>
      </w:pPr>
      <w:bookmarkStart w:id="188" w:name="_Toc137210725"/>
      <w:bookmarkStart w:id="189" w:name="_Toc153801736"/>
      <w:r w:rsidRPr="008D0DEB">
        <w:t>Supporting the</w:t>
      </w:r>
      <w:r w:rsidR="0044584A" w:rsidRPr="008D0DEB">
        <w:t xml:space="preserve"> </w:t>
      </w:r>
      <w:r w:rsidRPr="008D0DEB">
        <w:t>202</w:t>
      </w:r>
      <w:r w:rsidR="00C27D45" w:rsidRPr="008D0DEB">
        <w:t>3-24</w:t>
      </w:r>
      <w:r w:rsidR="007F75A2" w:rsidRPr="008D0DEB">
        <w:t xml:space="preserve"> Budget </w:t>
      </w:r>
      <w:r w:rsidR="00F60B4F" w:rsidRPr="008D0DEB">
        <w:t>commitments</w:t>
      </w:r>
      <w:bookmarkEnd w:id="188"/>
      <w:bookmarkEnd w:id="189"/>
    </w:p>
    <w:p w14:paraId="1CCE4036" w14:textId="77777777" w:rsidR="00302AAF" w:rsidRPr="008D0DEB" w:rsidRDefault="00302AAF" w:rsidP="0065556E">
      <w:pPr>
        <w:rPr>
          <w:lang w:eastAsia="en-AU"/>
        </w:rPr>
      </w:pPr>
      <w:r w:rsidRPr="008D0DEB">
        <w:rPr>
          <w:lang w:eastAsia="en-AU"/>
        </w:rPr>
        <w:t xml:space="preserve">This section provides a discussion and considerations for applying the learnings within the current context of </w:t>
      </w:r>
      <w:r w:rsidR="00725A82" w:rsidRPr="008D0DEB">
        <w:rPr>
          <w:lang w:eastAsia="en-AU"/>
        </w:rPr>
        <w:t>the new policy commitments:</w:t>
      </w:r>
      <w:r w:rsidRPr="008D0DEB">
        <w:rPr>
          <w:lang w:eastAsia="en-AU"/>
        </w:rPr>
        <w:t xml:space="preserve"> the Social Enterprise Development Initiative (SEDI) and an Outcomes Fund.</w:t>
      </w:r>
    </w:p>
    <w:p w14:paraId="3F2460AB" w14:textId="08E3217B" w:rsidR="009635CF" w:rsidRPr="008D0DEB" w:rsidRDefault="00896136" w:rsidP="00187144">
      <w:pPr>
        <w:pStyle w:val="Head2"/>
      </w:pPr>
      <w:bookmarkStart w:id="190" w:name="_Toc137210972"/>
      <w:bookmarkStart w:id="191" w:name="_Toc137211214"/>
      <w:bookmarkStart w:id="192" w:name="_Toc137219068"/>
      <w:bookmarkStart w:id="193" w:name="_Toc153801737"/>
      <w:r w:rsidRPr="008D0DEB">
        <w:t>Considerations</w:t>
      </w:r>
      <w:r w:rsidR="00F60B4F" w:rsidRPr="008D0DEB">
        <w:t xml:space="preserve"> for the Outcomes Fund</w:t>
      </w:r>
      <w:bookmarkEnd w:id="190"/>
      <w:bookmarkEnd w:id="191"/>
      <w:bookmarkEnd w:id="192"/>
      <w:bookmarkEnd w:id="193"/>
    </w:p>
    <w:p w14:paraId="0C881A71" w14:textId="2F8D9735" w:rsidR="009635CF" w:rsidRPr="008D0DEB" w:rsidRDefault="009635CF" w:rsidP="0065556E">
      <w:pPr>
        <w:rPr>
          <w:lang w:eastAsia="en-AU"/>
        </w:rPr>
      </w:pPr>
      <w:r w:rsidRPr="008D0DEB">
        <w:t xml:space="preserve">Budget measure: </w:t>
      </w:r>
      <w:r w:rsidRPr="008D0DEB">
        <w:rPr>
          <w:lang w:eastAsia="en-AU"/>
        </w:rPr>
        <w:t>$100 million over five years from 2024-25 to establish a social impact investment Outcomes Fund to make contractual payments to states, territories and service providers based on delivering agreed, measurable outcomes through specific projects.</w:t>
      </w:r>
      <w:r w:rsidRPr="008D0DEB">
        <w:rPr>
          <w:rStyle w:val="FootnoteReference"/>
          <w:lang w:eastAsia="en-AU"/>
        </w:rPr>
        <w:footnoteReference w:id="42"/>
      </w:r>
    </w:p>
    <w:p w14:paraId="10816965" w14:textId="52E658C8" w:rsidR="00302AAF" w:rsidRPr="008D0DEB" w:rsidRDefault="00302AAF" w:rsidP="0065556E">
      <w:pPr>
        <w:rPr>
          <w:lang w:eastAsia="en-AU"/>
        </w:rPr>
      </w:pPr>
      <w:r w:rsidRPr="008D0DEB">
        <w:rPr>
          <w:lang w:eastAsia="en-AU"/>
        </w:rPr>
        <w:t>Outcomes funds pool capital to pay for the successful achievement of pre-determined outcomes</w:t>
      </w:r>
      <w:r w:rsidR="00D73B7B" w:rsidRPr="008D0DEB">
        <w:rPr>
          <w:lang w:eastAsia="en-AU"/>
        </w:rPr>
        <w:t>. These types of funds</w:t>
      </w:r>
      <w:r w:rsidR="00A60A45" w:rsidRPr="008D0DEB">
        <w:rPr>
          <w:lang w:eastAsia="en-AU"/>
        </w:rPr>
        <w:t xml:space="preserve"> are emerging as one of the most significant ways in which governments can mobilise additional capital and resources to target societal issues.</w:t>
      </w:r>
      <w:r w:rsidRPr="008D0DEB">
        <w:rPr>
          <w:lang w:eastAsia="en-AU"/>
        </w:rPr>
        <w:t xml:space="preserve"> </w:t>
      </w:r>
      <w:r w:rsidR="00360DBE" w:rsidRPr="008D0DEB">
        <w:rPr>
          <w:lang w:eastAsia="en-AU"/>
        </w:rPr>
        <w:t>They</w:t>
      </w:r>
      <w:r w:rsidRPr="008D0DEB">
        <w:rPr>
          <w:lang w:eastAsia="en-AU"/>
        </w:rPr>
        <w:t xml:space="preserve"> can </w:t>
      </w:r>
      <w:r w:rsidR="00360DBE" w:rsidRPr="008D0DEB">
        <w:rPr>
          <w:lang w:eastAsia="en-AU"/>
        </w:rPr>
        <w:t xml:space="preserve">potentially </w:t>
      </w:r>
      <w:r w:rsidRPr="008D0DEB">
        <w:rPr>
          <w:lang w:eastAsia="en-AU"/>
        </w:rPr>
        <w:t>accommodate multiple outcomes contracts</w:t>
      </w:r>
      <w:r w:rsidR="00360DBE" w:rsidRPr="008D0DEB">
        <w:rPr>
          <w:lang w:eastAsia="en-AU"/>
        </w:rPr>
        <w:t>,</w:t>
      </w:r>
      <w:r w:rsidRPr="008D0DEB">
        <w:rPr>
          <w:lang w:eastAsia="en-AU"/>
        </w:rPr>
        <w:t xml:space="preserve"> meaning funders can contribute to a range of outcomes and have greater certainty of their contribution to an intended impact. </w:t>
      </w:r>
      <w:r w:rsidR="00062E7A" w:rsidRPr="008D0DEB">
        <w:rPr>
          <w:lang w:eastAsia="en-AU"/>
        </w:rPr>
        <w:t xml:space="preserve">The funds can also attract and accommodate multiple investors. </w:t>
      </w:r>
    </w:p>
    <w:p w14:paraId="4FB50608" w14:textId="77777777" w:rsidR="00302AAF" w:rsidRPr="008D0DEB" w:rsidRDefault="00D33064" w:rsidP="0065556E">
      <w:pPr>
        <w:rPr>
          <w:lang w:eastAsia="en-AU"/>
        </w:rPr>
      </w:pPr>
      <w:r w:rsidRPr="006E3EF3">
        <w:rPr>
          <w:bCs/>
          <w:lang w:eastAsia="en-AU"/>
        </w:rPr>
        <w:t>Potential</w:t>
      </w:r>
      <w:r w:rsidR="00302AAF" w:rsidRPr="006E3EF3">
        <w:rPr>
          <w:bCs/>
          <w:lang w:eastAsia="en-AU"/>
        </w:rPr>
        <w:t>:</w:t>
      </w:r>
      <w:r w:rsidR="00302AAF" w:rsidRPr="008D0DEB">
        <w:rPr>
          <w:b/>
          <w:bCs/>
          <w:lang w:eastAsia="en-AU"/>
        </w:rPr>
        <w:t xml:space="preserve"> </w:t>
      </w:r>
      <w:r w:rsidR="00302AAF" w:rsidRPr="008D0DEB">
        <w:rPr>
          <w:lang w:eastAsia="en-AU"/>
        </w:rPr>
        <w:t xml:space="preserve">The </w:t>
      </w:r>
      <w:r w:rsidR="00EB0F07" w:rsidRPr="008D0DEB">
        <w:rPr>
          <w:lang w:eastAsia="en-AU"/>
        </w:rPr>
        <w:t>Outcomes</w:t>
      </w:r>
      <w:r w:rsidR="00302AAF" w:rsidRPr="008D0DEB">
        <w:rPr>
          <w:lang w:eastAsia="en-AU"/>
        </w:rPr>
        <w:t xml:space="preserve"> Fund established by the Australian Government could leverage lessons from the PBO and State Partnership trials to incentivise, enable and scale solutions by enabling more efficient sharing of data and outcomes measurement </w:t>
      </w:r>
      <w:r w:rsidR="007076B1" w:rsidRPr="008D0DEB">
        <w:rPr>
          <w:lang w:eastAsia="en-AU"/>
        </w:rPr>
        <w:t>inter-jurisdictionally</w:t>
      </w:r>
      <w:r w:rsidR="00302AAF" w:rsidRPr="008D0DEB">
        <w:rPr>
          <w:lang w:eastAsia="en-AU"/>
        </w:rPr>
        <w:t xml:space="preserve"> and across the market.</w:t>
      </w:r>
      <w:r w:rsidR="00302AAF" w:rsidRPr="008D0DEB">
        <w:rPr>
          <w:rStyle w:val="FootnoteReference"/>
          <w:lang w:eastAsia="en-AU"/>
        </w:rPr>
        <w:footnoteReference w:id="43"/>
      </w:r>
    </w:p>
    <w:p w14:paraId="6EB53F8A" w14:textId="0D89D727" w:rsidR="00302AAF" w:rsidRPr="008D0DEB" w:rsidRDefault="00302AAF" w:rsidP="0065556E">
      <w:pPr>
        <w:rPr>
          <w:lang w:eastAsia="en-AU"/>
        </w:rPr>
      </w:pPr>
      <w:r w:rsidRPr="008D0DEB">
        <w:rPr>
          <w:lang w:eastAsia="en-AU"/>
        </w:rPr>
        <w:t xml:space="preserve">The Outcomes Fund could </w:t>
      </w:r>
      <w:r w:rsidR="003C3F7D" w:rsidRPr="008D0DEB">
        <w:rPr>
          <w:lang w:eastAsia="en-AU"/>
        </w:rPr>
        <w:t>also</w:t>
      </w:r>
      <w:r w:rsidRPr="008D0DEB">
        <w:rPr>
          <w:lang w:eastAsia="en-AU"/>
        </w:rPr>
        <w:t xml:space="preserve"> be designed to attract capital from multiple funding sources including </w:t>
      </w:r>
      <w:r w:rsidR="00711B85" w:rsidRPr="008D0DEB">
        <w:rPr>
          <w:lang w:eastAsia="en-AU"/>
        </w:rPr>
        <w:t>s</w:t>
      </w:r>
      <w:r w:rsidRPr="008D0DEB">
        <w:rPr>
          <w:lang w:eastAsia="en-AU"/>
        </w:rPr>
        <w:t xml:space="preserve">tate and </w:t>
      </w:r>
      <w:r w:rsidR="00711B85" w:rsidRPr="008D0DEB">
        <w:rPr>
          <w:lang w:eastAsia="en-AU"/>
        </w:rPr>
        <w:t>t</w:t>
      </w:r>
      <w:r w:rsidRPr="008D0DEB">
        <w:rPr>
          <w:lang w:eastAsia="en-AU"/>
        </w:rPr>
        <w:t>erritory governments and philanthropy. It could be intentionally structured to incentivise impact investments where external investors provide up-front finance to cover working capital of service providers through social impact bond arrangements.</w:t>
      </w:r>
      <w:r w:rsidRPr="008D0DEB">
        <w:rPr>
          <w:rStyle w:val="FootnoteReference"/>
          <w:lang w:eastAsia="en-AU"/>
        </w:rPr>
        <w:footnoteReference w:id="44"/>
      </w:r>
      <w:r w:rsidR="00C90E65" w:rsidRPr="008D0DEB">
        <w:rPr>
          <w:vertAlign w:val="superscript"/>
          <w:lang w:eastAsia="en-AU"/>
        </w:rPr>
        <w:t>,</w:t>
      </w:r>
      <w:r w:rsidRPr="008D0DEB">
        <w:rPr>
          <w:rStyle w:val="FootnoteReference"/>
          <w:lang w:eastAsia="en-AU"/>
        </w:rPr>
        <w:footnoteReference w:id="45"/>
      </w:r>
    </w:p>
    <w:p w14:paraId="3A537AC8" w14:textId="77777777" w:rsidR="00302AAF" w:rsidRPr="00D111CA" w:rsidRDefault="00302AAF" w:rsidP="0065556E">
      <w:pPr>
        <w:rPr>
          <w:lang w:eastAsia="en-AU"/>
        </w:rPr>
      </w:pPr>
      <w:r w:rsidRPr="006E3EF3">
        <w:rPr>
          <w:bCs/>
          <w:lang w:eastAsia="en-AU"/>
        </w:rPr>
        <w:t xml:space="preserve">Expected </w:t>
      </w:r>
      <w:r w:rsidR="00C2317E" w:rsidRPr="006E3EF3">
        <w:rPr>
          <w:bCs/>
          <w:lang w:eastAsia="en-AU"/>
        </w:rPr>
        <w:t>SII unit</w:t>
      </w:r>
      <w:r w:rsidRPr="006E3EF3">
        <w:rPr>
          <w:bCs/>
          <w:lang w:eastAsia="en-AU"/>
        </w:rPr>
        <w:t xml:space="preserve"> role: </w:t>
      </w:r>
      <w:r w:rsidR="00877D6F" w:rsidRPr="00D111CA">
        <w:rPr>
          <w:lang w:eastAsia="en-AU"/>
        </w:rPr>
        <w:t>Co-</w:t>
      </w:r>
      <w:r w:rsidR="000F4E7B" w:rsidRPr="00D111CA">
        <w:rPr>
          <w:lang w:eastAsia="en-AU"/>
        </w:rPr>
        <w:t>l</w:t>
      </w:r>
      <w:r w:rsidRPr="00D111CA">
        <w:rPr>
          <w:lang w:eastAsia="en-AU"/>
        </w:rPr>
        <w:t xml:space="preserve">ead design and implementation. </w:t>
      </w:r>
    </w:p>
    <w:p w14:paraId="5E55BF6A" w14:textId="19B4FA4A" w:rsidR="00191927" w:rsidRPr="008D0DEB" w:rsidRDefault="00302AAF" w:rsidP="0065556E">
      <w:pPr>
        <w:rPr>
          <w:lang w:eastAsia="en-AU"/>
        </w:rPr>
      </w:pPr>
      <w:r w:rsidRPr="006E3EF3">
        <w:rPr>
          <w:bCs/>
          <w:lang w:eastAsia="en-AU"/>
        </w:rPr>
        <w:t>Key considerations:</w:t>
      </w:r>
      <w:r w:rsidR="007B701F" w:rsidRPr="006E3EF3">
        <w:rPr>
          <w:bCs/>
          <w:lang w:eastAsia="en-AU"/>
        </w:rPr>
        <w:t xml:space="preserve"> </w:t>
      </w:r>
      <w:r w:rsidR="007B701F" w:rsidRPr="00D111CA">
        <w:rPr>
          <w:lang w:eastAsia="en-AU"/>
        </w:rPr>
        <w:t>The</w:t>
      </w:r>
      <w:r w:rsidR="007B701F" w:rsidRPr="008D0DEB">
        <w:rPr>
          <w:lang w:eastAsia="en-AU"/>
        </w:rPr>
        <w:t xml:space="preserve"> following is a list of considerations in establishing the Outcomes Fund, drawn from the experience of the SII </w:t>
      </w:r>
      <w:r w:rsidR="00B13028" w:rsidRPr="008D0DEB">
        <w:rPr>
          <w:lang w:eastAsia="en-AU"/>
        </w:rPr>
        <w:t>t</w:t>
      </w:r>
      <w:r w:rsidR="007B701F" w:rsidRPr="008D0DEB">
        <w:rPr>
          <w:lang w:eastAsia="en-AU"/>
        </w:rPr>
        <w:t xml:space="preserve">rials. It is not intended as a comprehensive list of actions. </w:t>
      </w:r>
    </w:p>
    <w:p w14:paraId="2EA86DB1" w14:textId="5D1F8510" w:rsidR="009635CF" w:rsidRPr="008D0DEB" w:rsidRDefault="009635CF" w:rsidP="0065556E">
      <w:pPr>
        <w:pStyle w:val="Head3"/>
      </w:pPr>
      <w:r w:rsidRPr="008D0DEB">
        <w:t>Considerations for the design, implementation, and supporting capabilities for the Outcomes Fund</w:t>
      </w:r>
    </w:p>
    <w:p w14:paraId="0B993B86" w14:textId="5A55C3E9" w:rsidR="009635CF" w:rsidRPr="008D0DEB" w:rsidRDefault="009635CF" w:rsidP="0065556E">
      <w:pPr>
        <w:pStyle w:val="Head4"/>
      </w:pPr>
      <w:r w:rsidRPr="008D0DEB">
        <w:t>Design</w:t>
      </w:r>
    </w:p>
    <w:p w14:paraId="4823660D" w14:textId="312558E4" w:rsidR="006648B3" w:rsidRPr="00D111CA" w:rsidRDefault="00D111CA" w:rsidP="0065556E">
      <w:pPr>
        <w:pStyle w:val="ListBullet"/>
      </w:pPr>
      <w:r w:rsidRPr="00D111CA">
        <w:t xml:space="preserve">Objective: </w:t>
      </w:r>
      <w:r w:rsidR="009635CF" w:rsidRPr="00D111CA">
        <w:t>A clear objective for the fund</w:t>
      </w:r>
      <w:r w:rsidR="00191927" w:rsidRPr="00D111CA">
        <w:t xml:space="preserve"> which is informed by government and market experience and is widely known, well understood, and has the commitment and buy-in from government and ecosystem stakeholders. </w:t>
      </w:r>
    </w:p>
    <w:p w14:paraId="0FCAB25B" w14:textId="118E9BE3" w:rsidR="009635CF" w:rsidRPr="00D111CA" w:rsidRDefault="00D111CA" w:rsidP="0065556E">
      <w:pPr>
        <w:pStyle w:val="ListBullet2"/>
      </w:pPr>
      <w:r w:rsidRPr="006E3EF3">
        <w:t xml:space="preserve">Actions: </w:t>
      </w:r>
      <w:r w:rsidR="009635CF" w:rsidRPr="006E3EF3">
        <w:t xml:space="preserve">Develop a clear strategic objective for the Fund in consultation with other government and ecosystem stakeholders. The ambitions and constraints of government </w:t>
      </w:r>
      <w:r w:rsidR="009635CF" w:rsidRPr="006E3EF3">
        <w:lastRenderedPageBreak/>
        <w:t>need to be communicated at the outset to manage expectations and elicit useful engagement and ongoing buy-in from stakeholders.</w:t>
      </w:r>
      <w:r w:rsidR="00BF0143">
        <w:t xml:space="preserve"> </w:t>
      </w:r>
    </w:p>
    <w:p w14:paraId="23CC8D97" w14:textId="130E1F14" w:rsidR="009635CF" w:rsidRPr="00D111CA" w:rsidRDefault="00D111CA" w:rsidP="0065556E">
      <w:pPr>
        <w:pStyle w:val="ListBullet2"/>
      </w:pPr>
      <w:r w:rsidRPr="006E3EF3">
        <w:t xml:space="preserve">Rationale: </w:t>
      </w:r>
      <w:r w:rsidR="009635CF" w:rsidRPr="006E3EF3">
        <w:t>Clear, documented strategic objectives will enable consistent understanding across government, the social sector and participants in the Fund.</w:t>
      </w:r>
    </w:p>
    <w:p w14:paraId="51C148F9" w14:textId="1BB61201" w:rsidR="009635CF" w:rsidRPr="004E1B29" w:rsidRDefault="00D111CA" w:rsidP="0065556E">
      <w:pPr>
        <w:pStyle w:val="ListBullet"/>
      </w:pPr>
      <w:r w:rsidRPr="004E1B29">
        <w:t xml:space="preserve">Objective: </w:t>
      </w:r>
      <w:r w:rsidR="009635CF" w:rsidRPr="004E1B29">
        <w:t>Communications plan</w:t>
      </w:r>
    </w:p>
    <w:p w14:paraId="7C080A3D" w14:textId="782E515B" w:rsidR="009635CF" w:rsidRPr="00D111CA" w:rsidRDefault="00D111CA" w:rsidP="0065556E">
      <w:pPr>
        <w:pStyle w:val="ListBullet2"/>
      </w:pPr>
      <w:r w:rsidRPr="006E3EF3">
        <w:t xml:space="preserve">Actions: </w:t>
      </w:r>
      <w:r w:rsidR="009635CF" w:rsidRPr="006E3EF3">
        <w:t>Develop a communication plan to receive and share information internally (team and department), across government, and externally with ecosystem stakeholders and the Australian public.</w:t>
      </w:r>
    </w:p>
    <w:p w14:paraId="7496C587" w14:textId="3A8F444C" w:rsidR="009635CF" w:rsidRPr="00D111CA" w:rsidRDefault="00D111CA" w:rsidP="0065556E">
      <w:pPr>
        <w:pStyle w:val="ListBullet2"/>
      </w:pPr>
      <w:r w:rsidRPr="006E3EF3">
        <w:t xml:space="preserve">Rationale: </w:t>
      </w:r>
      <w:r w:rsidR="009635CF" w:rsidRPr="006E3EF3">
        <w:t>Clear communications can build understanding and drive support for participation and opportunities in the Fund. It can also help manage risks.</w:t>
      </w:r>
    </w:p>
    <w:p w14:paraId="4BF7253E" w14:textId="5CBA4481" w:rsidR="009635CF" w:rsidRPr="004E1B29" w:rsidRDefault="00D111CA" w:rsidP="0065556E">
      <w:pPr>
        <w:pStyle w:val="ListBullet"/>
      </w:pPr>
      <w:r w:rsidRPr="004E1B29">
        <w:t xml:space="preserve">Objective: </w:t>
      </w:r>
      <w:r w:rsidR="00191927" w:rsidRPr="004E1B29">
        <w:t>Consult with the sector</w:t>
      </w:r>
    </w:p>
    <w:p w14:paraId="0456ECEC" w14:textId="1FB9DF95" w:rsidR="009635CF" w:rsidRPr="00D111CA" w:rsidRDefault="00D111CA" w:rsidP="0065556E">
      <w:pPr>
        <w:pStyle w:val="ListBullet2"/>
      </w:pPr>
      <w:r w:rsidRPr="006E3EF3">
        <w:t xml:space="preserve">Actions: </w:t>
      </w:r>
      <w:r w:rsidR="009635CF" w:rsidRPr="006E3EF3">
        <w:t>Establish a consultation process dedicated to the development of the Fund. Map stakeholders including market builders, practitioners, service providers, intermediaries, investors, and for-purpose organisations, which can bring lived experience of intended beneficiaries.</w:t>
      </w:r>
    </w:p>
    <w:p w14:paraId="01047378" w14:textId="0EFF0CEF" w:rsidR="009635CF" w:rsidRPr="00D111CA" w:rsidRDefault="00D111CA" w:rsidP="0065556E">
      <w:pPr>
        <w:pStyle w:val="ListBullet2"/>
      </w:pPr>
      <w:r w:rsidRPr="006E3EF3">
        <w:t xml:space="preserve">Rationale: </w:t>
      </w:r>
      <w:r w:rsidR="009635CF" w:rsidRPr="006E3EF3">
        <w:t>Engagement with the sector at this stage can inform what is possible and contribute to the most appropriate design for the Australian ecosystem. It can also help to build buy-in and manage misaligned expectations.</w:t>
      </w:r>
    </w:p>
    <w:p w14:paraId="06E25189" w14:textId="424D6FD8" w:rsidR="009635CF" w:rsidRPr="00D111CA" w:rsidRDefault="00D111CA" w:rsidP="0065556E">
      <w:pPr>
        <w:pStyle w:val="ListBullet"/>
      </w:pPr>
      <w:r w:rsidRPr="006E3EF3">
        <w:t xml:space="preserve">Objective: </w:t>
      </w:r>
      <w:r w:rsidR="00191927" w:rsidRPr="006E3EF3">
        <w:t>Draw upon</w:t>
      </w:r>
      <w:r w:rsidR="009635CF" w:rsidRPr="006E3EF3">
        <w:t xml:space="preserve"> national and global impact investor networks</w:t>
      </w:r>
    </w:p>
    <w:p w14:paraId="5C8E209B" w14:textId="6B9569CC" w:rsidR="009635CF" w:rsidRPr="00D111CA" w:rsidRDefault="00D111CA" w:rsidP="0065556E">
      <w:pPr>
        <w:pStyle w:val="ListBullet2"/>
      </w:pPr>
      <w:r w:rsidRPr="006E3EF3">
        <w:t xml:space="preserve">Actions: </w:t>
      </w:r>
      <w:r w:rsidR="009635CF" w:rsidRPr="006E3EF3">
        <w:t>Engage with existing formal and informal networks in Australia and internationally, especially those focused on market building, such as Impact Investing Australia, intermediaries with experience in outcomes-based approaches, and philanthropists and investors who have participated in outcomes-based approaches and funds.</w:t>
      </w:r>
    </w:p>
    <w:p w14:paraId="4409C0D4" w14:textId="0F7BE7E4" w:rsidR="009635CF" w:rsidRPr="00D111CA" w:rsidRDefault="00D111CA" w:rsidP="0065556E">
      <w:pPr>
        <w:pStyle w:val="ListBullet2"/>
      </w:pPr>
      <w:r w:rsidRPr="006E3EF3">
        <w:t xml:space="preserve">Rationale: </w:t>
      </w:r>
      <w:r w:rsidR="009635CF" w:rsidRPr="006E3EF3">
        <w:t>Pioneers and market builders understand that success in one market can drive success in others. They tend to be especially generous in sharing their experience of what has worked elsewhere and pitfalls to avoid.</w:t>
      </w:r>
    </w:p>
    <w:p w14:paraId="75393719" w14:textId="3F52E6BB" w:rsidR="009635CF" w:rsidRPr="00D111CA" w:rsidRDefault="00D111CA" w:rsidP="0065556E">
      <w:pPr>
        <w:pStyle w:val="ListBullet"/>
      </w:pPr>
      <w:r w:rsidRPr="006E3EF3">
        <w:t xml:space="preserve">Objective: </w:t>
      </w:r>
      <w:r w:rsidR="001572ED" w:rsidRPr="006E3EF3">
        <w:t>Review local and global evidence</w:t>
      </w:r>
    </w:p>
    <w:p w14:paraId="080EF3EE" w14:textId="771921F3" w:rsidR="001572ED" w:rsidRPr="00D111CA" w:rsidRDefault="00D111CA" w:rsidP="0065556E">
      <w:pPr>
        <w:pStyle w:val="ListBullet2"/>
      </w:pPr>
      <w:r w:rsidRPr="006E3EF3">
        <w:t xml:space="preserve">Actions: </w:t>
      </w:r>
      <w:r w:rsidR="001572ED" w:rsidRPr="006E3EF3">
        <w:t>Review existing evidence on DSS experience, states and territories in Australia in outcomes-based approaches; as well as international experience with outcomes funds e.g. UK Life Chances Fund (LCF).</w:t>
      </w:r>
    </w:p>
    <w:p w14:paraId="7BE800D6" w14:textId="4AC5853B" w:rsidR="001572ED" w:rsidRPr="00D111CA" w:rsidRDefault="00D111CA" w:rsidP="0065556E">
      <w:pPr>
        <w:pStyle w:val="ListBullet2"/>
      </w:pPr>
      <w:r w:rsidRPr="006E3EF3">
        <w:t xml:space="preserve">Rationale: </w:t>
      </w:r>
      <w:r w:rsidR="001572ED" w:rsidRPr="006E3EF3">
        <w:t>An evidence base is emerging around outcomes funds that can inform the design.</w:t>
      </w:r>
    </w:p>
    <w:p w14:paraId="702F580E" w14:textId="4E61CFB2" w:rsidR="001572ED" w:rsidRPr="00D111CA" w:rsidRDefault="00D111CA" w:rsidP="0065556E">
      <w:pPr>
        <w:pStyle w:val="ListBullet"/>
      </w:pPr>
      <w:r w:rsidRPr="006E3EF3">
        <w:t xml:space="preserve">Objective: </w:t>
      </w:r>
      <w:r w:rsidR="001572ED" w:rsidRPr="006E3EF3">
        <w:t>Draw upon national philanthropist networks</w:t>
      </w:r>
    </w:p>
    <w:p w14:paraId="5A6F93F5" w14:textId="1EFBE6A6" w:rsidR="001572ED" w:rsidRPr="00D111CA" w:rsidRDefault="00D111CA" w:rsidP="0065556E">
      <w:pPr>
        <w:pStyle w:val="ListBullet2"/>
      </w:pPr>
      <w:r w:rsidRPr="006E3EF3">
        <w:t xml:space="preserve">Actions: </w:t>
      </w:r>
      <w:r w:rsidR="001572ED" w:rsidRPr="006E3EF3">
        <w:t>Engage with philanthropists, especially through alliances like the recently announced Foundations Impact Investors Group (FIIG) and communities of practice in Philanthropy Australia.</w:t>
      </w:r>
    </w:p>
    <w:p w14:paraId="51FB6E9F" w14:textId="7CA2256C" w:rsidR="001572ED" w:rsidRPr="00D111CA" w:rsidRDefault="00D111CA" w:rsidP="0065556E">
      <w:pPr>
        <w:pStyle w:val="ListBullet2"/>
      </w:pPr>
      <w:r w:rsidRPr="006E3EF3">
        <w:t xml:space="preserve">Rationale: </w:t>
      </w:r>
      <w:r w:rsidR="001572ED" w:rsidRPr="006E3EF3">
        <w:t>Philanthropy can play multiple roles, including paying for outcomes, topping up performance payments, capacity building for enterprises and community organisations, or as an investor. There are many philanthropists actively seeking new ways to improve the efficacy of granting through outcomes-based approaches and impact investing.</w:t>
      </w:r>
    </w:p>
    <w:p w14:paraId="02246B27" w14:textId="36B1A633" w:rsidR="00B56CD9" w:rsidRPr="004E1B29" w:rsidRDefault="00D111CA" w:rsidP="0065556E">
      <w:pPr>
        <w:pStyle w:val="ListBullet"/>
      </w:pPr>
      <w:r w:rsidRPr="004E1B29">
        <w:t xml:space="preserve">Objective: </w:t>
      </w:r>
      <w:r w:rsidR="00B56CD9" w:rsidRPr="004E1B29">
        <w:t>Identify desired outcomes and data</w:t>
      </w:r>
    </w:p>
    <w:p w14:paraId="5BAE75AF" w14:textId="7B08C6D3" w:rsidR="00B56CD9" w:rsidRPr="00D111CA" w:rsidRDefault="00D111CA" w:rsidP="0065556E">
      <w:pPr>
        <w:pStyle w:val="ListBullet2"/>
      </w:pPr>
      <w:r w:rsidRPr="006E3EF3">
        <w:t xml:space="preserve">Actions: </w:t>
      </w:r>
      <w:r w:rsidR="00B56CD9" w:rsidRPr="006E3EF3">
        <w:t>Identify appropriate policy areas and cohorts to be targeted by the Fund, establish outcomes to measure and verify, and identify data sharing requirements and challenges</w:t>
      </w:r>
      <w:r w:rsidR="00B56CD9" w:rsidRPr="00D111CA">
        <w:t>.</w:t>
      </w:r>
    </w:p>
    <w:p w14:paraId="636DBA92" w14:textId="6D1F5FF7" w:rsidR="00B56CD9" w:rsidRPr="00D111CA" w:rsidRDefault="00D111CA" w:rsidP="0065556E">
      <w:pPr>
        <w:pStyle w:val="ListBullet2"/>
      </w:pPr>
      <w:r w:rsidRPr="006E3EF3">
        <w:rPr>
          <w:sz w:val="20"/>
        </w:rPr>
        <w:t xml:space="preserve">Rationale: </w:t>
      </w:r>
      <w:r w:rsidR="00B56CD9" w:rsidRPr="00D111CA">
        <w:t xml:space="preserve">SII relies heavily on measuring outcomes. Appropriate policy areas will be those where appropriate outcome data is accessible, for example returning to work or addressing homelessness. </w:t>
      </w:r>
    </w:p>
    <w:p w14:paraId="5A5AAB62" w14:textId="039B696E" w:rsidR="00B56CD9" w:rsidRPr="00D111CA" w:rsidRDefault="00B56CD9" w:rsidP="0065556E">
      <w:pPr>
        <w:pStyle w:val="ListBullet3"/>
      </w:pPr>
      <w:r w:rsidRPr="006E3EF3">
        <w:lastRenderedPageBreak/>
        <w:t>Through the trials, DSS was allowed to use data as a ‘trial’ environment, but new outcomes-based approaches will not be considered trials.</w:t>
      </w:r>
    </w:p>
    <w:p w14:paraId="4173AA4E" w14:textId="6076338C" w:rsidR="001572ED" w:rsidRPr="00D111CA" w:rsidRDefault="00D111CA" w:rsidP="0065556E">
      <w:pPr>
        <w:pStyle w:val="ListBullet"/>
      </w:pPr>
      <w:r w:rsidRPr="004E1B29">
        <w:t xml:space="preserve">Objective: </w:t>
      </w:r>
      <w:r w:rsidR="00B56CD9" w:rsidRPr="00D111CA">
        <w:t>Address limitations in current systems</w:t>
      </w:r>
    </w:p>
    <w:p w14:paraId="311451D5" w14:textId="6113D520" w:rsidR="00B56CD9" w:rsidRPr="00D111CA" w:rsidRDefault="00D111CA" w:rsidP="0065556E">
      <w:pPr>
        <w:pStyle w:val="ListBullet2"/>
      </w:pPr>
      <w:r w:rsidRPr="006E3EF3">
        <w:t xml:space="preserve">Actions: </w:t>
      </w:r>
      <w:r w:rsidR="00B56CD9" w:rsidRPr="006E3EF3">
        <w:t>Navigating existing financial management and granting systems and other government budgetary hurdles.</w:t>
      </w:r>
    </w:p>
    <w:p w14:paraId="176DF297" w14:textId="26DBD4DB" w:rsidR="00B56CD9" w:rsidRPr="00D111CA" w:rsidRDefault="00D111CA" w:rsidP="0065556E">
      <w:pPr>
        <w:pStyle w:val="ListBullet2"/>
      </w:pPr>
      <w:r w:rsidRPr="006E3EF3">
        <w:t xml:space="preserve">Rationale: </w:t>
      </w:r>
      <w:r w:rsidR="00B56CD9" w:rsidRPr="006E3EF3">
        <w:t>The trials revealed systemic limitations within current systems that are preventing the full benefits of SII.</w:t>
      </w:r>
    </w:p>
    <w:p w14:paraId="105EBEF0" w14:textId="1C4BD289" w:rsidR="00191927" w:rsidRPr="008D0DEB" w:rsidRDefault="00191927" w:rsidP="0065556E">
      <w:pPr>
        <w:pStyle w:val="Head4"/>
      </w:pPr>
      <w:r w:rsidRPr="008D0DEB">
        <w:t>Implementation</w:t>
      </w:r>
    </w:p>
    <w:p w14:paraId="37251C80" w14:textId="680BAA43" w:rsidR="001572ED" w:rsidRPr="00D111CA" w:rsidRDefault="00D111CA" w:rsidP="0065556E">
      <w:pPr>
        <w:pStyle w:val="ListBullet"/>
      </w:pPr>
      <w:r w:rsidRPr="006E3EF3">
        <w:t xml:space="preserve">Objective: </w:t>
      </w:r>
      <w:r w:rsidR="00B56CD9" w:rsidRPr="006E3EF3">
        <w:t>Plan resourcing and timeframes</w:t>
      </w:r>
    </w:p>
    <w:p w14:paraId="49F1140F" w14:textId="597319B1" w:rsidR="00B56CD9" w:rsidRPr="00D111CA" w:rsidRDefault="00D111CA" w:rsidP="0065556E">
      <w:pPr>
        <w:pStyle w:val="ListBullet2"/>
      </w:pPr>
      <w:r w:rsidRPr="006E3EF3">
        <w:t xml:space="preserve">Actions: </w:t>
      </w:r>
      <w:r w:rsidR="00B56CD9" w:rsidRPr="006E3EF3">
        <w:t>Identify timeframes and resources (including staffing levels and capabilities) required to manage the Fund.</w:t>
      </w:r>
    </w:p>
    <w:p w14:paraId="7ED533AD" w14:textId="1A4B0224" w:rsidR="00B56CD9" w:rsidRPr="00D111CA" w:rsidRDefault="00D111CA" w:rsidP="0065556E">
      <w:pPr>
        <w:pStyle w:val="ListBullet2"/>
      </w:pPr>
      <w:r w:rsidRPr="006E3EF3">
        <w:t xml:space="preserve">Rationale: </w:t>
      </w:r>
      <w:r w:rsidR="00B56CD9" w:rsidRPr="006E3EF3">
        <w:t>The 2023-24 Budget papers outline indicative annual funding will not be drawn until the co-design is complete and accepted by government. This will respond to the needs and opportunities presented.</w:t>
      </w:r>
    </w:p>
    <w:p w14:paraId="19E7D557" w14:textId="2829E76C" w:rsidR="00B56CD9" w:rsidRPr="00D111CA" w:rsidRDefault="00D111CA" w:rsidP="0065556E">
      <w:pPr>
        <w:pStyle w:val="ListBullet"/>
      </w:pPr>
      <w:r w:rsidRPr="006E3EF3">
        <w:t xml:space="preserve">Objective: </w:t>
      </w:r>
      <w:r w:rsidR="00B56CD9" w:rsidRPr="006E3EF3">
        <w:t>Coordinate across government(s)</w:t>
      </w:r>
    </w:p>
    <w:p w14:paraId="58D460B6" w14:textId="78F50158" w:rsidR="00B56CD9" w:rsidRPr="00D111CA" w:rsidRDefault="00D111CA" w:rsidP="0065556E">
      <w:pPr>
        <w:pStyle w:val="ListBullet2"/>
      </w:pPr>
      <w:r w:rsidRPr="004E1B29">
        <w:t xml:space="preserve">Actions: </w:t>
      </w:r>
      <w:r w:rsidR="00B56CD9" w:rsidRPr="004E1B29">
        <w:t>The SII unit has developed substantial awareness and relationships among state and territory governments. Build upon existing relationships with state and territory governments.</w:t>
      </w:r>
    </w:p>
    <w:p w14:paraId="46D03FED" w14:textId="668F0786" w:rsidR="00B56CD9" w:rsidRPr="00D111CA" w:rsidRDefault="00B56CD9" w:rsidP="0065556E">
      <w:pPr>
        <w:pStyle w:val="ListBullet3"/>
      </w:pPr>
      <w:r w:rsidRPr="006E3EF3">
        <w:t>Set up a national platform to enable program delivery by the states and territories. Share learnings nationally.</w:t>
      </w:r>
    </w:p>
    <w:p w14:paraId="31F803B2" w14:textId="5E714A01" w:rsidR="00B56CD9" w:rsidRPr="00D111CA" w:rsidRDefault="00D111CA" w:rsidP="0065556E">
      <w:pPr>
        <w:pStyle w:val="ListBullet2"/>
      </w:pPr>
      <w:r w:rsidRPr="004E1B29">
        <w:t xml:space="preserve">Rationale: </w:t>
      </w:r>
      <w:r w:rsidR="00B56CD9" w:rsidRPr="004E1B29">
        <w:t>S</w:t>
      </w:r>
      <w:r w:rsidR="00B56CD9" w:rsidRPr="00D111CA">
        <w:t>tates and territories may be best placed to manage the delivery of the outcomes-based contracts, as per the trials.</w:t>
      </w:r>
    </w:p>
    <w:p w14:paraId="73360C2C" w14:textId="64FE965C" w:rsidR="00B56CD9" w:rsidRPr="00D111CA" w:rsidRDefault="00D111CA" w:rsidP="0065556E">
      <w:pPr>
        <w:pStyle w:val="ListBullet"/>
      </w:pPr>
      <w:r w:rsidRPr="006E3EF3">
        <w:t xml:space="preserve">Objective: </w:t>
      </w:r>
      <w:r w:rsidR="00B56CD9" w:rsidRPr="006E3EF3">
        <w:t>Build awareness and educate potential actors</w:t>
      </w:r>
    </w:p>
    <w:p w14:paraId="67B34228" w14:textId="65178F6A" w:rsidR="00B56CD9" w:rsidRPr="00D111CA" w:rsidRDefault="00D111CA" w:rsidP="0065556E">
      <w:pPr>
        <w:pStyle w:val="ListBullet2"/>
      </w:pPr>
      <w:r w:rsidRPr="006E3EF3">
        <w:t xml:space="preserve">Actions: </w:t>
      </w:r>
      <w:r w:rsidR="00B56CD9" w:rsidRPr="006E3EF3">
        <w:t>Develop baseline educational materials about the purpose, scope, and limitations of the Fund for new actors wishing to participate (consider NSW-type briefing).</w:t>
      </w:r>
    </w:p>
    <w:p w14:paraId="1A378017" w14:textId="1C1D0C55" w:rsidR="00B56CD9" w:rsidRPr="00D111CA" w:rsidRDefault="00D111CA" w:rsidP="0065556E">
      <w:pPr>
        <w:pStyle w:val="ListBullet2"/>
      </w:pPr>
      <w:r w:rsidRPr="004E1B29">
        <w:t xml:space="preserve">Rationale: </w:t>
      </w:r>
      <w:r w:rsidR="00B56CD9" w:rsidRPr="004E1B29">
        <w:t xml:space="preserve">The PBO trials demonstrated that for many service providers, the costs and risks associated with </w:t>
      </w:r>
      <w:r w:rsidR="00B56CD9" w:rsidRPr="00D111CA">
        <w:t>outcomes contracting were not always understood.</w:t>
      </w:r>
    </w:p>
    <w:p w14:paraId="60FCA3C7" w14:textId="1D40948D" w:rsidR="00B56CD9" w:rsidRPr="00D111CA" w:rsidRDefault="00B56CD9" w:rsidP="0065556E">
      <w:pPr>
        <w:pStyle w:val="ListBullet3"/>
      </w:pPr>
      <w:r w:rsidRPr="006E3EF3">
        <w:t>It is important that potential service providers properly understand the opportunities and challenges of outcomes contracts.</w:t>
      </w:r>
    </w:p>
    <w:p w14:paraId="518FA19D" w14:textId="659D0489" w:rsidR="00B56CD9" w:rsidRPr="008D0DEB" w:rsidRDefault="00B56CD9" w:rsidP="0065556E">
      <w:pPr>
        <w:pStyle w:val="Head4"/>
      </w:pPr>
      <w:r w:rsidRPr="008D0DEB">
        <w:t>Supporting Capabilities</w:t>
      </w:r>
    </w:p>
    <w:p w14:paraId="244E065D" w14:textId="242BD8C5" w:rsidR="00B56CD9" w:rsidRPr="00D111CA" w:rsidRDefault="00D111CA" w:rsidP="0065556E">
      <w:pPr>
        <w:pStyle w:val="ListBullet"/>
      </w:pPr>
      <w:r w:rsidRPr="006E3EF3">
        <w:t xml:space="preserve">Objective: </w:t>
      </w:r>
      <w:r w:rsidR="00B56CD9" w:rsidRPr="006E3EF3">
        <w:t>Develop core capabilities</w:t>
      </w:r>
    </w:p>
    <w:p w14:paraId="09EAC15D" w14:textId="5D39A471" w:rsidR="00B56CD9" w:rsidRPr="00D111CA" w:rsidRDefault="00D111CA" w:rsidP="0065556E">
      <w:pPr>
        <w:pStyle w:val="ListBullet2"/>
      </w:pPr>
      <w:r w:rsidRPr="006E3EF3">
        <w:t xml:space="preserve">Actions: </w:t>
      </w:r>
      <w:r w:rsidR="00B56CD9" w:rsidRPr="006E3EF3">
        <w:t>Build upon the existing lessons, experience and skills developed in the SII unit to grow core capabil</w:t>
      </w:r>
      <w:r w:rsidR="00316350" w:rsidRPr="006E3EF3">
        <w:t>ities</w:t>
      </w:r>
    </w:p>
    <w:p w14:paraId="1EA0FAFA" w14:textId="5DA4F019" w:rsidR="00DE79A0" w:rsidRPr="00D111CA" w:rsidRDefault="00D111CA" w:rsidP="0065556E">
      <w:pPr>
        <w:pStyle w:val="ListBullet2"/>
      </w:pPr>
      <w:r w:rsidRPr="006E3EF3">
        <w:t xml:space="preserve">Rationale: </w:t>
      </w:r>
      <w:r w:rsidR="00B56CD9" w:rsidRPr="006E3EF3">
        <w:t>Designing, establishing, and managing the Outcomes Fund will require skills and knowledge not readily practised in other areas of government. This includes in the co-design of the Fund with market actors and the social sector, commercial contract management, data sharing and the measurement and verifying of outcomes.</w:t>
      </w:r>
    </w:p>
    <w:p w14:paraId="39FEA693" w14:textId="77777777" w:rsidR="00BF0143" w:rsidRDefault="00BF0143">
      <w:pPr>
        <w:rPr>
          <w:rFonts w:cs="Arial"/>
          <w:b/>
          <w:sz w:val="36"/>
        </w:rPr>
      </w:pPr>
      <w:bookmarkStart w:id="194" w:name="_Toc137210973"/>
      <w:bookmarkStart w:id="195" w:name="_Toc137211215"/>
      <w:bookmarkStart w:id="196" w:name="_Toc137219069"/>
      <w:bookmarkStart w:id="197" w:name="_Toc153801738"/>
      <w:r>
        <w:br w:type="page"/>
      </w:r>
    </w:p>
    <w:p w14:paraId="712B80F1" w14:textId="69073425" w:rsidR="00F60B4F" w:rsidRPr="008D0DEB" w:rsidRDefault="00896136" w:rsidP="00187144">
      <w:pPr>
        <w:pStyle w:val="Head2"/>
      </w:pPr>
      <w:r w:rsidRPr="008D0DEB">
        <w:lastRenderedPageBreak/>
        <w:t>Considerations</w:t>
      </w:r>
      <w:r w:rsidR="00F60B4F" w:rsidRPr="008D0DEB">
        <w:t xml:space="preserve"> for the </w:t>
      </w:r>
      <w:bookmarkEnd w:id="194"/>
      <w:bookmarkEnd w:id="195"/>
      <w:bookmarkEnd w:id="196"/>
      <w:bookmarkEnd w:id="197"/>
      <w:r w:rsidR="009B7AEF">
        <w:t>SEDI</w:t>
      </w:r>
      <w:r w:rsidR="00F60B4F" w:rsidRPr="008D0DEB">
        <w:t xml:space="preserve"> </w:t>
      </w:r>
    </w:p>
    <w:p w14:paraId="61DEC3B2" w14:textId="005EEE8D" w:rsidR="00D111CA" w:rsidRPr="00501490" w:rsidRDefault="00D111CA" w:rsidP="00501490">
      <w:pPr>
        <w:rPr>
          <w:b/>
        </w:rPr>
      </w:pPr>
      <w:r w:rsidRPr="00501490">
        <w:t>Budget measure:</w:t>
      </w:r>
      <w:r w:rsidRPr="00501490">
        <w:rPr>
          <w:b/>
        </w:rPr>
        <w:t xml:space="preserve"> </w:t>
      </w:r>
      <w:r w:rsidRPr="00501490">
        <w:t>$11.6 million over three years from 2023-24 for a Social Enterprise Development Initiative to provide grants, online education and mentoring for eligible organisations to build capability to access capital, better participate in the SII market and support improved social outcomes. It is understood this new policy initiative will be co-designed based on learnings from the SRF and changed market conditions.</w:t>
      </w:r>
      <w:r w:rsidRPr="00501490">
        <w:rPr>
          <w:vertAlign w:val="superscript"/>
        </w:rPr>
        <w:t xml:space="preserve"> </w:t>
      </w:r>
      <w:r w:rsidRPr="00501490">
        <w:rPr>
          <w:vertAlign w:val="superscript"/>
        </w:rPr>
        <w:footnoteReference w:id="46"/>
      </w:r>
    </w:p>
    <w:p w14:paraId="74DA94B2" w14:textId="645E2F21" w:rsidR="00313134" w:rsidRPr="00501490" w:rsidRDefault="007076B1" w:rsidP="00501490">
      <w:pPr>
        <w:pStyle w:val="ListBullet"/>
        <w:rPr>
          <w:rFonts w:eastAsiaTheme="minorEastAsia"/>
        </w:rPr>
      </w:pPr>
      <w:r w:rsidRPr="00501490">
        <w:rPr>
          <w:rFonts w:eastAsiaTheme="minorEastAsia"/>
        </w:rPr>
        <w:t xml:space="preserve">Description: </w:t>
      </w:r>
      <w:r w:rsidR="00A71A40" w:rsidRPr="00501490">
        <w:rPr>
          <w:rFonts w:eastAsiaTheme="minorEastAsia"/>
        </w:rPr>
        <w:t xml:space="preserve">The experience of the SRF shows that </w:t>
      </w:r>
      <w:r w:rsidR="00EB39B7" w:rsidRPr="00501490">
        <w:rPr>
          <w:rFonts w:eastAsiaTheme="minorEastAsia"/>
        </w:rPr>
        <w:t xml:space="preserve">the </w:t>
      </w:r>
      <w:r w:rsidR="00A71A40" w:rsidRPr="00501490">
        <w:rPr>
          <w:rFonts w:eastAsiaTheme="minorEastAsia"/>
        </w:rPr>
        <w:t>social enterprise</w:t>
      </w:r>
      <w:r w:rsidR="00D17D8A" w:rsidRPr="00501490">
        <w:rPr>
          <w:rFonts w:eastAsiaTheme="minorEastAsia"/>
        </w:rPr>
        <w:t xml:space="preserve"> market</w:t>
      </w:r>
      <w:r w:rsidR="00A71A40" w:rsidRPr="00501490">
        <w:rPr>
          <w:rFonts w:eastAsiaTheme="minorEastAsia"/>
        </w:rPr>
        <w:t xml:space="preserve"> continue</w:t>
      </w:r>
      <w:r w:rsidR="00D17D8A" w:rsidRPr="00501490">
        <w:rPr>
          <w:rFonts w:eastAsiaTheme="minorEastAsia"/>
        </w:rPr>
        <w:t>s</w:t>
      </w:r>
      <w:r w:rsidR="00A71A40" w:rsidRPr="00501490">
        <w:rPr>
          <w:rFonts w:eastAsiaTheme="minorEastAsia"/>
        </w:rPr>
        <w:t xml:space="preserve"> to require support </w:t>
      </w:r>
      <w:r w:rsidR="00D17D8A" w:rsidRPr="00501490">
        <w:rPr>
          <w:rFonts w:eastAsiaTheme="minorEastAsia"/>
        </w:rPr>
        <w:t xml:space="preserve">to grow. </w:t>
      </w:r>
      <w:r w:rsidR="00022147" w:rsidRPr="00501490">
        <w:rPr>
          <w:rFonts w:eastAsiaTheme="minorEastAsia"/>
        </w:rPr>
        <w:t>Key lessons arising</w:t>
      </w:r>
      <w:r w:rsidR="00882A7C" w:rsidRPr="00501490">
        <w:rPr>
          <w:rFonts w:eastAsiaTheme="minorEastAsia"/>
        </w:rPr>
        <w:t xml:space="preserve"> from the SRF </w:t>
      </w:r>
      <w:r w:rsidR="002A0CB1" w:rsidRPr="00501490">
        <w:rPr>
          <w:rFonts w:eastAsiaTheme="minorEastAsia"/>
        </w:rPr>
        <w:t>to inform the SEDI</w:t>
      </w:r>
      <w:r w:rsidR="00882A7C" w:rsidRPr="00501490">
        <w:rPr>
          <w:rFonts w:eastAsiaTheme="minorEastAsia"/>
        </w:rPr>
        <w:t xml:space="preserve"> includ</w:t>
      </w:r>
      <w:r w:rsidR="00022147" w:rsidRPr="00501490">
        <w:rPr>
          <w:rFonts w:eastAsiaTheme="minorEastAsia"/>
        </w:rPr>
        <w:t>e</w:t>
      </w:r>
      <w:r w:rsidR="00E4604C" w:rsidRPr="00501490">
        <w:rPr>
          <w:rFonts w:eastAsiaTheme="minorEastAsia"/>
        </w:rPr>
        <w:t>:</w:t>
      </w:r>
    </w:p>
    <w:p w14:paraId="00875B24" w14:textId="77777777" w:rsidR="00313134" w:rsidRPr="00501490" w:rsidRDefault="002810CE" w:rsidP="00501490">
      <w:pPr>
        <w:pStyle w:val="ListBullet2"/>
        <w:rPr>
          <w:rFonts w:eastAsiaTheme="minorEastAsia"/>
        </w:rPr>
      </w:pPr>
      <w:r w:rsidRPr="00501490">
        <w:rPr>
          <w:rFonts w:eastAsiaTheme="minorEastAsia"/>
        </w:rPr>
        <w:t xml:space="preserve">reducing the size of the grants and </w:t>
      </w:r>
      <w:r w:rsidR="00D338E6" w:rsidRPr="00501490">
        <w:rPr>
          <w:rFonts w:eastAsiaTheme="minorEastAsia"/>
        </w:rPr>
        <w:t xml:space="preserve">allowing multiple </w:t>
      </w:r>
      <w:r w:rsidR="00153EF2" w:rsidRPr="00501490">
        <w:rPr>
          <w:rFonts w:eastAsiaTheme="minorEastAsia"/>
        </w:rPr>
        <w:t>touchpoints throughout an enterprise’s journey</w:t>
      </w:r>
    </w:p>
    <w:p w14:paraId="63C02BE6" w14:textId="77777777" w:rsidR="00313134" w:rsidRPr="00501490" w:rsidRDefault="00A63594" w:rsidP="00501490">
      <w:pPr>
        <w:pStyle w:val="ListBullet2"/>
        <w:rPr>
          <w:rFonts w:eastAsiaTheme="minorEastAsia"/>
        </w:rPr>
      </w:pPr>
      <w:r w:rsidRPr="00501490">
        <w:rPr>
          <w:rFonts w:eastAsiaTheme="minorEastAsia"/>
        </w:rPr>
        <w:t xml:space="preserve">expanding support </w:t>
      </w:r>
      <w:r w:rsidR="00153EF2" w:rsidRPr="00501490">
        <w:rPr>
          <w:rFonts w:eastAsiaTheme="minorEastAsia"/>
        </w:rPr>
        <w:t xml:space="preserve">to include </w:t>
      </w:r>
      <w:r w:rsidR="00643989" w:rsidRPr="00501490">
        <w:rPr>
          <w:rFonts w:eastAsiaTheme="minorEastAsia"/>
        </w:rPr>
        <w:t>earlier stage enterprises</w:t>
      </w:r>
    </w:p>
    <w:p w14:paraId="5E60FCC2" w14:textId="77777777" w:rsidR="004958FC" w:rsidRPr="00501490" w:rsidRDefault="00C67042" w:rsidP="00501490">
      <w:pPr>
        <w:pStyle w:val="ListBullet2"/>
        <w:rPr>
          <w:rFonts w:eastAsiaTheme="minorEastAsia"/>
        </w:rPr>
      </w:pPr>
      <w:r w:rsidRPr="00501490">
        <w:rPr>
          <w:rFonts w:eastAsiaTheme="minorEastAsia"/>
        </w:rPr>
        <w:t xml:space="preserve">providing opportunities for diverse and new intermediaries to participate </w:t>
      </w:r>
      <w:r w:rsidR="00A53832" w:rsidRPr="00501490">
        <w:rPr>
          <w:rFonts w:eastAsiaTheme="minorEastAsia"/>
        </w:rPr>
        <w:t>to drive market growth</w:t>
      </w:r>
    </w:p>
    <w:p w14:paraId="49CD7A7D" w14:textId="75B06B7F" w:rsidR="004958FC" w:rsidRPr="00501490" w:rsidRDefault="00A53832" w:rsidP="00501490">
      <w:pPr>
        <w:pStyle w:val="ListBullet2"/>
        <w:rPr>
          <w:rFonts w:eastAsiaTheme="minorEastAsia"/>
        </w:rPr>
      </w:pPr>
      <w:r w:rsidRPr="00501490">
        <w:rPr>
          <w:rFonts w:eastAsiaTheme="minorEastAsia"/>
        </w:rPr>
        <w:t>focus on building capability in impact measurement and management.</w:t>
      </w:r>
      <w:r w:rsidR="00643989" w:rsidRPr="00501490">
        <w:rPr>
          <w:rFonts w:eastAsiaTheme="minorEastAsia"/>
        </w:rPr>
        <w:t xml:space="preserve"> </w:t>
      </w:r>
    </w:p>
    <w:p w14:paraId="6AE0E958" w14:textId="77777777" w:rsidR="0083219B" w:rsidRPr="00501490" w:rsidRDefault="002C6A78" w:rsidP="00501490">
      <w:r w:rsidRPr="00501490">
        <w:t xml:space="preserve">The </w:t>
      </w:r>
      <w:r w:rsidR="00691405" w:rsidRPr="00501490">
        <w:t>SEDI should be designed on the principl</w:t>
      </w:r>
      <w:r w:rsidR="00E67F9B" w:rsidRPr="00501490">
        <w:t>e</w:t>
      </w:r>
      <w:r w:rsidR="00691405" w:rsidRPr="00501490">
        <w:t xml:space="preserve"> of enabl</w:t>
      </w:r>
      <w:r w:rsidR="00F4475F" w:rsidRPr="00501490">
        <w:t>ing</w:t>
      </w:r>
      <w:r w:rsidR="00691405" w:rsidRPr="00501490">
        <w:t xml:space="preserve"> scaling of impact through growth of independent impact organisations. </w:t>
      </w:r>
      <w:r w:rsidR="00643989" w:rsidRPr="00501490">
        <w:t xml:space="preserve">Consideration could </w:t>
      </w:r>
      <w:r w:rsidR="00E67F9B" w:rsidRPr="00501490">
        <w:t>also</w:t>
      </w:r>
      <w:r w:rsidR="00643989" w:rsidRPr="00501490">
        <w:t xml:space="preserve"> be given to </w:t>
      </w:r>
      <w:r w:rsidR="002810CE" w:rsidRPr="00501490">
        <w:t xml:space="preserve">working across government to expand the priority </w:t>
      </w:r>
      <w:r w:rsidR="00A8600E" w:rsidRPr="00501490">
        <w:t>issues targeted</w:t>
      </w:r>
      <w:r w:rsidR="00E67F9B" w:rsidRPr="00501490">
        <w:t>.</w:t>
      </w:r>
    </w:p>
    <w:p w14:paraId="5164D04D" w14:textId="77777777" w:rsidR="00E56F0B" w:rsidRPr="00501490" w:rsidRDefault="00694595" w:rsidP="00501490">
      <w:r w:rsidRPr="00501490">
        <w:t xml:space="preserve">Note: </w:t>
      </w:r>
      <w:r w:rsidR="00E56F0B" w:rsidRPr="00501490">
        <w:t xml:space="preserve">The term “Social Enterprise” </w:t>
      </w:r>
      <w:r w:rsidR="00433E99" w:rsidRPr="00501490">
        <w:t>is interpreted in</w:t>
      </w:r>
      <w:r w:rsidR="00E56F0B" w:rsidRPr="00501490">
        <w:t xml:space="preserve"> the broadest, most inclusive definition</w:t>
      </w:r>
      <w:r w:rsidR="00433E99" w:rsidRPr="00501490">
        <w:t xml:space="preserve">. This could </w:t>
      </w:r>
      <w:r w:rsidR="00E56F0B" w:rsidRPr="00501490">
        <w:t xml:space="preserve">include </w:t>
      </w:r>
      <w:r w:rsidR="009B6C52" w:rsidRPr="00501490">
        <w:t xml:space="preserve">any business or organisation delivering social impact </w:t>
      </w:r>
      <w:r w:rsidR="004617B5" w:rsidRPr="00501490">
        <w:t xml:space="preserve">and seeking to scale that impact by raising capital. </w:t>
      </w:r>
    </w:p>
    <w:p w14:paraId="2397F337" w14:textId="77777777" w:rsidR="00302AAF" w:rsidRPr="00501490" w:rsidRDefault="00302AAF" w:rsidP="00501490">
      <w:r w:rsidRPr="00501490">
        <w:rPr>
          <w:bCs/>
        </w:rPr>
        <w:t xml:space="preserve">Expected </w:t>
      </w:r>
      <w:r w:rsidR="00C2317E" w:rsidRPr="00501490">
        <w:rPr>
          <w:bCs/>
        </w:rPr>
        <w:t>SII unit</w:t>
      </w:r>
      <w:r w:rsidRPr="00501490">
        <w:rPr>
          <w:bCs/>
        </w:rPr>
        <w:t xml:space="preserve"> role: </w:t>
      </w:r>
      <w:r w:rsidRPr="00501490">
        <w:t xml:space="preserve">Lead design and implementation. </w:t>
      </w:r>
    </w:p>
    <w:p w14:paraId="175A4546" w14:textId="77777777" w:rsidR="00302AAF" w:rsidRPr="00501490" w:rsidRDefault="00302AAF" w:rsidP="00501490">
      <w:pPr>
        <w:rPr>
          <w:lang w:eastAsia="en-AU"/>
        </w:rPr>
      </w:pPr>
      <w:r w:rsidRPr="00501490">
        <w:rPr>
          <w:bCs/>
        </w:rPr>
        <w:t>Key considerations:</w:t>
      </w:r>
      <w:r w:rsidR="00353712" w:rsidRPr="00501490">
        <w:rPr>
          <w:b/>
          <w:bCs/>
        </w:rPr>
        <w:t xml:space="preserve"> </w:t>
      </w:r>
      <w:r w:rsidR="00353712" w:rsidRPr="00501490">
        <w:rPr>
          <w:lang w:eastAsia="en-AU"/>
        </w:rPr>
        <w:t xml:space="preserve">The following is a list of considerations in establishing the SEDI, drawn from the experience of the SRF </w:t>
      </w:r>
      <w:r w:rsidR="00F22836" w:rsidRPr="00501490">
        <w:rPr>
          <w:lang w:eastAsia="en-AU"/>
        </w:rPr>
        <w:t>t</w:t>
      </w:r>
      <w:r w:rsidR="00353712" w:rsidRPr="00501490">
        <w:rPr>
          <w:lang w:eastAsia="en-AU"/>
        </w:rPr>
        <w:t>rials. It is not intended as a comprehensive list of actions.</w:t>
      </w:r>
    </w:p>
    <w:p w14:paraId="7D203C0F" w14:textId="310B1DC1" w:rsidR="00797FB0" w:rsidRDefault="00797FB0" w:rsidP="0065556E">
      <w:pPr>
        <w:pStyle w:val="Head3"/>
      </w:pPr>
      <w:bookmarkStart w:id="198" w:name="_Toc140826444"/>
      <w:r w:rsidRPr="008D0DEB">
        <w:t xml:space="preserve">Potential actions for design, implementation, </w:t>
      </w:r>
      <w:r w:rsidR="007076B1" w:rsidRPr="008D0DEB">
        <w:t>and capabilities support for the SEDI</w:t>
      </w:r>
      <w:bookmarkEnd w:id="198"/>
    </w:p>
    <w:p w14:paraId="409245E0" w14:textId="2C954F79" w:rsidR="008C47D6" w:rsidRDefault="008C47D6" w:rsidP="0065556E">
      <w:pPr>
        <w:pStyle w:val="Head4"/>
      </w:pPr>
      <w:r>
        <w:t>Design</w:t>
      </w:r>
    </w:p>
    <w:p w14:paraId="5BB1379F" w14:textId="77777777" w:rsidR="008C47D6" w:rsidRDefault="008C47D6" w:rsidP="0065556E">
      <w:pPr>
        <w:pStyle w:val="ListBullet"/>
      </w:pPr>
      <w:r w:rsidRPr="008C47D6">
        <w:t xml:space="preserve">Objective: Enable for-purpose organisations to deliver their business-as-usual while growing their business </w:t>
      </w:r>
    </w:p>
    <w:p w14:paraId="2D72BACE" w14:textId="77777777" w:rsidR="00F139B7" w:rsidRDefault="008C47D6" w:rsidP="0065556E">
      <w:pPr>
        <w:pStyle w:val="ListBullet2"/>
      </w:pPr>
      <w:r w:rsidRPr="004E1B29">
        <w:t xml:space="preserve">Actions: </w:t>
      </w:r>
      <w:r w:rsidR="00F139B7">
        <w:t>Allow flexibility in the use of grants, including to cover cost of staffing required for fundraising.</w:t>
      </w:r>
    </w:p>
    <w:p w14:paraId="6EDB0D00" w14:textId="25753373" w:rsidR="008C47D6" w:rsidRPr="00083534" w:rsidRDefault="00F139B7" w:rsidP="0065556E">
      <w:pPr>
        <w:pStyle w:val="ListBullet3"/>
      </w:pPr>
      <w:r>
        <w:t>Continue to streamline application and reporting processes to keep additional administrative burdens and transaction costs low.</w:t>
      </w:r>
    </w:p>
    <w:p w14:paraId="77168CC7" w14:textId="1020196F" w:rsidR="008C47D6" w:rsidRDefault="008C47D6" w:rsidP="0065556E">
      <w:pPr>
        <w:pStyle w:val="ListBullet2"/>
      </w:pPr>
      <w:r w:rsidRPr="005740AC">
        <w:t xml:space="preserve">Rationale: </w:t>
      </w:r>
      <w:r w:rsidR="00F139B7" w:rsidRPr="00F139B7">
        <w:t>Early-stage enterprises and for-purpose organisations are often time-poor and resource-constrained. For small organisations, dedicating scarce resources away from the day-to-day running of the business to work on activities to grow the business, such as seeking funding comes at a significant cost.</w:t>
      </w:r>
    </w:p>
    <w:p w14:paraId="3A7C6D59" w14:textId="4456F446" w:rsidR="00F139B7" w:rsidRDefault="00F139B7" w:rsidP="0065556E">
      <w:pPr>
        <w:pStyle w:val="ListBullet"/>
      </w:pPr>
      <w:r>
        <w:t xml:space="preserve">Objective: </w:t>
      </w:r>
      <w:r w:rsidRPr="00F139B7">
        <w:t>Enable for-purpose organisations to choose the services they require delivered by best-matched providers</w:t>
      </w:r>
    </w:p>
    <w:p w14:paraId="1EC626B5" w14:textId="77777777" w:rsidR="00F139B7" w:rsidRDefault="00F139B7" w:rsidP="0065556E">
      <w:pPr>
        <w:pStyle w:val="ListBullet2"/>
      </w:pPr>
      <w:r>
        <w:t xml:space="preserve">Action: Continue to enable choice of service provider/intermediary by providing grants directly to enterprise. </w:t>
      </w:r>
    </w:p>
    <w:p w14:paraId="56E5F4E6" w14:textId="617F0A66" w:rsidR="00F139B7" w:rsidRDefault="00F139B7" w:rsidP="0065556E">
      <w:pPr>
        <w:pStyle w:val="ListBullet3"/>
      </w:pPr>
      <w:r>
        <w:t>Ensure that flexibility in contracts is understood by the contracting parties.</w:t>
      </w:r>
    </w:p>
    <w:p w14:paraId="2D1BAA3C" w14:textId="77777777" w:rsidR="00F139B7" w:rsidRDefault="00F139B7" w:rsidP="0065556E">
      <w:pPr>
        <w:pStyle w:val="ListBullet2"/>
      </w:pPr>
      <w:r>
        <w:lastRenderedPageBreak/>
        <w:t xml:space="preserve">Rationale: Experience of participants in the SRF trial indicated that the best results were achieved when there was value alignment between enterprises and service providers. Providing the grants to the enterprise empowered enterprises to have ownership of their business decisions. </w:t>
      </w:r>
    </w:p>
    <w:p w14:paraId="61BED91F" w14:textId="5EE3E3AB" w:rsidR="00F139B7" w:rsidRDefault="00F139B7" w:rsidP="0065556E">
      <w:pPr>
        <w:pStyle w:val="ListBullet3"/>
      </w:pPr>
      <w:r>
        <w:t>The flexibility that existed in the contracts was not often utilised, and was not always understood by stakeholders.</w:t>
      </w:r>
    </w:p>
    <w:p w14:paraId="67A1F395" w14:textId="4FD49475" w:rsidR="00F139B7" w:rsidRPr="006E3EF3" w:rsidRDefault="00F139B7" w:rsidP="0065556E">
      <w:pPr>
        <w:pStyle w:val="ListBullet"/>
      </w:pPr>
      <w:r>
        <w:t xml:space="preserve">Objective: </w:t>
      </w:r>
      <w:r w:rsidRPr="0065556E">
        <w:rPr>
          <w:rFonts w:eastAsiaTheme="minorEastAsia"/>
        </w:rPr>
        <w:t>The right support at the right time</w:t>
      </w:r>
    </w:p>
    <w:p w14:paraId="29502333" w14:textId="05080DFD" w:rsidR="00F139B7" w:rsidRPr="006E3EF3" w:rsidRDefault="00F139B7" w:rsidP="0065556E">
      <w:pPr>
        <w:pStyle w:val="ListBullet2"/>
      </w:pPr>
      <w:r>
        <w:t xml:space="preserve">Actions: </w:t>
      </w:r>
      <w:r w:rsidRPr="008D0DEB">
        <w:rPr>
          <w:rFonts w:eastAsiaTheme="minorEastAsia"/>
        </w:rPr>
        <w:t>Consider provision of smaller-sized grants to enable entrepreneurs to receive multiple grants each and to seek services as needed. This should be balanced with the goal of growing the market, rather than subsidising it.</w:t>
      </w:r>
    </w:p>
    <w:p w14:paraId="210D6453" w14:textId="20444287" w:rsidR="00F139B7" w:rsidRPr="006E3EF3" w:rsidRDefault="00F139B7" w:rsidP="0065556E">
      <w:pPr>
        <w:pStyle w:val="ListBullet2"/>
      </w:pPr>
      <w:r>
        <w:rPr>
          <w:rFonts w:eastAsiaTheme="minorEastAsia"/>
        </w:rPr>
        <w:t xml:space="preserve">Rationale: </w:t>
      </w:r>
      <w:r w:rsidRPr="008D0DEB">
        <w:rPr>
          <w:rFonts w:eastAsiaTheme="minorEastAsia"/>
        </w:rPr>
        <w:t>Participants – both enterprises and service providers – identified the size of the grants and the requirement to commit to a suite of services up front as a challenge.</w:t>
      </w:r>
      <w:r w:rsidR="00BF0143">
        <w:rPr>
          <w:rFonts w:eastAsiaTheme="minorEastAsia"/>
        </w:rPr>
        <w:t xml:space="preserve"> </w:t>
      </w:r>
    </w:p>
    <w:p w14:paraId="4B5DE397" w14:textId="018B8BA8" w:rsidR="00F139B7" w:rsidRPr="006E3EF3" w:rsidRDefault="00F139B7" w:rsidP="0065556E">
      <w:pPr>
        <w:pStyle w:val="ListBullet"/>
      </w:pPr>
      <w:r>
        <w:t xml:space="preserve">Objective: </w:t>
      </w:r>
      <w:r w:rsidRPr="0065556E">
        <w:rPr>
          <w:rFonts w:eastAsiaTheme="minorEastAsia"/>
        </w:rPr>
        <w:t>Build capacity of impact measurement and management (IMM)</w:t>
      </w:r>
    </w:p>
    <w:p w14:paraId="6DCB792D" w14:textId="77777777" w:rsidR="00F139B7" w:rsidRDefault="00F139B7" w:rsidP="0065556E">
      <w:pPr>
        <w:pStyle w:val="ListBullet2"/>
      </w:pPr>
      <w:r>
        <w:t xml:space="preserve">Actions: Include development of Social Impact Frameworks as part of the grant/capacity building. </w:t>
      </w:r>
    </w:p>
    <w:p w14:paraId="31F49B59" w14:textId="77777777" w:rsidR="00F139B7" w:rsidRDefault="00F139B7" w:rsidP="0065556E">
      <w:pPr>
        <w:pStyle w:val="ListBullet3"/>
      </w:pPr>
      <w:r>
        <w:t xml:space="preserve">Improve data collection and outcome reporting capability within for-purpose organisations, including those at an early stage of capital raising. </w:t>
      </w:r>
    </w:p>
    <w:p w14:paraId="61796DD1" w14:textId="5282E511" w:rsidR="00F139B7" w:rsidRDefault="00F139B7" w:rsidP="0065556E">
      <w:pPr>
        <w:pStyle w:val="ListBullet3"/>
      </w:pPr>
      <w:r>
        <w:t>Consider using the Impact Management Platform Five Dimensions of Impact as an approach to IMM and help organisations measure, manage, and communicate their impact.</w:t>
      </w:r>
    </w:p>
    <w:p w14:paraId="029A98D1" w14:textId="53FECDFE" w:rsidR="00F139B7" w:rsidRPr="006E3EF3" w:rsidRDefault="00F139B7" w:rsidP="0065556E">
      <w:pPr>
        <w:pStyle w:val="ListBullet2"/>
      </w:pPr>
      <w:r>
        <w:t xml:space="preserve">Rationale: </w:t>
      </w:r>
      <w:r w:rsidRPr="008D0DEB">
        <w:rPr>
          <w:rFonts w:eastAsiaTheme="minorEastAsia"/>
        </w:rPr>
        <w:t>IMM is still emerging and not widely understood across the impact market yet is part of the value creation for for-purpose businesses. For-purpose enterprises and organisations benefit from articulating an impact thesis or theory of change as part of their business strategy. As businesses mature, so can their IMM systems. Impact information should ultimately be used to be part of the value creation, including uncovering hidden risks and opportunities, and establishing good governance practices.</w:t>
      </w:r>
      <w:r w:rsidR="00BF0143">
        <w:rPr>
          <w:rFonts w:eastAsiaTheme="minorEastAsia"/>
        </w:rPr>
        <w:t xml:space="preserve"> </w:t>
      </w:r>
    </w:p>
    <w:p w14:paraId="3E8ADC47" w14:textId="5E5DF645" w:rsidR="00F139B7" w:rsidRDefault="00F139B7" w:rsidP="0065556E">
      <w:pPr>
        <w:pStyle w:val="ListBullet"/>
      </w:pPr>
      <w:r>
        <w:t>Objective: Grow the breadth and depth of the intermediary market</w:t>
      </w:r>
    </w:p>
    <w:p w14:paraId="7958EAA7" w14:textId="77777777" w:rsidR="00F139B7" w:rsidRDefault="00F139B7" w:rsidP="0065556E">
      <w:pPr>
        <w:pStyle w:val="ListBullet2"/>
      </w:pPr>
      <w:r>
        <w:t xml:space="preserve">Actions: Require that a proportion of the SEDI grants be used to engage the services of intermediaries. </w:t>
      </w:r>
    </w:p>
    <w:p w14:paraId="55BD9D24" w14:textId="10FE86D4" w:rsidR="00F139B7" w:rsidRDefault="00F139B7" w:rsidP="0065556E">
      <w:pPr>
        <w:pStyle w:val="ListBullet3"/>
      </w:pPr>
      <w:r>
        <w:t>Establish a platform for the SEDI including an outlet for intermediaries where enterprises can find more information and be introduced to their services. This may be similar to the IIA list of intermediaries, but with more relevant information for providers; e.g. areas of speciality, relevant experience, scale etc.</w:t>
      </w:r>
      <w:r w:rsidR="00BF0143">
        <w:t xml:space="preserve"> </w:t>
      </w:r>
    </w:p>
    <w:p w14:paraId="5302D21A" w14:textId="7D59C63D" w:rsidR="00F139B7" w:rsidRDefault="00F139B7" w:rsidP="0065556E">
      <w:pPr>
        <w:pStyle w:val="ListBullet2"/>
      </w:pPr>
      <w:r>
        <w:t xml:space="preserve">Rationale: </w:t>
      </w:r>
      <w:r w:rsidRPr="00F139B7">
        <w:t>Different types of intermediaries play a key role in connecting parts of the market. The market will benefit from deepening and widening this pool of talent – from established for-purpose organisations, to established intermediaries pivoting to purpose-driven activity, and new entrants establishing themselves.</w:t>
      </w:r>
    </w:p>
    <w:p w14:paraId="78171BF3" w14:textId="7F18A3F5" w:rsidR="00F139B7" w:rsidRDefault="00F139B7" w:rsidP="0065556E">
      <w:pPr>
        <w:pStyle w:val="ListBullet"/>
      </w:pPr>
      <w:r>
        <w:t>Objective: Support for contract management</w:t>
      </w:r>
    </w:p>
    <w:p w14:paraId="6F56DB06" w14:textId="461F5B42" w:rsidR="00F139B7" w:rsidRDefault="00F139B7" w:rsidP="0065556E">
      <w:pPr>
        <w:pStyle w:val="ListBullet2"/>
      </w:pPr>
      <w:r>
        <w:t xml:space="preserve">Actions: </w:t>
      </w:r>
      <w:r w:rsidRPr="00F139B7">
        <w:t>Allocate a portion of the SEDI for education in contract management.</w:t>
      </w:r>
    </w:p>
    <w:p w14:paraId="3BFCBCA2" w14:textId="1DA8F7A3" w:rsidR="00F139B7" w:rsidRDefault="00F139B7" w:rsidP="0065556E">
      <w:pPr>
        <w:pStyle w:val="ListBullet2"/>
      </w:pPr>
      <w:r>
        <w:t xml:space="preserve">Rationale: </w:t>
      </w:r>
      <w:r w:rsidRPr="00F139B7">
        <w:t>Experience of the SRF has shown that for-purpose organisations, and to a lesser extent, intermediaries, may be entering into commercial contracts for the procurement of professional services for the first time. Moreover, new opportunities are emerging through social procurement policies and an overall greater focus on impact in the market.</w:t>
      </w:r>
    </w:p>
    <w:p w14:paraId="37941C7A" w14:textId="77777777" w:rsidR="00BF0143" w:rsidRDefault="00BF0143">
      <w:pPr>
        <w:rPr>
          <w:rFonts w:eastAsia="Times New Roman" w:cs="Courier New"/>
          <w:b/>
        </w:rPr>
      </w:pPr>
      <w:r>
        <w:br w:type="page"/>
      </w:r>
    </w:p>
    <w:p w14:paraId="7630DA44" w14:textId="04EA9CF5" w:rsidR="00F139B7" w:rsidRDefault="00F139B7" w:rsidP="0065556E">
      <w:pPr>
        <w:pStyle w:val="Head4"/>
      </w:pPr>
      <w:r>
        <w:lastRenderedPageBreak/>
        <w:t>Implementation</w:t>
      </w:r>
    </w:p>
    <w:p w14:paraId="18A72188" w14:textId="5C452735" w:rsidR="00F139B7" w:rsidRDefault="00F139B7" w:rsidP="0065556E">
      <w:pPr>
        <w:pStyle w:val="ListBullet"/>
      </w:pPr>
      <w:r>
        <w:t xml:space="preserve">Objective: </w:t>
      </w:r>
      <w:r w:rsidRPr="00F139B7">
        <w:t>Alignment with other initiatives</w:t>
      </w:r>
    </w:p>
    <w:p w14:paraId="4D79B07B" w14:textId="77777777" w:rsidR="00F139B7" w:rsidRDefault="00F139B7" w:rsidP="0065556E">
      <w:pPr>
        <w:pStyle w:val="ListBullet2"/>
      </w:pPr>
      <w:r>
        <w:t>Actions: Consult with other government departments, jurisdictions, philanthropy, and networks to complement support for organisations. This could include:</w:t>
      </w:r>
    </w:p>
    <w:p w14:paraId="50743CA5" w14:textId="77777777" w:rsidR="00F139B7" w:rsidRDefault="00F139B7" w:rsidP="0065556E">
      <w:pPr>
        <w:pStyle w:val="ListBullet3"/>
      </w:pPr>
      <w:r>
        <w:t>Australian Government: Department of Industry, Science and Resources SME growth initiative</w:t>
      </w:r>
    </w:p>
    <w:p w14:paraId="1647573E" w14:textId="77777777" w:rsidR="00F139B7" w:rsidRDefault="00F139B7" w:rsidP="0065556E">
      <w:pPr>
        <w:pStyle w:val="ListBullet3"/>
      </w:pPr>
      <w:r>
        <w:t>Victoria: Ready for Growth grants</w:t>
      </w:r>
    </w:p>
    <w:p w14:paraId="63FE066D" w14:textId="5FA9F42C" w:rsidR="00F139B7" w:rsidRDefault="00F139B7" w:rsidP="0065556E">
      <w:pPr>
        <w:pStyle w:val="ListBullet3"/>
      </w:pPr>
      <w:r>
        <w:t>Philanthropy:</w:t>
      </w:r>
      <w:r w:rsidR="00BF0143">
        <w:t xml:space="preserve"> </w:t>
      </w:r>
      <w:r>
        <w:t>Foundation Impact Investors Group (FIIG) – streamlining capital raising for for-purpose enterprises and organisations.</w:t>
      </w:r>
      <w:r w:rsidR="00BF0143">
        <w:t xml:space="preserve"> </w:t>
      </w:r>
    </w:p>
    <w:p w14:paraId="71EA0B69" w14:textId="755D93E8" w:rsidR="00F139B7" w:rsidRDefault="00F139B7" w:rsidP="0065556E">
      <w:pPr>
        <w:pStyle w:val="ListBullet2"/>
      </w:pPr>
      <w:r>
        <w:t xml:space="preserve">Rational: </w:t>
      </w:r>
      <w:r w:rsidRPr="00F139B7">
        <w:t>Impact market building and enterprise growth aligned activity is occurring across the Australia impact ecosystem, driven by government and philanthropy.</w:t>
      </w:r>
      <w:r w:rsidR="00BF0143">
        <w:t xml:space="preserve"> </w:t>
      </w:r>
      <w:r w:rsidRPr="00F139B7">
        <w:t>Liaising with other actors can harmonise a whole-of-government approach and complement measures to create pathways and avoid duplication</w:t>
      </w:r>
      <w:r>
        <w:t>.</w:t>
      </w:r>
    </w:p>
    <w:p w14:paraId="46FA64A5" w14:textId="2CFF27DD" w:rsidR="00F139B7" w:rsidRDefault="00F139B7" w:rsidP="0065556E">
      <w:pPr>
        <w:pStyle w:val="Head4"/>
      </w:pPr>
      <w:r>
        <w:t xml:space="preserve">Supporting Capabilities </w:t>
      </w:r>
    </w:p>
    <w:p w14:paraId="7A01AD4E" w14:textId="2882052A" w:rsidR="00F139B7" w:rsidRDefault="00F139B7" w:rsidP="0065556E">
      <w:pPr>
        <w:pStyle w:val="ListBullet"/>
      </w:pPr>
      <w:r>
        <w:t xml:space="preserve">Objective: </w:t>
      </w:r>
      <w:r w:rsidRPr="00F139B7">
        <w:t>Add value through engagement of independent market actors</w:t>
      </w:r>
    </w:p>
    <w:p w14:paraId="1F0CD415" w14:textId="14319640" w:rsidR="00F139B7" w:rsidRDefault="00F139B7" w:rsidP="0065556E">
      <w:pPr>
        <w:pStyle w:val="ListBullet2"/>
      </w:pPr>
      <w:r>
        <w:t xml:space="preserve">Actions: </w:t>
      </w:r>
      <w:r w:rsidRPr="00F139B7">
        <w:t>Engage a diverse and independent panel comprised of market actors to act as a quasi-investment committee to increase the chances of social enterprises successfully participating in the SII market. These could include investors, entrepreneurs, philanthropists and impact specialists. These roles should be remunerated in line with other government advisory roles.</w:t>
      </w:r>
    </w:p>
    <w:p w14:paraId="4D1F5911" w14:textId="20C1CD14" w:rsidR="00F139B7" w:rsidRDefault="00F139B7" w:rsidP="0065556E">
      <w:pPr>
        <w:pStyle w:val="ListBullet2"/>
      </w:pPr>
      <w:r>
        <w:t xml:space="preserve">Rationale: </w:t>
      </w:r>
      <w:r w:rsidRPr="00F139B7">
        <w:t>Feedback provided by the independent panels of the SRF enabled grant applicants to improve their business offering.</w:t>
      </w:r>
    </w:p>
    <w:p w14:paraId="2D8AA6B9" w14:textId="33FC0C26" w:rsidR="00F139B7" w:rsidRDefault="00F139B7" w:rsidP="0065556E">
      <w:pPr>
        <w:pStyle w:val="ListBullet"/>
      </w:pPr>
      <w:r>
        <w:t xml:space="preserve">Objective: </w:t>
      </w:r>
      <w:r w:rsidRPr="00F139B7">
        <w:t>Ensure SII unit team has core skills and experience required to support market building</w:t>
      </w:r>
    </w:p>
    <w:p w14:paraId="73D1C0F3" w14:textId="7C5A3CBD" w:rsidR="00F139B7" w:rsidRDefault="00F139B7" w:rsidP="0065556E">
      <w:pPr>
        <w:pStyle w:val="ListBullet2"/>
      </w:pPr>
      <w:r>
        <w:t>Actions: Identify where recruitment of staff with core policy-making skills and knowledge to the SII unit should be supported with procurement of specialists to deliver grants provision and education activities.</w:t>
      </w:r>
      <w:r w:rsidR="00BF0143">
        <w:t xml:space="preserve"> </w:t>
      </w:r>
    </w:p>
    <w:p w14:paraId="3B2AE29F" w14:textId="50E40CE2" w:rsidR="00F139B7" w:rsidRDefault="00F139B7" w:rsidP="0065556E">
      <w:pPr>
        <w:pStyle w:val="ListBullet3"/>
      </w:pPr>
      <w:r>
        <w:t>Include experience in enterprise development and investment.</w:t>
      </w:r>
    </w:p>
    <w:p w14:paraId="1EBE1EE5" w14:textId="77777777" w:rsidR="00F139B7" w:rsidRDefault="00F139B7" w:rsidP="0065556E">
      <w:pPr>
        <w:pStyle w:val="ListBullet2"/>
      </w:pPr>
      <w:r>
        <w:t xml:space="preserve">Rationale: Establishing a startup, managing a business and raising capital for growth require different enablers and support to traditional programs. </w:t>
      </w:r>
    </w:p>
    <w:p w14:paraId="45E53E53" w14:textId="2FC8A645" w:rsidR="00F139B7" w:rsidRDefault="00F139B7" w:rsidP="0065556E">
      <w:pPr>
        <w:pStyle w:val="ListBullet3"/>
      </w:pPr>
      <w:r>
        <w:t>The SII unit will likely be unable to recruit that expertise internally.</w:t>
      </w:r>
    </w:p>
    <w:p w14:paraId="57F9BA32" w14:textId="77777777" w:rsidR="008D6DEF" w:rsidRDefault="008D6DEF" w:rsidP="0065556E">
      <w:pPr>
        <w:pStyle w:val="paragraph"/>
        <w:rPr>
          <w:rFonts w:cs="Arial"/>
          <w:sz w:val="48"/>
        </w:rPr>
      </w:pPr>
      <w:bookmarkStart w:id="199" w:name="_Toc22026809"/>
      <w:bookmarkStart w:id="200" w:name="_Toc137210726"/>
      <w:r>
        <w:br w:type="page"/>
      </w:r>
    </w:p>
    <w:p w14:paraId="70956467" w14:textId="67D7AC4B" w:rsidR="002F2759" w:rsidRPr="008D0DEB" w:rsidRDefault="008F7A1D" w:rsidP="0065556E">
      <w:pPr>
        <w:pStyle w:val="Head1"/>
      </w:pPr>
      <w:bookmarkStart w:id="201" w:name="_Toc153801739"/>
      <w:r w:rsidRPr="008D0DEB">
        <w:lastRenderedPageBreak/>
        <w:t>Disclaimer</w:t>
      </w:r>
      <w:bookmarkEnd w:id="199"/>
      <w:bookmarkEnd w:id="200"/>
      <w:bookmarkEnd w:id="201"/>
    </w:p>
    <w:p w14:paraId="2E39C785" w14:textId="6CF5AA1E" w:rsidR="002F2759" w:rsidRPr="008D0DEB" w:rsidRDefault="002F2759" w:rsidP="0065556E">
      <w:r w:rsidRPr="008D0DEB">
        <w:t xml:space="preserve">This report is dated </w:t>
      </w:r>
      <w:r w:rsidR="00FD4EC6" w:rsidRPr="008D0DEB">
        <w:t>19 July</w:t>
      </w:r>
      <w:r w:rsidRPr="008D0DEB">
        <w:t xml:space="preserve"> 2023 and incorporates information and events up to that date only and excludes any information arising, or event occurring, after that date which may affect the validity of </w:t>
      </w:r>
      <w:sdt>
        <w:sdtPr>
          <w:alias w:val="CompanyName"/>
          <w:tag w:val="{&quot;templafy&quot;:{&quot;id&quot;:&quot;9d7f3e1f-a0a8-4442-9e61-c424b715a945&quot;}}"/>
          <w:id w:val="154967757"/>
          <w:placeholder>
            <w:docPart w:val="279FAFCFA8D847C19893E2FAE73F3483"/>
          </w:placeholder>
          <w15:color w:val="FF0000"/>
        </w:sdtPr>
        <w:sdtEndPr/>
        <w:sdtContent>
          <w:r w:rsidRPr="008D0DEB">
            <w:t>Urbis Pty Ltd</w:t>
          </w:r>
        </w:sdtContent>
      </w:sdt>
      <w:r w:rsidRPr="008D0DEB">
        <w:t xml:space="preserve"> </w:t>
      </w:r>
      <w:r w:rsidRPr="008D0DEB">
        <w:rPr>
          <w:b/>
          <w:bCs/>
        </w:rPr>
        <w:t>(Urbis)</w:t>
      </w:r>
      <w:r w:rsidRPr="008D0DEB">
        <w:t xml:space="preserve"> opin</w:t>
      </w:r>
      <w:r w:rsidR="00BF0143">
        <w:t xml:space="preserve">ion in this report. </w:t>
      </w:r>
      <w:r w:rsidRPr="008D0DEB">
        <w:t xml:space="preserve">Urbis prepared this report on the instructions, and for the benefit only, of </w:t>
      </w:r>
      <w:sdt>
        <w:sdtPr>
          <w:alias w:val="ClientName"/>
          <w:tag w:val="{&quot;templafy&quot;:{&quot;id&quot;:&quot;88cbb953-5c10-4796-aff9-e55e43630a16&quot;}}"/>
          <w:id w:val="-347710876"/>
          <w:placeholder>
            <w:docPart w:val="6755D520CD8948559C8FA3F1185D7ADE"/>
          </w:placeholder>
          <w15:color w:val="FF0000"/>
        </w:sdtPr>
        <w:sdtEndPr/>
        <w:sdtContent>
          <w:r w:rsidRPr="008D0DEB">
            <w:t>Department of Social Services</w:t>
          </w:r>
        </w:sdtContent>
      </w:sdt>
      <w:r w:rsidRPr="008D0DEB">
        <w:t xml:space="preserve"> </w:t>
      </w:r>
      <w:r w:rsidRPr="008D0DEB">
        <w:rPr>
          <w:b/>
          <w:bCs/>
        </w:rPr>
        <w:t>(Instructing Party)</w:t>
      </w:r>
      <w:r w:rsidRPr="008D0DEB">
        <w:t xml:space="preserve"> for the purpose of </w:t>
      </w:r>
      <w:sdt>
        <w:sdtPr>
          <w:alias w:val="ReportPurpose"/>
          <w:tag w:val="{&quot;templafy&quot;:{&quot;id&quot;:&quot;59f560ad-4251-43b8-b8bd-30d0e3e52133&quot;}}"/>
          <w:id w:val="-1849784056"/>
          <w:placeholder>
            <w:docPart w:val="019FCDF7F0EE415395F1E5CF37C4569D"/>
          </w:placeholder>
          <w15:color w:val="FF0000"/>
        </w:sdtPr>
        <w:sdtEndPr/>
        <w:sdtContent>
          <w:r w:rsidRPr="008D0DEB">
            <w:t>Evaluation</w:t>
          </w:r>
        </w:sdtContent>
      </w:sdt>
      <w:r w:rsidRPr="008D0DEB">
        <w:t xml:space="preserve"> </w:t>
      </w:r>
      <w:r w:rsidRPr="008D0DEB">
        <w:rPr>
          <w:b/>
          <w:bCs/>
        </w:rPr>
        <w:t>(Purpose)</w:t>
      </w:r>
      <w:r w:rsidRPr="008D0DEB">
        <w:t xml:space="preserve"> and not for any other purpose or use. To the extent permitted by applicable law, Urbis expressly disclaims all liability, whether direct or indirect, to the Instructing Party which relies or purports to rely on this report for any purpose other than the Purpose, and to any other person which relies or purports to rely on this report for any purpose whatsoever (including the Purpose).</w:t>
      </w:r>
    </w:p>
    <w:p w14:paraId="79A7F5C8" w14:textId="77777777" w:rsidR="002F2759" w:rsidRPr="008D0DEB" w:rsidRDefault="002F2759" w:rsidP="0065556E">
      <w:r w:rsidRPr="008D0DEB">
        <w:t>In preparing this report, Urbis was required to make judgements which may be affected by unforeseen future events, the likelihood and effects of which are not capable of precise assessment.</w:t>
      </w:r>
    </w:p>
    <w:p w14:paraId="3B8CE9E6" w14:textId="77777777" w:rsidR="002F2759" w:rsidRPr="008D0DEB" w:rsidRDefault="002F2759" w:rsidP="00BF0143">
      <w:pPr>
        <w:jc w:val="right"/>
      </w:pPr>
      <w:r w:rsidRPr="008D0DEB">
        <w:t>All surveys, forecasts, projections and recommendations contained in or associated with this report are made in good faith and on the basis of information supplied to Urbis at the date of this report, and upon which Urbis relied. Achievement of the projections and budgets set out in this report will depend, among other things, on the actions of others over which Urbis has no control.</w:t>
      </w:r>
    </w:p>
    <w:p w14:paraId="228FCBA4" w14:textId="77777777" w:rsidR="002F2759" w:rsidRPr="008D0DEB" w:rsidRDefault="002F2759" w:rsidP="0065556E">
      <w:r w:rsidRPr="008D0DEB">
        <w:t>Whilst Urbis has made all reasonable inquiries it believes necessary in preparing this report, it is not responsible for determining the completeness or accuracy of information provided to it. Urbis (including its officers and personnel) is not liable for any errors or omissions, including in information provided by the Instructing Party or another person or upon which Urbis relies, provided that such errors or omissions are not made by Urbis recklessly or in bad faith.</w:t>
      </w:r>
    </w:p>
    <w:p w14:paraId="0184157E" w14:textId="77777777" w:rsidR="002F2759" w:rsidRPr="008D0DEB" w:rsidRDefault="002F2759" w:rsidP="0065556E">
      <w:r w:rsidRPr="008D0DEB">
        <w:t>This report has been prepared with due care and diligence by Urbis and the statements and opinions given by Urbis in this report are given in good faith and in the reasonable belief that they are correct and not misleading, subject to the limitations above.</w:t>
      </w:r>
    </w:p>
    <w:p w14:paraId="4F6EDF1B" w14:textId="77777777" w:rsidR="002401DF" w:rsidRPr="008D0DEB" w:rsidRDefault="002401DF" w:rsidP="0065556E">
      <w:pPr>
        <w:rPr>
          <w:highlight w:val="yellow"/>
        </w:rPr>
        <w:sectPr w:rsidR="002401DF" w:rsidRPr="008D0DEB" w:rsidSect="003108F9">
          <w:pgSz w:w="11906" w:h="16838" w:code="9"/>
          <w:pgMar w:top="1134" w:right="1134" w:bottom="993" w:left="1134" w:header="709" w:footer="284" w:gutter="0"/>
          <w:cols w:space="708"/>
          <w:docGrid w:linePitch="360"/>
        </w:sectPr>
      </w:pPr>
    </w:p>
    <w:p w14:paraId="204DA0B7" w14:textId="0554A875" w:rsidR="00A81901" w:rsidRPr="008D0DEB" w:rsidRDefault="00A81901" w:rsidP="0065556E">
      <w:pPr>
        <w:pStyle w:val="Head1"/>
      </w:pPr>
      <w:bookmarkStart w:id="202" w:name="_Toc153801740"/>
      <w:r w:rsidRPr="008D0DEB">
        <w:lastRenderedPageBreak/>
        <w:t>Acronyms</w:t>
      </w:r>
      <w:bookmarkEnd w:id="202"/>
    </w:p>
    <w:p w14:paraId="123EBFB5" w14:textId="31CE4DF3" w:rsidR="00CF40CB" w:rsidRPr="008D0DEB" w:rsidRDefault="00CF40CB" w:rsidP="0065556E">
      <w:pPr>
        <w:rPr>
          <w:lang w:val="en-AU"/>
        </w:rPr>
      </w:pPr>
    </w:p>
    <w:p w14:paraId="346FA351" w14:textId="284660DA" w:rsidR="00CF40CB" w:rsidRPr="008D0DEB" w:rsidRDefault="00CF40CB" w:rsidP="0065556E">
      <w:pPr>
        <w:rPr>
          <w:lang w:val="en-AU"/>
        </w:rPr>
      </w:pPr>
      <w:r w:rsidRPr="008D0DEB">
        <w:rPr>
          <w:lang w:val="en-AU"/>
        </w:rPr>
        <w:t>ABN</w:t>
      </w:r>
      <w:r w:rsidR="00BF0143">
        <w:rPr>
          <w:lang w:val="en-AU"/>
        </w:rPr>
        <w:t xml:space="preserve"> </w:t>
      </w:r>
      <w:r w:rsidRPr="008D0DEB">
        <w:rPr>
          <w:lang w:val="en-AU"/>
        </w:rPr>
        <w:tab/>
      </w:r>
      <w:r w:rsidRPr="008D0DEB">
        <w:rPr>
          <w:lang w:val="en-AU"/>
        </w:rPr>
        <w:tab/>
      </w:r>
      <w:r w:rsidRPr="008D0DEB">
        <w:rPr>
          <w:lang w:val="en-AU"/>
        </w:rPr>
        <w:tab/>
        <w:t>Australian Business Number</w:t>
      </w:r>
    </w:p>
    <w:p w14:paraId="39D934DD" w14:textId="3781C1BC" w:rsidR="00CF40CB" w:rsidRPr="008D0DEB" w:rsidRDefault="00CF40CB" w:rsidP="0065556E">
      <w:pPr>
        <w:rPr>
          <w:lang w:val="en-AU"/>
        </w:rPr>
      </w:pPr>
      <w:r w:rsidRPr="008D0DEB">
        <w:rPr>
          <w:lang w:val="en-AU"/>
        </w:rPr>
        <w:t>AOD</w:t>
      </w:r>
      <w:r w:rsidRPr="008D0DEB">
        <w:rPr>
          <w:lang w:val="en-AU"/>
        </w:rPr>
        <w:tab/>
      </w:r>
      <w:r w:rsidRPr="008D0DEB">
        <w:rPr>
          <w:lang w:val="en-AU"/>
        </w:rPr>
        <w:tab/>
      </w:r>
      <w:r w:rsidRPr="008D0DEB">
        <w:rPr>
          <w:lang w:val="en-AU"/>
        </w:rPr>
        <w:tab/>
        <w:t>Alcohol and other drugs</w:t>
      </w:r>
    </w:p>
    <w:p w14:paraId="5CCDE557" w14:textId="1725C8DF" w:rsidR="00CF40CB" w:rsidRPr="008D0DEB" w:rsidRDefault="00CF40CB" w:rsidP="0065556E">
      <w:pPr>
        <w:rPr>
          <w:lang w:val="en-AU"/>
        </w:rPr>
      </w:pPr>
      <w:r w:rsidRPr="008D0DEB">
        <w:rPr>
          <w:lang w:val="en-AU"/>
        </w:rPr>
        <w:t>APS</w:t>
      </w:r>
      <w:r w:rsidRPr="008D0DEB">
        <w:rPr>
          <w:lang w:val="en-AU"/>
        </w:rPr>
        <w:tab/>
      </w:r>
      <w:r w:rsidRPr="008D0DEB">
        <w:rPr>
          <w:lang w:val="en-AU"/>
        </w:rPr>
        <w:tab/>
      </w:r>
      <w:r w:rsidRPr="008D0DEB">
        <w:rPr>
          <w:lang w:val="en-AU"/>
        </w:rPr>
        <w:tab/>
        <w:t>Australian Public Service</w:t>
      </w:r>
    </w:p>
    <w:p w14:paraId="61E41963" w14:textId="651DCEFC" w:rsidR="00CF40CB" w:rsidRPr="008D0DEB" w:rsidRDefault="00CF40CB" w:rsidP="0065556E">
      <w:pPr>
        <w:rPr>
          <w:lang w:val="en-AU"/>
        </w:rPr>
      </w:pPr>
      <w:r w:rsidRPr="008D0DEB">
        <w:rPr>
          <w:lang w:val="en-AU"/>
        </w:rPr>
        <w:t>AUM</w:t>
      </w:r>
      <w:r w:rsidRPr="008D0DEB">
        <w:rPr>
          <w:lang w:val="en-AU"/>
        </w:rPr>
        <w:tab/>
      </w:r>
      <w:r w:rsidRPr="008D0DEB">
        <w:rPr>
          <w:lang w:val="en-AU"/>
        </w:rPr>
        <w:tab/>
      </w:r>
      <w:r w:rsidRPr="008D0DEB">
        <w:rPr>
          <w:lang w:val="en-AU"/>
        </w:rPr>
        <w:tab/>
        <w:t>Assets Under Management</w:t>
      </w:r>
    </w:p>
    <w:p w14:paraId="06AEE28E" w14:textId="504A141D" w:rsidR="00CF40CB" w:rsidRPr="008D0DEB" w:rsidRDefault="00CF40CB" w:rsidP="0065556E">
      <w:pPr>
        <w:rPr>
          <w:lang w:val="en-AU"/>
        </w:rPr>
      </w:pPr>
      <w:r w:rsidRPr="008D0DEB">
        <w:rPr>
          <w:lang w:val="en-AU"/>
        </w:rPr>
        <w:t>CRN</w:t>
      </w:r>
      <w:r w:rsidRPr="008D0DEB">
        <w:rPr>
          <w:lang w:val="en-AU"/>
        </w:rPr>
        <w:tab/>
      </w:r>
      <w:r w:rsidRPr="008D0DEB">
        <w:rPr>
          <w:lang w:val="en-AU"/>
        </w:rPr>
        <w:tab/>
      </w:r>
      <w:r w:rsidRPr="008D0DEB">
        <w:rPr>
          <w:lang w:val="en-AU"/>
        </w:rPr>
        <w:tab/>
        <w:t>Customer Relationship Manager</w:t>
      </w:r>
    </w:p>
    <w:p w14:paraId="7E361129" w14:textId="3DD2E812" w:rsidR="00CF40CB" w:rsidRPr="008D0DEB" w:rsidRDefault="00CF40CB" w:rsidP="0065556E">
      <w:pPr>
        <w:rPr>
          <w:lang w:val="en-AU"/>
        </w:rPr>
      </w:pPr>
      <w:r w:rsidRPr="008D0DEB">
        <w:rPr>
          <w:lang w:val="en-AU"/>
        </w:rPr>
        <w:t>DSS</w:t>
      </w:r>
      <w:r w:rsidRPr="008D0DEB">
        <w:rPr>
          <w:lang w:val="en-AU"/>
        </w:rPr>
        <w:tab/>
      </w:r>
      <w:r w:rsidRPr="008D0DEB">
        <w:rPr>
          <w:lang w:val="en-AU"/>
        </w:rPr>
        <w:tab/>
      </w:r>
      <w:r w:rsidRPr="008D0DEB">
        <w:rPr>
          <w:lang w:val="en-AU"/>
        </w:rPr>
        <w:tab/>
        <w:t>Department of Social Services</w:t>
      </w:r>
    </w:p>
    <w:p w14:paraId="7B3D5F35" w14:textId="73E7491A" w:rsidR="00CF40CB" w:rsidRPr="008D0DEB" w:rsidRDefault="00CF40CB" w:rsidP="0065556E">
      <w:pPr>
        <w:rPr>
          <w:lang w:val="en-AU"/>
        </w:rPr>
      </w:pPr>
      <w:r w:rsidRPr="008D0DEB">
        <w:rPr>
          <w:lang w:val="en-AU"/>
        </w:rPr>
        <w:t>EMIIF</w:t>
      </w:r>
      <w:r w:rsidRPr="008D0DEB">
        <w:rPr>
          <w:lang w:val="en-AU"/>
        </w:rPr>
        <w:tab/>
      </w:r>
      <w:r w:rsidRPr="008D0DEB">
        <w:rPr>
          <w:lang w:val="en-AU"/>
        </w:rPr>
        <w:tab/>
      </w:r>
      <w:r w:rsidRPr="008D0DEB">
        <w:rPr>
          <w:lang w:val="en-AU"/>
        </w:rPr>
        <w:tab/>
        <w:t>Emerging Markets Impact Investment Fund</w:t>
      </w:r>
    </w:p>
    <w:p w14:paraId="7C7A6445" w14:textId="2374E265" w:rsidR="00CF40CB" w:rsidRPr="008D0DEB" w:rsidRDefault="00CF40CB" w:rsidP="0065556E">
      <w:pPr>
        <w:rPr>
          <w:lang w:val="en-AU"/>
        </w:rPr>
      </w:pPr>
      <w:r w:rsidRPr="008D0DEB">
        <w:rPr>
          <w:lang w:val="en-AU"/>
        </w:rPr>
        <w:t>FIIG</w:t>
      </w:r>
      <w:r w:rsidRPr="008D0DEB">
        <w:rPr>
          <w:lang w:val="en-AU"/>
        </w:rPr>
        <w:tab/>
      </w:r>
      <w:r w:rsidRPr="008D0DEB">
        <w:rPr>
          <w:lang w:val="en-AU"/>
        </w:rPr>
        <w:tab/>
      </w:r>
      <w:r w:rsidRPr="008D0DEB">
        <w:rPr>
          <w:lang w:val="en-AU"/>
        </w:rPr>
        <w:tab/>
        <w:t>Foundation Impact Investors Group</w:t>
      </w:r>
    </w:p>
    <w:p w14:paraId="7E659A2E" w14:textId="4524D930" w:rsidR="00CF40CB" w:rsidRPr="008D0DEB" w:rsidRDefault="00CF40CB" w:rsidP="0065556E">
      <w:pPr>
        <w:rPr>
          <w:lang w:val="en-AU"/>
        </w:rPr>
      </w:pPr>
      <w:r w:rsidRPr="008D0DEB">
        <w:rPr>
          <w:lang w:val="en-AU"/>
        </w:rPr>
        <w:t>IGA FRR</w:t>
      </w:r>
      <w:r w:rsidRPr="008D0DEB">
        <w:rPr>
          <w:lang w:val="en-AU"/>
        </w:rPr>
        <w:tab/>
      </w:r>
      <w:r w:rsidRPr="008D0DEB">
        <w:rPr>
          <w:lang w:val="en-AU"/>
        </w:rPr>
        <w:tab/>
      </w:r>
      <w:r w:rsidRPr="008D0DEB">
        <w:rPr>
          <w:lang w:val="en-AU"/>
        </w:rPr>
        <w:tab/>
        <w:t>Intergovernmental Agreement on Federal Financial Relations</w:t>
      </w:r>
    </w:p>
    <w:p w14:paraId="1AD8E54D" w14:textId="1AD07811" w:rsidR="00CF40CB" w:rsidRPr="008D0DEB" w:rsidRDefault="00CF40CB" w:rsidP="0065556E">
      <w:pPr>
        <w:rPr>
          <w:lang w:val="en-AU"/>
        </w:rPr>
      </w:pPr>
      <w:r w:rsidRPr="008D0DEB">
        <w:rPr>
          <w:lang w:val="en-AU"/>
        </w:rPr>
        <w:t>IIA</w:t>
      </w:r>
      <w:r w:rsidRPr="008D0DEB">
        <w:rPr>
          <w:lang w:val="en-AU"/>
        </w:rPr>
        <w:tab/>
      </w:r>
      <w:r w:rsidRPr="008D0DEB">
        <w:rPr>
          <w:lang w:val="en-AU"/>
        </w:rPr>
        <w:tab/>
      </w:r>
      <w:r w:rsidRPr="008D0DEB">
        <w:rPr>
          <w:lang w:val="en-AU"/>
        </w:rPr>
        <w:tab/>
        <w:t>Impact Investing Australia</w:t>
      </w:r>
    </w:p>
    <w:p w14:paraId="0DE187ED" w14:textId="266E8D61" w:rsidR="00CF40CB" w:rsidRPr="008D0DEB" w:rsidRDefault="00CF40CB" w:rsidP="0065556E">
      <w:pPr>
        <w:rPr>
          <w:lang w:val="en-AU"/>
        </w:rPr>
      </w:pPr>
      <w:r w:rsidRPr="008D0DEB">
        <w:rPr>
          <w:lang w:val="en-AU"/>
        </w:rPr>
        <w:t>IMM</w:t>
      </w:r>
      <w:r w:rsidRPr="008D0DEB">
        <w:rPr>
          <w:lang w:val="en-AU"/>
        </w:rPr>
        <w:tab/>
      </w:r>
      <w:r w:rsidRPr="008D0DEB">
        <w:rPr>
          <w:lang w:val="en-AU"/>
        </w:rPr>
        <w:tab/>
      </w:r>
      <w:r w:rsidRPr="008D0DEB">
        <w:rPr>
          <w:lang w:val="en-AU"/>
        </w:rPr>
        <w:tab/>
        <w:t>Impact Measurement and Management</w:t>
      </w:r>
    </w:p>
    <w:p w14:paraId="2028577B" w14:textId="6A3D903F" w:rsidR="00CF40CB" w:rsidRPr="008D0DEB" w:rsidRDefault="00CF40CB" w:rsidP="0065556E">
      <w:pPr>
        <w:rPr>
          <w:lang w:val="en-AU"/>
        </w:rPr>
      </w:pPr>
      <w:r w:rsidRPr="008D0DEB">
        <w:rPr>
          <w:lang w:val="en-AU"/>
        </w:rPr>
        <w:t>KEQ</w:t>
      </w:r>
      <w:r w:rsidRPr="008D0DEB">
        <w:rPr>
          <w:lang w:val="en-AU"/>
        </w:rPr>
        <w:tab/>
      </w:r>
      <w:r w:rsidRPr="008D0DEB">
        <w:rPr>
          <w:lang w:val="en-AU"/>
        </w:rPr>
        <w:tab/>
      </w:r>
      <w:r w:rsidRPr="008D0DEB">
        <w:rPr>
          <w:lang w:val="en-AU"/>
        </w:rPr>
        <w:tab/>
        <w:t>Key Evaluation Question</w:t>
      </w:r>
    </w:p>
    <w:p w14:paraId="0D9AB655" w14:textId="13CAF761" w:rsidR="00CF40CB" w:rsidRPr="008D0DEB" w:rsidRDefault="00CF40CB" w:rsidP="0065556E">
      <w:pPr>
        <w:rPr>
          <w:lang w:val="en-AU"/>
        </w:rPr>
      </w:pPr>
      <w:r w:rsidRPr="008D0DEB">
        <w:rPr>
          <w:lang w:val="en-AU"/>
        </w:rPr>
        <w:t xml:space="preserve">MADIP </w:t>
      </w:r>
      <w:r w:rsidRPr="008D0DEB">
        <w:rPr>
          <w:lang w:val="en-AU"/>
        </w:rPr>
        <w:tab/>
      </w:r>
      <w:r w:rsidRPr="008D0DEB">
        <w:rPr>
          <w:lang w:val="en-AU"/>
        </w:rPr>
        <w:tab/>
      </w:r>
      <w:r w:rsidRPr="008D0DEB">
        <w:rPr>
          <w:lang w:val="en-AU"/>
        </w:rPr>
        <w:tab/>
        <w:t>Multi-agency Data integration Project</w:t>
      </w:r>
    </w:p>
    <w:p w14:paraId="0801C0CA" w14:textId="371A45F7" w:rsidR="00CF40CB" w:rsidRPr="008D0DEB" w:rsidRDefault="00CF40CB" w:rsidP="0065556E">
      <w:pPr>
        <w:rPr>
          <w:lang w:val="en-AU"/>
        </w:rPr>
      </w:pPr>
      <w:r w:rsidRPr="008D0DEB">
        <w:rPr>
          <w:lang w:val="en-AU"/>
        </w:rPr>
        <w:t>MEDM</w:t>
      </w:r>
      <w:r w:rsidRPr="008D0DEB">
        <w:rPr>
          <w:lang w:val="en-AU"/>
        </w:rPr>
        <w:tab/>
      </w:r>
      <w:r w:rsidRPr="008D0DEB">
        <w:rPr>
          <w:lang w:val="en-AU"/>
        </w:rPr>
        <w:tab/>
      </w:r>
      <w:r w:rsidRPr="008D0DEB">
        <w:rPr>
          <w:lang w:val="en-AU"/>
        </w:rPr>
        <w:tab/>
        <w:t>Microenterprise Development Manager</w:t>
      </w:r>
    </w:p>
    <w:p w14:paraId="464DC90B" w14:textId="7731255C" w:rsidR="00CF40CB" w:rsidRPr="008D0DEB" w:rsidRDefault="004E1B29" w:rsidP="0065556E">
      <w:pPr>
        <w:rPr>
          <w:lang w:val="en-AU"/>
        </w:rPr>
      </w:pPr>
      <w:r>
        <w:rPr>
          <w:lang w:val="en-AU"/>
        </w:rPr>
        <w:t>Newpin</w:t>
      </w:r>
      <w:r w:rsidRPr="008D0DEB">
        <w:rPr>
          <w:lang w:val="en-AU"/>
        </w:rPr>
        <w:t xml:space="preserve"> </w:t>
      </w:r>
      <w:r w:rsidR="00DE79A0" w:rsidRPr="008D0DEB">
        <w:rPr>
          <w:lang w:val="en-AU"/>
        </w:rPr>
        <w:tab/>
      </w:r>
      <w:r w:rsidR="00DE79A0" w:rsidRPr="008D0DEB">
        <w:rPr>
          <w:lang w:val="en-AU"/>
        </w:rPr>
        <w:tab/>
      </w:r>
      <w:r w:rsidR="00DE79A0" w:rsidRPr="008D0DEB">
        <w:rPr>
          <w:lang w:val="en-AU"/>
        </w:rPr>
        <w:tab/>
        <w:t>Ne</w:t>
      </w:r>
      <w:r w:rsidR="00CF40CB" w:rsidRPr="008D0DEB">
        <w:rPr>
          <w:lang w:val="en-AU"/>
        </w:rPr>
        <w:t>w Parent Infant Network</w:t>
      </w:r>
    </w:p>
    <w:p w14:paraId="312685A9" w14:textId="6E5B627D" w:rsidR="00CF40CB" w:rsidRPr="008D0DEB" w:rsidRDefault="00DE79A0" w:rsidP="0065556E">
      <w:pPr>
        <w:rPr>
          <w:lang w:val="en-AU"/>
        </w:rPr>
      </w:pPr>
      <w:r w:rsidRPr="008D0DEB">
        <w:rPr>
          <w:lang w:val="en-AU"/>
        </w:rPr>
        <w:t>OMI</w:t>
      </w:r>
      <w:r w:rsidRPr="008D0DEB">
        <w:rPr>
          <w:lang w:val="en-AU"/>
        </w:rPr>
        <w:tab/>
      </w:r>
      <w:r w:rsidRPr="008D0DEB">
        <w:rPr>
          <w:lang w:val="en-AU"/>
        </w:rPr>
        <w:tab/>
      </w:r>
      <w:r w:rsidRPr="008D0DEB">
        <w:rPr>
          <w:lang w:val="en-AU"/>
        </w:rPr>
        <w:tab/>
      </w:r>
      <w:r w:rsidR="00CF40CB" w:rsidRPr="008D0DEB">
        <w:rPr>
          <w:lang w:val="en-AU"/>
        </w:rPr>
        <w:t>Outcomes Measurement Initiative</w:t>
      </w:r>
    </w:p>
    <w:p w14:paraId="2DE275FE" w14:textId="6A3D717C" w:rsidR="00CF40CB" w:rsidRPr="008D0DEB" w:rsidRDefault="00DE79A0" w:rsidP="0065556E">
      <w:pPr>
        <w:rPr>
          <w:lang w:val="en-AU"/>
        </w:rPr>
      </w:pPr>
      <w:r w:rsidRPr="008D0DEB">
        <w:rPr>
          <w:lang w:val="en-AU"/>
        </w:rPr>
        <w:t xml:space="preserve">OOHC </w:t>
      </w:r>
      <w:r w:rsidRPr="008D0DEB">
        <w:rPr>
          <w:lang w:val="en-AU"/>
        </w:rPr>
        <w:tab/>
      </w:r>
      <w:r w:rsidRPr="008D0DEB">
        <w:rPr>
          <w:lang w:val="en-AU"/>
        </w:rPr>
        <w:tab/>
      </w:r>
      <w:r w:rsidRPr="008D0DEB">
        <w:rPr>
          <w:lang w:val="en-AU"/>
        </w:rPr>
        <w:tab/>
        <w:t>O</w:t>
      </w:r>
      <w:r w:rsidR="00CF40CB" w:rsidRPr="008D0DEB">
        <w:rPr>
          <w:lang w:val="en-AU"/>
        </w:rPr>
        <w:t>ut-of-Home-Care</w:t>
      </w:r>
    </w:p>
    <w:p w14:paraId="63D563B1" w14:textId="0D759859" w:rsidR="00CF40CB" w:rsidRPr="008D0DEB" w:rsidRDefault="00EF28A0" w:rsidP="0065556E">
      <w:pPr>
        <w:rPr>
          <w:lang w:val="en-AU"/>
        </w:rPr>
      </w:pPr>
      <w:r w:rsidRPr="008D0DEB">
        <w:rPr>
          <w:lang w:val="en-AU"/>
        </w:rPr>
        <w:t>PBO</w:t>
      </w:r>
      <w:r w:rsidRPr="008D0DEB">
        <w:rPr>
          <w:lang w:val="en-AU"/>
        </w:rPr>
        <w:tab/>
      </w:r>
      <w:r w:rsidRPr="008D0DEB">
        <w:rPr>
          <w:lang w:val="en-AU"/>
        </w:rPr>
        <w:tab/>
      </w:r>
      <w:r w:rsidRPr="008D0DEB">
        <w:rPr>
          <w:lang w:val="en-AU"/>
        </w:rPr>
        <w:tab/>
      </w:r>
      <w:r w:rsidR="00CF40CB" w:rsidRPr="008D0DEB">
        <w:rPr>
          <w:lang w:val="en-AU"/>
        </w:rPr>
        <w:t>Payment by Outcomes</w:t>
      </w:r>
    </w:p>
    <w:p w14:paraId="0C5E7604" w14:textId="4363DE98" w:rsidR="00CF40CB" w:rsidRPr="008D0DEB" w:rsidRDefault="00EF28A0" w:rsidP="002E3ED2">
      <w:pPr>
        <w:ind w:left="3910" w:hanging="3910"/>
        <w:rPr>
          <w:lang w:val="en-AU"/>
        </w:rPr>
      </w:pPr>
      <w:r w:rsidRPr="008D0DEB">
        <w:rPr>
          <w:lang w:val="en-AU"/>
        </w:rPr>
        <w:t xml:space="preserve">PICCOLO </w:t>
      </w:r>
      <w:r w:rsidRPr="008D0DEB">
        <w:rPr>
          <w:lang w:val="en-AU"/>
        </w:rPr>
        <w:tab/>
      </w:r>
      <w:r w:rsidRPr="008D0DEB">
        <w:rPr>
          <w:lang w:val="en-AU"/>
        </w:rPr>
        <w:tab/>
      </w:r>
      <w:r w:rsidR="00CF40CB" w:rsidRPr="008D0DEB">
        <w:rPr>
          <w:lang w:val="en-AU"/>
        </w:rPr>
        <w:t>Parenting Interactions with Children: Checklist of Observations</w:t>
      </w:r>
      <w:r w:rsidR="00BF0143">
        <w:rPr>
          <w:lang w:val="en-AU"/>
        </w:rPr>
        <w:t xml:space="preserve"> </w:t>
      </w:r>
      <w:r w:rsidR="00CF40CB" w:rsidRPr="008D0DEB">
        <w:rPr>
          <w:lang w:val="en-AU"/>
        </w:rPr>
        <w:t>Linked to Outcomes</w:t>
      </w:r>
      <w:r w:rsidR="00BF0143">
        <w:rPr>
          <w:lang w:val="en-AU"/>
        </w:rPr>
        <w:t xml:space="preserve"> </w:t>
      </w:r>
      <w:r w:rsidR="00CF40CB" w:rsidRPr="008D0DEB">
        <w:rPr>
          <w:lang w:val="en-AU"/>
        </w:rPr>
        <w:tab/>
      </w:r>
    </w:p>
    <w:p w14:paraId="1EE21C78" w14:textId="75C7DEE3" w:rsidR="00CF40CB" w:rsidRPr="008D0DEB" w:rsidRDefault="00EF28A0" w:rsidP="0065556E">
      <w:pPr>
        <w:rPr>
          <w:lang w:val="en-AU"/>
        </w:rPr>
      </w:pPr>
      <w:r w:rsidRPr="008D0DEB">
        <w:rPr>
          <w:lang w:val="en-AU"/>
        </w:rPr>
        <w:t xml:space="preserve">PRF </w:t>
      </w:r>
      <w:r w:rsidRPr="008D0DEB">
        <w:rPr>
          <w:lang w:val="en-AU"/>
        </w:rPr>
        <w:tab/>
      </w:r>
      <w:r w:rsidRPr="008D0DEB">
        <w:rPr>
          <w:lang w:val="en-AU"/>
        </w:rPr>
        <w:tab/>
      </w:r>
      <w:r w:rsidRPr="008D0DEB">
        <w:rPr>
          <w:lang w:val="en-AU"/>
        </w:rPr>
        <w:tab/>
      </w:r>
      <w:r w:rsidR="00CF40CB" w:rsidRPr="008D0DEB">
        <w:rPr>
          <w:lang w:val="en-AU"/>
        </w:rPr>
        <w:t>Paul Ramsay Foundation</w:t>
      </w:r>
    </w:p>
    <w:p w14:paraId="636AF717" w14:textId="04754EBB" w:rsidR="00CF40CB" w:rsidRPr="008D0DEB" w:rsidRDefault="00EF28A0" w:rsidP="0065556E">
      <w:pPr>
        <w:rPr>
          <w:lang w:val="en-AU"/>
        </w:rPr>
      </w:pPr>
      <w:r w:rsidRPr="008D0DEB">
        <w:rPr>
          <w:lang w:val="en-AU"/>
        </w:rPr>
        <w:t>SBB</w:t>
      </w:r>
      <w:r w:rsidRPr="008D0DEB">
        <w:rPr>
          <w:lang w:val="en-AU"/>
        </w:rPr>
        <w:tab/>
      </w:r>
      <w:r w:rsidRPr="008D0DEB">
        <w:rPr>
          <w:lang w:val="en-AU"/>
        </w:rPr>
        <w:tab/>
      </w:r>
      <w:r w:rsidRPr="008D0DEB">
        <w:rPr>
          <w:lang w:val="en-AU"/>
        </w:rPr>
        <w:tab/>
      </w:r>
      <w:r w:rsidR="00CF40CB" w:rsidRPr="008D0DEB">
        <w:rPr>
          <w:lang w:val="en-AU"/>
        </w:rPr>
        <w:t>Social Benefit Bond</w:t>
      </w:r>
    </w:p>
    <w:p w14:paraId="199622D8" w14:textId="6EE71086" w:rsidR="00CF40CB" w:rsidRPr="008D0DEB" w:rsidRDefault="00EF28A0" w:rsidP="0065556E">
      <w:pPr>
        <w:rPr>
          <w:lang w:val="en-AU"/>
        </w:rPr>
      </w:pPr>
      <w:r w:rsidRPr="008D0DEB">
        <w:rPr>
          <w:lang w:val="en-AU"/>
        </w:rPr>
        <w:t>SEDI</w:t>
      </w:r>
      <w:r w:rsidRPr="008D0DEB">
        <w:rPr>
          <w:lang w:val="en-AU"/>
        </w:rPr>
        <w:tab/>
      </w:r>
      <w:r w:rsidRPr="008D0DEB">
        <w:rPr>
          <w:lang w:val="en-AU"/>
        </w:rPr>
        <w:tab/>
      </w:r>
      <w:r w:rsidRPr="008D0DEB">
        <w:rPr>
          <w:lang w:val="en-AU"/>
        </w:rPr>
        <w:tab/>
      </w:r>
      <w:r w:rsidR="00CF40CB" w:rsidRPr="008D0DEB">
        <w:rPr>
          <w:lang w:val="en-AU"/>
        </w:rPr>
        <w:t>Social Enterprise Development Initiative</w:t>
      </w:r>
    </w:p>
    <w:p w14:paraId="59164320" w14:textId="77777777" w:rsidR="00EF28A0" w:rsidRPr="008D0DEB" w:rsidRDefault="00EF28A0" w:rsidP="0065556E">
      <w:pPr>
        <w:rPr>
          <w:lang w:val="en-AU"/>
        </w:rPr>
      </w:pPr>
      <w:r w:rsidRPr="008D0DEB">
        <w:rPr>
          <w:lang w:val="en-AU"/>
        </w:rPr>
        <w:t>SIB</w:t>
      </w:r>
      <w:r w:rsidRPr="008D0DEB">
        <w:rPr>
          <w:lang w:val="en-AU"/>
        </w:rPr>
        <w:tab/>
      </w:r>
      <w:r w:rsidRPr="008D0DEB">
        <w:rPr>
          <w:lang w:val="en-AU"/>
        </w:rPr>
        <w:tab/>
      </w:r>
      <w:r w:rsidRPr="008D0DEB">
        <w:rPr>
          <w:lang w:val="en-AU"/>
        </w:rPr>
        <w:tab/>
      </w:r>
      <w:r w:rsidR="00CF40CB" w:rsidRPr="008D0DEB">
        <w:rPr>
          <w:lang w:val="en-AU"/>
        </w:rPr>
        <w:t>Social Impact Bonds</w:t>
      </w:r>
    </w:p>
    <w:p w14:paraId="7BBCBEC8" w14:textId="620AEB3C" w:rsidR="00CF40CB" w:rsidRPr="008D0DEB" w:rsidRDefault="00EF28A0" w:rsidP="0065556E">
      <w:pPr>
        <w:rPr>
          <w:lang w:val="en-AU"/>
        </w:rPr>
      </w:pPr>
      <w:r w:rsidRPr="008D0DEB">
        <w:rPr>
          <w:lang w:val="en-AU"/>
        </w:rPr>
        <w:t>SII</w:t>
      </w:r>
      <w:r w:rsidRPr="008D0DEB">
        <w:rPr>
          <w:lang w:val="en-AU"/>
        </w:rPr>
        <w:tab/>
      </w:r>
      <w:r w:rsidRPr="008D0DEB">
        <w:rPr>
          <w:lang w:val="en-AU"/>
        </w:rPr>
        <w:tab/>
      </w:r>
      <w:r w:rsidRPr="008D0DEB">
        <w:rPr>
          <w:lang w:val="en-AU"/>
        </w:rPr>
        <w:tab/>
      </w:r>
      <w:r w:rsidR="00CF40CB" w:rsidRPr="008D0DEB">
        <w:rPr>
          <w:lang w:val="en-AU"/>
        </w:rPr>
        <w:t>Social Impact Investing</w:t>
      </w:r>
    </w:p>
    <w:p w14:paraId="12F00A67" w14:textId="26E7E7E7" w:rsidR="00CF40CB" w:rsidRPr="008D0DEB" w:rsidRDefault="00EF28A0" w:rsidP="0065556E">
      <w:pPr>
        <w:rPr>
          <w:lang w:val="en-AU"/>
        </w:rPr>
      </w:pPr>
      <w:r w:rsidRPr="008D0DEB">
        <w:rPr>
          <w:lang w:val="en-AU"/>
        </w:rPr>
        <w:t>SRF</w:t>
      </w:r>
      <w:r w:rsidRPr="008D0DEB">
        <w:rPr>
          <w:lang w:val="en-AU"/>
        </w:rPr>
        <w:tab/>
      </w:r>
      <w:r w:rsidRPr="008D0DEB">
        <w:rPr>
          <w:lang w:val="en-AU"/>
        </w:rPr>
        <w:tab/>
      </w:r>
      <w:r w:rsidRPr="008D0DEB">
        <w:rPr>
          <w:lang w:val="en-AU"/>
        </w:rPr>
        <w:tab/>
      </w:r>
      <w:r w:rsidR="00CF40CB" w:rsidRPr="008D0DEB">
        <w:rPr>
          <w:lang w:val="en-AU"/>
        </w:rPr>
        <w:t>Sector Readiness Fund</w:t>
      </w:r>
    </w:p>
    <w:p w14:paraId="1DCBBBC1" w14:textId="306D2B46" w:rsidR="00CF40CB" w:rsidRPr="008D0DEB" w:rsidRDefault="00EF28A0" w:rsidP="0065556E">
      <w:pPr>
        <w:rPr>
          <w:lang w:val="en-AU"/>
        </w:rPr>
      </w:pPr>
      <w:r w:rsidRPr="008D0DEB">
        <w:rPr>
          <w:lang w:val="en-AU"/>
        </w:rPr>
        <w:t>SII Unit</w:t>
      </w:r>
      <w:r w:rsidRPr="008D0DEB">
        <w:rPr>
          <w:lang w:val="en-AU"/>
        </w:rPr>
        <w:tab/>
      </w:r>
      <w:r w:rsidRPr="008D0DEB">
        <w:rPr>
          <w:lang w:val="en-AU"/>
        </w:rPr>
        <w:tab/>
      </w:r>
      <w:r w:rsidRPr="008D0DEB">
        <w:rPr>
          <w:lang w:val="en-AU"/>
        </w:rPr>
        <w:tab/>
      </w:r>
      <w:r w:rsidR="00CF40CB" w:rsidRPr="008D0DEB">
        <w:rPr>
          <w:lang w:val="en-AU"/>
        </w:rPr>
        <w:t>Social Impact Investing Unit (DSS)</w:t>
      </w:r>
    </w:p>
    <w:p w14:paraId="2BEEA6A4" w14:textId="44E33508" w:rsidR="00CF40CB" w:rsidRPr="008D0DEB" w:rsidRDefault="00EF28A0" w:rsidP="0065556E">
      <w:pPr>
        <w:rPr>
          <w:lang w:val="en-AU"/>
        </w:rPr>
      </w:pPr>
      <w:r w:rsidRPr="008D0DEB">
        <w:rPr>
          <w:lang w:val="en-AU"/>
        </w:rPr>
        <w:t>SVA</w:t>
      </w:r>
      <w:r w:rsidRPr="008D0DEB">
        <w:rPr>
          <w:lang w:val="en-AU"/>
        </w:rPr>
        <w:tab/>
      </w:r>
      <w:r w:rsidRPr="008D0DEB">
        <w:rPr>
          <w:lang w:val="en-AU"/>
        </w:rPr>
        <w:tab/>
      </w:r>
      <w:r w:rsidRPr="008D0DEB">
        <w:rPr>
          <w:lang w:val="en-AU"/>
        </w:rPr>
        <w:tab/>
      </w:r>
      <w:r w:rsidR="00CF40CB" w:rsidRPr="008D0DEB">
        <w:rPr>
          <w:lang w:val="en-AU"/>
        </w:rPr>
        <w:t>Social Ventures Australia</w:t>
      </w:r>
    </w:p>
    <w:p w14:paraId="0E952339" w14:textId="17084A04" w:rsidR="00981E63" w:rsidRPr="008D0DEB" w:rsidRDefault="00EF28A0" w:rsidP="0065556E">
      <w:pPr>
        <w:rPr>
          <w:highlight w:val="yellow"/>
        </w:rPr>
      </w:pPr>
      <w:r w:rsidRPr="008D0DEB">
        <w:rPr>
          <w:lang w:val="en-AU"/>
        </w:rPr>
        <w:t>WISE</w:t>
      </w:r>
      <w:r w:rsidRPr="008D0DEB">
        <w:rPr>
          <w:lang w:val="en-AU"/>
        </w:rPr>
        <w:tab/>
      </w:r>
      <w:r w:rsidRPr="008D0DEB">
        <w:rPr>
          <w:lang w:val="en-AU"/>
        </w:rPr>
        <w:tab/>
      </w:r>
      <w:r w:rsidRPr="008D0DEB">
        <w:rPr>
          <w:lang w:val="en-AU"/>
        </w:rPr>
        <w:tab/>
      </w:r>
      <w:r w:rsidR="00CF40CB" w:rsidRPr="008D0DEB">
        <w:rPr>
          <w:lang w:val="en-AU"/>
        </w:rPr>
        <w:t>Work integrated Social Enterprise</w:t>
      </w:r>
    </w:p>
    <w:p w14:paraId="5798AC38" w14:textId="6D4E8B7B" w:rsidR="00C51647" w:rsidRPr="008D0DEB" w:rsidRDefault="00C51647" w:rsidP="0065556E">
      <w:pPr>
        <w:rPr>
          <w:highlight w:val="yellow"/>
        </w:rPr>
        <w:sectPr w:rsidR="00C51647" w:rsidRPr="008D0DEB" w:rsidSect="002875B0">
          <w:headerReference w:type="even" r:id="rId15"/>
          <w:headerReference w:type="default" r:id="rId16"/>
          <w:footerReference w:type="even" r:id="rId17"/>
          <w:pgSz w:w="11906" w:h="16838" w:code="9"/>
          <w:pgMar w:top="1134" w:right="1134" w:bottom="1418" w:left="1134" w:header="709" w:footer="284" w:gutter="0"/>
          <w:cols w:space="708"/>
          <w:docGrid w:linePitch="360"/>
        </w:sectPr>
      </w:pPr>
    </w:p>
    <w:p w14:paraId="70E275FD" w14:textId="7654FDE1" w:rsidR="002401DF" w:rsidRPr="008D0DEB" w:rsidRDefault="002401DF" w:rsidP="0065556E">
      <w:pPr>
        <w:rPr>
          <w:lang w:val="da-DK"/>
        </w:rPr>
      </w:pPr>
    </w:p>
    <w:sectPr w:rsidR="002401DF" w:rsidRPr="008D0DEB" w:rsidSect="002E3ED2">
      <w:footerReference w:type="even" r:id="rId18"/>
      <w:footerReference w:type="default" r:id="rId19"/>
      <w:type w:val="continuous"/>
      <w:pgSz w:w="11906" w:h="16838" w:code="9"/>
      <w:pgMar w:top="1134" w:right="849" w:bottom="1418"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21D4BC" w14:textId="77777777" w:rsidR="00310956" w:rsidRDefault="00310956" w:rsidP="0065556E">
      <w:r>
        <w:separator/>
      </w:r>
    </w:p>
  </w:endnote>
  <w:endnote w:type="continuationSeparator" w:id="0">
    <w:p w14:paraId="6EE532E7" w14:textId="77777777" w:rsidR="00310956" w:rsidRDefault="00310956" w:rsidP="0065556E">
      <w:r>
        <w:continuationSeparator/>
      </w:r>
    </w:p>
  </w:endnote>
  <w:endnote w:type="continuationNotice" w:id="1">
    <w:p w14:paraId="1F57858D" w14:textId="77777777" w:rsidR="00310956" w:rsidRDefault="00310956" w:rsidP="006555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lama Cond Bold">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73A79F6E-E243-49E4-AA89-08957210BF30}"/>
  </w:font>
  <w:font w:name="MS PGothic">
    <w:altName w:val="ＭＳ Ｐゴシック"/>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2" w:fontKey="{293D9DE3-E3C0-4E3F-82FB-A1FC3D779BE0}"/>
    <w:embedBold r:id="rId3" w:fontKey="{6D4F9EFB-195A-4A7A-9A53-F4330472A4E3}"/>
    <w:embedItalic r:id="rId4" w:fontKey="{D9B34B31-AFE0-41CA-A265-D502639936B9}"/>
    <w:embedBoldItalic r:id="rId5" w:fontKey="{0A98ABDD-57A1-47EF-8E57-9425806427AF}"/>
  </w:font>
  <w:font w:name="Segoe UI">
    <w:panose1 w:val="020B0502040204020203"/>
    <w:charset w:val="00"/>
    <w:family w:val="swiss"/>
    <w:pitch w:val="variable"/>
    <w:sig w:usb0="E4002EFF" w:usb1="C000E47F" w:usb2="00000009" w:usb3="00000000" w:csb0="000001FF" w:csb1="00000000"/>
    <w:embedRegular r:id="rId6" w:fontKey="{A2D61735-E25B-49FC-9B34-60F91C9111E6}"/>
    <w:embedBold r:id="rId7" w:fontKey="{289A4BBD-FE63-42D5-84FB-28B97E55CFCD}"/>
  </w:font>
  <w:font w:name="Cambria Math">
    <w:panose1 w:val="02040503050406030204"/>
    <w:charset w:val="00"/>
    <w:family w:val="roman"/>
    <w:pitch w:val="variable"/>
    <w:sig w:usb0="E00006FF" w:usb1="420024FF" w:usb2="02000000" w:usb3="00000000" w:csb0="0000019F" w:csb1="00000000"/>
    <w:embedRegular r:id="rId8" w:fontKey="{286430CA-0AE3-4A61-A542-1EFA00F75AFA}"/>
  </w:font>
  <w:font w:name="Calibri">
    <w:panose1 w:val="020F0502020204030204"/>
    <w:charset w:val="00"/>
    <w:family w:val="swiss"/>
    <w:pitch w:val="variable"/>
    <w:sig w:usb0="E4002EFF" w:usb1="C000247B" w:usb2="00000009" w:usb3="00000000" w:csb0="000001FF" w:csb1="00000000"/>
    <w:embedRegular r:id="rId9" w:fontKey="{58A8804D-AAB9-463E-A802-10138034DA41}"/>
    <w:embedItalic r:id="rId10" w:fontKey="{F26D69F5-B8FD-4934-A254-49FF53A3A0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0E772" w14:textId="77777777" w:rsidR="006F2D0A" w:rsidRDefault="006F2D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4E619" w14:textId="77777777" w:rsidR="00187144" w:rsidRPr="00704C1A" w:rsidRDefault="00187144" w:rsidP="0065556E">
    <w:pPr>
      <w:pStyle w:val="Footertextleft"/>
    </w:pPr>
    <w:r w:rsidRPr="00704C1A">
      <w:t>urbis</w:t>
    </w:r>
  </w:p>
  <w:p w14:paraId="20BCF724" w14:textId="45421DB4" w:rsidR="00187144" w:rsidRPr="00D21A43" w:rsidRDefault="006F2D0A" w:rsidP="0065556E">
    <w:pPr>
      <w:pStyle w:val="Footer"/>
    </w:pPr>
    <w:r>
      <w:fldChar w:fldCharType="begin"/>
    </w:r>
    <w:r>
      <w:instrText xml:space="preserve"> TITLE   \* MERGEFORMAT </w:instrText>
    </w:r>
    <w:r>
      <w:fldChar w:fldCharType="separate"/>
    </w:r>
    <w:r w:rsidR="00187144">
      <w:t>Social Impact Investment Program</w:t>
    </w:r>
    <w:r w:rsidR="002E3ED2">
      <w:t xml:space="preserve"> First Phase</w:t>
    </w:r>
    <w:r w:rsidR="00187144">
      <w:t xml:space="preserve"> Evaluation - Final Report (Accessible)</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ADAFA" w14:textId="77777777" w:rsidR="006F2D0A" w:rsidRDefault="006F2D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333907"/>
      <w:docPartObj>
        <w:docPartGallery w:val="Page Numbers (Bottom of Page)"/>
        <w:docPartUnique/>
      </w:docPartObj>
    </w:sdtPr>
    <w:sdtEndPr>
      <w:rPr>
        <w:noProof/>
        <w:sz w:val="16"/>
        <w:szCs w:val="16"/>
      </w:rPr>
    </w:sdtEndPr>
    <w:sdtContent>
      <w:p w14:paraId="7F610BA8" w14:textId="6A8D35C3" w:rsidR="00187144" w:rsidRPr="00AA46CC" w:rsidRDefault="00187144" w:rsidP="00AA46CC">
        <w:pPr>
          <w:pStyle w:val="Footer"/>
          <w:rPr>
            <w:sz w:val="16"/>
            <w:szCs w:val="16"/>
          </w:rPr>
        </w:pPr>
        <w:r w:rsidRPr="00AA46CC">
          <w:rPr>
            <w:sz w:val="16"/>
            <w:szCs w:val="16"/>
          </w:rPr>
          <w:fldChar w:fldCharType="begin"/>
        </w:r>
        <w:r w:rsidRPr="00AA46CC">
          <w:rPr>
            <w:sz w:val="16"/>
            <w:szCs w:val="16"/>
          </w:rPr>
          <w:instrText xml:space="preserve"> PAGE   \* MERGEFORMAT </w:instrText>
        </w:r>
        <w:r w:rsidRPr="00AA46CC">
          <w:rPr>
            <w:sz w:val="16"/>
            <w:szCs w:val="16"/>
          </w:rPr>
          <w:fldChar w:fldCharType="separate"/>
        </w:r>
        <w:r w:rsidR="006F2D0A">
          <w:rPr>
            <w:noProof/>
            <w:sz w:val="16"/>
            <w:szCs w:val="16"/>
          </w:rPr>
          <w:t>iv</w:t>
        </w:r>
        <w:r w:rsidRPr="00AA46CC">
          <w:rPr>
            <w:noProof/>
            <w:sz w:val="16"/>
            <w:szCs w:val="1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04891" w14:textId="66B32F53" w:rsidR="00187144" w:rsidRPr="00AA46CC" w:rsidRDefault="00187144" w:rsidP="0065556E">
    <w:pPr>
      <w:pStyle w:val="Foo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6F2D0A">
      <w:rPr>
        <w:noProof/>
        <w:sz w:val="16"/>
        <w:szCs w:val="16"/>
      </w:rPr>
      <w:t>i</w:t>
    </w:r>
    <w:r>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AF35A" w14:textId="21FD6ECB" w:rsidR="00187144" w:rsidRPr="001F69CB" w:rsidRDefault="002E3ED2" w:rsidP="002E3ED2">
    <w:pPr>
      <w:pStyle w:val="Footer"/>
      <w:jc w:val="center"/>
    </w:pPr>
    <w:r>
      <w:t>URBIS</w:t>
    </w:r>
  </w:p>
  <w:p w14:paraId="4BE0A411" w14:textId="24E60317" w:rsidR="00187144" w:rsidRPr="001F69CB" w:rsidRDefault="00187144" w:rsidP="0065556E">
    <w:pPr>
      <w:pStyle w:val="Footer"/>
    </w:pPr>
    <w:r w:rsidRPr="001F69CB">
      <w:t xml:space="preserve">SOCIAL IMPACT INVESTMENT PROGRAM </w:t>
    </w:r>
    <w:r w:rsidR="002E3ED2">
      <w:t xml:space="preserve">FIRST PHASE </w:t>
    </w:r>
    <w:r w:rsidRPr="001F69CB">
      <w:t>EV</w:t>
    </w:r>
    <w:r w:rsidR="002E3ED2">
      <w:t>A</w:t>
    </w:r>
    <w:r w:rsidRPr="001F69CB">
      <w:t>LUATION – FINAL (accessible)</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CD1D2" w14:textId="77777777" w:rsidR="00187144" w:rsidRPr="00C51647" w:rsidRDefault="00187144" w:rsidP="0065556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71B41" w14:textId="77777777" w:rsidR="00187144" w:rsidRDefault="00187144" w:rsidP="006555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2C45C" w14:textId="77777777" w:rsidR="00310956" w:rsidRPr="00597022" w:rsidRDefault="00310956" w:rsidP="0065556E">
      <w:pPr>
        <w:pStyle w:val="FootnoteSeparator"/>
      </w:pPr>
    </w:p>
  </w:footnote>
  <w:footnote w:type="continuationSeparator" w:id="0">
    <w:p w14:paraId="26B62CED" w14:textId="77777777" w:rsidR="00310956" w:rsidRDefault="00310956" w:rsidP="0065556E">
      <w:r>
        <w:continuationSeparator/>
      </w:r>
    </w:p>
  </w:footnote>
  <w:footnote w:type="continuationNotice" w:id="1">
    <w:p w14:paraId="5ED637B9" w14:textId="77777777" w:rsidR="00310956" w:rsidRDefault="00310956" w:rsidP="0065556E"/>
  </w:footnote>
  <w:footnote w:id="2">
    <w:p w14:paraId="17BE1ABB" w14:textId="3CD94B03" w:rsidR="00187144" w:rsidRPr="00DB28DB" w:rsidRDefault="00187144" w:rsidP="00DB28DB">
      <w:pPr>
        <w:pStyle w:val="FootnoteText"/>
      </w:pPr>
      <w:r>
        <w:rPr>
          <w:rStyle w:val="FootnoteReference"/>
        </w:rPr>
        <w:footnoteRef/>
      </w:r>
      <w:r>
        <w:t xml:space="preserve"> Commonwealth of Australia, </w:t>
      </w:r>
      <w:hyperlink r:id="rId1" w:history="1">
        <w:r w:rsidRPr="00313714">
          <w:rPr>
            <w:rStyle w:val="Hyperlink"/>
          </w:rPr>
          <w:t xml:space="preserve">‘Budget overview </w:t>
        </w:r>
        <w:r w:rsidRPr="00313714">
          <w:rPr>
            <w:rStyle w:val="Hyperlink"/>
            <w:rFonts w:ascii="Cambria Math" w:hAnsi="Cambria Math" w:cs="Cambria Math"/>
          </w:rPr>
          <w:t>‑</w:t>
        </w:r>
        <w:r w:rsidRPr="00313714">
          <w:rPr>
            <w:rStyle w:val="Hyperlink"/>
          </w:rPr>
          <w:t xml:space="preserve"> Stronger foundations for a better future’</w:t>
        </w:r>
      </w:hyperlink>
      <w:r>
        <w:t xml:space="preserve">, Commonwealth of Australia, 2023, accessed 14 June 2023. </w:t>
      </w:r>
    </w:p>
  </w:footnote>
  <w:footnote w:id="3">
    <w:p w14:paraId="64251F54" w14:textId="1EB3D393" w:rsidR="00187144" w:rsidRPr="0056555C" w:rsidRDefault="00187144" w:rsidP="0065556E">
      <w:pPr>
        <w:pStyle w:val="FootnoteText"/>
        <w:rPr>
          <w:lang w:val="en-AU"/>
        </w:rPr>
      </w:pPr>
      <w:r>
        <w:rPr>
          <w:rStyle w:val="FootnoteReference"/>
        </w:rPr>
        <w:footnoteRef/>
      </w:r>
      <w:r>
        <w:t xml:space="preserve"> </w:t>
      </w:r>
      <w:r w:rsidRPr="00E65B7E">
        <w:t>Impact Investing Australia, submission to Social Impact Investing Taskforce Interim Report, 2017, Canberra: Department of the Prime Minister and Cabinet</w:t>
      </w:r>
      <w:r>
        <w:t>.</w:t>
      </w:r>
    </w:p>
  </w:footnote>
  <w:footnote w:id="4">
    <w:p w14:paraId="1E8BFACC" w14:textId="77777777" w:rsidR="00187144" w:rsidRPr="00E84953" w:rsidRDefault="00187144" w:rsidP="0065556E">
      <w:pPr>
        <w:pStyle w:val="FootnoteText"/>
        <w:rPr>
          <w:lang w:val="en-AU"/>
        </w:rPr>
      </w:pPr>
      <w:r>
        <w:rPr>
          <w:rStyle w:val="FootnoteReference"/>
        </w:rPr>
        <w:footnoteRef/>
      </w:r>
      <w:r>
        <w:t xml:space="preserve"> </w:t>
      </w:r>
      <w:r>
        <w:rPr>
          <w:lang w:val="en-AU"/>
        </w:rPr>
        <w:t xml:space="preserve">Addis, R. in Nicholls, A., Paton, R., and Emerson, J., </w:t>
      </w:r>
      <w:r w:rsidRPr="003E66EA">
        <w:rPr>
          <w:i/>
          <w:iCs/>
          <w:lang w:val="en-AU"/>
        </w:rPr>
        <w:t>Social Finance</w:t>
      </w:r>
      <w:r>
        <w:rPr>
          <w:lang w:val="en-AU"/>
        </w:rPr>
        <w:t>, 2015, Oxford University Press, UK.</w:t>
      </w:r>
    </w:p>
  </w:footnote>
  <w:footnote w:id="5">
    <w:p w14:paraId="7B212D9C" w14:textId="77777777" w:rsidR="00187144" w:rsidRPr="000F5466" w:rsidRDefault="00187144" w:rsidP="0065556E">
      <w:pPr>
        <w:pStyle w:val="FootnoteText"/>
        <w:rPr>
          <w:lang w:val="en-AU"/>
        </w:rPr>
      </w:pPr>
      <w:r>
        <w:rPr>
          <w:rStyle w:val="FootnoteReference"/>
        </w:rPr>
        <w:footnoteRef/>
      </w:r>
      <w:r>
        <w:t xml:space="preserve"> Banhalmi-Zakar Z et. al., Responsible Investment Benchmark Report 2022 Australia, 2022, Melbourne: Responsible Investment Association Australasia.</w:t>
      </w:r>
    </w:p>
  </w:footnote>
  <w:footnote w:id="6">
    <w:p w14:paraId="5A8F966E" w14:textId="77777777" w:rsidR="00187144" w:rsidRPr="008A0B0A" w:rsidRDefault="00187144" w:rsidP="0065556E">
      <w:pPr>
        <w:pStyle w:val="FootnoteText"/>
        <w:rPr>
          <w:lang w:val="en-AU"/>
        </w:rPr>
      </w:pPr>
      <w:r>
        <w:rPr>
          <w:rStyle w:val="FootnoteReference"/>
        </w:rPr>
        <w:footnoteRef/>
      </w:r>
      <w:r>
        <w:t xml:space="preserve"> Banhalmi-Zakar Z et. al., Responsible Investment Benchmark Report 2022 Australia, 2022, Melbourne: Responsible Investment Association Australasia.</w:t>
      </w:r>
    </w:p>
  </w:footnote>
  <w:footnote w:id="7">
    <w:p w14:paraId="518ADB97" w14:textId="77777777" w:rsidR="00187144" w:rsidRPr="00501490" w:rsidRDefault="00187144" w:rsidP="00501490">
      <w:pPr>
        <w:pStyle w:val="ListBullet"/>
        <w:numPr>
          <w:ilvl w:val="0"/>
          <w:numId w:val="0"/>
        </w:numPr>
        <w:spacing w:after="0"/>
        <w:ind w:left="340" w:hanging="340"/>
        <w:rPr>
          <w:sz w:val="16"/>
          <w:szCs w:val="16"/>
        </w:rPr>
      </w:pPr>
      <w:r>
        <w:rPr>
          <w:rStyle w:val="FootnoteReference"/>
        </w:rPr>
        <w:footnoteRef/>
      </w:r>
      <w:r>
        <w:t xml:space="preserve"> </w:t>
      </w:r>
      <w:r w:rsidRPr="00501490">
        <w:rPr>
          <w:rFonts w:cs="Courier New"/>
          <w:sz w:val="16"/>
        </w:rPr>
        <w:t>These principles may be superseded by the work of the SII Taskforce but were in effect at the time of the establishment of the DSS SII trials.</w:t>
      </w:r>
    </w:p>
  </w:footnote>
  <w:footnote w:id="8">
    <w:p w14:paraId="00A94A65" w14:textId="77777777" w:rsidR="00187144" w:rsidRDefault="00187144" w:rsidP="0065556E">
      <w:pPr>
        <w:pStyle w:val="FootnoteText"/>
      </w:pPr>
      <w:r>
        <w:rPr>
          <w:rStyle w:val="FootnoteReference"/>
          <w:color w:val="auto"/>
        </w:rPr>
        <w:footnoteRef/>
      </w:r>
      <w:r>
        <w:t xml:space="preserve"> Department of Social Services, </w:t>
      </w:r>
      <w:hyperlink r:id="rId2" w:history="1">
        <w:r w:rsidRPr="002534CC">
          <w:rPr>
            <w:rStyle w:val="Hyperlink"/>
          </w:rPr>
          <w:t>Social Impact Investing; Communities and Vulnerable People</w:t>
        </w:r>
      </w:hyperlink>
      <w:r>
        <w:t>, accessed 23 March 2023.</w:t>
      </w:r>
    </w:p>
  </w:footnote>
  <w:footnote w:id="9">
    <w:p w14:paraId="7997BC36" w14:textId="77777777" w:rsidR="00187144" w:rsidRPr="00F57365" w:rsidRDefault="00187144" w:rsidP="0065556E">
      <w:pPr>
        <w:pStyle w:val="FootnoteText"/>
        <w:rPr>
          <w:lang w:val="en-AU"/>
        </w:rPr>
      </w:pPr>
      <w:r>
        <w:rPr>
          <w:rStyle w:val="FootnoteReference"/>
        </w:rPr>
        <w:footnoteRef/>
      </w:r>
      <w:r>
        <w:t xml:space="preserve"> </w:t>
      </w:r>
      <w:r w:rsidRPr="0047786C">
        <w:t>The Taskforce is due to deliver its final report in 2023.</w:t>
      </w:r>
    </w:p>
  </w:footnote>
  <w:footnote w:id="10">
    <w:p w14:paraId="4D1C544F" w14:textId="77777777" w:rsidR="00187144" w:rsidRPr="00241271" w:rsidRDefault="00187144" w:rsidP="0065556E">
      <w:pPr>
        <w:pStyle w:val="FootnoteText"/>
        <w:rPr>
          <w:lang w:val="en-AU"/>
        </w:rPr>
      </w:pPr>
      <w:r>
        <w:rPr>
          <w:rStyle w:val="FootnoteReference"/>
        </w:rPr>
        <w:footnoteRef/>
      </w:r>
      <w:r>
        <w:t xml:space="preserve"> Victorian Government, </w:t>
      </w:r>
      <w:hyperlink r:id="rId3" w:anchor="definition-of-social-procurement" w:history="1">
        <w:r w:rsidRPr="00924DB2">
          <w:rPr>
            <w:rStyle w:val="Hyperlink"/>
          </w:rPr>
          <w:t>Social procurement – Victorian Government approach</w:t>
        </w:r>
      </w:hyperlink>
      <w:r>
        <w:t>, accessed 20 June 2023.</w:t>
      </w:r>
    </w:p>
  </w:footnote>
  <w:footnote w:id="11">
    <w:p w14:paraId="52DB4745" w14:textId="77777777" w:rsidR="00187144" w:rsidRPr="009D20F7" w:rsidRDefault="00187144" w:rsidP="0065556E">
      <w:pPr>
        <w:pStyle w:val="FootnoteText"/>
        <w:rPr>
          <w:lang w:val="en-AU"/>
        </w:rPr>
      </w:pPr>
      <w:r>
        <w:rPr>
          <w:rStyle w:val="FootnoteReference"/>
        </w:rPr>
        <w:footnoteRef/>
      </w:r>
      <w:r>
        <w:t xml:space="preserve"> Australian Government, </w:t>
      </w:r>
      <w:hyperlink r:id="rId4" w:history="1">
        <w:r w:rsidRPr="00971DC2">
          <w:rPr>
            <w:rStyle w:val="Hyperlink"/>
          </w:rPr>
          <w:t>Broadening opportunity</w:t>
        </w:r>
      </w:hyperlink>
      <w:r>
        <w:t>, accessed 30 June 2023.</w:t>
      </w:r>
    </w:p>
  </w:footnote>
  <w:footnote w:id="12">
    <w:p w14:paraId="76230E47" w14:textId="1E7F4D1C" w:rsidR="00187144" w:rsidRPr="00A311EB" w:rsidRDefault="00187144" w:rsidP="0065556E">
      <w:pPr>
        <w:pStyle w:val="FootnoteText"/>
        <w:rPr>
          <w:lang w:val="en-AU"/>
        </w:rPr>
      </w:pPr>
      <w:r>
        <w:rPr>
          <w:rStyle w:val="FootnoteReference"/>
        </w:rPr>
        <w:footnoteRef/>
      </w:r>
      <w:r w:rsidR="00BF0143">
        <w:t xml:space="preserve"> </w:t>
      </w:r>
      <w:r w:rsidRPr="00C2631A">
        <w:t>Reference Group on Welfare Reform to the Minister for Social Services</w:t>
      </w:r>
      <w:r>
        <w:t xml:space="preserve">, </w:t>
      </w:r>
      <w:r w:rsidRPr="00A311EB">
        <w:rPr>
          <w:i/>
          <w:iCs/>
        </w:rPr>
        <w:t>A New System for Better Employment and Social Outcomes</w:t>
      </w:r>
      <w:r>
        <w:rPr>
          <w:i/>
          <w:iCs/>
        </w:rPr>
        <w:t xml:space="preserve">, 2015, </w:t>
      </w:r>
      <w:r w:rsidRPr="00A311EB">
        <w:t>Canberra: Commonwealth of Australia</w:t>
      </w:r>
      <w:r>
        <w:t>.</w:t>
      </w:r>
    </w:p>
  </w:footnote>
  <w:footnote w:id="13">
    <w:p w14:paraId="4B985764" w14:textId="20921171" w:rsidR="00187144" w:rsidRPr="00926B60" w:rsidRDefault="00187144" w:rsidP="0065556E">
      <w:pPr>
        <w:pStyle w:val="FootnoteText"/>
        <w:rPr>
          <w:lang w:val="en-AU"/>
        </w:rPr>
      </w:pPr>
      <w:r>
        <w:rPr>
          <w:rStyle w:val="FootnoteReference"/>
        </w:rPr>
        <w:footnoteRef/>
      </w:r>
      <w:r>
        <w:t xml:space="preserve"> </w:t>
      </w:r>
      <w:r>
        <w:rPr>
          <w:lang w:val="en-AU"/>
        </w:rPr>
        <w:t xml:space="preserve">Social Ventures Australia, </w:t>
      </w:r>
      <w:hyperlink r:id="rId5" w:history="1">
        <w:r w:rsidRPr="00326176">
          <w:rPr>
            <w:rStyle w:val="Hyperlink"/>
            <w:lang w:val="en-AU"/>
          </w:rPr>
          <w:t>A guide to outcomes contracting and social impact bonds</w:t>
        </w:r>
      </w:hyperlink>
      <w:r>
        <w:rPr>
          <w:lang w:val="en-AU"/>
        </w:rPr>
        <w:t xml:space="preserve">, </w:t>
      </w:r>
      <w:r>
        <w:rPr>
          <w:rFonts w:cs="Arial"/>
          <w:color w:val="2C2A29"/>
          <w:szCs w:val="16"/>
          <w:shd w:val="clear" w:color="auto" w:fill="FFFFFF"/>
        </w:rPr>
        <w:t>accessed 30 March 2023.</w:t>
      </w:r>
    </w:p>
  </w:footnote>
  <w:footnote w:id="14">
    <w:p w14:paraId="2E5D6B66" w14:textId="3A788AC9" w:rsidR="00187144" w:rsidRDefault="00187144" w:rsidP="0065556E">
      <w:pPr>
        <w:pStyle w:val="FootnoteText"/>
      </w:pPr>
      <w:r w:rsidRPr="00514548">
        <w:rPr>
          <w:rStyle w:val="FootnoteReference"/>
          <w:color w:val="auto"/>
        </w:rPr>
        <w:footnoteRef/>
      </w:r>
      <w:r w:rsidRPr="00514548">
        <w:t xml:space="preserve"> DSS</w:t>
      </w:r>
      <w:r w:rsidRPr="000A1F41">
        <w:t xml:space="preserve"> internal document (</w:t>
      </w:r>
      <w:r w:rsidRPr="00514548">
        <w:rPr>
          <w:rStyle w:val="ui-provider"/>
        </w:rPr>
        <w:t>Summaries of lessons learned and next step</w:t>
      </w:r>
      <w:r>
        <w:rPr>
          <w:rStyle w:val="ui-provider"/>
        </w:rPr>
        <w:t>s</w:t>
      </w:r>
      <w:r w:rsidRPr="000A1F41">
        <w:t>).</w:t>
      </w:r>
    </w:p>
  </w:footnote>
  <w:footnote w:id="15">
    <w:p w14:paraId="50EDFA40" w14:textId="25AAB297" w:rsidR="00187144" w:rsidRDefault="00187144" w:rsidP="0065556E">
      <w:pPr>
        <w:pStyle w:val="FootnoteText"/>
      </w:pPr>
      <w:r>
        <w:rPr>
          <w:rStyle w:val="FootnoteReference"/>
          <w:color w:val="auto"/>
        </w:rPr>
        <w:footnoteRef/>
      </w:r>
      <w:r>
        <w:t xml:space="preserve"> Department of Social Services</w:t>
      </w:r>
      <w:hyperlink r:id="rId6" w:anchor=":~:text=PBO%20is%20a%20form%20of,on%20achievement%20of%20agreed%20outcomes" w:history="1">
        <w:r w:rsidRPr="00F82595">
          <w:rPr>
            <w:rStyle w:val="Hyperlink"/>
          </w:rPr>
          <w:t>,</w:t>
        </w:r>
        <w:r w:rsidRPr="00F82595">
          <w:rPr>
            <w:rStyle w:val="Hyperlink"/>
            <w:i/>
            <w:iCs/>
          </w:rPr>
          <w:t xml:space="preserve"> </w:t>
        </w:r>
        <w:r w:rsidRPr="00F82595">
          <w:rPr>
            <w:rStyle w:val="Hyperlink"/>
            <w:rFonts w:cs="Arial"/>
            <w:szCs w:val="16"/>
            <w:shd w:val="clear" w:color="auto" w:fill="FFFFFF"/>
          </w:rPr>
          <w:t>Payment by Outcomes Trials</w:t>
        </w:r>
      </w:hyperlink>
      <w:r>
        <w:t xml:space="preserve">, </w:t>
      </w:r>
      <w:r>
        <w:rPr>
          <w:rFonts w:cs="Arial"/>
          <w:color w:val="2C2A29"/>
          <w:szCs w:val="16"/>
          <w:shd w:val="clear" w:color="auto" w:fill="FFFFFF"/>
        </w:rPr>
        <w:t>accessed 31 March 2023.</w:t>
      </w:r>
    </w:p>
  </w:footnote>
  <w:footnote w:id="16">
    <w:p w14:paraId="30858E11" w14:textId="71730FA9" w:rsidR="00187144" w:rsidRPr="001269A7" w:rsidRDefault="00187144" w:rsidP="0065556E">
      <w:pPr>
        <w:pStyle w:val="FootnoteText"/>
      </w:pPr>
      <w:r>
        <w:rPr>
          <w:rStyle w:val="FootnoteReference"/>
        </w:rPr>
        <w:footnoteRef/>
      </w:r>
      <w:r>
        <w:t xml:space="preserve"> Australian Government,</w:t>
      </w:r>
      <w:r w:rsidRPr="001533EF">
        <w:t xml:space="preserve"> </w:t>
      </w:r>
      <w:hyperlink r:id="rId7" w:history="1">
        <w:r w:rsidRPr="001533EF">
          <w:rPr>
            <w:rStyle w:val="Hyperlink"/>
          </w:rPr>
          <w:t>Government principles for social impact investing</w:t>
        </w:r>
      </w:hyperlink>
      <w:r>
        <w:t>, accessed 30 March 2023.</w:t>
      </w:r>
    </w:p>
  </w:footnote>
  <w:footnote w:id="17">
    <w:p w14:paraId="0EA7FEF1" w14:textId="09B74091" w:rsidR="00187144" w:rsidRPr="009F6D22" w:rsidRDefault="00187144" w:rsidP="0065556E">
      <w:pPr>
        <w:pStyle w:val="FootnoteText"/>
        <w:rPr>
          <w:lang w:val="en-AU"/>
        </w:rPr>
      </w:pPr>
      <w:r>
        <w:rPr>
          <w:rStyle w:val="FootnoteReference"/>
        </w:rPr>
        <w:footnoteRef/>
      </w:r>
      <w:r>
        <w:t xml:space="preserve"> Department of Social Services, </w:t>
      </w:r>
      <w:hyperlink r:id="rId8" w:history="1">
        <w:r w:rsidRPr="00B80E5F">
          <w:rPr>
            <w:rStyle w:val="Hyperlink"/>
          </w:rPr>
          <w:t>Project Agreement for Commonwealth State Social Impact Investments</w:t>
        </w:r>
      </w:hyperlink>
      <w:r>
        <w:t>, accessed 9 June 2023.</w:t>
      </w:r>
    </w:p>
  </w:footnote>
  <w:footnote w:id="18">
    <w:p w14:paraId="3AC78AD6" w14:textId="3E11C814" w:rsidR="00187144" w:rsidRPr="002F129F" w:rsidRDefault="00187144" w:rsidP="0065556E">
      <w:pPr>
        <w:pStyle w:val="FootnoteText"/>
        <w:rPr>
          <w:lang w:val="en-AU"/>
        </w:rPr>
      </w:pPr>
      <w:r>
        <w:rPr>
          <w:rStyle w:val="FootnoteReference"/>
        </w:rPr>
        <w:footnoteRef/>
      </w:r>
      <w:r>
        <w:t xml:space="preserve"> Hon Michelle Lensink MLC (Minister for Human Services), Hon Anne Ruston Senator (Minister for</w:t>
      </w:r>
      <w:r w:rsidR="003A43DE">
        <w:t xml:space="preserve"> Families and Social Services),</w:t>
      </w:r>
      <w:r>
        <w:t xml:space="preserve"> </w:t>
      </w:r>
      <w:hyperlink r:id="rId9" w:history="1">
        <w:r w:rsidRPr="004324A4">
          <w:rPr>
            <w:rStyle w:val="Hyperlink"/>
          </w:rPr>
          <w:t>New Program to Keep At-Risk Families Safely Together [media release]</w:t>
        </w:r>
      </w:hyperlink>
      <w:r>
        <w:t>, accessed 19 July 2023.</w:t>
      </w:r>
    </w:p>
  </w:footnote>
  <w:footnote w:id="19">
    <w:p w14:paraId="3AB1EBCC" w14:textId="77777777" w:rsidR="00187144" w:rsidRPr="001A2E2F" w:rsidRDefault="00187144" w:rsidP="0065556E">
      <w:pPr>
        <w:pStyle w:val="FootnoteText"/>
        <w:rPr>
          <w:lang w:val="en-AU"/>
        </w:rPr>
      </w:pPr>
      <w:r>
        <w:rPr>
          <w:rStyle w:val="FootnoteReference"/>
        </w:rPr>
        <w:footnoteRef/>
      </w:r>
      <w:r>
        <w:t xml:space="preserve"> </w:t>
      </w:r>
      <w:r w:rsidRPr="001A2E2F">
        <w:t>Urbis, Newpin Final Evaluation Report 2020, 10.</w:t>
      </w:r>
    </w:p>
  </w:footnote>
  <w:footnote w:id="20">
    <w:p w14:paraId="0C0C9B25" w14:textId="3DAC3856" w:rsidR="00187144" w:rsidRPr="0081149B" w:rsidRDefault="00187144" w:rsidP="0065556E">
      <w:pPr>
        <w:pStyle w:val="FootnoteText"/>
      </w:pPr>
      <w:r>
        <w:rPr>
          <w:rStyle w:val="FootnoteReference"/>
        </w:rPr>
        <w:footnoteRef/>
      </w:r>
      <w:r w:rsidRPr="000A1F41">
        <w:t xml:space="preserve"> Department of Social Services, </w:t>
      </w:r>
      <w:hyperlink r:id="rId10" w:history="1">
        <w:r w:rsidRPr="000A1F41">
          <w:rPr>
            <w:rStyle w:val="Hyperlink"/>
          </w:rPr>
          <w:t>Outcomes Measurement Initiative</w:t>
        </w:r>
      </w:hyperlink>
      <w:r w:rsidRPr="000A1F41">
        <w:t>, accessed 28 March 2023.</w:t>
      </w:r>
    </w:p>
  </w:footnote>
  <w:footnote w:id="21">
    <w:p w14:paraId="5AA89C74" w14:textId="77777777" w:rsidR="00187144" w:rsidRPr="000A1F41" w:rsidRDefault="00187144" w:rsidP="0065556E">
      <w:pPr>
        <w:pStyle w:val="FootnoteText"/>
        <w:rPr>
          <w:lang w:val="en-AU"/>
        </w:rPr>
      </w:pPr>
      <w:r w:rsidRPr="000A1F41">
        <w:rPr>
          <w:rStyle w:val="FootnoteReference"/>
        </w:rPr>
        <w:footnoteRef/>
      </w:r>
      <w:r w:rsidRPr="000A1F41">
        <w:t xml:space="preserve"> DSS internal document (</w:t>
      </w:r>
      <w:r w:rsidRPr="000A1F41">
        <w:rPr>
          <w:rStyle w:val="ui-provider"/>
        </w:rPr>
        <w:t>CSI OMI Project Final Report Revised</w:t>
      </w:r>
      <w:r w:rsidRPr="000A1F41">
        <w:t>).</w:t>
      </w:r>
    </w:p>
  </w:footnote>
  <w:footnote w:id="22">
    <w:p w14:paraId="1186E8F5" w14:textId="77777777" w:rsidR="00187144" w:rsidRPr="002F129F" w:rsidRDefault="00187144" w:rsidP="0065556E">
      <w:pPr>
        <w:pStyle w:val="FootnoteText"/>
        <w:rPr>
          <w:lang w:val="en-AU"/>
        </w:rPr>
      </w:pPr>
      <w:r w:rsidRPr="000A1F41">
        <w:rPr>
          <w:rStyle w:val="FootnoteReference"/>
        </w:rPr>
        <w:footnoteRef/>
      </w:r>
      <w:r w:rsidRPr="000A1F41">
        <w:t xml:space="preserve"> </w:t>
      </w:r>
      <w:r w:rsidRPr="000A1F41">
        <w:rPr>
          <w:lang w:val="en-AU"/>
        </w:rPr>
        <w:t>Ibid.</w:t>
      </w:r>
    </w:p>
  </w:footnote>
  <w:footnote w:id="23">
    <w:p w14:paraId="7FA3B82C" w14:textId="27670A80" w:rsidR="00187144" w:rsidRPr="00113266" w:rsidRDefault="00187144" w:rsidP="0065556E">
      <w:pPr>
        <w:pStyle w:val="FootnoteText"/>
      </w:pPr>
      <w:r>
        <w:rPr>
          <w:rStyle w:val="FootnoteReference"/>
        </w:rPr>
        <w:footnoteRef/>
      </w:r>
      <w:r>
        <w:t xml:space="preserve"> Department of Social Services, </w:t>
      </w:r>
      <w:hyperlink r:id="rId11" w:history="1">
        <w:r w:rsidRPr="004324A4">
          <w:rPr>
            <w:rStyle w:val="Hyperlink"/>
          </w:rPr>
          <w:t>Outcomes Measurement Initiative</w:t>
        </w:r>
      </w:hyperlink>
      <w:r>
        <w:t>, accessed 28 March 2023.</w:t>
      </w:r>
    </w:p>
  </w:footnote>
  <w:footnote w:id="24">
    <w:p w14:paraId="46DD6087" w14:textId="3BE21922" w:rsidR="00187144" w:rsidRPr="00367131" w:rsidRDefault="00187144" w:rsidP="0065556E">
      <w:pPr>
        <w:pStyle w:val="FootnoteText"/>
      </w:pPr>
      <w:r>
        <w:rPr>
          <w:rStyle w:val="FootnoteReference"/>
        </w:rPr>
        <w:footnoteRef/>
      </w:r>
      <w:r>
        <w:t xml:space="preserve"> Ibid.</w:t>
      </w:r>
    </w:p>
  </w:footnote>
  <w:footnote w:id="25">
    <w:p w14:paraId="4BB1EB21" w14:textId="07E6CA0D" w:rsidR="00187144" w:rsidRPr="002C0174" w:rsidRDefault="00187144" w:rsidP="0065556E">
      <w:pPr>
        <w:pStyle w:val="FootnoteText"/>
        <w:rPr>
          <w:lang w:val="en-AU"/>
        </w:rPr>
      </w:pPr>
      <w:r>
        <w:rPr>
          <w:rStyle w:val="FootnoteReference"/>
        </w:rPr>
        <w:footnoteRef/>
      </w:r>
      <w:r>
        <w:t xml:space="preserve"> Australian Government, </w:t>
      </w:r>
      <w:hyperlink r:id="rId12" w:history="1">
        <w:r w:rsidRPr="008E3485">
          <w:rPr>
            <w:rStyle w:val="Hyperlink"/>
          </w:rPr>
          <w:t>APS Capability Reinvestment Fund 2023-24</w:t>
        </w:r>
      </w:hyperlink>
      <w:r>
        <w:t>, accessed 9 June 2023.</w:t>
      </w:r>
    </w:p>
  </w:footnote>
  <w:footnote w:id="26">
    <w:p w14:paraId="03963AA4" w14:textId="4703E8D2" w:rsidR="00187144" w:rsidRPr="00272EA8" w:rsidRDefault="00187144" w:rsidP="0065556E">
      <w:pPr>
        <w:pStyle w:val="FootnoteText"/>
      </w:pPr>
      <w:r>
        <w:rPr>
          <w:rStyle w:val="FootnoteReference"/>
        </w:rPr>
        <w:footnoteRef/>
      </w:r>
      <w:r>
        <w:t xml:space="preserve"> DSS internal document (</w:t>
      </w:r>
      <w:r>
        <w:rPr>
          <w:rStyle w:val="ui-provider"/>
        </w:rPr>
        <w:t>Issues paper 3 - Payment model design considerations</w:t>
      </w:r>
      <w:r>
        <w:t>)</w:t>
      </w:r>
    </w:p>
  </w:footnote>
  <w:footnote w:id="27">
    <w:p w14:paraId="35545D67" w14:textId="522C87AE" w:rsidR="00187144" w:rsidRPr="00DF5260" w:rsidRDefault="00187144" w:rsidP="0065556E">
      <w:pPr>
        <w:pStyle w:val="FootnoteText"/>
      </w:pPr>
      <w:r>
        <w:rPr>
          <w:rStyle w:val="FootnoteReference"/>
        </w:rPr>
        <w:footnoteRef/>
      </w:r>
      <w:r>
        <w:t xml:space="preserve"> DSS internal document (Social Impact Investing Lessons Learned Review, 2021,</w:t>
      </w:r>
      <w:r w:rsidRPr="004356C8">
        <w:t xml:space="preserve"> </w:t>
      </w:r>
      <w:r>
        <w:t>Stanninghouse)</w:t>
      </w:r>
    </w:p>
  </w:footnote>
  <w:footnote w:id="28">
    <w:p w14:paraId="008FF843" w14:textId="50E5CAC2" w:rsidR="00187144" w:rsidRPr="00770B64" w:rsidRDefault="00187144" w:rsidP="0065556E">
      <w:pPr>
        <w:pStyle w:val="FootnoteText"/>
      </w:pPr>
      <w:r>
        <w:rPr>
          <w:rStyle w:val="FootnoteReference"/>
        </w:rPr>
        <w:footnoteRef/>
      </w:r>
      <w:r>
        <w:t xml:space="preserve"> DSS internal document (DSS Calm Llama meeting notes, 15 Sep 2022)</w:t>
      </w:r>
    </w:p>
  </w:footnote>
  <w:footnote w:id="29">
    <w:p w14:paraId="2E33CC87" w14:textId="18B08AD4" w:rsidR="00187144" w:rsidRPr="00632A4D" w:rsidRDefault="00187144" w:rsidP="0065556E">
      <w:pPr>
        <w:pStyle w:val="FootnoteText"/>
      </w:pPr>
      <w:r>
        <w:rPr>
          <w:rStyle w:val="FootnoteReference"/>
        </w:rPr>
        <w:footnoteRef/>
      </w:r>
      <w:r>
        <w:t xml:space="preserve"> DSS internal document (DSS Calm Llama meeting notes, 15 Sep 2022)</w:t>
      </w:r>
    </w:p>
  </w:footnote>
  <w:footnote w:id="30">
    <w:p w14:paraId="143A14A3" w14:textId="6AC6F873" w:rsidR="00187144" w:rsidRPr="00034ACB" w:rsidRDefault="00187144" w:rsidP="0065556E">
      <w:pPr>
        <w:pStyle w:val="FootnoteText"/>
        <w:rPr>
          <w:lang w:val="en-AU"/>
        </w:rPr>
      </w:pPr>
      <w:r>
        <w:rPr>
          <w:rStyle w:val="FootnoteReference"/>
        </w:rPr>
        <w:footnoteRef/>
      </w:r>
      <w:r>
        <w:t xml:space="preserve"> </w:t>
      </w:r>
      <w:r w:rsidRPr="00E65B7E">
        <w:t>Impact Investing Australia, submission to Social Impact Investing Taskforce Interim Report, 2017, Canberra: Department of the Prime Minister and Cabinet</w:t>
      </w:r>
      <w:r>
        <w:t>.</w:t>
      </w:r>
    </w:p>
  </w:footnote>
  <w:footnote w:id="31">
    <w:p w14:paraId="78DCB779" w14:textId="42AD14DE" w:rsidR="00187144" w:rsidRPr="007970C7" w:rsidRDefault="00187144" w:rsidP="0065556E">
      <w:pPr>
        <w:pStyle w:val="FootnoteText"/>
        <w:rPr>
          <w:lang w:val="en-AU"/>
        </w:rPr>
      </w:pPr>
      <w:r>
        <w:rPr>
          <w:rStyle w:val="FootnoteReference"/>
        </w:rPr>
        <w:footnoteRef/>
      </w:r>
      <w:r>
        <w:t xml:space="preserve"> Council for the Australian Federation, </w:t>
      </w:r>
      <w:hyperlink r:id="rId13" w:history="1">
        <w:r w:rsidRPr="009F39A0">
          <w:rPr>
            <w:rStyle w:val="Hyperlink"/>
          </w:rPr>
          <w:t>Subsidiarity</w:t>
        </w:r>
      </w:hyperlink>
      <w:r>
        <w:t>, accessed 28 May 2023</w:t>
      </w:r>
    </w:p>
  </w:footnote>
  <w:footnote w:id="32">
    <w:p w14:paraId="2C4113B0" w14:textId="36CFE766" w:rsidR="00187144" w:rsidRPr="00587CC4" w:rsidRDefault="00187144" w:rsidP="0065556E">
      <w:pPr>
        <w:pStyle w:val="FootnoteText"/>
      </w:pPr>
      <w:r>
        <w:rPr>
          <w:rStyle w:val="FootnoteReference"/>
        </w:rPr>
        <w:footnoteRef/>
      </w:r>
      <w:r>
        <w:t xml:space="preserve"> DSS internal document (DSS Calm Llama meeting notes, 15 Sep 2022)</w:t>
      </w:r>
    </w:p>
  </w:footnote>
  <w:footnote w:id="33">
    <w:p w14:paraId="579D21C9" w14:textId="63A0897C" w:rsidR="00187144" w:rsidRPr="006624FD" w:rsidRDefault="00187144" w:rsidP="0065556E">
      <w:pPr>
        <w:pStyle w:val="FootnoteText"/>
      </w:pPr>
      <w:r>
        <w:rPr>
          <w:rStyle w:val="FootnoteReference"/>
        </w:rPr>
        <w:footnoteRef/>
      </w:r>
      <w:r>
        <w:t xml:space="preserve"> DSS internal document (DSS Discussion paper 1 Implementation team Outcomes Continuum paper)</w:t>
      </w:r>
    </w:p>
  </w:footnote>
  <w:footnote w:id="34">
    <w:p w14:paraId="42261238" w14:textId="5A984826" w:rsidR="00187144" w:rsidRPr="00AE768C" w:rsidRDefault="00187144" w:rsidP="0065556E">
      <w:pPr>
        <w:pStyle w:val="FootnoteText"/>
      </w:pPr>
      <w:r>
        <w:rPr>
          <w:rStyle w:val="FootnoteReference"/>
        </w:rPr>
        <w:footnoteRef/>
      </w:r>
      <w:r>
        <w:t xml:space="preserve"> DSS internal document (DSS Discussion paper – Price setting 3)</w:t>
      </w:r>
    </w:p>
  </w:footnote>
  <w:footnote w:id="35">
    <w:p w14:paraId="4995C99B" w14:textId="197E9061" w:rsidR="00187144" w:rsidRPr="008128CE" w:rsidRDefault="00187144" w:rsidP="0065556E">
      <w:pPr>
        <w:pStyle w:val="FootnoteText"/>
      </w:pPr>
      <w:r>
        <w:rPr>
          <w:rStyle w:val="FootnoteReference"/>
        </w:rPr>
        <w:footnoteRef/>
      </w:r>
      <w:r>
        <w:t xml:space="preserve"> DSS internal document (Value to government estimation, Many Rivers Transaction, 2020,</w:t>
      </w:r>
      <w:r w:rsidRPr="00587CC4">
        <w:t xml:space="preserve"> </w:t>
      </w:r>
      <w:r>
        <w:t>Taylor Fry)</w:t>
      </w:r>
    </w:p>
  </w:footnote>
  <w:footnote w:id="36">
    <w:p w14:paraId="1264224B" w14:textId="7F7FD1B3" w:rsidR="00187144" w:rsidRPr="00E357A2" w:rsidRDefault="00187144" w:rsidP="0065556E">
      <w:pPr>
        <w:pStyle w:val="FootnoteText"/>
      </w:pPr>
      <w:r>
        <w:rPr>
          <w:rStyle w:val="FootnoteReference"/>
        </w:rPr>
        <w:footnoteRef/>
      </w:r>
      <w:r>
        <w:t xml:space="preserve"> DSS internal document (DSS Issues Paper #3 – Payment model design – Adjusting Risk)</w:t>
      </w:r>
    </w:p>
  </w:footnote>
  <w:footnote w:id="37">
    <w:p w14:paraId="604778D4" w14:textId="636D3297" w:rsidR="00187144" w:rsidRPr="00166914" w:rsidRDefault="00187144" w:rsidP="0065556E">
      <w:pPr>
        <w:pStyle w:val="FootnoteText"/>
        <w:rPr>
          <w:lang w:val="en-AU"/>
        </w:rPr>
      </w:pPr>
      <w:r>
        <w:rPr>
          <w:rStyle w:val="FootnoteReference"/>
        </w:rPr>
        <w:footnoteRef/>
      </w:r>
      <w:r>
        <w:t xml:space="preserve"> </w:t>
      </w:r>
      <w:r w:rsidRPr="00C97DA5">
        <w:t>DSS internal document (</w:t>
      </w:r>
      <w:r>
        <w:t>Social impact investing outcome and impact measurement scoping study).</w:t>
      </w:r>
    </w:p>
  </w:footnote>
  <w:footnote w:id="38">
    <w:p w14:paraId="30F356C6" w14:textId="5E4C48CB" w:rsidR="00187144" w:rsidRPr="00BF5498" w:rsidRDefault="00187144" w:rsidP="0065556E">
      <w:pPr>
        <w:pStyle w:val="FootnoteText"/>
        <w:rPr>
          <w:lang w:val="en-AU"/>
        </w:rPr>
      </w:pPr>
      <w:r>
        <w:rPr>
          <w:rStyle w:val="FootnoteReference"/>
        </w:rPr>
        <w:footnoteRef/>
      </w:r>
      <w:r>
        <w:t xml:space="preserve"> </w:t>
      </w:r>
      <w:r w:rsidRPr="00E65B7E">
        <w:t>Impact Investing Australia, submission to Social Impact Investing Taskforce Interim Report, 2017, Canberra: Department of the Prime Minister and Cabinet</w:t>
      </w:r>
      <w:r>
        <w:t>.</w:t>
      </w:r>
    </w:p>
  </w:footnote>
  <w:footnote w:id="39">
    <w:p w14:paraId="05314549" w14:textId="5452699F" w:rsidR="00187144" w:rsidRPr="006065E7" w:rsidRDefault="00187144" w:rsidP="0065556E">
      <w:pPr>
        <w:pStyle w:val="FootnoteText"/>
        <w:rPr>
          <w:lang w:val="en-AU"/>
        </w:rPr>
      </w:pPr>
      <w:r>
        <w:rPr>
          <w:rStyle w:val="FootnoteReference"/>
        </w:rPr>
        <w:footnoteRef/>
      </w:r>
      <w:r>
        <w:t xml:space="preserve"> Australian Government, 2019.</w:t>
      </w:r>
      <w:r w:rsidR="00BF0143">
        <w:t xml:space="preserve"> </w:t>
      </w:r>
      <w:r>
        <w:t xml:space="preserve">Social Impact Investment Taskforce Interim Report, </w:t>
      </w:r>
      <w:hyperlink r:id="rId14" w:history="1">
        <w:r w:rsidRPr="00065DCD">
          <w:rPr>
            <w:rStyle w:val="Hyperlink"/>
          </w:rPr>
          <w:t>https://www.pmc.gov.au/resources/social-impact-investing-taskforce-interim-report</w:t>
        </w:r>
      </w:hyperlink>
      <w:r>
        <w:t>, accessed on 2 June 2023 Australian Government, 2019.</w:t>
      </w:r>
    </w:p>
  </w:footnote>
  <w:footnote w:id="40">
    <w:p w14:paraId="5273ADA9" w14:textId="0CAE1363" w:rsidR="00187144" w:rsidRPr="00D20A3F" w:rsidRDefault="00187144" w:rsidP="0065556E">
      <w:pPr>
        <w:pStyle w:val="FootnoteText"/>
        <w:rPr>
          <w:lang w:val="en-AU"/>
        </w:rPr>
      </w:pPr>
      <w:r>
        <w:rPr>
          <w:rStyle w:val="FootnoteReference"/>
        </w:rPr>
        <w:footnoteRef/>
      </w:r>
      <w:r>
        <w:t xml:space="preserve"> Australian Government, </w:t>
      </w:r>
      <w:hyperlink r:id="rId15" w:history="1">
        <w:r w:rsidRPr="00D068F1">
          <w:rPr>
            <w:rStyle w:val="Hyperlink"/>
          </w:rPr>
          <w:t>APS Reform outcomes and initiatives</w:t>
        </w:r>
      </w:hyperlink>
      <w:r>
        <w:t>, accessed 9 June 2023.</w:t>
      </w:r>
    </w:p>
  </w:footnote>
  <w:footnote w:id="41">
    <w:p w14:paraId="3ADA1059" w14:textId="722E3B78" w:rsidR="00187144" w:rsidRPr="00E36303" w:rsidRDefault="00187144" w:rsidP="0065556E">
      <w:pPr>
        <w:pStyle w:val="FootnoteText"/>
        <w:rPr>
          <w:lang w:val="en-AU"/>
        </w:rPr>
      </w:pPr>
      <w:r>
        <w:rPr>
          <w:rStyle w:val="FootnoteReference"/>
        </w:rPr>
        <w:footnoteRef/>
      </w:r>
      <w:r>
        <w:t xml:space="preserve"> Leigh, A</w:t>
      </w:r>
      <w:hyperlink r:id="rId16" w:history="1">
        <w:r w:rsidRPr="00BF6174">
          <w:rPr>
            <w:rStyle w:val="Hyperlink"/>
          </w:rPr>
          <w:t>, Australian Centre for Evaluation to measure what works [media release]</w:t>
        </w:r>
      </w:hyperlink>
      <w:r>
        <w:t>, accessed 9 June 2023.</w:t>
      </w:r>
    </w:p>
  </w:footnote>
  <w:footnote w:id="42">
    <w:p w14:paraId="3A50244E" w14:textId="77777777" w:rsidR="00187144" w:rsidRPr="005469C7" w:rsidRDefault="00187144" w:rsidP="0065556E">
      <w:pPr>
        <w:pStyle w:val="FootnoteText"/>
        <w:rPr>
          <w:lang w:val="en-AU"/>
        </w:rPr>
      </w:pPr>
      <w:r>
        <w:rPr>
          <w:rStyle w:val="FootnoteReference"/>
        </w:rPr>
        <w:footnoteRef/>
      </w:r>
      <w:r>
        <w:t xml:space="preserve"> </w:t>
      </w:r>
      <w:r>
        <w:rPr>
          <w:lang w:val="en-AU"/>
        </w:rPr>
        <w:t xml:space="preserve">Australian Government, </w:t>
      </w:r>
      <w:hyperlink r:id="rId17" w:history="1">
        <w:r w:rsidRPr="007B012F">
          <w:rPr>
            <w:rStyle w:val="Hyperlink"/>
            <w:lang w:val="en-AU"/>
          </w:rPr>
          <w:t>Budget Paper No. 2</w:t>
        </w:r>
      </w:hyperlink>
      <w:r w:rsidRPr="004358B9">
        <w:rPr>
          <w:lang w:val="en-AU"/>
        </w:rPr>
        <w:t>, accessed 30 June 2023.</w:t>
      </w:r>
    </w:p>
  </w:footnote>
  <w:footnote w:id="43">
    <w:p w14:paraId="14D6C415" w14:textId="4A91B973" w:rsidR="00187144" w:rsidRPr="00B02176" w:rsidRDefault="00187144" w:rsidP="0065556E">
      <w:pPr>
        <w:pStyle w:val="FootnoteText"/>
        <w:rPr>
          <w:lang w:val="en-AU"/>
        </w:rPr>
      </w:pPr>
      <w:r>
        <w:rPr>
          <w:rStyle w:val="FootnoteReference"/>
        </w:rPr>
        <w:footnoteRef/>
      </w:r>
      <w:r>
        <w:t xml:space="preserve"> </w:t>
      </w:r>
      <w:r w:rsidRPr="00E65B7E">
        <w:t>Impact Investing Australia, submission to Social Impact Investing Taskforce Interim Report, 2017, Canberra: Department of the Prime Minister and Cabinet</w:t>
      </w:r>
      <w:r>
        <w:t>.</w:t>
      </w:r>
    </w:p>
  </w:footnote>
  <w:footnote w:id="44">
    <w:p w14:paraId="0E2D205D" w14:textId="73188A47" w:rsidR="00187144" w:rsidRPr="00142F03" w:rsidRDefault="00187144" w:rsidP="0065556E">
      <w:pPr>
        <w:pStyle w:val="FootnoteText"/>
        <w:rPr>
          <w:lang w:val="en-AU"/>
        </w:rPr>
      </w:pPr>
      <w:r>
        <w:rPr>
          <w:rStyle w:val="FootnoteReference"/>
        </w:rPr>
        <w:footnoteRef/>
      </w:r>
      <w:r>
        <w:t xml:space="preserve"> </w:t>
      </w:r>
      <w:r>
        <w:rPr>
          <w:lang w:val="en-AU"/>
        </w:rPr>
        <w:t xml:space="preserve">University of Oxford, </w:t>
      </w:r>
      <w:hyperlink r:id="rId18" w:history="1">
        <w:r w:rsidRPr="007B012F">
          <w:rPr>
            <w:rStyle w:val="Hyperlink"/>
            <w:lang w:val="en-AU"/>
          </w:rPr>
          <w:t>Government Outcomes Lab</w:t>
        </w:r>
      </w:hyperlink>
      <w:r>
        <w:rPr>
          <w:lang w:val="en-AU"/>
        </w:rPr>
        <w:t>, accessed 28 May 2023.</w:t>
      </w:r>
    </w:p>
  </w:footnote>
  <w:footnote w:id="45">
    <w:p w14:paraId="743F553E" w14:textId="766FF2A7" w:rsidR="00187144" w:rsidRPr="00356E4A" w:rsidRDefault="00187144" w:rsidP="0065556E">
      <w:pPr>
        <w:pStyle w:val="FootnoteText"/>
        <w:rPr>
          <w:lang w:val="en-AU"/>
        </w:rPr>
      </w:pPr>
      <w:r>
        <w:rPr>
          <w:rStyle w:val="FootnoteReference"/>
        </w:rPr>
        <w:footnoteRef/>
      </w:r>
      <w:r>
        <w:rPr>
          <w:lang w:val="en-AU"/>
        </w:rPr>
        <w:t xml:space="preserve"> Cohen, R., </w:t>
      </w:r>
      <w:r w:rsidRPr="006375EF">
        <w:rPr>
          <w:lang w:val="en-AU"/>
        </w:rPr>
        <w:t>Impact Reshaping Capitalism to Drive Real Change</w:t>
      </w:r>
      <w:r>
        <w:rPr>
          <w:lang w:val="en-AU"/>
        </w:rPr>
        <w:t>, 2020, Ebury Press. Pp. 26-27</w:t>
      </w:r>
      <w:r>
        <w:t>.</w:t>
      </w:r>
    </w:p>
  </w:footnote>
  <w:footnote w:id="46">
    <w:p w14:paraId="1A9279FF" w14:textId="77777777" w:rsidR="00187144" w:rsidRPr="006D7294" w:rsidRDefault="00187144" w:rsidP="0065556E">
      <w:pPr>
        <w:pStyle w:val="FootnoteText"/>
        <w:rPr>
          <w:lang w:val="en-AU"/>
        </w:rPr>
      </w:pPr>
      <w:r>
        <w:rPr>
          <w:rStyle w:val="FootnoteReference"/>
        </w:rPr>
        <w:footnoteRef/>
      </w:r>
      <w:r>
        <w:t xml:space="preserve"> </w:t>
      </w:r>
      <w:r>
        <w:rPr>
          <w:lang w:val="en-AU"/>
        </w:rPr>
        <w:t xml:space="preserve">Australian Government, </w:t>
      </w:r>
      <w:hyperlink r:id="rId19" w:history="1">
        <w:r w:rsidRPr="007B012F">
          <w:rPr>
            <w:rStyle w:val="Hyperlink"/>
            <w:lang w:val="en-AU"/>
          </w:rPr>
          <w:t>Budget Paper No. 2</w:t>
        </w:r>
      </w:hyperlink>
      <w:r w:rsidRPr="004358B9">
        <w:rPr>
          <w:lang w:val="en-AU"/>
        </w:rPr>
        <w:t>, accessed 30 June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2E901" w14:textId="77777777" w:rsidR="006F2D0A" w:rsidRDefault="006F2D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56C67" w14:textId="77777777" w:rsidR="006F2D0A" w:rsidRDefault="006F2D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4704D" w14:textId="77777777" w:rsidR="006F2D0A" w:rsidRDefault="006F2D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40742" w14:textId="77777777" w:rsidR="00187144" w:rsidRDefault="00187144" w:rsidP="0065556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4DDC2" w14:textId="77777777" w:rsidR="00187144" w:rsidRDefault="00187144" w:rsidP="0065556E">
    <w:pPr>
      <w:pStyle w:val="Header"/>
    </w:pPr>
  </w:p>
  <w:p w14:paraId="249C4846" w14:textId="77777777" w:rsidR="00187144" w:rsidRDefault="00187144" w:rsidP="006555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F485DE4"/>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774042C4"/>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2"/>
    <w:multiLevelType w:val="singleLevel"/>
    <w:tmpl w:val="E622306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DCD2E34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5E4208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D14C25"/>
    <w:multiLevelType w:val="multilevel"/>
    <w:tmpl w:val="4256558C"/>
    <w:numStyleLink w:val="ListAppendix"/>
  </w:abstractNum>
  <w:abstractNum w:abstractNumId="6" w15:restartNumberingAfterBreak="0">
    <w:nsid w:val="072C6379"/>
    <w:multiLevelType w:val="hybridMultilevel"/>
    <w:tmpl w:val="C1069CBC"/>
    <w:lvl w:ilvl="0" w:tplc="50728824">
      <w:start w:val="1"/>
      <w:numFmt w:val="bullet"/>
      <w:lvlText w:val="•"/>
      <w:lvlJc w:val="left"/>
      <w:pPr>
        <w:tabs>
          <w:tab w:val="num" w:pos="720"/>
        </w:tabs>
        <w:ind w:left="720" w:hanging="360"/>
      </w:pPr>
      <w:rPr>
        <w:rFonts w:ascii="Times New Roman" w:hAnsi="Times New Roman" w:hint="default"/>
      </w:rPr>
    </w:lvl>
    <w:lvl w:ilvl="1" w:tplc="2CF408C6" w:tentative="1">
      <w:start w:val="1"/>
      <w:numFmt w:val="bullet"/>
      <w:lvlText w:val="•"/>
      <w:lvlJc w:val="left"/>
      <w:pPr>
        <w:tabs>
          <w:tab w:val="num" w:pos="1440"/>
        </w:tabs>
        <w:ind w:left="1440" w:hanging="360"/>
      </w:pPr>
      <w:rPr>
        <w:rFonts w:ascii="Times New Roman" w:hAnsi="Times New Roman" w:hint="default"/>
      </w:rPr>
    </w:lvl>
    <w:lvl w:ilvl="2" w:tplc="E7FC30C0" w:tentative="1">
      <w:start w:val="1"/>
      <w:numFmt w:val="bullet"/>
      <w:lvlText w:val="•"/>
      <w:lvlJc w:val="left"/>
      <w:pPr>
        <w:tabs>
          <w:tab w:val="num" w:pos="2160"/>
        </w:tabs>
        <w:ind w:left="2160" w:hanging="360"/>
      </w:pPr>
      <w:rPr>
        <w:rFonts w:ascii="Times New Roman" w:hAnsi="Times New Roman" w:hint="default"/>
      </w:rPr>
    </w:lvl>
    <w:lvl w:ilvl="3" w:tplc="8D36B242" w:tentative="1">
      <w:start w:val="1"/>
      <w:numFmt w:val="bullet"/>
      <w:lvlText w:val="•"/>
      <w:lvlJc w:val="left"/>
      <w:pPr>
        <w:tabs>
          <w:tab w:val="num" w:pos="2880"/>
        </w:tabs>
        <w:ind w:left="2880" w:hanging="360"/>
      </w:pPr>
      <w:rPr>
        <w:rFonts w:ascii="Times New Roman" w:hAnsi="Times New Roman" w:hint="default"/>
      </w:rPr>
    </w:lvl>
    <w:lvl w:ilvl="4" w:tplc="1B06296C" w:tentative="1">
      <w:start w:val="1"/>
      <w:numFmt w:val="bullet"/>
      <w:lvlText w:val="•"/>
      <w:lvlJc w:val="left"/>
      <w:pPr>
        <w:tabs>
          <w:tab w:val="num" w:pos="3600"/>
        </w:tabs>
        <w:ind w:left="3600" w:hanging="360"/>
      </w:pPr>
      <w:rPr>
        <w:rFonts w:ascii="Times New Roman" w:hAnsi="Times New Roman" w:hint="default"/>
      </w:rPr>
    </w:lvl>
    <w:lvl w:ilvl="5" w:tplc="8C8A2E12" w:tentative="1">
      <w:start w:val="1"/>
      <w:numFmt w:val="bullet"/>
      <w:lvlText w:val="•"/>
      <w:lvlJc w:val="left"/>
      <w:pPr>
        <w:tabs>
          <w:tab w:val="num" w:pos="4320"/>
        </w:tabs>
        <w:ind w:left="4320" w:hanging="360"/>
      </w:pPr>
      <w:rPr>
        <w:rFonts w:ascii="Times New Roman" w:hAnsi="Times New Roman" w:hint="default"/>
      </w:rPr>
    </w:lvl>
    <w:lvl w:ilvl="6" w:tplc="EFC63330" w:tentative="1">
      <w:start w:val="1"/>
      <w:numFmt w:val="bullet"/>
      <w:lvlText w:val="•"/>
      <w:lvlJc w:val="left"/>
      <w:pPr>
        <w:tabs>
          <w:tab w:val="num" w:pos="5040"/>
        </w:tabs>
        <w:ind w:left="5040" w:hanging="360"/>
      </w:pPr>
      <w:rPr>
        <w:rFonts w:ascii="Times New Roman" w:hAnsi="Times New Roman" w:hint="default"/>
      </w:rPr>
    </w:lvl>
    <w:lvl w:ilvl="7" w:tplc="40207D92" w:tentative="1">
      <w:start w:val="1"/>
      <w:numFmt w:val="bullet"/>
      <w:lvlText w:val="•"/>
      <w:lvlJc w:val="left"/>
      <w:pPr>
        <w:tabs>
          <w:tab w:val="num" w:pos="5760"/>
        </w:tabs>
        <w:ind w:left="5760" w:hanging="360"/>
      </w:pPr>
      <w:rPr>
        <w:rFonts w:ascii="Times New Roman" w:hAnsi="Times New Roman" w:hint="default"/>
      </w:rPr>
    </w:lvl>
    <w:lvl w:ilvl="8" w:tplc="DC0098C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7376E15"/>
    <w:multiLevelType w:val="hybridMultilevel"/>
    <w:tmpl w:val="7452D446"/>
    <w:lvl w:ilvl="0" w:tplc="0C090005">
      <w:start w:val="1"/>
      <w:numFmt w:val="bullet"/>
      <w:lvlText w:val=""/>
      <w:lvlJc w:val="left"/>
      <w:pPr>
        <w:ind w:left="473" w:hanging="360"/>
      </w:pPr>
      <w:rPr>
        <w:rFonts w:ascii="Wingdings" w:hAnsi="Wingdings"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8" w15:restartNumberingAfterBreak="0">
    <w:nsid w:val="08641D47"/>
    <w:multiLevelType w:val="multilevel"/>
    <w:tmpl w:val="E5C07AEE"/>
    <w:numStyleLink w:val="ListTableNumberBullets"/>
  </w:abstractNum>
  <w:abstractNum w:abstractNumId="9" w15:restartNumberingAfterBreak="0">
    <w:nsid w:val="10FE0320"/>
    <w:multiLevelType w:val="multilevel"/>
    <w:tmpl w:val="B2B20078"/>
    <w:styleLink w:val="ListNumberList"/>
    <w:lvl w:ilvl="0">
      <w:start w:val="1"/>
      <w:numFmt w:val="decimal"/>
      <w:pStyle w:val="ListNumber"/>
      <w:lvlText w:val="%1."/>
      <w:lvlJc w:val="left"/>
      <w:pPr>
        <w:ind w:left="340" w:hanging="340"/>
      </w:pPr>
      <w:rPr>
        <w:rFonts w:ascii="Arial" w:hAnsi="Arial" w:cs="Arial" w:hint="default"/>
      </w:rPr>
    </w:lvl>
    <w:lvl w:ilvl="1">
      <w:start w:val="1"/>
      <w:numFmt w:val="decimal"/>
      <w:pStyle w:val="ListNumber2"/>
      <w:lvlText w:val="%1.%2."/>
      <w:lvlJc w:val="left"/>
      <w:pPr>
        <w:ind w:left="964" w:hanging="624"/>
      </w:pPr>
      <w:rPr>
        <w:rFonts w:hint="default"/>
      </w:rPr>
    </w:lvl>
    <w:lvl w:ilvl="2">
      <w:start w:val="1"/>
      <w:numFmt w:val="decimal"/>
      <w:pStyle w:val="ListNumber3"/>
      <w:lvlText w:val="%1.%2.%3."/>
      <w:lvlJc w:val="left"/>
      <w:pPr>
        <w:ind w:left="1758" w:hanging="794"/>
      </w:pPr>
      <w:rPr>
        <w:rFonts w:hint="default"/>
      </w:rPr>
    </w:lvl>
    <w:lvl w:ilvl="3">
      <w:start w:val="1"/>
      <w:numFmt w:val="decimal"/>
      <w:pStyle w:val="ListNumber4"/>
      <w:lvlText w:val="%1.%2.%3.%4."/>
      <w:lvlJc w:val="left"/>
      <w:pPr>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0" w15:restartNumberingAfterBreak="0">
    <w:nsid w:val="14A81ABD"/>
    <w:multiLevelType w:val="multilevel"/>
    <w:tmpl w:val="3DF8DE0E"/>
    <w:styleLink w:val="ListLetters"/>
    <w:lvl w:ilvl="0">
      <w:start w:val="1"/>
      <w:numFmt w:val="lowerLetter"/>
      <w:pStyle w:val="ListLetter"/>
      <w:lvlText w:val="(%1)"/>
      <w:lvlJc w:val="left"/>
      <w:pPr>
        <w:ind w:left="340" w:hanging="340"/>
      </w:pPr>
      <w:rPr>
        <w:rFonts w:ascii="Arial" w:hAnsi="Arial" w:cs="Arial" w:hint="default"/>
        <w:color w:val="666666" w:themeColor="text2"/>
      </w:rPr>
    </w:lvl>
    <w:lvl w:ilvl="1">
      <w:start w:val="1"/>
      <w:numFmt w:val="lowerRoman"/>
      <w:pStyle w:val="ListLetter2"/>
      <w:lvlText w:val="(%2)"/>
      <w:lvlJc w:val="left"/>
      <w:pPr>
        <w:ind w:left="680" w:hanging="340"/>
      </w:pPr>
      <w:rPr>
        <w:rFonts w:hint="default"/>
        <w:color w:val="404040"/>
      </w:rPr>
    </w:lvl>
    <w:lvl w:ilvl="2">
      <w:start w:val="1"/>
      <w:numFmt w:val="none"/>
      <w:lvlRestart w:val="0"/>
      <w:lvlText w:val=""/>
      <w:lvlJc w:val="righ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righ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1B246C97"/>
    <w:multiLevelType w:val="multilevel"/>
    <w:tmpl w:val="4256558C"/>
    <w:styleLink w:val="ListAppendix"/>
    <w:lvl w:ilvl="0">
      <w:start w:val="1"/>
      <w:numFmt w:val="upperLetter"/>
      <w:pStyle w:val="Appendix1"/>
      <w:lvlText w:val="Appendix %1"/>
      <w:lvlJc w:val="left"/>
      <w:pPr>
        <w:tabs>
          <w:tab w:val="num" w:pos="3402"/>
        </w:tabs>
        <w:ind w:left="3402" w:hanging="3402"/>
      </w:pPr>
      <w:rPr>
        <w:rFonts w:ascii="Arial" w:hAnsi="Arial" w:cs="Arial" w:hint="default"/>
        <w:b w:val="0"/>
        <w:i w:val="0"/>
        <w:color w:val="auto"/>
        <w:sz w:val="48"/>
      </w:rPr>
    </w:lvl>
    <w:lvl w:ilvl="1">
      <w:start w:val="1"/>
      <w:numFmt w:val="decimal"/>
      <w:lvlRestart w:val="0"/>
      <w:pStyle w:val="Appendix2"/>
      <w:lvlText w:val="%1.%2"/>
      <w:lvlJc w:val="left"/>
      <w:pPr>
        <w:ind w:left="1701" w:hanging="1701"/>
      </w:pPr>
      <w:rPr>
        <w:rFonts w:ascii="Arial" w:hAnsi="Arial" w:hint="default"/>
        <w:b w:val="0"/>
        <w:i w:val="0"/>
        <w:sz w:val="26"/>
      </w:rPr>
    </w:lvl>
    <w:lvl w:ilvl="2">
      <w:start w:val="1"/>
      <w:numFmt w:val="decimal"/>
      <w:lvlRestart w:val="0"/>
      <w:pStyle w:val="Appendix3"/>
      <w:lvlText w:val="%1.%2.%3"/>
      <w:lvlJc w:val="left"/>
      <w:pPr>
        <w:ind w:left="1701" w:hanging="1701"/>
      </w:pPr>
      <w:rPr>
        <w:rFonts w:ascii="Arial" w:hAnsi="Arial" w:hint="default"/>
        <w:b w:val="0"/>
        <w:i w:val="0"/>
        <w:sz w:val="24"/>
      </w:rPr>
    </w:lvl>
    <w:lvl w:ilvl="3">
      <w:start w:val="1"/>
      <w:numFmt w:val="decimal"/>
      <w:lvlRestart w:val="0"/>
      <w:pStyle w:val="Appendix4"/>
      <w:lvlText w:val="%1.%2.%3.%4"/>
      <w:lvlJc w:val="left"/>
      <w:pPr>
        <w:ind w:left="1701" w:hanging="1701"/>
      </w:pPr>
      <w:rPr>
        <w:rFonts w:ascii="Arial" w:hAnsi="Arial" w:hint="default"/>
        <w:b w:val="0"/>
        <w:i w:val="0"/>
        <w:sz w:val="22"/>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2" w15:restartNumberingAfterBreak="0">
    <w:nsid w:val="1E514540"/>
    <w:multiLevelType w:val="hybridMultilevel"/>
    <w:tmpl w:val="26D2BE26"/>
    <w:lvl w:ilvl="0" w:tplc="0C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47B4494"/>
    <w:multiLevelType w:val="multilevel"/>
    <w:tmpl w:val="E5C07AEE"/>
    <w:styleLink w:val="ListTableNumberBullets"/>
    <w:lvl w:ilvl="0">
      <w:start w:val="1"/>
      <w:numFmt w:val="decimal"/>
      <w:pStyle w:val="Table-NumberBullet"/>
      <w:lvlText w:val="%1."/>
      <w:lvlJc w:val="left"/>
      <w:pPr>
        <w:ind w:left="454" w:hanging="341"/>
      </w:pPr>
      <w:rPr>
        <w:rFonts w:hint="default"/>
      </w:rPr>
    </w:lvl>
    <w:lvl w:ilvl="1">
      <w:start w:val="1"/>
      <w:numFmt w:val="lowerLetter"/>
      <w:pStyle w:val="Table-NumberBullet2"/>
      <w:lvlText w:val="%2."/>
      <w:lvlJc w:val="left"/>
      <w:pPr>
        <w:ind w:left="907" w:hanging="453"/>
      </w:pPr>
      <w:rPr>
        <w:rFonts w:hint="default"/>
      </w:rPr>
    </w:lvl>
    <w:lvl w:ilvl="2">
      <w:start w:val="1"/>
      <w:numFmt w:val="lowerRoman"/>
      <w:pStyle w:val="Table-NumberBullet3"/>
      <w:lvlText w:val="%3."/>
      <w:lvlJc w:val="left"/>
      <w:pPr>
        <w:ind w:left="124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9"/>
      <w:lvlJc w:val="left"/>
      <w:pPr>
        <w:tabs>
          <w:tab w:val="num" w:pos="4536"/>
        </w:tabs>
        <w:ind w:left="0" w:firstLine="0"/>
      </w:pPr>
      <w:rPr>
        <w:rFonts w:hint="default"/>
      </w:rPr>
    </w:lvl>
  </w:abstractNum>
  <w:abstractNum w:abstractNumId="14" w15:restartNumberingAfterBreak="0">
    <w:nsid w:val="25445C26"/>
    <w:multiLevelType w:val="hybridMultilevel"/>
    <w:tmpl w:val="DA6E6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6B4677"/>
    <w:multiLevelType w:val="hybridMultilevel"/>
    <w:tmpl w:val="EA9A9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924AD8"/>
    <w:multiLevelType w:val="multilevel"/>
    <w:tmpl w:val="3DF8DE0E"/>
    <w:numStyleLink w:val="ListLetters"/>
  </w:abstractNum>
  <w:abstractNum w:abstractNumId="17" w15:restartNumberingAfterBreak="0">
    <w:nsid w:val="27C855FB"/>
    <w:multiLevelType w:val="multilevel"/>
    <w:tmpl w:val="E5C07AEE"/>
    <w:numStyleLink w:val="ListTableNumberBullets"/>
  </w:abstractNum>
  <w:abstractNum w:abstractNumId="18" w15:restartNumberingAfterBreak="0">
    <w:nsid w:val="2BFB0133"/>
    <w:multiLevelType w:val="hybridMultilevel"/>
    <w:tmpl w:val="49BAD4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E712DA"/>
    <w:multiLevelType w:val="hybridMultilevel"/>
    <w:tmpl w:val="CA78ED4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F74D43"/>
    <w:multiLevelType w:val="multilevel"/>
    <w:tmpl w:val="F8407240"/>
    <w:styleLink w:val="ListBullets"/>
    <w:lvl w:ilvl="0">
      <w:start w:val="1"/>
      <w:numFmt w:val="bullet"/>
      <w:pStyle w:val="ListBullet"/>
      <w:lvlText w:val=""/>
      <w:lvlJc w:val="left"/>
      <w:pPr>
        <w:ind w:left="340" w:hanging="340"/>
      </w:pPr>
      <w:rPr>
        <w:rFonts w:ascii="Wingdings" w:hAnsi="Wingdings" w:hint="default"/>
        <w:color w:val="404040"/>
        <w:sz w:val="20"/>
      </w:rPr>
    </w:lvl>
    <w:lvl w:ilvl="1">
      <w:start w:val="1"/>
      <w:numFmt w:val="bullet"/>
      <w:pStyle w:val="ListBullet2"/>
      <w:lvlText w:val="‒"/>
      <w:lvlJc w:val="left"/>
      <w:pPr>
        <w:ind w:left="680" w:hanging="340"/>
      </w:pPr>
      <w:rPr>
        <w:rFonts w:ascii="Arial" w:hAnsi="Arial" w:hint="default"/>
        <w:color w:val="404040"/>
      </w:rPr>
    </w:lvl>
    <w:lvl w:ilvl="2">
      <w:start w:val="1"/>
      <w:numFmt w:val="bullet"/>
      <w:pStyle w:val="ListBullet3"/>
      <w:lvlText w:val=""/>
      <w:lvlJc w:val="left"/>
      <w:pPr>
        <w:ind w:left="1191" w:hanging="340"/>
      </w:pPr>
      <w:rPr>
        <w:rFonts w:ascii="Symbol" w:hAnsi="Symbol" w:hint="default"/>
        <w:color w:val="404040"/>
      </w:rPr>
    </w:lvl>
    <w:lvl w:ilvl="3">
      <w:start w:val="1"/>
      <w:numFmt w:val="bullet"/>
      <w:pStyle w:val="ListBullet4"/>
      <w:lvlText w:val="‒"/>
      <w:lvlJc w:val="left"/>
      <w:pPr>
        <w:ind w:left="1360" w:hanging="340"/>
      </w:pPr>
      <w:rPr>
        <w:rFonts w:ascii="Arial" w:hAnsi="Arial" w:hint="default"/>
        <w:color w:val="404040"/>
      </w:rPr>
    </w:lvl>
    <w:lvl w:ilvl="4">
      <w:start w:val="1"/>
      <w:numFmt w:val="bullet"/>
      <w:lvlText w:val="‒"/>
      <w:lvlJc w:val="left"/>
      <w:pPr>
        <w:ind w:left="1700" w:hanging="340"/>
      </w:pPr>
      <w:rPr>
        <w:rFonts w:ascii="Arial" w:hAnsi="Arial" w:hint="default"/>
        <w:color w:val="666666" w:themeColor="text2"/>
      </w:rPr>
    </w:lvl>
    <w:lvl w:ilvl="5">
      <w:start w:val="1"/>
      <w:numFmt w:val="bullet"/>
      <w:lvlText w:val="‒"/>
      <w:lvlJc w:val="left"/>
      <w:pPr>
        <w:ind w:left="2040" w:hanging="340"/>
      </w:pPr>
      <w:rPr>
        <w:rFonts w:ascii="Arial" w:hAnsi="Arial" w:hint="default"/>
        <w:color w:val="666666" w:themeColor="text2"/>
      </w:rPr>
    </w:lvl>
    <w:lvl w:ilvl="6">
      <w:start w:val="1"/>
      <w:numFmt w:val="bullet"/>
      <w:lvlText w:val="‒"/>
      <w:lvlJc w:val="left"/>
      <w:pPr>
        <w:ind w:left="2380" w:hanging="340"/>
      </w:pPr>
      <w:rPr>
        <w:rFonts w:ascii="Arial" w:hAnsi="Arial" w:hint="default"/>
        <w:color w:val="666666" w:themeColor="text2"/>
      </w:rPr>
    </w:lvl>
    <w:lvl w:ilvl="7">
      <w:start w:val="1"/>
      <w:numFmt w:val="bullet"/>
      <w:lvlText w:val="‒"/>
      <w:lvlJc w:val="left"/>
      <w:pPr>
        <w:ind w:left="2720" w:hanging="340"/>
      </w:pPr>
      <w:rPr>
        <w:rFonts w:ascii="Arial" w:hAnsi="Arial" w:hint="default"/>
        <w:color w:val="666666" w:themeColor="text2"/>
      </w:rPr>
    </w:lvl>
    <w:lvl w:ilvl="8">
      <w:start w:val="1"/>
      <w:numFmt w:val="bullet"/>
      <w:lvlText w:val="‒"/>
      <w:lvlJc w:val="left"/>
      <w:pPr>
        <w:ind w:left="3060" w:hanging="340"/>
      </w:pPr>
      <w:rPr>
        <w:rFonts w:ascii="Arial" w:hAnsi="Arial" w:hint="default"/>
        <w:color w:val="666666" w:themeColor="text2"/>
      </w:rPr>
    </w:lvl>
  </w:abstractNum>
  <w:abstractNum w:abstractNumId="21" w15:restartNumberingAfterBreak="0">
    <w:nsid w:val="345150E4"/>
    <w:multiLevelType w:val="hybridMultilevel"/>
    <w:tmpl w:val="0142839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7B1BF9"/>
    <w:multiLevelType w:val="multilevel"/>
    <w:tmpl w:val="18BEAD54"/>
    <w:numStyleLink w:val="ListHeadings"/>
  </w:abstractNum>
  <w:abstractNum w:abstractNumId="23" w15:restartNumberingAfterBreak="0">
    <w:nsid w:val="41CF736A"/>
    <w:multiLevelType w:val="multilevel"/>
    <w:tmpl w:val="E52663AE"/>
    <w:styleLink w:val="Listbullets0"/>
    <w:lvl w:ilvl="0">
      <w:start w:val="1"/>
      <w:numFmt w:val="bullet"/>
      <w:lvlText w:val=""/>
      <w:lvlJc w:val="left"/>
      <w:pPr>
        <w:ind w:left="340" w:hanging="340"/>
      </w:pPr>
      <w:rPr>
        <w:rFonts w:ascii="Symbol" w:hAnsi="Symbol" w:hint="default"/>
        <w:color w:val="404040"/>
      </w:rPr>
    </w:lvl>
    <w:lvl w:ilvl="1">
      <w:start w:val="1"/>
      <w:numFmt w:val="bullet"/>
      <w:lvlText w:val="‒"/>
      <w:lvlJc w:val="left"/>
      <w:pPr>
        <w:ind w:left="680" w:hanging="340"/>
      </w:pPr>
      <w:rPr>
        <w:rFonts w:ascii="Arial" w:hAnsi="Arial" w:hint="default"/>
        <w:color w:val="404040"/>
      </w:rPr>
    </w:lvl>
    <w:lvl w:ilvl="2">
      <w:start w:val="1"/>
      <w:numFmt w:val="bullet"/>
      <w:lvlText w:val=""/>
      <w:lvlJc w:val="left"/>
      <w:pPr>
        <w:ind w:left="1021" w:hanging="341"/>
      </w:pPr>
      <w:rPr>
        <w:rFonts w:ascii="Wingdings" w:hAnsi="Wingdings" w:hint="default"/>
        <w:color w:val="404040"/>
      </w:rPr>
    </w:lvl>
    <w:lvl w:ilvl="3">
      <w:start w:val="1"/>
      <w:numFmt w:val="bullet"/>
      <w:lvlText w:val="‒"/>
      <w:lvlJc w:val="left"/>
      <w:pPr>
        <w:ind w:left="1361" w:hanging="340"/>
      </w:pPr>
      <w:rPr>
        <w:rFonts w:ascii="Arial" w:hAnsi="Arial" w:hint="default"/>
        <w:color w:val="404040"/>
      </w:rPr>
    </w:lvl>
    <w:lvl w:ilvl="4">
      <w:start w:val="1"/>
      <w:numFmt w:val="bullet"/>
      <w:lvlText w:val="‒"/>
      <w:lvlJc w:val="left"/>
      <w:pPr>
        <w:ind w:left="1361" w:hanging="340"/>
      </w:pPr>
      <w:rPr>
        <w:rFonts w:ascii="Arial" w:hAnsi="Arial" w:hint="default"/>
        <w:color w:val="666666" w:themeColor="text2"/>
      </w:rPr>
    </w:lvl>
    <w:lvl w:ilvl="5">
      <w:start w:val="1"/>
      <w:numFmt w:val="bullet"/>
      <w:lvlText w:val="‒"/>
      <w:lvlJc w:val="left"/>
      <w:pPr>
        <w:ind w:left="1361" w:hanging="340"/>
      </w:pPr>
      <w:rPr>
        <w:rFonts w:ascii="Arial" w:hAnsi="Arial" w:hint="default"/>
        <w:color w:val="666666" w:themeColor="text2"/>
      </w:rPr>
    </w:lvl>
    <w:lvl w:ilvl="6">
      <w:start w:val="1"/>
      <w:numFmt w:val="bullet"/>
      <w:lvlText w:val="‒"/>
      <w:lvlJc w:val="left"/>
      <w:pPr>
        <w:ind w:left="1361" w:hanging="340"/>
      </w:pPr>
      <w:rPr>
        <w:rFonts w:ascii="Arial" w:hAnsi="Arial" w:hint="default"/>
        <w:color w:val="666666" w:themeColor="text2"/>
      </w:rPr>
    </w:lvl>
    <w:lvl w:ilvl="7">
      <w:start w:val="1"/>
      <w:numFmt w:val="bullet"/>
      <w:lvlText w:val="‒"/>
      <w:lvlJc w:val="left"/>
      <w:pPr>
        <w:ind w:left="1361" w:hanging="340"/>
      </w:pPr>
      <w:rPr>
        <w:rFonts w:ascii="Arial" w:hAnsi="Arial" w:hint="default"/>
        <w:color w:val="666666" w:themeColor="text2"/>
      </w:rPr>
    </w:lvl>
    <w:lvl w:ilvl="8">
      <w:start w:val="1"/>
      <w:numFmt w:val="bullet"/>
      <w:lvlText w:val="‒"/>
      <w:lvlJc w:val="left"/>
      <w:pPr>
        <w:ind w:left="1361" w:hanging="340"/>
      </w:pPr>
      <w:rPr>
        <w:rFonts w:ascii="Arial" w:hAnsi="Arial" w:hint="default"/>
        <w:color w:val="666666" w:themeColor="text2"/>
      </w:rPr>
    </w:lvl>
  </w:abstractNum>
  <w:abstractNum w:abstractNumId="24" w15:restartNumberingAfterBreak="0">
    <w:nsid w:val="43D331A9"/>
    <w:multiLevelType w:val="hybridMultilevel"/>
    <w:tmpl w:val="DB1EAE4C"/>
    <w:lvl w:ilvl="0" w:tplc="C7521CD4">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8F364D"/>
    <w:multiLevelType w:val="multilevel"/>
    <w:tmpl w:val="623AC67C"/>
    <w:lvl w:ilvl="0">
      <w:start w:val="1"/>
      <w:numFmt w:val="bullet"/>
      <w:lvlText w:val=""/>
      <w:lvlJc w:val="left"/>
      <w:pPr>
        <w:ind w:left="340" w:hanging="340"/>
      </w:pPr>
      <w:rPr>
        <w:rFonts w:ascii="Wingdings" w:hAnsi="Wingdings" w:hint="default"/>
        <w:color w:val="404040"/>
        <w:sz w:val="20"/>
      </w:rPr>
    </w:lvl>
    <w:lvl w:ilvl="1">
      <w:start w:val="1"/>
      <w:numFmt w:val="bullet"/>
      <w:lvlText w:val=""/>
      <w:lvlJc w:val="left"/>
      <w:pPr>
        <w:ind w:left="700" w:hanging="360"/>
      </w:pPr>
      <w:rPr>
        <w:rFonts w:ascii="Wingdings" w:hAnsi="Wingdings" w:hint="default"/>
      </w:rPr>
    </w:lvl>
    <w:lvl w:ilvl="2">
      <w:start w:val="1"/>
      <w:numFmt w:val="bullet"/>
      <w:lvlText w:val=""/>
      <w:lvlJc w:val="left"/>
      <w:pPr>
        <w:ind w:left="1191" w:hanging="340"/>
      </w:pPr>
      <w:rPr>
        <w:rFonts w:ascii="Symbol" w:hAnsi="Symbol" w:hint="default"/>
        <w:color w:val="404040"/>
      </w:rPr>
    </w:lvl>
    <w:lvl w:ilvl="3">
      <w:start w:val="1"/>
      <w:numFmt w:val="bullet"/>
      <w:lvlText w:val="‒"/>
      <w:lvlJc w:val="left"/>
      <w:pPr>
        <w:ind w:left="1360" w:hanging="340"/>
      </w:pPr>
      <w:rPr>
        <w:rFonts w:ascii="Arial" w:hAnsi="Arial" w:hint="default"/>
        <w:color w:val="404040"/>
      </w:rPr>
    </w:lvl>
    <w:lvl w:ilvl="4">
      <w:start w:val="1"/>
      <w:numFmt w:val="bullet"/>
      <w:lvlText w:val="‒"/>
      <w:lvlJc w:val="left"/>
      <w:pPr>
        <w:ind w:left="1700" w:hanging="340"/>
      </w:pPr>
      <w:rPr>
        <w:rFonts w:ascii="Arial" w:hAnsi="Arial" w:hint="default"/>
        <w:color w:val="666666" w:themeColor="text2"/>
      </w:rPr>
    </w:lvl>
    <w:lvl w:ilvl="5">
      <w:start w:val="1"/>
      <w:numFmt w:val="bullet"/>
      <w:lvlText w:val="‒"/>
      <w:lvlJc w:val="left"/>
      <w:pPr>
        <w:ind w:left="2040" w:hanging="340"/>
      </w:pPr>
      <w:rPr>
        <w:rFonts w:ascii="Arial" w:hAnsi="Arial" w:hint="default"/>
        <w:color w:val="666666" w:themeColor="text2"/>
      </w:rPr>
    </w:lvl>
    <w:lvl w:ilvl="6">
      <w:start w:val="1"/>
      <w:numFmt w:val="bullet"/>
      <w:lvlText w:val="‒"/>
      <w:lvlJc w:val="left"/>
      <w:pPr>
        <w:ind w:left="2380" w:hanging="340"/>
      </w:pPr>
      <w:rPr>
        <w:rFonts w:ascii="Arial" w:hAnsi="Arial" w:hint="default"/>
        <w:color w:val="666666" w:themeColor="text2"/>
      </w:rPr>
    </w:lvl>
    <w:lvl w:ilvl="7">
      <w:start w:val="1"/>
      <w:numFmt w:val="bullet"/>
      <w:lvlText w:val="‒"/>
      <w:lvlJc w:val="left"/>
      <w:pPr>
        <w:ind w:left="2720" w:hanging="340"/>
      </w:pPr>
      <w:rPr>
        <w:rFonts w:ascii="Arial" w:hAnsi="Arial" w:hint="default"/>
        <w:color w:val="666666" w:themeColor="text2"/>
      </w:rPr>
    </w:lvl>
    <w:lvl w:ilvl="8">
      <w:start w:val="1"/>
      <w:numFmt w:val="bullet"/>
      <w:lvlText w:val="‒"/>
      <w:lvlJc w:val="left"/>
      <w:pPr>
        <w:ind w:left="3060" w:hanging="340"/>
      </w:pPr>
      <w:rPr>
        <w:rFonts w:ascii="Arial" w:hAnsi="Arial" w:hint="default"/>
        <w:color w:val="666666" w:themeColor="text2"/>
      </w:rPr>
    </w:lvl>
  </w:abstractNum>
  <w:abstractNum w:abstractNumId="26" w15:restartNumberingAfterBreak="0">
    <w:nsid w:val="4B7207C6"/>
    <w:multiLevelType w:val="multilevel"/>
    <w:tmpl w:val="E5C07AEE"/>
    <w:numStyleLink w:val="ListTableNumberBullets"/>
  </w:abstractNum>
  <w:abstractNum w:abstractNumId="27" w15:restartNumberingAfterBreak="0">
    <w:nsid w:val="4F663E4D"/>
    <w:multiLevelType w:val="multilevel"/>
    <w:tmpl w:val="18BEAD54"/>
    <w:styleLink w:val="ListHeadings"/>
    <w:lvl w:ilvl="0">
      <w:start w:val="1"/>
      <w:numFmt w:val="decimal"/>
      <w:pStyle w:val="Heading1"/>
      <w:lvlText w:val="%1."/>
      <w:lvlJc w:val="left"/>
      <w:pPr>
        <w:ind w:left="851" w:hanging="851"/>
      </w:pPr>
      <w:rPr>
        <w:rFonts w:ascii="Flama Cond Bold" w:hAnsi="Flama Cond Bold" w:cs="Arial" w:hint="default"/>
      </w:rPr>
    </w:lvl>
    <w:lvl w:ilvl="1">
      <w:start w:val="1"/>
      <w:numFmt w:val="decimal"/>
      <w:pStyle w:val="Heading2"/>
      <w:lvlText w:val="%1.%2."/>
      <w:lvlJc w:val="left"/>
      <w:pPr>
        <w:ind w:left="851" w:hanging="851"/>
      </w:pPr>
      <w:rPr>
        <w:rFonts w:ascii="Flama Cond Bold" w:hAnsi="Flama Cond Bold" w:hint="default"/>
      </w:rPr>
    </w:lvl>
    <w:lvl w:ilvl="2">
      <w:start w:val="1"/>
      <w:numFmt w:val="decimal"/>
      <w:pStyle w:val="Heading3"/>
      <w:lvlText w:val="%1.%2.%3."/>
      <w:lvlJc w:val="left"/>
      <w:pPr>
        <w:ind w:left="5388" w:hanging="851"/>
      </w:pPr>
      <w:rPr>
        <w:rFonts w:ascii="Arial" w:hAnsi="Arial" w:hint="default"/>
      </w:rPr>
    </w:lvl>
    <w:lvl w:ilvl="3">
      <w:start w:val="1"/>
      <w:numFmt w:val="decimal"/>
      <w:pStyle w:val="Heading4"/>
      <w:lvlText w:val="%1.%2.%3.%4."/>
      <w:lvlJc w:val="left"/>
      <w:pPr>
        <w:tabs>
          <w:tab w:val="num" w:pos="851"/>
        </w:tabs>
        <w:ind w:left="851" w:hanging="851"/>
      </w:pPr>
      <w:rPr>
        <w:rFonts w:ascii="Arial" w:hAnsi="Arial" w:hint="default"/>
      </w:rPr>
    </w:lvl>
    <w:lvl w:ilvl="4">
      <w:start w:val="1"/>
      <w:numFmt w:val="decimal"/>
      <w:lvlText w:val="%1.%2.%3.%4.%5."/>
      <w:lvlJc w:val="left"/>
      <w:pPr>
        <w:ind w:left="0" w:firstLine="0"/>
      </w:pPr>
      <w:rPr>
        <w:rFonts w:ascii="Arial Narrow" w:hAnsi="Arial Narrow" w:hint="default"/>
      </w:rPr>
    </w:lvl>
    <w:lvl w:ilvl="5">
      <w:start w:val="1"/>
      <w:numFmt w:val="decimal"/>
      <w:lvlText w:val="%1.%2.%3.%4.%5.%6."/>
      <w:lvlJc w:val="left"/>
      <w:pPr>
        <w:ind w:left="0" w:firstLine="0"/>
      </w:pPr>
      <w:rPr>
        <w:rFonts w:ascii="Arial Narrow" w:hAnsi="Arial Narrow" w:hint="default"/>
      </w:rPr>
    </w:lvl>
    <w:lvl w:ilvl="6">
      <w:start w:val="1"/>
      <w:numFmt w:val="decimal"/>
      <w:lvlText w:val="%1.%2.%3.%4.%5.%6.%7."/>
      <w:lvlJc w:val="left"/>
      <w:pPr>
        <w:ind w:left="0" w:firstLine="0"/>
      </w:pPr>
      <w:rPr>
        <w:rFonts w:ascii="Arial Narrow" w:hAnsi="Arial Narrow" w:hint="default"/>
      </w:rPr>
    </w:lvl>
    <w:lvl w:ilvl="7">
      <w:start w:val="1"/>
      <w:numFmt w:val="decimal"/>
      <w:lvlText w:val="%1.%2.%3.%4.%5.%6.%7.%8."/>
      <w:lvlJc w:val="left"/>
      <w:pPr>
        <w:ind w:left="0" w:firstLine="0"/>
      </w:pPr>
      <w:rPr>
        <w:rFonts w:ascii="Arial Narrow" w:hAnsi="Arial Narrow" w:hint="default"/>
      </w:rPr>
    </w:lvl>
    <w:lvl w:ilvl="8">
      <w:start w:val="1"/>
      <w:numFmt w:val="decimal"/>
      <w:lvlText w:val="%1.%2.%3.%4.%5.%6.%7.%8.%9."/>
      <w:lvlJc w:val="left"/>
      <w:pPr>
        <w:ind w:left="0" w:firstLine="0"/>
      </w:pPr>
      <w:rPr>
        <w:rFonts w:ascii="Arial Narrow" w:hAnsi="Arial Narrow" w:hint="default"/>
      </w:rPr>
    </w:lvl>
  </w:abstractNum>
  <w:abstractNum w:abstractNumId="28" w15:restartNumberingAfterBreak="0">
    <w:nsid w:val="4FBC2E5D"/>
    <w:multiLevelType w:val="hybridMultilevel"/>
    <w:tmpl w:val="601C8858"/>
    <w:lvl w:ilvl="0" w:tplc="272896F4">
      <w:start w:val="1"/>
      <w:numFmt w:val="decimal"/>
      <w:pStyle w:val="NormalNumbered"/>
      <w:lvlText w:val="%1."/>
      <w:lvlJc w:val="left"/>
      <w:pPr>
        <w:tabs>
          <w:tab w:val="num" w:pos="714"/>
        </w:tabs>
        <w:ind w:left="714" w:hanging="714"/>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FC3357D"/>
    <w:multiLevelType w:val="multilevel"/>
    <w:tmpl w:val="0809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39A7C4D"/>
    <w:multiLevelType w:val="hybridMultilevel"/>
    <w:tmpl w:val="B046DC8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2B10C5"/>
    <w:multiLevelType w:val="multilevel"/>
    <w:tmpl w:val="5CEC4328"/>
    <w:styleLink w:val="ListTableBullets"/>
    <w:lvl w:ilvl="0">
      <w:start w:val="1"/>
      <w:numFmt w:val="bullet"/>
      <w:pStyle w:val="Table-Bullet"/>
      <w:lvlText w:val=""/>
      <w:lvlJc w:val="left"/>
      <w:pPr>
        <w:ind w:left="454" w:hanging="341"/>
      </w:pPr>
      <w:rPr>
        <w:rFonts w:ascii="Wingdings" w:hAnsi="Wingdings" w:hint="default"/>
        <w:color w:val="404040"/>
      </w:rPr>
    </w:lvl>
    <w:lvl w:ilvl="1">
      <w:start w:val="1"/>
      <w:numFmt w:val="none"/>
      <w:lvlText w:val=""/>
      <w:lvlJc w:val="left"/>
      <w:pPr>
        <w:ind w:left="0" w:firstLine="0"/>
      </w:pPr>
      <w:rPr>
        <w:rFonts w:hint="default"/>
        <w:color w:val="404040"/>
      </w:rPr>
    </w:lvl>
    <w:lvl w:ilvl="2">
      <w:start w:val="1"/>
      <w:numFmt w:val="none"/>
      <w:lvlText w:val=""/>
      <w:lvlJc w:val="left"/>
      <w:pPr>
        <w:ind w:left="0" w:firstLine="0"/>
      </w:pPr>
      <w:rPr>
        <w:rFonts w:hint="default"/>
        <w:color w:val="404040"/>
      </w:rPr>
    </w:lvl>
    <w:lvl w:ilvl="3">
      <w:start w:val="1"/>
      <w:numFmt w:val="bullet"/>
      <w:lvlText w:val="‒"/>
      <w:lvlJc w:val="left"/>
      <w:pPr>
        <w:ind w:left="1361" w:hanging="340"/>
      </w:pPr>
      <w:rPr>
        <w:rFonts w:ascii="Arial" w:hAnsi="Arial" w:hint="default"/>
        <w:color w:val="404040"/>
      </w:rPr>
    </w:lvl>
    <w:lvl w:ilvl="4">
      <w:start w:val="1"/>
      <w:numFmt w:val="bullet"/>
      <w:lvlText w:val="‒"/>
      <w:lvlJc w:val="left"/>
      <w:pPr>
        <w:ind w:left="1361" w:hanging="340"/>
      </w:pPr>
      <w:rPr>
        <w:rFonts w:ascii="Arial" w:hAnsi="Arial" w:hint="default"/>
        <w:color w:val="666666" w:themeColor="text2"/>
      </w:rPr>
    </w:lvl>
    <w:lvl w:ilvl="5">
      <w:start w:val="1"/>
      <w:numFmt w:val="bullet"/>
      <w:lvlText w:val="‒"/>
      <w:lvlJc w:val="left"/>
      <w:pPr>
        <w:ind w:left="1361" w:hanging="340"/>
      </w:pPr>
      <w:rPr>
        <w:rFonts w:ascii="Arial" w:hAnsi="Arial" w:hint="default"/>
        <w:color w:val="666666" w:themeColor="text2"/>
      </w:rPr>
    </w:lvl>
    <w:lvl w:ilvl="6">
      <w:start w:val="1"/>
      <w:numFmt w:val="bullet"/>
      <w:lvlText w:val="‒"/>
      <w:lvlJc w:val="left"/>
      <w:pPr>
        <w:ind w:left="1361" w:hanging="340"/>
      </w:pPr>
      <w:rPr>
        <w:rFonts w:ascii="Arial" w:hAnsi="Arial" w:hint="default"/>
        <w:color w:val="666666" w:themeColor="text2"/>
      </w:rPr>
    </w:lvl>
    <w:lvl w:ilvl="7">
      <w:start w:val="1"/>
      <w:numFmt w:val="bullet"/>
      <w:lvlText w:val="‒"/>
      <w:lvlJc w:val="left"/>
      <w:pPr>
        <w:ind w:left="1361" w:hanging="340"/>
      </w:pPr>
      <w:rPr>
        <w:rFonts w:ascii="Arial" w:hAnsi="Arial" w:hint="default"/>
        <w:color w:val="666666" w:themeColor="text2"/>
      </w:rPr>
    </w:lvl>
    <w:lvl w:ilvl="8">
      <w:start w:val="1"/>
      <w:numFmt w:val="bullet"/>
      <w:lvlText w:val="‒"/>
      <w:lvlJc w:val="left"/>
      <w:pPr>
        <w:ind w:left="1361" w:hanging="340"/>
      </w:pPr>
      <w:rPr>
        <w:rFonts w:ascii="Arial" w:hAnsi="Arial" w:hint="default"/>
        <w:color w:val="666666" w:themeColor="text2"/>
      </w:rPr>
    </w:lvl>
  </w:abstractNum>
  <w:abstractNum w:abstractNumId="32" w15:restartNumberingAfterBreak="0">
    <w:nsid w:val="56F53BD3"/>
    <w:multiLevelType w:val="multilevel"/>
    <w:tmpl w:val="E5C07AEE"/>
    <w:numStyleLink w:val="ListTableNumberBullets"/>
  </w:abstractNum>
  <w:abstractNum w:abstractNumId="33" w15:restartNumberingAfterBreak="0">
    <w:nsid w:val="5BB21580"/>
    <w:multiLevelType w:val="hybridMultilevel"/>
    <w:tmpl w:val="F53C92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0DE02FB"/>
    <w:multiLevelType w:val="multilevel"/>
    <w:tmpl w:val="0809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7613D5C"/>
    <w:multiLevelType w:val="multilevel"/>
    <w:tmpl w:val="5CEC4328"/>
    <w:numStyleLink w:val="ListTableBullets"/>
  </w:abstractNum>
  <w:abstractNum w:abstractNumId="36" w15:restartNumberingAfterBreak="0">
    <w:nsid w:val="70314AB4"/>
    <w:multiLevelType w:val="hybridMultilevel"/>
    <w:tmpl w:val="B8D8C2F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32E7D02"/>
    <w:multiLevelType w:val="multilevel"/>
    <w:tmpl w:val="5CEC4328"/>
    <w:numStyleLink w:val="ListTableBullets"/>
  </w:abstractNum>
  <w:abstractNum w:abstractNumId="38" w15:restartNumberingAfterBreak="0">
    <w:nsid w:val="77541117"/>
    <w:multiLevelType w:val="hybridMultilevel"/>
    <w:tmpl w:val="B2E220DA"/>
    <w:lvl w:ilvl="0" w:tplc="0C090005">
      <w:start w:val="1"/>
      <w:numFmt w:val="bullet"/>
      <w:lvlText w:val=""/>
      <w:lvlJc w:val="left"/>
      <w:pPr>
        <w:ind w:left="473" w:hanging="360"/>
      </w:pPr>
      <w:rPr>
        <w:rFonts w:ascii="Wingdings" w:hAnsi="Wingdings"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9" w15:restartNumberingAfterBreak="0">
    <w:nsid w:val="77567068"/>
    <w:multiLevelType w:val="hybridMultilevel"/>
    <w:tmpl w:val="8DA20768"/>
    <w:lvl w:ilvl="0" w:tplc="D1C88A9E">
      <w:start w:val="1"/>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B65179F"/>
    <w:multiLevelType w:val="multilevel"/>
    <w:tmpl w:val="18BEAD54"/>
    <w:numStyleLink w:val="ListHeadings"/>
  </w:abstractNum>
  <w:abstractNum w:abstractNumId="41" w15:restartNumberingAfterBreak="0">
    <w:nsid w:val="7CD120DE"/>
    <w:multiLevelType w:val="hybridMultilevel"/>
    <w:tmpl w:val="16DC5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FD5B63"/>
    <w:multiLevelType w:val="hybridMultilevel"/>
    <w:tmpl w:val="398620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510DAA"/>
    <w:multiLevelType w:val="hybridMultilevel"/>
    <w:tmpl w:val="BE3466F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34"/>
  </w:num>
  <w:num w:numId="3">
    <w:abstractNumId w:val="11"/>
  </w:num>
  <w:num w:numId="4">
    <w:abstractNumId w:val="1"/>
  </w:num>
  <w:num w:numId="5">
    <w:abstractNumId w:val="20"/>
    <w:lvlOverride w:ilvl="0">
      <w:lvl w:ilvl="0">
        <w:start w:val="1"/>
        <w:numFmt w:val="bullet"/>
        <w:pStyle w:val="ListBullet"/>
        <w:lvlText w:val=""/>
        <w:lvlJc w:val="left"/>
        <w:pPr>
          <w:ind w:left="340" w:hanging="340"/>
        </w:pPr>
        <w:rPr>
          <w:rFonts w:ascii="Wingdings" w:hAnsi="Wingdings" w:hint="default"/>
          <w:color w:val="404040"/>
          <w:sz w:val="20"/>
        </w:rPr>
      </w:lvl>
    </w:lvlOverride>
    <w:lvlOverride w:ilvl="2">
      <w:lvl w:ilvl="2">
        <w:start w:val="1"/>
        <w:numFmt w:val="bullet"/>
        <w:pStyle w:val="ListBullet3"/>
        <w:lvlText w:val=""/>
        <w:lvlJc w:val="left"/>
        <w:pPr>
          <w:ind w:left="1191" w:hanging="340"/>
        </w:pPr>
        <w:rPr>
          <w:rFonts w:ascii="Symbol" w:hAnsi="Symbol" w:hint="default"/>
          <w:color w:val="404040"/>
        </w:rPr>
      </w:lvl>
    </w:lvlOverride>
  </w:num>
  <w:num w:numId="6">
    <w:abstractNumId w:val="23"/>
  </w:num>
  <w:num w:numId="7">
    <w:abstractNumId w:val="27"/>
  </w:num>
  <w:num w:numId="8">
    <w:abstractNumId w:val="10"/>
  </w:num>
  <w:num w:numId="9">
    <w:abstractNumId w:val="0"/>
  </w:num>
  <w:num w:numId="10">
    <w:abstractNumId w:val="9"/>
  </w:num>
  <w:num w:numId="11">
    <w:abstractNumId w:val="31"/>
  </w:num>
  <w:num w:numId="12">
    <w:abstractNumId w:val="13"/>
  </w:num>
  <w:num w:numId="13">
    <w:abstractNumId w:val="28"/>
  </w:num>
  <w:num w:numId="14">
    <w:abstractNumId w:val="16"/>
  </w:num>
  <w:num w:numId="15">
    <w:abstractNumId w:val="24"/>
  </w:num>
  <w:num w:numId="16">
    <w:abstractNumId w:val="39"/>
  </w:num>
  <w:num w:numId="17">
    <w:abstractNumId w:val="12"/>
  </w:num>
  <w:num w:numId="18">
    <w:abstractNumId w:val="30"/>
  </w:num>
  <w:num w:numId="19">
    <w:abstractNumId w:val="36"/>
  </w:num>
  <w:num w:numId="20">
    <w:abstractNumId w:val="38"/>
  </w:num>
  <w:num w:numId="21">
    <w:abstractNumId w:val="7"/>
  </w:num>
  <w:num w:numId="22">
    <w:abstractNumId w:val="43"/>
  </w:num>
  <w:num w:numId="23">
    <w:abstractNumId w:val="25"/>
  </w:num>
  <w:num w:numId="24">
    <w:abstractNumId w:val="21"/>
  </w:num>
  <w:num w:numId="25">
    <w:abstractNumId w:val="42"/>
  </w:num>
  <w:num w:numId="26">
    <w:abstractNumId w:val="5"/>
    <w:lvlOverride w:ilvl="0">
      <w:lvl w:ilvl="0">
        <w:start w:val="1"/>
        <w:numFmt w:val="upperLetter"/>
        <w:pStyle w:val="Appendix1"/>
        <w:lvlText w:val="Appendix %1"/>
        <w:lvlJc w:val="left"/>
        <w:pPr>
          <w:tabs>
            <w:tab w:val="num" w:pos="3402"/>
          </w:tabs>
          <w:ind w:left="3402" w:hanging="3402"/>
        </w:pPr>
        <w:rPr>
          <w:rFonts w:ascii="Flama Cond Bold" w:hAnsi="Flama Cond Bold" w:hint="default"/>
          <w:b w:val="0"/>
          <w:i w:val="0"/>
          <w:color w:val="auto"/>
          <w:sz w:val="48"/>
        </w:rPr>
      </w:lvl>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7"/>
  </w:num>
  <w:num w:numId="30">
    <w:abstractNumId w:val="17"/>
  </w:num>
  <w:num w:numId="31">
    <w:abstractNumId w:val="8"/>
  </w:num>
  <w:num w:numId="32">
    <w:abstractNumId w:val="32"/>
  </w:num>
  <w:num w:numId="33">
    <w:abstractNumId w:val="35"/>
    <w:lvlOverride w:ilvl="0">
      <w:lvl w:ilvl="0">
        <w:start w:val="1"/>
        <w:numFmt w:val="bullet"/>
        <w:pStyle w:val="Table-Bullet"/>
        <w:lvlText w:val=""/>
        <w:lvlJc w:val="left"/>
        <w:pPr>
          <w:ind w:left="454" w:hanging="341"/>
        </w:pPr>
        <w:rPr>
          <w:rFonts w:ascii="Wingdings" w:hAnsi="Wingdings" w:hint="default"/>
          <w:color w:val="404040"/>
        </w:rPr>
      </w:lvl>
    </w:lvlOverride>
  </w:num>
  <w:num w:numId="34">
    <w:abstractNumId w:val="26"/>
  </w:num>
  <w:num w:numId="35">
    <w:abstractNumId w:val="6"/>
  </w:num>
  <w:num w:numId="36">
    <w:abstractNumId w:val="40"/>
    <w:lvlOverride w:ilvl="0">
      <w:lvl w:ilvl="0">
        <w:start w:val="1"/>
        <w:numFmt w:val="decimal"/>
        <w:pStyle w:val="Heading1"/>
        <w:lvlText w:val="%1."/>
        <w:lvlJc w:val="left"/>
        <w:pPr>
          <w:ind w:left="2695" w:hanging="851"/>
        </w:pPr>
        <w:rPr>
          <w:rFonts w:asciiTheme="minorHAnsi" w:hAnsiTheme="minorHAnsi" w:cstheme="minorHAnsi" w:hint="default"/>
          <w:color w:val="auto"/>
        </w:rPr>
      </w:lvl>
    </w:lvlOverride>
    <w:lvlOverride w:ilvl="1">
      <w:lvl w:ilvl="1">
        <w:start w:val="1"/>
        <w:numFmt w:val="decimal"/>
        <w:pStyle w:val="Heading2"/>
        <w:lvlText w:val="%1.%2."/>
        <w:lvlJc w:val="left"/>
        <w:pPr>
          <w:ind w:left="851" w:hanging="851"/>
        </w:pPr>
        <w:rPr>
          <w:rFonts w:ascii="Flama Cond Bold" w:hAnsi="Flama Cond Bold" w:hint="default"/>
        </w:rPr>
      </w:lvl>
    </w:lvlOverride>
    <w:lvlOverride w:ilvl="2">
      <w:lvl w:ilvl="2">
        <w:start w:val="1"/>
        <w:numFmt w:val="decimal"/>
        <w:pStyle w:val="Heading3"/>
        <w:lvlText w:val="%1.%2.%3."/>
        <w:lvlJc w:val="left"/>
        <w:pPr>
          <w:ind w:left="851" w:hanging="851"/>
        </w:pPr>
        <w:rPr>
          <w:rFonts w:ascii="Arial" w:hAnsi="Arial" w:hint="default"/>
        </w:rPr>
      </w:lvl>
    </w:lvlOverride>
    <w:lvlOverride w:ilvl="3">
      <w:lvl w:ilvl="3">
        <w:start w:val="1"/>
        <w:numFmt w:val="decimal"/>
        <w:pStyle w:val="Heading4"/>
        <w:lvlText w:val="%1.%2.%3.%4."/>
        <w:lvlJc w:val="left"/>
        <w:pPr>
          <w:tabs>
            <w:tab w:val="num" w:pos="851"/>
          </w:tabs>
          <w:ind w:left="851" w:hanging="851"/>
        </w:pPr>
        <w:rPr>
          <w:rFonts w:ascii="Arial" w:hAnsi="Arial" w:hint="default"/>
        </w:rPr>
      </w:lvl>
    </w:lvlOverride>
    <w:lvlOverride w:ilvl="4">
      <w:lvl w:ilvl="4">
        <w:start w:val="1"/>
        <w:numFmt w:val="decimal"/>
        <w:lvlText w:val="%1.%2.%3.%4.%5."/>
        <w:lvlJc w:val="left"/>
        <w:pPr>
          <w:ind w:left="0" w:firstLine="0"/>
        </w:pPr>
        <w:rPr>
          <w:rFonts w:ascii="Arial Narrow" w:hAnsi="Arial Narrow" w:hint="default"/>
        </w:rPr>
      </w:lvl>
    </w:lvlOverride>
    <w:lvlOverride w:ilvl="5">
      <w:lvl w:ilvl="5">
        <w:start w:val="1"/>
        <w:numFmt w:val="decimal"/>
        <w:lvlText w:val="%1.%2.%3.%4.%5.%6."/>
        <w:lvlJc w:val="left"/>
        <w:pPr>
          <w:ind w:left="0" w:firstLine="0"/>
        </w:pPr>
        <w:rPr>
          <w:rFonts w:ascii="Arial Narrow" w:hAnsi="Arial Narrow" w:hint="default"/>
        </w:rPr>
      </w:lvl>
    </w:lvlOverride>
    <w:lvlOverride w:ilvl="6">
      <w:lvl w:ilvl="6">
        <w:start w:val="1"/>
        <w:numFmt w:val="decimal"/>
        <w:lvlText w:val="%1.%2.%3.%4.%5.%6.%7."/>
        <w:lvlJc w:val="left"/>
        <w:pPr>
          <w:ind w:left="0" w:firstLine="0"/>
        </w:pPr>
        <w:rPr>
          <w:rFonts w:ascii="Arial Narrow" w:hAnsi="Arial Narrow" w:hint="default"/>
        </w:rPr>
      </w:lvl>
    </w:lvlOverride>
    <w:lvlOverride w:ilvl="7">
      <w:lvl w:ilvl="7">
        <w:start w:val="1"/>
        <w:numFmt w:val="decimal"/>
        <w:lvlText w:val="%1.%2.%3.%4.%5.%6.%7.%8."/>
        <w:lvlJc w:val="left"/>
        <w:pPr>
          <w:ind w:left="0" w:firstLine="0"/>
        </w:pPr>
        <w:rPr>
          <w:rFonts w:ascii="Arial Narrow" w:hAnsi="Arial Narrow" w:hint="default"/>
        </w:rPr>
      </w:lvl>
    </w:lvlOverride>
    <w:lvlOverride w:ilvl="8">
      <w:lvl w:ilvl="8">
        <w:start w:val="1"/>
        <w:numFmt w:val="decimal"/>
        <w:lvlText w:val="%1.%2.%3.%4.%5.%6.%7.%8.%9."/>
        <w:lvlJc w:val="left"/>
        <w:pPr>
          <w:ind w:left="0" w:firstLine="0"/>
        </w:pPr>
        <w:rPr>
          <w:rFonts w:ascii="Arial Narrow" w:hAnsi="Arial Narrow" w:hint="default"/>
        </w:rPr>
      </w:lvl>
    </w:lvlOverride>
  </w:num>
  <w:num w:numId="37">
    <w:abstractNumId w:val="5"/>
    <w:lvlOverride w:ilvl="0">
      <w:lvl w:ilvl="0">
        <w:start w:val="1"/>
        <w:numFmt w:val="upperLetter"/>
        <w:pStyle w:val="Appendix1"/>
        <w:lvlText w:val="Appendix %1"/>
        <w:lvlJc w:val="left"/>
        <w:pPr>
          <w:tabs>
            <w:tab w:val="num" w:pos="3402"/>
          </w:tabs>
          <w:ind w:left="3402" w:hanging="3402"/>
        </w:pPr>
        <w:rPr>
          <w:rFonts w:ascii="Flama Cond Bold" w:hAnsi="Flama Cond Bold" w:hint="default"/>
          <w:b w:val="0"/>
          <w:i w:val="0"/>
          <w:color w:val="auto"/>
          <w:sz w:val="48"/>
        </w:rPr>
      </w:lvl>
    </w:lvlOverride>
  </w:num>
  <w:num w:numId="38">
    <w:abstractNumId w:val="33"/>
  </w:num>
  <w:num w:numId="39">
    <w:abstractNumId w:val="5"/>
    <w:lvlOverride w:ilvl="0">
      <w:lvl w:ilvl="0">
        <w:start w:val="1"/>
        <w:numFmt w:val="upperLetter"/>
        <w:pStyle w:val="Appendix1"/>
        <w:lvlText w:val="Appendix %1"/>
        <w:lvlJc w:val="left"/>
        <w:pPr>
          <w:tabs>
            <w:tab w:val="num" w:pos="3402"/>
          </w:tabs>
          <w:ind w:left="3402" w:hanging="3402"/>
        </w:pPr>
        <w:rPr>
          <w:rFonts w:ascii="Flama Cond Bold" w:hAnsi="Flama Cond Bold" w:hint="default"/>
          <w:b w:val="0"/>
          <w:i w:val="0"/>
          <w:color w:val="auto"/>
          <w:sz w:val="48"/>
        </w:rPr>
      </w:lvl>
    </w:lvlOverride>
  </w:num>
  <w:num w:numId="40">
    <w:abstractNumId w:val="5"/>
    <w:lvlOverride w:ilvl="0">
      <w:lvl w:ilvl="0">
        <w:start w:val="1"/>
        <w:numFmt w:val="upperLetter"/>
        <w:pStyle w:val="Appendix1"/>
        <w:lvlText w:val="Appendix %1"/>
        <w:lvlJc w:val="left"/>
        <w:pPr>
          <w:tabs>
            <w:tab w:val="num" w:pos="3402"/>
          </w:tabs>
          <w:ind w:left="3402" w:hanging="3402"/>
        </w:pPr>
      </w:lvl>
    </w:lvlOverride>
  </w:num>
  <w:num w:numId="41">
    <w:abstractNumId w:val="40"/>
    <w:lvlOverride w:ilvl="0">
      <w:lvl w:ilvl="0">
        <w:start w:val="1"/>
        <w:numFmt w:val="decimal"/>
        <w:pStyle w:val="Heading1"/>
        <w:lvlText w:val="%1."/>
        <w:lvlJc w:val="left"/>
        <w:pPr>
          <w:ind w:left="851" w:hanging="851"/>
        </w:pPr>
        <w:rPr>
          <w:rFonts w:asciiTheme="majorHAnsi" w:hAnsiTheme="majorHAnsi" w:cstheme="majorHAnsi" w:hint="default"/>
          <w:b/>
          <w:bCs/>
        </w:rPr>
      </w:lvl>
    </w:lvlOverride>
    <w:lvlOverride w:ilvl="1">
      <w:lvl w:ilvl="1">
        <w:start w:val="1"/>
        <w:numFmt w:val="decimal"/>
        <w:pStyle w:val="Heading2"/>
        <w:lvlText w:val="%1.%2."/>
        <w:lvlJc w:val="left"/>
        <w:pPr>
          <w:ind w:left="851" w:hanging="851"/>
        </w:pPr>
      </w:lvl>
    </w:lvlOverride>
  </w:num>
  <w:num w:numId="42">
    <w:abstractNumId w:val="4"/>
  </w:num>
  <w:num w:numId="43">
    <w:abstractNumId w:val="5"/>
    <w:lvlOverride w:ilvl="0">
      <w:lvl w:ilvl="0">
        <w:start w:val="1"/>
        <w:numFmt w:val="upperLetter"/>
        <w:pStyle w:val="Appendix1"/>
        <w:lvlText w:val="Appendix %1"/>
        <w:lvlJc w:val="left"/>
        <w:pPr>
          <w:tabs>
            <w:tab w:val="num" w:pos="3402"/>
          </w:tabs>
          <w:ind w:left="3402" w:hanging="3402"/>
        </w:pPr>
        <w:rPr>
          <w:rFonts w:ascii="Flama Cond Bold" w:hAnsi="Flama Cond Bold" w:hint="default"/>
          <w:b w:val="0"/>
          <w:i w:val="0"/>
          <w:color w:val="auto"/>
          <w:sz w:val="48"/>
        </w:rPr>
      </w:lvl>
    </w:lvlOverride>
  </w:num>
  <w:num w:numId="44">
    <w:abstractNumId w:val="5"/>
    <w:lvlOverride w:ilvl="0">
      <w:lvl w:ilvl="0">
        <w:start w:val="1"/>
        <w:numFmt w:val="upperLetter"/>
        <w:pStyle w:val="Appendix1"/>
        <w:lvlText w:val="Appendix %1"/>
        <w:lvlJc w:val="left"/>
        <w:pPr>
          <w:tabs>
            <w:tab w:val="num" w:pos="3402"/>
          </w:tabs>
          <w:ind w:left="3402" w:hanging="3402"/>
        </w:pPr>
        <w:rPr>
          <w:rFonts w:ascii="Flama Cond Bold" w:hAnsi="Flama Cond Bold" w:hint="default"/>
          <w:b w:val="0"/>
          <w:i w:val="0"/>
          <w:color w:val="auto"/>
          <w:sz w:val="48"/>
        </w:rPr>
      </w:lvl>
    </w:lvlOverride>
  </w:num>
  <w:num w:numId="45">
    <w:abstractNumId w:val="40"/>
    <w:lvlOverride w:ilvl="0">
      <w:lvl w:ilvl="0">
        <w:start w:val="1"/>
        <w:numFmt w:val="decimal"/>
        <w:pStyle w:val="Heading1"/>
        <w:lvlText w:val="%1."/>
        <w:lvlJc w:val="left"/>
        <w:pPr>
          <w:ind w:left="851" w:hanging="851"/>
        </w:pPr>
        <w:rPr>
          <w:rFonts w:ascii="Flama Cond Bold" w:hAnsi="Flama Cond Bold" w:cs="Arial" w:hint="default"/>
        </w:rPr>
      </w:lvl>
    </w:lvlOverride>
    <w:lvlOverride w:ilvl="1">
      <w:lvl w:ilvl="1">
        <w:start w:val="1"/>
        <w:numFmt w:val="decimal"/>
        <w:pStyle w:val="Heading2"/>
        <w:lvlText w:val="%1.%2."/>
        <w:lvlJc w:val="left"/>
        <w:pPr>
          <w:ind w:left="851" w:hanging="851"/>
        </w:pPr>
        <w:rPr>
          <w:rFonts w:ascii="Flama Cond Bold" w:hAnsi="Flama Cond Bold" w:hint="default"/>
        </w:rPr>
      </w:lvl>
    </w:lvlOverride>
    <w:lvlOverride w:ilvl="2">
      <w:lvl w:ilvl="2">
        <w:start w:val="1"/>
        <w:numFmt w:val="decimal"/>
        <w:pStyle w:val="Heading3"/>
        <w:lvlText w:val="%1.%2.%3."/>
        <w:lvlJc w:val="left"/>
        <w:pPr>
          <w:ind w:left="851" w:hanging="851"/>
        </w:pPr>
        <w:rPr>
          <w:rFonts w:ascii="Arial" w:hAnsi="Arial" w:hint="default"/>
        </w:rPr>
      </w:lvl>
    </w:lvlOverride>
    <w:lvlOverride w:ilvl="3">
      <w:lvl w:ilvl="3">
        <w:start w:val="1"/>
        <w:numFmt w:val="decimal"/>
        <w:pStyle w:val="Heading4"/>
        <w:lvlText w:val="%1.%2.%3.%4."/>
        <w:lvlJc w:val="left"/>
        <w:pPr>
          <w:tabs>
            <w:tab w:val="num" w:pos="851"/>
          </w:tabs>
          <w:ind w:left="851" w:hanging="851"/>
        </w:pPr>
        <w:rPr>
          <w:rFonts w:ascii="Arial" w:hAnsi="Arial" w:hint="default"/>
        </w:rPr>
      </w:lvl>
    </w:lvlOverride>
    <w:lvlOverride w:ilvl="4">
      <w:lvl w:ilvl="4">
        <w:start w:val="1"/>
        <w:numFmt w:val="decimal"/>
        <w:lvlText w:val="%1.%2.%3.%4.%5."/>
        <w:lvlJc w:val="left"/>
        <w:pPr>
          <w:ind w:left="0" w:firstLine="0"/>
        </w:pPr>
        <w:rPr>
          <w:rFonts w:ascii="Arial Narrow" w:hAnsi="Arial Narrow" w:hint="default"/>
        </w:rPr>
      </w:lvl>
    </w:lvlOverride>
    <w:lvlOverride w:ilvl="5">
      <w:lvl w:ilvl="5">
        <w:start w:val="1"/>
        <w:numFmt w:val="decimal"/>
        <w:lvlText w:val="%1.%2.%3.%4.%5.%6."/>
        <w:lvlJc w:val="left"/>
        <w:pPr>
          <w:ind w:left="0" w:firstLine="0"/>
        </w:pPr>
        <w:rPr>
          <w:rFonts w:ascii="Arial Narrow" w:hAnsi="Arial Narrow" w:hint="default"/>
        </w:rPr>
      </w:lvl>
    </w:lvlOverride>
    <w:lvlOverride w:ilvl="6">
      <w:lvl w:ilvl="6">
        <w:start w:val="1"/>
        <w:numFmt w:val="decimal"/>
        <w:lvlText w:val="%1.%2.%3.%4.%5.%6.%7."/>
        <w:lvlJc w:val="left"/>
        <w:pPr>
          <w:ind w:left="0" w:firstLine="0"/>
        </w:pPr>
        <w:rPr>
          <w:rFonts w:ascii="Arial Narrow" w:hAnsi="Arial Narrow" w:hint="default"/>
        </w:rPr>
      </w:lvl>
    </w:lvlOverride>
    <w:lvlOverride w:ilvl="7">
      <w:lvl w:ilvl="7">
        <w:start w:val="1"/>
        <w:numFmt w:val="decimal"/>
        <w:lvlText w:val="%1.%2.%3.%4.%5.%6.%7.%8."/>
        <w:lvlJc w:val="left"/>
        <w:pPr>
          <w:ind w:left="0" w:firstLine="0"/>
        </w:pPr>
        <w:rPr>
          <w:rFonts w:ascii="Arial Narrow" w:hAnsi="Arial Narrow" w:hint="default"/>
        </w:rPr>
      </w:lvl>
    </w:lvlOverride>
    <w:lvlOverride w:ilvl="8">
      <w:lvl w:ilvl="8">
        <w:start w:val="1"/>
        <w:numFmt w:val="decimal"/>
        <w:lvlText w:val="%1.%2.%3.%4.%5.%6.%7.%8.%9."/>
        <w:lvlJc w:val="left"/>
        <w:pPr>
          <w:ind w:left="0" w:firstLine="0"/>
        </w:pPr>
        <w:rPr>
          <w:rFonts w:ascii="Arial Narrow" w:hAnsi="Arial Narrow" w:hint="default"/>
        </w:rPr>
      </w:lvl>
    </w:lvlOverride>
  </w:num>
  <w:num w:numId="46">
    <w:abstractNumId w:val="5"/>
    <w:lvlOverride w:ilvl="0">
      <w:lvl w:ilvl="0">
        <w:start w:val="1"/>
        <w:numFmt w:val="upperLetter"/>
        <w:pStyle w:val="Appendix1"/>
        <w:lvlText w:val="Appendix %1"/>
        <w:lvlJc w:val="left"/>
        <w:pPr>
          <w:tabs>
            <w:tab w:val="num" w:pos="3402"/>
          </w:tabs>
          <w:ind w:left="3402" w:hanging="3402"/>
        </w:pPr>
        <w:rPr>
          <w:rFonts w:ascii="Flama Cond Bold" w:hAnsi="Flama Cond Bold" w:hint="default"/>
          <w:b w:val="0"/>
          <w:i w:val="0"/>
          <w:color w:val="auto"/>
          <w:sz w:val="48"/>
        </w:rPr>
      </w:lvl>
    </w:lvlOverride>
  </w:num>
  <w:num w:numId="47">
    <w:abstractNumId w:val="5"/>
    <w:lvlOverride w:ilvl="0">
      <w:lvl w:ilvl="0">
        <w:start w:val="1"/>
        <w:numFmt w:val="upperLetter"/>
        <w:pStyle w:val="Appendix1"/>
        <w:lvlText w:val="Appendix %1"/>
        <w:lvlJc w:val="left"/>
        <w:pPr>
          <w:tabs>
            <w:tab w:val="num" w:pos="3402"/>
          </w:tabs>
          <w:ind w:left="3402" w:hanging="3402"/>
        </w:pPr>
        <w:rPr>
          <w:rFonts w:ascii="Flama Cond Bold" w:hAnsi="Flama Cond Bold" w:hint="default"/>
          <w:b w:val="0"/>
          <w:i w:val="0"/>
          <w:color w:val="auto"/>
          <w:sz w:val="48"/>
        </w:rPr>
      </w:lvl>
    </w:lvlOverride>
  </w:num>
  <w:num w:numId="48">
    <w:abstractNumId w:val="5"/>
    <w:lvlOverride w:ilvl="0">
      <w:lvl w:ilvl="0">
        <w:start w:val="1"/>
        <w:numFmt w:val="upperLetter"/>
        <w:pStyle w:val="Appendix1"/>
        <w:lvlText w:val="Appendix %1"/>
        <w:lvlJc w:val="left"/>
        <w:pPr>
          <w:tabs>
            <w:tab w:val="num" w:pos="3402"/>
          </w:tabs>
          <w:ind w:left="3402" w:hanging="3402"/>
        </w:pPr>
      </w:lvl>
    </w:lvlOverride>
  </w:num>
  <w:num w:numId="49">
    <w:abstractNumId w:val="40"/>
    <w:lvlOverride w:ilvl="0">
      <w:lvl w:ilvl="0">
        <w:start w:val="1"/>
        <w:numFmt w:val="decimal"/>
        <w:pStyle w:val="Heading1"/>
        <w:lvlText w:val="%1."/>
        <w:lvlJc w:val="left"/>
        <w:pPr>
          <w:ind w:left="851" w:hanging="851"/>
        </w:pPr>
        <w:rPr>
          <w:rFonts w:asciiTheme="majorHAnsi" w:hAnsiTheme="majorHAnsi" w:cstheme="majorHAnsi" w:hint="default"/>
          <w:b/>
          <w:bCs/>
        </w:rPr>
      </w:lvl>
    </w:lvlOverride>
    <w:lvlOverride w:ilvl="1">
      <w:lvl w:ilvl="1">
        <w:start w:val="1"/>
        <w:numFmt w:val="decimal"/>
        <w:pStyle w:val="Heading2"/>
        <w:lvlText w:val="%1.%2."/>
        <w:lvlJc w:val="left"/>
        <w:pPr>
          <w:ind w:left="851" w:hanging="851"/>
        </w:pPr>
        <w:rPr>
          <w:rFonts w:asciiTheme="majorHAnsi" w:hAnsiTheme="majorHAnsi" w:cstheme="majorHAnsi" w:hint="default"/>
          <w:b/>
          <w:bCs/>
        </w:rPr>
      </w:lvl>
    </w:lvlOverride>
  </w:num>
  <w:num w:numId="50">
    <w:abstractNumId w:val="5"/>
    <w:lvlOverride w:ilvl="0">
      <w:lvl w:ilvl="0">
        <w:start w:val="1"/>
        <w:numFmt w:val="upperLetter"/>
        <w:pStyle w:val="Appendix1"/>
        <w:lvlText w:val="Appendix %1"/>
        <w:lvlJc w:val="left"/>
        <w:pPr>
          <w:tabs>
            <w:tab w:val="num" w:pos="3402"/>
          </w:tabs>
          <w:ind w:left="3402" w:hanging="3402"/>
        </w:pPr>
        <w:rPr>
          <w:rFonts w:ascii="Flama Cond Bold" w:hAnsi="Flama Cond Bold" w:hint="default"/>
          <w:b w:val="0"/>
          <w:i w:val="0"/>
          <w:color w:val="auto"/>
          <w:sz w:val="48"/>
        </w:rPr>
      </w:lvl>
    </w:lvlOverride>
  </w:num>
  <w:num w:numId="51">
    <w:abstractNumId w:val="19"/>
  </w:num>
  <w:num w:numId="52">
    <w:abstractNumId w:val="4"/>
  </w:num>
  <w:num w:numId="53">
    <w:abstractNumId w:val="4"/>
  </w:num>
  <w:num w:numId="54">
    <w:abstractNumId w:val="22"/>
  </w:num>
  <w:num w:numId="55">
    <w:abstractNumId w:val="5"/>
    <w:lvlOverride w:ilvl="0">
      <w:lvl w:ilvl="0">
        <w:start w:val="1"/>
        <w:numFmt w:val="upperLetter"/>
        <w:pStyle w:val="Appendix1"/>
        <w:lvlText w:val="Appendix %1"/>
        <w:lvlJc w:val="left"/>
        <w:pPr>
          <w:tabs>
            <w:tab w:val="num" w:pos="3402"/>
          </w:tabs>
          <w:ind w:left="3402" w:hanging="3402"/>
        </w:pPr>
      </w:lvl>
    </w:lvlOverride>
  </w:num>
  <w:num w:numId="56">
    <w:abstractNumId w:val="40"/>
    <w:lvlOverride w:ilvl="0">
      <w:lvl w:ilvl="0">
        <w:start w:val="1"/>
        <w:numFmt w:val="decimal"/>
        <w:pStyle w:val="Heading1"/>
        <w:lvlText w:val="%1."/>
        <w:lvlJc w:val="left"/>
        <w:pPr>
          <w:ind w:left="851" w:hanging="851"/>
        </w:pPr>
        <w:rPr>
          <w:rFonts w:asciiTheme="majorHAnsi" w:hAnsiTheme="majorHAnsi" w:cstheme="majorHAnsi" w:hint="default"/>
          <w:b/>
          <w:bCs/>
        </w:rPr>
      </w:lvl>
    </w:lvlOverride>
    <w:lvlOverride w:ilvl="1">
      <w:lvl w:ilvl="1">
        <w:start w:val="1"/>
        <w:numFmt w:val="decimal"/>
        <w:pStyle w:val="Heading2"/>
        <w:lvlText w:val="%1.%2."/>
        <w:lvlJc w:val="left"/>
        <w:pPr>
          <w:ind w:left="851" w:hanging="851"/>
        </w:pPr>
        <w:rPr>
          <w:rFonts w:asciiTheme="majorHAnsi" w:hAnsiTheme="majorHAnsi" w:cstheme="majorHAnsi" w:hint="default"/>
          <w:b/>
          <w:bCs/>
        </w:rPr>
      </w:lvl>
    </w:lvlOverride>
    <w:lvlOverride w:ilvl="2">
      <w:lvl w:ilvl="2">
        <w:start w:val="1"/>
        <w:numFmt w:val="decimal"/>
        <w:pStyle w:val="Heading3"/>
        <w:lvlText w:val="%1.%2.%3."/>
        <w:lvlJc w:val="left"/>
        <w:pPr>
          <w:ind w:left="5388" w:hanging="851"/>
        </w:pPr>
        <w:rPr>
          <w:rFonts w:ascii="Arial" w:hAnsi="Arial" w:hint="default"/>
        </w:rPr>
      </w:lvl>
    </w:lvlOverride>
  </w:num>
  <w:num w:numId="57">
    <w:abstractNumId w:val="4"/>
  </w:num>
  <w:num w:numId="58">
    <w:abstractNumId w:val="20"/>
  </w:num>
  <w:num w:numId="59">
    <w:abstractNumId w:val="3"/>
  </w:num>
  <w:num w:numId="60">
    <w:abstractNumId w:val="40"/>
    <w:lvlOverride w:ilvl="0">
      <w:lvl w:ilvl="0">
        <w:start w:val="1"/>
        <w:numFmt w:val="decimal"/>
        <w:pStyle w:val="Heading1"/>
        <w:lvlText w:val="%1."/>
        <w:lvlJc w:val="left"/>
        <w:pPr>
          <w:ind w:left="851" w:hanging="851"/>
        </w:pPr>
        <w:rPr>
          <w:rFonts w:asciiTheme="majorHAnsi" w:hAnsiTheme="majorHAnsi" w:cstheme="majorHAnsi" w:hint="default"/>
          <w:b/>
          <w:bCs/>
        </w:rPr>
      </w:lvl>
    </w:lvlOverride>
    <w:lvlOverride w:ilvl="1">
      <w:lvl w:ilvl="1">
        <w:start w:val="1"/>
        <w:numFmt w:val="decimal"/>
        <w:pStyle w:val="Heading2"/>
        <w:lvlText w:val="%1.%2."/>
        <w:lvlJc w:val="left"/>
        <w:pPr>
          <w:ind w:left="851" w:hanging="851"/>
        </w:pPr>
        <w:rPr>
          <w:rFonts w:asciiTheme="majorHAnsi" w:hAnsiTheme="majorHAnsi" w:cstheme="majorHAnsi" w:hint="default"/>
          <w:b/>
          <w:bCs/>
        </w:rPr>
      </w:lvl>
    </w:lvlOverride>
    <w:lvlOverride w:ilvl="2">
      <w:lvl w:ilvl="2">
        <w:start w:val="1"/>
        <w:numFmt w:val="decimal"/>
        <w:pStyle w:val="Heading3"/>
        <w:lvlText w:val="%1.%2.%3."/>
        <w:lvlJc w:val="left"/>
        <w:pPr>
          <w:ind w:left="5388" w:hanging="851"/>
        </w:pPr>
        <w:rPr>
          <w:rFonts w:ascii="Arial" w:hAnsi="Arial" w:hint="default"/>
        </w:rPr>
      </w:lvl>
    </w:lvlOverride>
  </w:num>
  <w:num w:numId="61">
    <w:abstractNumId w:val="40"/>
    <w:lvlOverride w:ilvl="0">
      <w:lvl w:ilvl="0">
        <w:start w:val="1"/>
        <w:numFmt w:val="decimal"/>
        <w:pStyle w:val="Heading1"/>
        <w:lvlText w:val="%1."/>
        <w:lvlJc w:val="left"/>
        <w:pPr>
          <w:ind w:left="851" w:hanging="851"/>
        </w:pPr>
        <w:rPr>
          <w:rFonts w:asciiTheme="majorHAnsi" w:hAnsiTheme="majorHAnsi" w:cstheme="majorHAnsi" w:hint="default"/>
          <w:b/>
          <w:bCs/>
        </w:rPr>
      </w:lvl>
    </w:lvlOverride>
    <w:lvlOverride w:ilvl="1">
      <w:lvl w:ilvl="1">
        <w:start w:val="1"/>
        <w:numFmt w:val="decimal"/>
        <w:pStyle w:val="Heading2"/>
        <w:lvlText w:val="%1.%2."/>
        <w:lvlJc w:val="left"/>
        <w:pPr>
          <w:ind w:left="851" w:hanging="851"/>
        </w:pPr>
        <w:rPr>
          <w:rFonts w:asciiTheme="majorHAnsi" w:hAnsiTheme="majorHAnsi" w:cstheme="majorHAnsi" w:hint="default"/>
          <w:b/>
          <w:bCs/>
        </w:rPr>
      </w:lvl>
    </w:lvlOverride>
    <w:lvlOverride w:ilvl="2">
      <w:lvl w:ilvl="2">
        <w:start w:val="1"/>
        <w:numFmt w:val="decimal"/>
        <w:pStyle w:val="Heading3"/>
        <w:lvlText w:val="%1.%2.%3."/>
        <w:lvlJc w:val="left"/>
        <w:pPr>
          <w:ind w:left="5388" w:hanging="851"/>
        </w:pPr>
        <w:rPr>
          <w:rFonts w:ascii="Arial" w:hAnsi="Arial" w:hint="default"/>
        </w:rPr>
      </w:lvl>
    </w:lvlOverride>
  </w:num>
  <w:num w:numId="62">
    <w:abstractNumId w:val="41"/>
  </w:num>
  <w:num w:numId="63">
    <w:abstractNumId w:val="35"/>
    <w:lvlOverride w:ilvl="0">
      <w:lvl w:ilvl="0">
        <w:start w:val="1"/>
        <w:numFmt w:val="bullet"/>
        <w:pStyle w:val="Table-Bullet"/>
        <w:lvlText w:val=""/>
        <w:lvlJc w:val="left"/>
        <w:pPr>
          <w:ind w:left="454" w:hanging="341"/>
        </w:pPr>
        <w:rPr>
          <w:rFonts w:ascii="Wingdings" w:hAnsi="Wingdings" w:hint="default"/>
          <w:color w:val="404040"/>
        </w:rPr>
      </w:lvl>
    </w:lvlOverride>
  </w:num>
  <w:num w:numId="64">
    <w:abstractNumId w:val="35"/>
    <w:lvlOverride w:ilvl="0">
      <w:lvl w:ilvl="0">
        <w:start w:val="1"/>
        <w:numFmt w:val="bullet"/>
        <w:pStyle w:val="Table-Bullet"/>
        <w:lvlText w:val=""/>
        <w:lvlJc w:val="left"/>
        <w:pPr>
          <w:ind w:left="454" w:hanging="341"/>
        </w:pPr>
        <w:rPr>
          <w:rFonts w:ascii="Wingdings" w:hAnsi="Wingdings" w:hint="default"/>
          <w:color w:val="404040"/>
        </w:rPr>
      </w:lvl>
    </w:lvlOverride>
  </w:num>
  <w:num w:numId="65">
    <w:abstractNumId w:val="35"/>
    <w:lvlOverride w:ilvl="0">
      <w:lvl w:ilvl="0">
        <w:start w:val="1"/>
        <w:numFmt w:val="bullet"/>
        <w:pStyle w:val="Table-Bullet"/>
        <w:lvlText w:val=""/>
        <w:lvlJc w:val="left"/>
        <w:pPr>
          <w:ind w:left="454" w:hanging="341"/>
        </w:pPr>
        <w:rPr>
          <w:rFonts w:ascii="Wingdings" w:hAnsi="Wingdings" w:hint="default"/>
          <w:color w:val="404040"/>
        </w:rPr>
      </w:lvl>
    </w:lvlOverride>
  </w:num>
  <w:num w:numId="66">
    <w:abstractNumId w:val="35"/>
    <w:lvlOverride w:ilvl="0">
      <w:lvl w:ilvl="0">
        <w:start w:val="1"/>
        <w:numFmt w:val="bullet"/>
        <w:pStyle w:val="Table-Bullet"/>
        <w:lvlText w:val=""/>
        <w:lvlJc w:val="left"/>
        <w:pPr>
          <w:ind w:left="454" w:hanging="341"/>
        </w:pPr>
        <w:rPr>
          <w:rFonts w:ascii="Wingdings" w:hAnsi="Wingdings" w:hint="default"/>
          <w:color w:val="404040"/>
        </w:rPr>
      </w:lvl>
    </w:lvlOverride>
  </w:num>
  <w:num w:numId="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0"/>
    <w:lvlOverride w:ilvl="0">
      <w:lvl w:ilvl="0">
        <w:start w:val="1"/>
        <w:numFmt w:val="decimal"/>
        <w:pStyle w:val="Heading1"/>
        <w:lvlText w:val="%1."/>
        <w:lvlJc w:val="left"/>
        <w:pPr>
          <w:ind w:left="851" w:hanging="851"/>
        </w:pPr>
        <w:rPr>
          <w:rFonts w:asciiTheme="majorHAnsi" w:hAnsiTheme="majorHAnsi" w:cstheme="majorHAnsi" w:hint="default"/>
          <w:b/>
          <w:bCs/>
        </w:rPr>
      </w:lvl>
    </w:lvlOverride>
    <w:lvlOverride w:ilvl="1">
      <w:lvl w:ilvl="1">
        <w:start w:val="1"/>
        <w:numFmt w:val="decimal"/>
        <w:pStyle w:val="Heading2"/>
        <w:lvlText w:val="%1.%2."/>
        <w:lvlJc w:val="left"/>
        <w:pPr>
          <w:ind w:left="851" w:hanging="851"/>
        </w:pPr>
        <w:rPr>
          <w:rFonts w:asciiTheme="majorHAnsi" w:hAnsiTheme="majorHAnsi" w:cstheme="majorHAnsi" w:hint="default"/>
          <w:b/>
          <w:bCs/>
        </w:rPr>
      </w:lvl>
    </w:lvlOverride>
    <w:lvlOverride w:ilvl="2">
      <w:lvl w:ilvl="2">
        <w:start w:val="1"/>
        <w:numFmt w:val="decimal"/>
        <w:pStyle w:val="Heading3"/>
        <w:lvlText w:val="%1.%2.%3."/>
        <w:lvlJc w:val="left"/>
        <w:pPr>
          <w:ind w:left="5388" w:hanging="851"/>
        </w:pPr>
        <w:rPr>
          <w:rFonts w:ascii="Arial" w:hAnsi="Arial" w:hint="default"/>
        </w:rPr>
      </w:lvl>
    </w:lvlOverride>
  </w:num>
  <w:num w:numId="70">
    <w:abstractNumId w:val="14"/>
  </w:num>
  <w:num w:numId="71">
    <w:abstractNumId w:val="20"/>
    <w:lvlOverride w:ilvl="0">
      <w:lvl w:ilvl="0">
        <w:start w:val="1"/>
        <w:numFmt w:val="bullet"/>
        <w:pStyle w:val="ListBullet"/>
        <w:lvlText w:val=""/>
        <w:lvlJc w:val="left"/>
        <w:pPr>
          <w:ind w:left="340" w:hanging="340"/>
        </w:pPr>
        <w:rPr>
          <w:rFonts w:ascii="Wingdings" w:hAnsi="Wingdings" w:hint="default"/>
          <w:color w:val="404040"/>
          <w:sz w:val="20"/>
        </w:rPr>
      </w:lvl>
    </w:lvlOverride>
    <w:lvlOverride w:ilvl="2">
      <w:lvl w:ilvl="2">
        <w:start w:val="1"/>
        <w:numFmt w:val="bullet"/>
        <w:pStyle w:val="ListBullet3"/>
        <w:lvlText w:val=""/>
        <w:lvlJc w:val="left"/>
        <w:pPr>
          <w:ind w:left="1191" w:hanging="340"/>
        </w:pPr>
        <w:rPr>
          <w:rFonts w:ascii="Symbol" w:hAnsi="Symbol" w:hint="default"/>
          <w:color w:val="404040"/>
        </w:rPr>
      </w:lvl>
    </w:lvlOverride>
  </w:num>
  <w:num w:numId="72">
    <w:abstractNumId w:val="18"/>
  </w:num>
  <w:num w:numId="73">
    <w:abstractNumId w:val="20"/>
    <w:lvlOverride w:ilvl="0">
      <w:lvl w:ilvl="0">
        <w:start w:val="1"/>
        <w:numFmt w:val="bullet"/>
        <w:pStyle w:val="ListBullet"/>
        <w:lvlText w:val=""/>
        <w:lvlJc w:val="left"/>
        <w:pPr>
          <w:ind w:left="340" w:hanging="340"/>
        </w:pPr>
        <w:rPr>
          <w:rFonts w:ascii="Wingdings" w:hAnsi="Wingdings" w:hint="default"/>
          <w:color w:val="404040"/>
          <w:sz w:val="20"/>
        </w:rPr>
      </w:lvl>
    </w:lvlOverride>
    <w:lvlOverride w:ilvl="2">
      <w:lvl w:ilvl="2">
        <w:start w:val="1"/>
        <w:numFmt w:val="bullet"/>
        <w:pStyle w:val="ListBullet3"/>
        <w:lvlText w:val=""/>
        <w:lvlJc w:val="left"/>
        <w:pPr>
          <w:ind w:left="1191" w:hanging="340"/>
        </w:pPr>
        <w:rPr>
          <w:rFonts w:ascii="Symbol" w:hAnsi="Symbol" w:hint="default"/>
          <w:color w:val="404040"/>
        </w:rPr>
      </w:lvl>
    </w:lvlOverride>
  </w:num>
  <w:num w:numId="74">
    <w:abstractNumId w:val="2"/>
  </w:num>
  <w:num w:numId="75">
    <w:abstractNumId w:val="20"/>
    <w:lvlOverride w:ilvl="0">
      <w:lvl w:ilvl="0">
        <w:start w:val="1"/>
        <w:numFmt w:val="bullet"/>
        <w:pStyle w:val="ListBullet"/>
        <w:lvlText w:val=""/>
        <w:lvlJc w:val="left"/>
        <w:pPr>
          <w:ind w:left="340" w:hanging="340"/>
        </w:pPr>
        <w:rPr>
          <w:rFonts w:ascii="Wingdings" w:hAnsi="Wingdings" w:hint="default"/>
          <w:color w:val="404040"/>
          <w:sz w:val="20"/>
        </w:rPr>
      </w:lvl>
    </w:lvlOverride>
    <w:lvlOverride w:ilvl="2">
      <w:lvl w:ilvl="2">
        <w:start w:val="1"/>
        <w:numFmt w:val="bullet"/>
        <w:pStyle w:val="ListBullet3"/>
        <w:lvlText w:val=""/>
        <w:lvlJc w:val="left"/>
        <w:pPr>
          <w:ind w:left="1191" w:hanging="340"/>
        </w:pPr>
        <w:rPr>
          <w:rFonts w:ascii="Symbol" w:hAnsi="Symbol" w:hint="default"/>
          <w:color w:val="404040"/>
        </w:rPr>
      </w:lvl>
    </w:lvlOverride>
  </w:num>
  <w:num w:numId="76">
    <w:abstractNumId w:val="20"/>
    <w:lvlOverride w:ilvl="0">
      <w:lvl w:ilvl="0">
        <w:start w:val="1"/>
        <w:numFmt w:val="bullet"/>
        <w:pStyle w:val="ListBullet"/>
        <w:lvlText w:val=""/>
        <w:lvlJc w:val="left"/>
        <w:pPr>
          <w:ind w:left="340" w:hanging="340"/>
        </w:pPr>
        <w:rPr>
          <w:rFonts w:ascii="Wingdings" w:hAnsi="Wingdings" w:hint="default"/>
          <w:color w:val="404040"/>
          <w:sz w:val="20"/>
        </w:rPr>
      </w:lvl>
    </w:lvlOverride>
    <w:lvlOverride w:ilvl="2">
      <w:lvl w:ilvl="2">
        <w:start w:val="1"/>
        <w:numFmt w:val="bullet"/>
        <w:pStyle w:val="ListBullet3"/>
        <w:lvlText w:val=""/>
        <w:lvlJc w:val="left"/>
        <w:pPr>
          <w:ind w:left="1191" w:hanging="340"/>
        </w:pPr>
        <w:rPr>
          <w:rFonts w:ascii="Symbol" w:hAnsi="Symbol" w:hint="default"/>
          <w:color w:val="404040"/>
        </w:rPr>
      </w:lvl>
    </w:lvlOverride>
  </w:num>
  <w:num w:numId="77">
    <w:abstractNumId w:val="1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mirrorMargins/>
  <w:defaultTabStop w:val="1304"/>
  <w:hyphenationZone w:val="425"/>
  <w:doNotHyphenateCaps/>
  <w:evenAndOddHeaders/>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398"/>
    <w:rsid w:val="00000368"/>
    <w:rsid w:val="00000395"/>
    <w:rsid w:val="00000397"/>
    <w:rsid w:val="000006B1"/>
    <w:rsid w:val="0000075D"/>
    <w:rsid w:val="00000903"/>
    <w:rsid w:val="000009AA"/>
    <w:rsid w:val="00000B82"/>
    <w:rsid w:val="00000E06"/>
    <w:rsid w:val="00000E93"/>
    <w:rsid w:val="00000EFC"/>
    <w:rsid w:val="0000107E"/>
    <w:rsid w:val="000012B6"/>
    <w:rsid w:val="0000157A"/>
    <w:rsid w:val="000015B6"/>
    <w:rsid w:val="000016A8"/>
    <w:rsid w:val="000016F7"/>
    <w:rsid w:val="00001A8C"/>
    <w:rsid w:val="00001AFA"/>
    <w:rsid w:val="00001BF9"/>
    <w:rsid w:val="00001C95"/>
    <w:rsid w:val="00001D25"/>
    <w:rsid w:val="00001E41"/>
    <w:rsid w:val="00001E49"/>
    <w:rsid w:val="000021AC"/>
    <w:rsid w:val="000021E8"/>
    <w:rsid w:val="00002266"/>
    <w:rsid w:val="00002455"/>
    <w:rsid w:val="000024D4"/>
    <w:rsid w:val="00002573"/>
    <w:rsid w:val="000026F4"/>
    <w:rsid w:val="000026FF"/>
    <w:rsid w:val="0000275E"/>
    <w:rsid w:val="000027DC"/>
    <w:rsid w:val="000027DE"/>
    <w:rsid w:val="0000296A"/>
    <w:rsid w:val="00002A6B"/>
    <w:rsid w:val="00002AAE"/>
    <w:rsid w:val="00002CA8"/>
    <w:rsid w:val="00002D9E"/>
    <w:rsid w:val="00002E24"/>
    <w:rsid w:val="00002EE3"/>
    <w:rsid w:val="00002FE6"/>
    <w:rsid w:val="00003006"/>
    <w:rsid w:val="00003164"/>
    <w:rsid w:val="000031EE"/>
    <w:rsid w:val="00003201"/>
    <w:rsid w:val="00003330"/>
    <w:rsid w:val="0000342F"/>
    <w:rsid w:val="00003519"/>
    <w:rsid w:val="0000377B"/>
    <w:rsid w:val="000039D0"/>
    <w:rsid w:val="00003A7F"/>
    <w:rsid w:val="00003AE3"/>
    <w:rsid w:val="00003B97"/>
    <w:rsid w:val="00003D43"/>
    <w:rsid w:val="00003D93"/>
    <w:rsid w:val="00003DDC"/>
    <w:rsid w:val="00004242"/>
    <w:rsid w:val="00004386"/>
    <w:rsid w:val="000043AC"/>
    <w:rsid w:val="00004519"/>
    <w:rsid w:val="00004587"/>
    <w:rsid w:val="000045AE"/>
    <w:rsid w:val="00004865"/>
    <w:rsid w:val="000048CF"/>
    <w:rsid w:val="00004AEF"/>
    <w:rsid w:val="00004B62"/>
    <w:rsid w:val="00004B7C"/>
    <w:rsid w:val="00004C3A"/>
    <w:rsid w:val="00004E09"/>
    <w:rsid w:val="000051D2"/>
    <w:rsid w:val="0000525D"/>
    <w:rsid w:val="00005278"/>
    <w:rsid w:val="0000530E"/>
    <w:rsid w:val="00005594"/>
    <w:rsid w:val="0000573F"/>
    <w:rsid w:val="000057A7"/>
    <w:rsid w:val="00005858"/>
    <w:rsid w:val="00005B11"/>
    <w:rsid w:val="00005B3F"/>
    <w:rsid w:val="00005C09"/>
    <w:rsid w:val="00005C39"/>
    <w:rsid w:val="00005E90"/>
    <w:rsid w:val="00006325"/>
    <w:rsid w:val="00006416"/>
    <w:rsid w:val="00006545"/>
    <w:rsid w:val="0000663B"/>
    <w:rsid w:val="00006710"/>
    <w:rsid w:val="000068CA"/>
    <w:rsid w:val="000069E2"/>
    <w:rsid w:val="00006CA8"/>
    <w:rsid w:val="00006D70"/>
    <w:rsid w:val="0000719D"/>
    <w:rsid w:val="00007397"/>
    <w:rsid w:val="0000745F"/>
    <w:rsid w:val="00007645"/>
    <w:rsid w:val="0000796A"/>
    <w:rsid w:val="000079E3"/>
    <w:rsid w:val="00007A41"/>
    <w:rsid w:val="00007AC7"/>
    <w:rsid w:val="00007B68"/>
    <w:rsid w:val="00007BDD"/>
    <w:rsid w:val="00007BEC"/>
    <w:rsid w:val="00007C98"/>
    <w:rsid w:val="00007CB2"/>
    <w:rsid w:val="00007D0F"/>
    <w:rsid w:val="00007F90"/>
    <w:rsid w:val="0001000E"/>
    <w:rsid w:val="0001016C"/>
    <w:rsid w:val="00010179"/>
    <w:rsid w:val="0001035C"/>
    <w:rsid w:val="000103FC"/>
    <w:rsid w:val="000104BF"/>
    <w:rsid w:val="000104F0"/>
    <w:rsid w:val="000104F8"/>
    <w:rsid w:val="000106C4"/>
    <w:rsid w:val="000107A0"/>
    <w:rsid w:val="00010920"/>
    <w:rsid w:val="000109D2"/>
    <w:rsid w:val="00010A4D"/>
    <w:rsid w:val="00010B05"/>
    <w:rsid w:val="00010BC7"/>
    <w:rsid w:val="00010D4B"/>
    <w:rsid w:val="00010E39"/>
    <w:rsid w:val="00010E73"/>
    <w:rsid w:val="000110E9"/>
    <w:rsid w:val="00011193"/>
    <w:rsid w:val="00011202"/>
    <w:rsid w:val="00011372"/>
    <w:rsid w:val="000114CB"/>
    <w:rsid w:val="00011515"/>
    <w:rsid w:val="000115CA"/>
    <w:rsid w:val="000116EF"/>
    <w:rsid w:val="000117A7"/>
    <w:rsid w:val="00011892"/>
    <w:rsid w:val="000118C1"/>
    <w:rsid w:val="000118E4"/>
    <w:rsid w:val="0001191B"/>
    <w:rsid w:val="0001198F"/>
    <w:rsid w:val="00011F45"/>
    <w:rsid w:val="00011F77"/>
    <w:rsid w:val="00011FDA"/>
    <w:rsid w:val="00012007"/>
    <w:rsid w:val="00012018"/>
    <w:rsid w:val="00012147"/>
    <w:rsid w:val="00012524"/>
    <w:rsid w:val="00012684"/>
    <w:rsid w:val="00012738"/>
    <w:rsid w:val="00012859"/>
    <w:rsid w:val="000129CA"/>
    <w:rsid w:val="00012A9C"/>
    <w:rsid w:val="00012C38"/>
    <w:rsid w:val="00012CF9"/>
    <w:rsid w:val="00012EA0"/>
    <w:rsid w:val="00012EC0"/>
    <w:rsid w:val="00012F3E"/>
    <w:rsid w:val="00012FDA"/>
    <w:rsid w:val="0001304A"/>
    <w:rsid w:val="000133FD"/>
    <w:rsid w:val="0001366F"/>
    <w:rsid w:val="000136B6"/>
    <w:rsid w:val="000136FB"/>
    <w:rsid w:val="000137CE"/>
    <w:rsid w:val="00013823"/>
    <w:rsid w:val="000138EB"/>
    <w:rsid w:val="00013B3A"/>
    <w:rsid w:val="00013B66"/>
    <w:rsid w:val="00013C9A"/>
    <w:rsid w:val="00013FD7"/>
    <w:rsid w:val="0001400A"/>
    <w:rsid w:val="0001415D"/>
    <w:rsid w:val="00014179"/>
    <w:rsid w:val="000142CD"/>
    <w:rsid w:val="00014335"/>
    <w:rsid w:val="00014686"/>
    <w:rsid w:val="000146A7"/>
    <w:rsid w:val="000147D2"/>
    <w:rsid w:val="0001498C"/>
    <w:rsid w:val="000149C1"/>
    <w:rsid w:val="00014C53"/>
    <w:rsid w:val="00014DEE"/>
    <w:rsid w:val="000150A5"/>
    <w:rsid w:val="000150A6"/>
    <w:rsid w:val="000150AA"/>
    <w:rsid w:val="000153B9"/>
    <w:rsid w:val="00015427"/>
    <w:rsid w:val="00015847"/>
    <w:rsid w:val="000158FD"/>
    <w:rsid w:val="00015A1C"/>
    <w:rsid w:val="00015ACC"/>
    <w:rsid w:val="00015B7E"/>
    <w:rsid w:val="00015C7A"/>
    <w:rsid w:val="00015D14"/>
    <w:rsid w:val="00015ED5"/>
    <w:rsid w:val="00015F6D"/>
    <w:rsid w:val="00016153"/>
    <w:rsid w:val="000162B6"/>
    <w:rsid w:val="000162F7"/>
    <w:rsid w:val="00016528"/>
    <w:rsid w:val="00016676"/>
    <w:rsid w:val="0001685A"/>
    <w:rsid w:val="000168CA"/>
    <w:rsid w:val="00016981"/>
    <w:rsid w:val="00016AE0"/>
    <w:rsid w:val="00016BD9"/>
    <w:rsid w:val="00016D17"/>
    <w:rsid w:val="000173FA"/>
    <w:rsid w:val="0001744C"/>
    <w:rsid w:val="0001749A"/>
    <w:rsid w:val="00017538"/>
    <w:rsid w:val="0001754A"/>
    <w:rsid w:val="00017910"/>
    <w:rsid w:val="00017921"/>
    <w:rsid w:val="00017B6E"/>
    <w:rsid w:val="00017C34"/>
    <w:rsid w:val="00017C79"/>
    <w:rsid w:val="00017D1E"/>
    <w:rsid w:val="00017F64"/>
    <w:rsid w:val="00020170"/>
    <w:rsid w:val="000202FD"/>
    <w:rsid w:val="00020322"/>
    <w:rsid w:val="0002044C"/>
    <w:rsid w:val="000204AB"/>
    <w:rsid w:val="0002058C"/>
    <w:rsid w:val="000207D5"/>
    <w:rsid w:val="0002082A"/>
    <w:rsid w:val="000208CB"/>
    <w:rsid w:val="0002090F"/>
    <w:rsid w:val="0002097C"/>
    <w:rsid w:val="000209F4"/>
    <w:rsid w:val="00020B53"/>
    <w:rsid w:val="00020CFF"/>
    <w:rsid w:val="00020DCC"/>
    <w:rsid w:val="00020FA7"/>
    <w:rsid w:val="00021158"/>
    <w:rsid w:val="000212BE"/>
    <w:rsid w:val="00021751"/>
    <w:rsid w:val="000217AC"/>
    <w:rsid w:val="00021981"/>
    <w:rsid w:val="00021BAF"/>
    <w:rsid w:val="00021D62"/>
    <w:rsid w:val="00021DAF"/>
    <w:rsid w:val="00021FAB"/>
    <w:rsid w:val="00021FBB"/>
    <w:rsid w:val="00022147"/>
    <w:rsid w:val="000225DA"/>
    <w:rsid w:val="0002263D"/>
    <w:rsid w:val="000226E6"/>
    <w:rsid w:val="0002272B"/>
    <w:rsid w:val="00022A8B"/>
    <w:rsid w:val="00022ACD"/>
    <w:rsid w:val="00022C22"/>
    <w:rsid w:val="00022C32"/>
    <w:rsid w:val="00022CFF"/>
    <w:rsid w:val="00022E17"/>
    <w:rsid w:val="00023102"/>
    <w:rsid w:val="00023338"/>
    <w:rsid w:val="00023456"/>
    <w:rsid w:val="00023536"/>
    <w:rsid w:val="00023871"/>
    <w:rsid w:val="00023908"/>
    <w:rsid w:val="00023978"/>
    <w:rsid w:val="00023B12"/>
    <w:rsid w:val="00023BAE"/>
    <w:rsid w:val="00023CA6"/>
    <w:rsid w:val="00023D3A"/>
    <w:rsid w:val="00023DC9"/>
    <w:rsid w:val="00023FE2"/>
    <w:rsid w:val="000241D5"/>
    <w:rsid w:val="00024436"/>
    <w:rsid w:val="00024536"/>
    <w:rsid w:val="0002468C"/>
    <w:rsid w:val="00024741"/>
    <w:rsid w:val="000247C5"/>
    <w:rsid w:val="00024898"/>
    <w:rsid w:val="000248A0"/>
    <w:rsid w:val="0002497C"/>
    <w:rsid w:val="0002499F"/>
    <w:rsid w:val="00024A1A"/>
    <w:rsid w:val="00024AB0"/>
    <w:rsid w:val="00024AC9"/>
    <w:rsid w:val="00024C06"/>
    <w:rsid w:val="00024DB0"/>
    <w:rsid w:val="00024F4F"/>
    <w:rsid w:val="00024F66"/>
    <w:rsid w:val="000250AE"/>
    <w:rsid w:val="00025277"/>
    <w:rsid w:val="0002549A"/>
    <w:rsid w:val="00025517"/>
    <w:rsid w:val="00025864"/>
    <w:rsid w:val="00025899"/>
    <w:rsid w:val="00025911"/>
    <w:rsid w:val="00025A00"/>
    <w:rsid w:val="00025BDE"/>
    <w:rsid w:val="00025C56"/>
    <w:rsid w:val="00025D11"/>
    <w:rsid w:val="00025E93"/>
    <w:rsid w:val="00025F60"/>
    <w:rsid w:val="000260AC"/>
    <w:rsid w:val="00026222"/>
    <w:rsid w:val="0002642C"/>
    <w:rsid w:val="000266E8"/>
    <w:rsid w:val="00026714"/>
    <w:rsid w:val="0002675C"/>
    <w:rsid w:val="000268CF"/>
    <w:rsid w:val="00026916"/>
    <w:rsid w:val="00026B54"/>
    <w:rsid w:val="00026E8F"/>
    <w:rsid w:val="00026F30"/>
    <w:rsid w:val="000271BD"/>
    <w:rsid w:val="0002739A"/>
    <w:rsid w:val="000273A5"/>
    <w:rsid w:val="000279D7"/>
    <w:rsid w:val="00027A3A"/>
    <w:rsid w:val="00027C38"/>
    <w:rsid w:val="00027C53"/>
    <w:rsid w:val="00027CB7"/>
    <w:rsid w:val="000300DB"/>
    <w:rsid w:val="000301EC"/>
    <w:rsid w:val="000302C3"/>
    <w:rsid w:val="000302CC"/>
    <w:rsid w:val="000303D8"/>
    <w:rsid w:val="00030493"/>
    <w:rsid w:val="000304E1"/>
    <w:rsid w:val="00030508"/>
    <w:rsid w:val="00030706"/>
    <w:rsid w:val="00030733"/>
    <w:rsid w:val="00030747"/>
    <w:rsid w:val="00030B0B"/>
    <w:rsid w:val="00030CDD"/>
    <w:rsid w:val="00030D5D"/>
    <w:rsid w:val="00030EC7"/>
    <w:rsid w:val="00030F92"/>
    <w:rsid w:val="0003122B"/>
    <w:rsid w:val="00031328"/>
    <w:rsid w:val="0003143C"/>
    <w:rsid w:val="00031482"/>
    <w:rsid w:val="0003149D"/>
    <w:rsid w:val="000315FC"/>
    <w:rsid w:val="00031631"/>
    <w:rsid w:val="00031741"/>
    <w:rsid w:val="000317B3"/>
    <w:rsid w:val="00031881"/>
    <w:rsid w:val="00031890"/>
    <w:rsid w:val="000319D6"/>
    <w:rsid w:val="00031ACB"/>
    <w:rsid w:val="00031B01"/>
    <w:rsid w:val="00031BEA"/>
    <w:rsid w:val="00031C15"/>
    <w:rsid w:val="00031C19"/>
    <w:rsid w:val="00031F45"/>
    <w:rsid w:val="00031FFB"/>
    <w:rsid w:val="00032053"/>
    <w:rsid w:val="00032430"/>
    <w:rsid w:val="000325F0"/>
    <w:rsid w:val="00032662"/>
    <w:rsid w:val="00032888"/>
    <w:rsid w:val="00032A7F"/>
    <w:rsid w:val="00032B7D"/>
    <w:rsid w:val="00032DA6"/>
    <w:rsid w:val="00032E79"/>
    <w:rsid w:val="00033057"/>
    <w:rsid w:val="0003312C"/>
    <w:rsid w:val="000331A2"/>
    <w:rsid w:val="000331D0"/>
    <w:rsid w:val="000334D6"/>
    <w:rsid w:val="0003352C"/>
    <w:rsid w:val="00033944"/>
    <w:rsid w:val="00033A8E"/>
    <w:rsid w:val="00033A9C"/>
    <w:rsid w:val="00033AB7"/>
    <w:rsid w:val="00033AE0"/>
    <w:rsid w:val="0003443A"/>
    <w:rsid w:val="00034451"/>
    <w:rsid w:val="00034624"/>
    <w:rsid w:val="00034ACB"/>
    <w:rsid w:val="00034BB6"/>
    <w:rsid w:val="00034C2D"/>
    <w:rsid w:val="00034CFA"/>
    <w:rsid w:val="00034DE4"/>
    <w:rsid w:val="00034F2E"/>
    <w:rsid w:val="00035255"/>
    <w:rsid w:val="00035278"/>
    <w:rsid w:val="0003527A"/>
    <w:rsid w:val="000355ED"/>
    <w:rsid w:val="00035710"/>
    <w:rsid w:val="00035923"/>
    <w:rsid w:val="0003593A"/>
    <w:rsid w:val="00035AC3"/>
    <w:rsid w:val="00035CAA"/>
    <w:rsid w:val="00036096"/>
    <w:rsid w:val="000361D8"/>
    <w:rsid w:val="00036259"/>
    <w:rsid w:val="00036407"/>
    <w:rsid w:val="00036421"/>
    <w:rsid w:val="00036462"/>
    <w:rsid w:val="00036468"/>
    <w:rsid w:val="00036484"/>
    <w:rsid w:val="000364B4"/>
    <w:rsid w:val="000364CA"/>
    <w:rsid w:val="0003674E"/>
    <w:rsid w:val="00036C69"/>
    <w:rsid w:val="00036CD9"/>
    <w:rsid w:val="00036CE4"/>
    <w:rsid w:val="00036F04"/>
    <w:rsid w:val="00036F3E"/>
    <w:rsid w:val="00036FBC"/>
    <w:rsid w:val="000371B0"/>
    <w:rsid w:val="000371C6"/>
    <w:rsid w:val="0003721D"/>
    <w:rsid w:val="0003725D"/>
    <w:rsid w:val="00037346"/>
    <w:rsid w:val="000374C3"/>
    <w:rsid w:val="00037670"/>
    <w:rsid w:val="000376EB"/>
    <w:rsid w:val="0003783B"/>
    <w:rsid w:val="000378C7"/>
    <w:rsid w:val="00037AD5"/>
    <w:rsid w:val="00037BE7"/>
    <w:rsid w:val="00037C1F"/>
    <w:rsid w:val="00037CC4"/>
    <w:rsid w:val="00037D5A"/>
    <w:rsid w:val="00037D5D"/>
    <w:rsid w:val="00040276"/>
    <w:rsid w:val="000402A5"/>
    <w:rsid w:val="00040345"/>
    <w:rsid w:val="0004037C"/>
    <w:rsid w:val="0004044E"/>
    <w:rsid w:val="00040490"/>
    <w:rsid w:val="000405CB"/>
    <w:rsid w:val="000406AC"/>
    <w:rsid w:val="0004070E"/>
    <w:rsid w:val="00040AF6"/>
    <w:rsid w:val="00040AFD"/>
    <w:rsid w:val="00040B91"/>
    <w:rsid w:val="00040E06"/>
    <w:rsid w:val="0004113A"/>
    <w:rsid w:val="0004143F"/>
    <w:rsid w:val="00041688"/>
    <w:rsid w:val="00041853"/>
    <w:rsid w:val="00041982"/>
    <w:rsid w:val="000419B8"/>
    <w:rsid w:val="00041A77"/>
    <w:rsid w:val="00041BB3"/>
    <w:rsid w:val="00041BE6"/>
    <w:rsid w:val="00041D3C"/>
    <w:rsid w:val="00041D9D"/>
    <w:rsid w:val="00041DA0"/>
    <w:rsid w:val="00041DC4"/>
    <w:rsid w:val="00041F47"/>
    <w:rsid w:val="00041FB1"/>
    <w:rsid w:val="000420F9"/>
    <w:rsid w:val="00042199"/>
    <w:rsid w:val="00042382"/>
    <w:rsid w:val="00042504"/>
    <w:rsid w:val="00042537"/>
    <w:rsid w:val="000429CF"/>
    <w:rsid w:val="00042B34"/>
    <w:rsid w:val="00042D90"/>
    <w:rsid w:val="00042E93"/>
    <w:rsid w:val="00042EDF"/>
    <w:rsid w:val="00043192"/>
    <w:rsid w:val="0004321C"/>
    <w:rsid w:val="000432D9"/>
    <w:rsid w:val="000432E6"/>
    <w:rsid w:val="0004334C"/>
    <w:rsid w:val="0004346B"/>
    <w:rsid w:val="000435C3"/>
    <w:rsid w:val="000437D1"/>
    <w:rsid w:val="00043BA1"/>
    <w:rsid w:val="00043D02"/>
    <w:rsid w:val="00043FA5"/>
    <w:rsid w:val="00044144"/>
    <w:rsid w:val="0004419A"/>
    <w:rsid w:val="000441B8"/>
    <w:rsid w:val="00044570"/>
    <w:rsid w:val="0004460A"/>
    <w:rsid w:val="000449CC"/>
    <w:rsid w:val="00044AF9"/>
    <w:rsid w:val="00044AFC"/>
    <w:rsid w:val="00044BB7"/>
    <w:rsid w:val="00044BBE"/>
    <w:rsid w:val="00044CA6"/>
    <w:rsid w:val="00044EDC"/>
    <w:rsid w:val="00044F3E"/>
    <w:rsid w:val="00045024"/>
    <w:rsid w:val="00045305"/>
    <w:rsid w:val="00045308"/>
    <w:rsid w:val="00045532"/>
    <w:rsid w:val="00045608"/>
    <w:rsid w:val="00045690"/>
    <w:rsid w:val="00045A66"/>
    <w:rsid w:val="00045B1E"/>
    <w:rsid w:val="00045C67"/>
    <w:rsid w:val="00045CCC"/>
    <w:rsid w:val="000461B7"/>
    <w:rsid w:val="000464CE"/>
    <w:rsid w:val="00046700"/>
    <w:rsid w:val="000468D7"/>
    <w:rsid w:val="00046A5F"/>
    <w:rsid w:val="00046AA6"/>
    <w:rsid w:val="00046B9F"/>
    <w:rsid w:val="00047049"/>
    <w:rsid w:val="000471C1"/>
    <w:rsid w:val="000472C9"/>
    <w:rsid w:val="000473CC"/>
    <w:rsid w:val="000474AF"/>
    <w:rsid w:val="000474B6"/>
    <w:rsid w:val="000476D2"/>
    <w:rsid w:val="0004771F"/>
    <w:rsid w:val="000477AD"/>
    <w:rsid w:val="0004783E"/>
    <w:rsid w:val="00047AB4"/>
    <w:rsid w:val="00047AE8"/>
    <w:rsid w:val="00047CD9"/>
    <w:rsid w:val="00047D6C"/>
    <w:rsid w:val="00047E6F"/>
    <w:rsid w:val="00047EAF"/>
    <w:rsid w:val="0005009B"/>
    <w:rsid w:val="00050125"/>
    <w:rsid w:val="00050155"/>
    <w:rsid w:val="00050192"/>
    <w:rsid w:val="000504A0"/>
    <w:rsid w:val="0005052E"/>
    <w:rsid w:val="00050549"/>
    <w:rsid w:val="00050765"/>
    <w:rsid w:val="000507B7"/>
    <w:rsid w:val="00050A3F"/>
    <w:rsid w:val="00050B52"/>
    <w:rsid w:val="00050D57"/>
    <w:rsid w:val="00050D74"/>
    <w:rsid w:val="00050E9E"/>
    <w:rsid w:val="00050EDC"/>
    <w:rsid w:val="00050FA3"/>
    <w:rsid w:val="00051108"/>
    <w:rsid w:val="00051135"/>
    <w:rsid w:val="000512C4"/>
    <w:rsid w:val="000512E3"/>
    <w:rsid w:val="0005152B"/>
    <w:rsid w:val="000515C3"/>
    <w:rsid w:val="00051884"/>
    <w:rsid w:val="000518C1"/>
    <w:rsid w:val="00051AFC"/>
    <w:rsid w:val="00051D58"/>
    <w:rsid w:val="00051D62"/>
    <w:rsid w:val="00051E25"/>
    <w:rsid w:val="00052155"/>
    <w:rsid w:val="00052192"/>
    <w:rsid w:val="00052520"/>
    <w:rsid w:val="000526F6"/>
    <w:rsid w:val="0005277B"/>
    <w:rsid w:val="000527E1"/>
    <w:rsid w:val="000527FE"/>
    <w:rsid w:val="00052942"/>
    <w:rsid w:val="00052BDA"/>
    <w:rsid w:val="00052CDC"/>
    <w:rsid w:val="00052D42"/>
    <w:rsid w:val="00052DC6"/>
    <w:rsid w:val="00052DC8"/>
    <w:rsid w:val="00052DD8"/>
    <w:rsid w:val="000531D2"/>
    <w:rsid w:val="00053263"/>
    <w:rsid w:val="0005391C"/>
    <w:rsid w:val="00053A98"/>
    <w:rsid w:val="00053BFB"/>
    <w:rsid w:val="00053CC0"/>
    <w:rsid w:val="00053E7E"/>
    <w:rsid w:val="00053E9A"/>
    <w:rsid w:val="00053EB9"/>
    <w:rsid w:val="00053FEF"/>
    <w:rsid w:val="00054097"/>
    <w:rsid w:val="00054123"/>
    <w:rsid w:val="000541A5"/>
    <w:rsid w:val="000542E0"/>
    <w:rsid w:val="00054442"/>
    <w:rsid w:val="00054801"/>
    <w:rsid w:val="0005480D"/>
    <w:rsid w:val="00054A3D"/>
    <w:rsid w:val="00054C30"/>
    <w:rsid w:val="00054CC7"/>
    <w:rsid w:val="00054D69"/>
    <w:rsid w:val="00054DD6"/>
    <w:rsid w:val="00054F77"/>
    <w:rsid w:val="000550FE"/>
    <w:rsid w:val="000555D0"/>
    <w:rsid w:val="000557A2"/>
    <w:rsid w:val="000559A4"/>
    <w:rsid w:val="00055E1C"/>
    <w:rsid w:val="00055E55"/>
    <w:rsid w:val="00055F38"/>
    <w:rsid w:val="00055FB7"/>
    <w:rsid w:val="0005682F"/>
    <w:rsid w:val="000569A6"/>
    <w:rsid w:val="00056AA2"/>
    <w:rsid w:val="00056C3B"/>
    <w:rsid w:val="00056E9D"/>
    <w:rsid w:val="00056FE9"/>
    <w:rsid w:val="00057118"/>
    <w:rsid w:val="0005735B"/>
    <w:rsid w:val="00057488"/>
    <w:rsid w:val="00057566"/>
    <w:rsid w:val="000577E1"/>
    <w:rsid w:val="00057B1C"/>
    <w:rsid w:val="00057CE8"/>
    <w:rsid w:val="00057CF0"/>
    <w:rsid w:val="00057D75"/>
    <w:rsid w:val="00057E9C"/>
    <w:rsid w:val="00057F6E"/>
    <w:rsid w:val="00057F84"/>
    <w:rsid w:val="00060029"/>
    <w:rsid w:val="0006013A"/>
    <w:rsid w:val="00060180"/>
    <w:rsid w:val="0006018F"/>
    <w:rsid w:val="0006035C"/>
    <w:rsid w:val="000604E1"/>
    <w:rsid w:val="000607AC"/>
    <w:rsid w:val="0006081C"/>
    <w:rsid w:val="0006087B"/>
    <w:rsid w:val="000609FA"/>
    <w:rsid w:val="00060A65"/>
    <w:rsid w:val="00060CAD"/>
    <w:rsid w:val="00060EAC"/>
    <w:rsid w:val="00061075"/>
    <w:rsid w:val="00061131"/>
    <w:rsid w:val="0006115D"/>
    <w:rsid w:val="000611D2"/>
    <w:rsid w:val="0006128A"/>
    <w:rsid w:val="000613F9"/>
    <w:rsid w:val="00061437"/>
    <w:rsid w:val="0006144F"/>
    <w:rsid w:val="000614E3"/>
    <w:rsid w:val="00061625"/>
    <w:rsid w:val="00061781"/>
    <w:rsid w:val="000618DA"/>
    <w:rsid w:val="000618E8"/>
    <w:rsid w:val="00061A46"/>
    <w:rsid w:val="00061ABE"/>
    <w:rsid w:val="00061C43"/>
    <w:rsid w:val="00061DFD"/>
    <w:rsid w:val="00061E0C"/>
    <w:rsid w:val="00061E12"/>
    <w:rsid w:val="0006220F"/>
    <w:rsid w:val="000622F9"/>
    <w:rsid w:val="0006242B"/>
    <w:rsid w:val="0006255C"/>
    <w:rsid w:val="000626E7"/>
    <w:rsid w:val="0006279E"/>
    <w:rsid w:val="000629CC"/>
    <w:rsid w:val="00062AF8"/>
    <w:rsid w:val="00062C10"/>
    <w:rsid w:val="00062D86"/>
    <w:rsid w:val="00062D9E"/>
    <w:rsid w:val="00062DA2"/>
    <w:rsid w:val="00062E7A"/>
    <w:rsid w:val="00062E98"/>
    <w:rsid w:val="00062F6C"/>
    <w:rsid w:val="000630C8"/>
    <w:rsid w:val="00063125"/>
    <w:rsid w:val="000632F2"/>
    <w:rsid w:val="00063408"/>
    <w:rsid w:val="00063619"/>
    <w:rsid w:val="00063680"/>
    <w:rsid w:val="00063B91"/>
    <w:rsid w:val="00063CF8"/>
    <w:rsid w:val="00063D5B"/>
    <w:rsid w:val="00063E6D"/>
    <w:rsid w:val="00063ED3"/>
    <w:rsid w:val="00063EFE"/>
    <w:rsid w:val="00063F34"/>
    <w:rsid w:val="00064056"/>
    <w:rsid w:val="000640F8"/>
    <w:rsid w:val="0006448C"/>
    <w:rsid w:val="000644A7"/>
    <w:rsid w:val="000644FB"/>
    <w:rsid w:val="00064642"/>
    <w:rsid w:val="00064AB0"/>
    <w:rsid w:val="00064AE0"/>
    <w:rsid w:val="00064C62"/>
    <w:rsid w:val="00064C6B"/>
    <w:rsid w:val="00064C76"/>
    <w:rsid w:val="00064CE8"/>
    <w:rsid w:val="00064E5B"/>
    <w:rsid w:val="000650BC"/>
    <w:rsid w:val="00065131"/>
    <w:rsid w:val="00065419"/>
    <w:rsid w:val="0006542D"/>
    <w:rsid w:val="000655BC"/>
    <w:rsid w:val="000656F4"/>
    <w:rsid w:val="00065846"/>
    <w:rsid w:val="000658B9"/>
    <w:rsid w:val="000658BD"/>
    <w:rsid w:val="00065A0A"/>
    <w:rsid w:val="00065BB4"/>
    <w:rsid w:val="00065C93"/>
    <w:rsid w:val="00065D1C"/>
    <w:rsid w:val="00065DA0"/>
    <w:rsid w:val="00065F18"/>
    <w:rsid w:val="00066345"/>
    <w:rsid w:val="0006637E"/>
    <w:rsid w:val="000663E5"/>
    <w:rsid w:val="00066556"/>
    <w:rsid w:val="00066631"/>
    <w:rsid w:val="00066C49"/>
    <w:rsid w:val="00066D48"/>
    <w:rsid w:val="00066E07"/>
    <w:rsid w:val="000670AA"/>
    <w:rsid w:val="0006721F"/>
    <w:rsid w:val="0006722D"/>
    <w:rsid w:val="000674CC"/>
    <w:rsid w:val="00067644"/>
    <w:rsid w:val="0006775D"/>
    <w:rsid w:val="0006783F"/>
    <w:rsid w:val="0006790D"/>
    <w:rsid w:val="0006793A"/>
    <w:rsid w:val="000679D2"/>
    <w:rsid w:val="00067A28"/>
    <w:rsid w:val="00067B93"/>
    <w:rsid w:val="00067D54"/>
    <w:rsid w:val="00067DE7"/>
    <w:rsid w:val="0007017C"/>
    <w:rsid w:val="0007034A"/>
    <w:rsid w:val="000703B0"/>
    <w:rsid w:val="00070459"/>
    <w:rsid w:val="000704BF"/>
    <w:rsid w:val="0007055B"/>
    <w:rsid w:val="00070634"/>
    <w:rsid w:val="0007091A"/>
    <w:rsid w:val="00070A96"/>
    <w:rsid w:val="00070BFA"/>
    <w:rsid w:val="00070FE4"/>
    <w:rsid w:val="0007133A"/>
    <w:rsid w:val="000713F4"/>
    <w:rsid w:val="00071540"/>
    <w:rsid w:val="0007163B"/>
    <w:rsid w:val="0007190F"/>
    <w:rsid w:val="000719EC"/>
    <w:rsid w:val="00071AAA"/>
    <w:rsid w:val="00071CEB"/>
    <w:rsid w:val="00071F07"/>
    <w:rsid w:val="00071F08"/>
    <w:rsid w:val="00071F4B"/>
    <w:rsid w:val="0007205C"/>
    <w:rsid w:val="000720F7"/>
    <w:rsid w:val="00072182"/>
    <w:rsid w:val="000721AB"/>
    <w:rsid w:val="000721AE"/>
    <w:rsid w:val="00072232"/>
    <w:rsid w:val="00072358"/>
    <w:rsid w:val="000724D0"/>
    <w:rsid w:val="00072549"/>
    <w:rsid w:val="00072559"/>
    <w:rsid w:val="000726A9"/>
    <w:rsid w:val="000727F3"/>
    <w:rsid w:val="000729A2"/>
    <w:rsid w:val="000729C8"/>
    <w:rsid w:val="00072AAC"/>
    <w:rsid w:val="00072C21"/>
    <w:rsid w:val="00072D3D"/>
    <w:rsid w:val="00072E3C"/>
    <w:rsid w:val="000730EB"/>
    <w:rsid w:val="000731C6"/>
    <w:rsid w:val="000731F4"/>
    <w:rsid w:val="00073277"/>
    <w:rsid w:val="00073280"/>
    <w:rsid w:val="000733AD"/>
    <w:rsid w:val="000733BB"/>
    <w:rsid w:val="00073646"/>
    <w:rsid w:val="00073A8C"/>
    <w:rsid w:val="00073B3F"/>
    <w:rsid w:val="00073D25"/>
    <w:rsid w:val="00073E6C"/>
    <w:rsid w:val="00073EF3"/>
    <w:rsid w:val="00073F3A"/>
    <w:rsid w:val="00073F80"/>
    <w:rsid w:val="0007413D"/>
    <w:rsid w:val="00074455"/>
    <w:rsid w:val="00074700"/>
    <w:rsid w:val="00074979"/>
    <w:rsid w:val="00074990"/>
    <w:rsid w:val="00074A1D"/>
    <w:rsid w:val="00074DEF"/>
    <w:rsid w:val="00074E15"/>
    <w:rsid w:val="000750FE"/>
    <w:rsid w:val="0007536A"/>
    <w:rsid w:val="0007545C"/>
    <w:rsid w:val="00075502"/>
    <w:rsid w:val="00075799"/>
    <w:rsid w:val="000757B3"/>
    <w:rsid w:val="000757F9"/>
    <w:rsid w:val="00075B6F"/>
    <w:rsid w:val="00075BD2"/>
    <w:rsid w:val="00075CAC"/>
    <w:rsid w:val="00076027"/>
    <w:rsid w:val="000760E7"/>
    <w:rsid w:val="00076211"/>
    <w:rsid w:val="000762AC"/>
    <w:rsid w:val="0007635B"/>
    <w:rsid w:val="000764EB"/>
    <w:rsid w:val="00076768"/>
    <w:rsid w:val="000769AD"/>
    <w:rsid w:val="00076A2C"/>
    <w:rsid w:val="00076B8C"/>
    <w:rsid w:val="00076CEC"/>
    <w:rsid w:val="00076D14"/>
    <w:rsid w:val="00076D5E"/>
    <w:rsid w:val="00076DCB"/>
    <w:rsid w:val="0007723F"/>
    <w:rsid w:val="000775C0"/>
    <w:rsid w:val="00077674"/>
    <w:rsid w:val="0007767A"/>
    <w:rsid w:val="00077728"/>
    <w:rsid w:val="0007772C"/>
    <w:rsid w:val="0007773E"/>
    <w:rsid w:val="00077938"/>
    <w:rsid w:val="00077959"/>
    <w:rsid w:val="00077962"/>
    <w:rsid w:val="00077A47"/>
    <w:rsid w:val="00077AE7"/>
    <w:rsid w:val="00077B11"/>
    <w:rsid w:val="00077BC2"/>
    <w:rsid w:val="00077C77"/>
    <w:rsid w:val="00077D1E"/>
    <w:rsid w:val="00077D2C"/>
    <w:rsid w:val="00077D7C"/>
    <w:rsid w:val="00077DF3"/>
    <w:rsid w:val="00077E2C"/>
    <w:rsid w:val="00077E9A"/>
    <w:rsid w:val="000803C9"/>
    <w:rsid w:val="0008047D"/>
    <w:rsid w:val="000805DF"/>
    <w:rsid w:val="0008061B"/>
    <w:rsid w:val="0008099E"/>
    <w:rsid w:val="00080BB6"/>
    <w:rsid w:val="00080BC9"/>
    <w:rsid w:val="00080C2A"/>
    <w:rsid w:val="00080C46"/>
    <w:rsid w:val="00080C4D"/>
    <w:rsid w:val="00080D3F"/>
    <w:rsid w:val="00080DD6"/>
    <w:rsid w:val="00080FCA"/>
    <w:rsid w:val="00081186"/>
    <w:rsid w:val="0008127B"/>
    <w:rsid w:val="000812ED"/>
    <w:rsid w:val="000813F6"/>
    <w:rsid w:val="000816BF"/>
    <w:rsid w:val="000817AC"/>
    <w:rsid w:val="000817ED"/>
    <w:rsid w:val="00081844"/>
    <w:rsid w:val="0008189A"/>
    <w:rsid w:val="000818C4"/>
    <w:rsid w:val="00081972"/>
    <w:rsid w:val="000819B5"/>
    <w:rsid w:val="00081B46"/>
    <w:rsid w:val="00081C2D"/>
    <w:rsid w:val="00081D23"/>
    <w:rsid w:val="00081D74"/>
    <w:rsid w:val="00081D93"/>
    <w:rsid w:val="00081F22"/>
    <w:rsid w:val="000820F0"/>
    <w:rsid w:val="000823BB"/>
    <w:rsid w:val="00082413"/>
    <w:rsid w:val="00082503"/>
    <w:rsid w:val="000825BC"/>
    <w:rsid w:val="00082777"/>
    <w:rsid w:val="00082B52"/>
    <w:rsid w:val="00082CAB"/>
    <w:rsid w:val="00082D69"/>
    <w:rsid w:val="00082FCC"/>
    <w:rsid w:val="00083072"/>
    <w:rsid w:val="000830B4"/>
    <w:rsid w:val="00083430"/>
    <w:rsid w:val="00083534"/>
    <w:rsid w:val="000835BD"/>
    <w:rsid w:val="000836C7"/>
    <w:rsid w:val="000837BF"/>
    <w:rsid w:val="00083C90"/>
    <w:rsid w:val="00083E5A"/>
    <w:rsid w:val="00084177"/>
    <w:rsid w:val="00084264"/>
    <w:rsid w:val="00084281"/>
    <w:rsid w:val="00084400"/>
    <w:rsid w:val="00084434"/>
    <w:rsid w:val="000844FA"/>
    <w:rsid w:val="00084529"/>
    <w:rsid w:val="00084555"/>
    <w:rsid w:val="00084790"/>
    <w:rsid w:val="000847E5"/>
    <w:rsid w:val="00084806"/>
    <w:rsid w:val="00084965"/>
    <w:rsid w:val="000849FB"/>
    <w:rsid w:val="00084A25"/>
    <w:rsid w:val="00084B6E"/>
    <w:rsid w:val="00084CF3"/>
    <w:rsid w:val="00085066"/>
    <w:rsid w:val="000850A6"/>
    <w:rsid w:val="000850AA"/>
    <w:rsid w:val="000850FB"/>
    <w:rsid w:val="00085101"/>
    <w:rsid w:val="00085133"/>
    <w:rsid w:val="0008517F"/>
    <w:rsid w:val="000851EE"/>
    <w:rsid w:val="000852D8"/>
    <w:rsid w:val="00085595"/>
    <w:rsid w:val="00085675"/>
    <w:rsid w:val="000856FC"/>
    <w:rsid w:val="000857FE"/>
    <w:rsid w:val="00085898"/>
    <w:rsid w:val="00085BDF"/>
    <w:rsid w:val="00085EB9"/>
    <w:rsid w:val="00085F50"/>
    <w:rsid w:val="00085FCC"/>
    <w:rsid w:val="0008608B"/>
    <w:rsid w:val="000860DC"/>
    <w:rsid w:val="00086335"/>
    <w:rsid w:val="00086362"/>
    <w:rsid w:val="0008646F"/>
    <w:rsid w:val="000864E1"/>
    <w:rsid w:val="00086B3A"/>
    <w:rsid w:val="00086B75"/>
    <w:rsid w:val="00086D5B"/>
    <w:rsid w:val="00086D5C"/>
    <w:rsid w:val="00086D74"/>
    <w:rsid w:val="00086DF7"/>
    <w:rsid w:val="00086E17"/>
    <w:rsid w:val="00086EF6"/>
    <w:rsid w:val="00087232"/>
    <w:rsid w:val="000872C9"/>
    <w:rsid w:val="00087300"/>
    <w:rsid w:val="00087421"/>
    <w:rsid w:val="0008743F"/>
    <w:rsid w:val="00087639"/>
    <w:rsid w:val="000876EB"/>
    <w:rsid w:val="00087934"/>
    <w:rsid w:val="00087A73"/>
    <w:rsid w:val="00087A7A"/>
    <w:rsid w:val="00087B56"/>
    <w:rsid w:val="00087BB6"/>
    <w:rsid w:val="00087C8F"/>
    <w:rsid w:val="00087D41"/>
    <w:rsid w:val="00087DAE"/>
    <w:rsid w:val="00087E76"/>
    <w:rsid w:val="000900C5"/>
    <w:rsid w:val="00090178"/>
    <w:rsid w:val="000901CB"/>
    <w:rsid w:val="00090304"/>
    <w:rsid w:val="0009031B"/>
    <w:rsid w:val="00090455"/>
    <w:rsid w:val="00090512"/>
    <w:rsid w:val="0009058A"/>
    <w:rsid w:val="000905BD"/>
    <w:rsid w:val="000905D2"/>
    <w:rsid w:val="0009061C"/>
    <w:rsid w:val="00090828"/>
    <w:rsid w:val="00090A51"/>
    <w:rsid w:val="00090B63"/>
    <w:rsid w:val="00090C30"/>
    <w:rsid w:val="00090DF3"/>
    <w:rsid w:val="00090EAB"/>
    <w:rsid w:val="00091033"/>
    <w:rsid w:val="0009107F"/>
    <w:rsid w:val="0009113E"/>
    <w:rsid w:val="0009114A"/>
    <w:rsid w:val="00091539"/>
    <w:rsid w:val="0009168C"/>
    <w:rsid w:val="00091816"/>
    <w:rsid w:val="00091882"/>
    <w:rsid w:val="0009188D"/>
    <w:rsid w:val="000918F7"/>
    <w:rsid w:val="0009190E"/>
    <w:rsid w:val="00091A76"/>
    <w:rsid w:val="00091A8E"/>
    <w:rsid w:val="00091AAE"/>
    <w:rsid w:val="00091B53"/>
    <w:rsid w:val="00091D54"/>
    <w:rsid w:val="0009225A"/>
    <w:rsid w:val="000923D6"/>
    <w:rsid w:val="0009291D"/>
    <w:rsid w:val="0009296A"/>
    <w:rsid w:val="00092A4B"/>
    <w:rsid w:val="00092A9B"/>
    <w:rsid w:val="00092C01"/>
    <w:rsid w:val="00092CAC"/>
    <w:rsid w:val="00092D1D"/>
    <w:rsid w:val="00092E27"/>
    <w:rsid w:val="00092FEB"/>
    <w:rsid w:val="00093126"/>
    <w:rsid w:val="00093189"/>
    <w:rsid w:val="00093375"/>
    <w:rsid w:val="00093452"/>
    <w:rsid w:val="00093461"/>
    <w:rsid w:val="0009353D"/>
    <w:rsid w:val="000938D5"/>
    <w:rsid w:val="000939B3"/>
    <w:rsid w:val="00093AA5"/>
    <w:rsid w:val="00093AEB"/>
    <w:rsid w:val="00093BCA"/>
    <w:rsid w:val="00093C9E"/>
    <w:rsid w:val="00094058"/>
    <w:rsid w:val="00094104"/>
    <w:rsid w:val="0009445A"/>
    <w:rsid w:val="000944B4"/>
    <w:rsid w:val="0009451B"/>
    <w:rsid w:val="000945F3"/>
    <w:rsid w:val="000947AF"/>
    <w:rsid w:val="00094ABD"/>
    <w:rsid w:val="00094BB1"/>
    <w:rsid w:val="00094D41"/>
    <w:rsid w:val="00094E55"/>
    <w:rsid w:val="000950C1"/>
    <w:rsid w:val="000951EB"/>
    <w:rsid w:val="000955DB"/>
    <w:rsid w:val="00095601"/>
    <w:rsid w:val="000957F3"/>
    <w:rsid w:val="0009581E"/>
    <w:rsid w:val="000958E0"/>
    <w:rsid w:val="00095930"/>
    <w:rsid w:val="00095B69"/>
    <w:rsid w:val="00095D62"/>
    <w:rsid w:val="00095DF3"/>
    <w:rsid w:val="00095E1F"/>
    <w:rsid w:val="00095F16"/>
    <w:rsid w:val="00095FA4"/>
    <w:rsid w:val="00096049"/>
    <w:rsid w:val="00096072"/>
    <w:rsid w:val="00096225"/>
    <w:rsid w:val="00096274"/>
    <w:rsid w:val="000963CE"/>
    <w:rsid w:val="00096500"/>
    <w:rsid w:val="00096558"/>
    <w:rsid w:val="000965B4"/>
    <w:rsid w:val="000965D0"/>
    <w:rsid w:val="000967B7"/>
    <w:rsid w:val="00096A25"/>
    <w:rsid w:val="00096AC3"/>
    <w:rsid w:val="00096BCF"/>
    <w:rsid w:val="00096BEE"/>
    <w:rsid w:val="00096BFB"/>
    <w:rsid w:val="00096DFC"/>
    <w:rsid w:val="00096E09"/>
    <w:rsid w:val="00097141"/>
    <w:rsid w:val="000973E2"/>
    <w:rsid w:val="000974CD"/>
    <w:rsid w:val="000976DD"/>
    <w:rsid w:val="0009779E"/>
    <w:rsid w:val="000978DF"/>
    <w:rsid w:val="000979AB"/>
    <w:rsid w:val="000979D9"/>
    <w:rsid w:val="000979E0"/>
    <w:rsid w:val="00097A9C"/>
    <w:rsid w:val="00097BBC"/>
    <w:rsid w:val="00097BE1"/>
    <w:rsid w:val="00097C84"/>
    <w:rsid w:val="00097D44"/>
    <w:rsid w:val="00097EA3"/>
    <w:rsid w:val="00097EF9"/>
    <w:rsid w:val="00097F32"/>
    <w:rsid w:val="00097F41"/>
    <w:rsid w:val="000A003A"/>
    <w:rsid w:val="000A01F4"/>
    <w:rsid w:val="000A0267"/>
    <w:rsid w:val="000A099E"/>
    <w:rsid w:val="000A0ADF"/>
    <w:rsid w:val="000A0D4D"/>
    <w:rsid w:val="000A0D76"/>
    <w:rsid w:val="000A0E00"/>
    <w:rsid w:val="000A0EC5"/>
    <w:rsid w:val="000A1117"/>
    <w:rsid w:val="000A12E6"/>
    <w:rsid w:val="000A13BC"/>
    <w:rsid w:val="000A1501"/>
    <w:rsid w:val="000A15C5"/>
    <w:rsid w:val="000A15F9"/>
    <w:rsid w:val="000A1934"/>
    <w:rsid w:val="000A1AB6"/>
    <w:rsid w:val="000A1DC7"/>
    <w:rsid w:val="000A1E9A"/>
    <w:rsid w:val="000A1F6D"/>
    <w:rsid w:val="000A20BC"/>
    <w:rsid w:val="000A22BB"/>
    <w:rsid w:val="000A233B"/>
    <w:rsid w:val="000A235A"/>
    <w:rsid w:val="000A2370"/>
    <w:rsid w:val="000A23F8"/>
    <w:rsid w:val="000A253C"/>
    <w:rsid w:val="000A2572"/>
    <w:rsid w:val="000A2613"/>
    <w:rsid w:val="000A268D"/>
    <w:rsid w:val="000A26A4"/>
    <w:rsid w:val="000A2921"/>
    <w:rsid w:val="000A2A54"/>
    <w:rsid w:val="000A2B9E"/>
    <w:rsid w:val="000A2CC0"/>
    <w:rsid w:val="000A2DE7"/>
    <w:rsid w:val="000A2E2B"/>
    <w:rsid w:val="000A2E60"/>
    <w:rsid w:val="000A2EE6"/>
    <w:rsid w:val="000A2FB5"/>
    <w:rsid w:val="000A2FCB"/>
    <w:rsid w:val="000A3072"/>
    <w:rsid w:val="000A31B1"/>
    <w:rsid w:val="000A32DD"/>
    <w:rsid w:val="000A34AD"/>
    <w:rsid w:val="000A34CE"/>
    <w:rsid w:val="000A35E4"/>
    <w:rsid w:val="000A3755"/>
    <w:rsid w:val="000A376E"/>
    <w:rsid w:val="000A389A"/>
    <w:rsid w:val="000A3953"/>
    <w:rsid w:val="000A3965"/>
    <w:rsid w:val="000A3B1E"/>
    <w:rsid w:val="000A3D0A"/>
    <w:rsid w:val="000A3D35"/>
    <w:rsid w:val="000A3D49"/>
    <w:rsid w:val="000A3DF2"/>
    <w:rsid w:val="000A3E1A"/>
    <w:rsid w:val="000A3F08"/>
    <w:rsid w:val="000A3FEC"/>
    <w:rsid w:val="000A423C"/>
    <w:rsid w:val="000A4544"/>
    <w:rsid w:val="000A454B"/>
    <w:rsid w:val="000A47E6"/>
    <w:rsid w:val="000A4BA0"/>
    <w:rsid w:val="000A4E71"/>
    <w:rsid w:val="000A4F0A"/>
    <w:rsid w:val="000A4FA8"/>
    <w:rsid w:val="000A5049"/>
    <w:rsid w:val="000A5163"/>
    <w:rsid w:val="000A55A7"/>
    <w:rsid w:val="000A5641"/>
    <w:rsid w:val="000A5D41"/>
    <w:rsid w:val="000A6002"/>
    <w:rsid w:val="000A6020"/>
    <w:rsid w:val="000A6111"/>
    <w:rsid w:val="000A6120"/>
    <w:rsid w:val="000A627E"/>
    <w:rsid w:val="000A6360"/>
    <w:rsid w:val="000A63D3"/>
    <w:rsid w:val="000A6585"/>
    <w:rsid w:val="000A6639"/>
    <w:rsid w:val="000A6674"/>
    <w:rsid w:val="000A6936"/>
    <w:rsid w:val="000A69B4"/>
    <w:rsid w:val="000A6A21"/>
    <w:rsid w:val="000A6B12"/>
    <w:rsid w:val="000A6D60"/>
    <w:rsid w:val="000A6E30"/>
    <w:rsid w:val="000A7024"/>
    <w:rsid w:val="000A716E"/>
    <w:rsid w:val="000A728E"/>
    <w:rsid w:val="000A72E7"/>
    <w:rsid w:val="000A756D"/>
    <w:rsid w:val="000A78E5"/>
    <w:rsid w:val="000A791B"/>
    <w:rsid w:val="000A794E"/>
    <w:rsid w:val="000A7971"/>
    <w:rsid w:val="000A7A62"/>
    <w:rsid w:val="000A7B45"/>
    <w:rsid w:val="000A7BC7"/>
    <w:rsid w:val="000A7C3B"/>
    <w:rsid w:val="000A7C9B"/>
    <w:rsid w:val="000A7D5D"/>
    <w:rsid w:val="000A7E03"/>
    <w:rsid w:val="000A7EF2"/>
    <w:rsid w:val="000A7F25"/>
    <w:rsid w:val="000B00C0"/>
    <w:rsid w:val="000B01F3"/>
    <w:rsid w:val="000B02D9"/>
    <w:rsid w:val="000B038D"/>
    <w:rsid w:val="000B038F"/>
    <w:rsid w:val="000B03DC"/>
    <w:rsid w:val="000B043D"/>
    <w:rsid w:val="000B06A2"/>
    <w:rsid w:val="000B06B2"/>
    <w:rsid w:val="000B08D8"/>
    <w:rsid w:val="000B09BC"/>
    <w:rsid w:val="000B09DA"/>
    <w:rsid w:val="000B0B3C"/>
    <w:rsid w:val="000B0BCF"/>
    <w:rsid w:val="000B0D11"/>
    <w:rsid w:val="000B0E7C"/>
    <w:rsid w:val="000B0EF1"/>
    <w:rsid w:val="000B1095"/>
    <w:rsid w:val="000B124A"/>
    <w:rsid w:val="000B1263"/>
    <w:rsid w:val="000B154B"/>
    <w:rsid w:val="000B1603"/>
    <w:rsid w:val="000B170E"/>
    <w:rsid w:val="000B175A"/>
    <w:rsid w:val="000B179E"/>
    <w:rsid w:val="000B18D8"/>
    <w:rsid w:val="000B190C"/>
    <w:rsid w:val="000B191F"/>
    <w:rsid w:val="000B19BD"/>
    <w:rsid w:val="000B1AE5"/>
    <w:rsid w:val="000B1B2B"/>
    <w:rsid w:val="000B1B57"/>
    <w:rsid w:val="000B1F95"/>
    <w:rsid w:val="000B203F"/>
    <w:rsid w:val="000B205B"/>
    <w:rsid w:val="000B227F"/>
    <w:rsid w:val="000B22D9"/>
    <w:rsid w:val="000B2452"/>
    <w:rsid w:val="000B2746"/>
    <w:rsid w:val="000B299F"/>
    <w:rsid w:val="000B2A51"/>
    <w:rsid w:val="000B2B54"/>
    <w:rsid w:val="000B2B6F"/>
    <w:rsid w:val="000B2B8A"/>
    <w:rsid w:val="000B2DAE"/>
    <w:rsid w:val="000B2E0A"/>
    <w:rsid w:val="000B2E44"/>
    <w:rsid w:val="000B3007"/>
    <w:rsid w:val="000B3127"/>
    <w:rsid w:val="000B31D6"/>
    <w:rsid w:val="000B32B0"/>
    <w:rsid w:val="000B33BB"/>
    <w:rsid w:val="000B34D4"/>
    <w:rsid w:val="000B34F7"/>
    <w:rsid w:val="000B3761"/>
    <w:rsid w:val="000B3918"/>
    <w:rsid w:val="000B3A73"/>
    <w:rsid w:val="000B3C77"/>
    <w:rsid w:val="000B43C4"/>
    <w:rsid w:val="000B4472"/>
    <w:rsid w:val="000B4628"/>
    <w:rsid w:val="000B469C"/>
    <w:rsid w:val="000B4782"/>
    <w:rsid w:val="000B490B"/>
    <w:rsid w:val="000B49D4"/>
    <w:rsid w:val="000B4D8E"/>
    <w:rsid w:val="000B50D2"/>
    <w:rsid w:val="000B521D"/>
    <w:rsid w:val="000B5451"/>
    <w:rsid w:val="000B5493"/>
    <w:rsid w:val="000B5609"/>
    <w:rsid w:val="000B565B"/>
    <w:rsid w:val="000B56EF"/>
    <w:rsid w:val="000B57AC"/>
    <w:rsid w:val="000B5836"/>
    <w:rsid w:val="000B58BB"/>
    <w:rsid w:val="000B5D7B"/>
    <w:rsid w:val="000B6034"/>
    <w:rsid w:val="000B611A"/>
    <w:rsid w:val="000B611B"/>
    <w:rsid w:val="000B6267"/>
    <w:rsid w:val="000B63E1"/>
    <w:rsid w:val="000B65DD"/>
    <w:rsid w:val="000B662F"/>
    <w:rsid w:val="000B6648"/>
    <w:rsid w:val="000B6EF0"/>
    <w:rsid w:val="000B7093"/>
    <w:rsid w:val="000B7138"/>
    <w:rsid w:val="000B7258"/>
    <w:rsid w:val="000B7272"/>
    <w:rsid w:val="000B7337"/>
    <w:rsid w:val="000B743F"/>
    <w:rsid w:val="000B74F4"/>
    <w:rsid w:val="000B7729"/>
    <w:rsid w:val="000B781B"/>
    <w:rsid w:val="000B7877"/>
    <w:rsid w:val="000B788E"/>
    <w:rsid w:val="000B79FB"/>
    <w:rsid w:val="000B7A41"/>
    <w:rsid w:val="000B7AD8"/>
    <w:rsid w:val="000B7D0E"/>
    <w:rsid w:val="000B7DF6"/>
    <w:rsid w:val="000B7F78"/>
    <w:rsid w:val="000C0046"/>
    <w:rsid w:val="000C005D"/>
    <w:rsid w:val="000C005E"/>
    <w:rsid w:val="000C00B3"/>
    <w:rsid w:val="000C00F2"/>
    <w:rsid w:val="000C0196"/>
    <w:rsid w:val="000C025D"/>
    <w:rsid w:val="000C02B8"/>
    <w:rsid w:val="000C03CC"/>
    <w:rsid w:val="000C0444"/>
    <w:rsid w:val="000C0664"/>
    <w:rsid w:val="000C0847"/>
    <w:rsid w:val="000C08D1"/>
    <w:rsid w:val="000C097D"/>
    <w:rsid w:val="000C0A52"/>
    <w:rsid w:val="000C0C78"/>
    <w:rsid w:val="000C0D5A"/>
    <w:rsid w:val="000C0FDB"/>
    <w:rsid w:val="000C1058"/>
    <w:rsid w:val="000C119A"/>
    <w:rsid w:val="000C1348"/>
    <w:rsid w:val="000C140D"/>
    <w:rsid w:val="000C1486"/>
    <w:rsid w:val="000C1604"/>
    <w:rsid w:val="000C1D50"/>
    <w:rsid w:val="000C1F0D"/>
    <w:rsid w:val="000C25B2"/>
    <w:rsid w:val="000C2736"/>
    <w:rsid w:val="000C285B"/>
    <w:rsid w:val="000C29E1"/>
    <w:rsid w:val="000C2ACA"/>
    <w:rsid w:val="000C2BA2"/>
    <w:rsid w:val="000C2BC0"/>
    <w:rsid w:val="000C2CAE"/>
    <w:rsid w:val="000C2FFB"/>
    <w:rsid w:val="000C2FFE"/>
    <w:rsid w:val="000C31AA"/>
    <w:rsid w:val="000C3291"/>
    <w:rsid w:val="000C33C8"/>
    <w:rsid w:val="000C35A7"/>
    <w:rsid w:val="000C361A"/>
    <w:rsid w:val="000C36DB"/>
    <w:rsid w:val="000C3A6A"/>
    <w:rsid w:val="000C3B6E"/>
    <w:rsid w:val="000C3C43"/>
    <w:rsid w:val="000C3FBE"/>
    <w:rsid w:val="000C4357"/>
    <w:rsid w:val="000C4473"/>
    <w:rsid w:val="000C4573"/>
    <w:rsid w:val="000C4594"/>
    <w:rsid w:val="000C49D4"/>
    <w:rsid w:val="000C4B9E"/>
    <w:rsid w:val="000C4BB6"/>
    <w:rsid w:val="000C4BEC"/>
    <w:rsid w:val="000C4E79"/>
    <w:rsid w:val="000C4EC5"/>
    <w:rsid w:val="000C4F07"/>
    <w:rsid w:val="000C50AF"/>
    <w:rsid w:val="000C5131"/>
    <w:rsid w:val="000C5204"/>
    <w:rsid w:val="000C5547"/>
    <w:rsid w:val="000C55DA"/>
    <w:rsid w:val="000C56E4"/>
    <w:rsid w:val="000C5847"/>
    <w:rsid w:val="000C5A68"/>
    <w:rsid w:val="000C5B8F"/>
    <w:rsid w:val="000C5C7D"/>
    <w:rsid w:val="000C5D3A"/>
    <w:rsid w:val="000C5D6F"/>
    <w:rsid w:val="000C5F00"/>
    <w:rsid w:val="000C5F33"/>
    <w:rsid w:val="000C5F6F"/>
    <w:rsid w:val="000C5FA2"/>
    <w:rsid w:val="000C61D6"/>
    <w:rsid w:val="000C61E0"/>
    <w:rsid w:val="000C6316"/>
    <w:rsid w:val="000C646B"/>
    <w:rsid w:val="000C64CC"/>
    <w:rsid w:val="000C657A"/>
    <w:rsid w:val="000C6670"/>
    <w:rsid w:val="000C66BB"/>
    <w:rsid w:val="000C67B6"/>
    <w:rsid w:val="000C68D1"/>
    <w:rsid w:val="000C6971"/>
    <w:rsid w:val="000C6986"/>
    <w:rsid w:val="000C6ACA"/>
    <w:rsid w:val="000C6C12"/>
    <w:rsid w:val="000C6E27"/>
    <w:rsid w:val="000C6FB3"/>
    <w:rsid w:val="000C70C5"/>
    <w:rsid w:val="000C70CC"/>
    <w:rsid w:val="000C71E0"/>
    <w:rsid w:val="000C7437"/>
    <w:rsid w:val="000C7510"/>
    <w:rsid w:val="000C77C5"/>
    <w:rsid w:val="000C78AE"/>
    <w:rsid w:val="000C796A"/>
    <w:rsid w:val="000C7A9D"/>
    <w:rsid w:val="000C7B92"/>
    <w:rsid w:val="000C7BF2"/>
    <w:rsid w:val="000C7D59"/>
    <w:rsid w:val="000C7DD9"/>
    <w:rsid w:val="000D0045"/>
    <w:rsid w:val="000D02A4"/>
    <w:rsid w:val="000D03EF"/>
    <w:rsid w:val="000D0609"/>
    <w:rsid w:val="000D063A"/>
    <w:rsid w:val="000D06D7"/>
    <w:rsid w:val="000D08AC"/>
    <w:rsid w:val="000D0C7E"/>
    <w:rsid w:val="000D0D64"/>
    <w:rsid w:val="000D0E60"/>
    <w:rsid w:val="000D0EAE"/>
    <w:rsid w:val="000D0FA6"/>
    <w:rsid w:val="000D119F"/>
    <w:rsid w:val="000D14B9"/>
    <w:rsid w:val="000D1618"/>
    <w:rsid w:val="000D161C"/>
    <w:rsid w:val="000D1710"/>
    <w:rsid w:val="000D1921"/>
    <w:rsid w:val="000D1944"/>
    <w:rsid w:val="000D1A1C"/>
    <w:rsid w:val="000D1B5D"/>
    <w:rsid w:val="000D1C3A"/>
    <w:rsid w:val="000D1F23"/>
    <w:rsid w:val="000D1FA2"/>
    <w:rsid w:val="000D207F"/>
    <w:rsid w:val="000D21C3"/>
    <w:rsid w:val="000D24E5"/>
    <w:rsid w:val="000D260D"/>
    <w:rsid w:val="000D2633"/>
    <w:rsid w:val="000D2753"/>
    <w:rsid w:val="000D27A1"/>
    <w:rsid w:val="000D2AE3"/>
    <w:rsid w:val="000D2B90"/>
    <w:rsid w:val="000D2D3A"/>
    <w:rsid w:val="000D305B"/>
    <w:rsid w:val="000D30F4"/>
    <w:rsid w:val="000D3404"/>
    <w:rsid w:val="000D34B9"/>
    <w:rsid w:val="000D3580"/>
    <w:rsid w:val="000D3603"/>
    <w:rsid w:val="000D37BB"/>
    <w:rsid w:val="000D398C"/>
    <w:rsid w:val="000D3BAF"/>
    <w:rsid w:val="000D4001"/>
    <w:rsid w:val="000D4336"/>
    <w:rsid w:val="000D445A"/>
    <w:rsid w:val="000D469F"/>
    <w:rsid w:val="000D4703"/>
    <w:rsid w:val="000D49E2"/>
    <w:rsid w:val="000D4AD0"/>
    <w:rsid w:val="000D4B3A"/>
    <w:rsid w:val="000D4BE6"/>
    <w:rsid w:val="000D4CAA"/>
    <w:rsid w:val="000D4FC9"/>
    <w:rsid w:val="000D526A"/>
    <w:rsid w:val="000D52DE"/>
    <w:rsid w:val="000D54BF"/>
    <w:rsid w:val="000D555F"/>
    <w:rsid w:val="000D5583"/>
    <w:rsid w:val="000D55B7"/>
    <w:rsid w:val="000D5703"/>
    <w:rsid w:val="000D584E"/>
    <w:rsid w:val="000D5896"/>
    <w:rsid w:val="000D5B83"/>
    <w:rsid w:val="000D5C59"/>
    <w:rsid w:val="000D5CC6"/>
    <w:rsid w:val="000D5D19"/>
    <w:rsid w:val="000D5E68"/>
    <w:rsid w:val="000D60B9"/>
    <w:rsid w:val="000D60D1"/>
    <w:rsid w:val="000D6387"/>
    <w:rsid w:val="000D6432"/>
    <w:rsid w:val="000D660F"/>
    <w:rsid w:val="000D6896"/>
    <w:rsid w:val="000D691D"/>
    <w:rsid w:val="000D69AE"/>
    <w:rsid w:val="000D6C55"/>
    <w:rsid w:val="000D6D1C"/>
    <w:rsid w:val="000D6DA4"/>
    <w:rsid w:val="000D6E6F"/>
    <w:rsid w:val="000D72FB"/>
    <w:rsid w:val="000D7461"/>
    <w:rsid w:val="000D7814"/>
    <w:rsid w:val="000D7A12"/>
    <w:rsid w:val="000D7A16"/>
    <w:rsid w:val="000D7B3C"/>
    <w:rsid w:val="000D7EF2"/>
    <w:rsid w:val="000D7F3B"/>
    <w:rsid w:val="000E0126"/>
    <w:rsid w:val="000E0138"/>
    <w:rsid w:val="000E033E"/>
    <w:rsid w:val="000E0404"/>
    <w:rsid w:val="000E0570"/>
    <w:rsid w:val="000E05E4"/>
    <w:rsid w:val="000E0943"/>
    <w:rsid w:val="000E0A02"/>
    <w:rsid w:val="000E0B1F"/>
    <w:rsid w:val="000E0B5C"/>
    <w:rsid w:val="000E0C15"/>
    <w:rsid w:val="000E0C88"/>
    <w:rsid w:val="000E1195"/>
    <w:rsid w:val="000E15AE"/>
    <w:rsid w:val="000E15BB"/>
    <w:rsid w:val="000E1718"/>
    <w:rsid w:val="000E182F"/>
    <w:rsid w:val="000E1953"/>
    <w:rsid w:val="000E1A4E"/>
    <w:rsid w:val="000E1A6F"/>
    <w:rsid w:val="000E1CB9"/>
    <w:rsid w:val="000E1D9C"/>
    <w:rsid w:val="000E1E2B"/>
    <w:rsid w:val="000E1ED6"/>
    <w:rsid w:val="000E1F09"/>
    <w:rsid w:val="000E21A1"/>
    <w:rsid w:val="000E22B3"/>
    <w:rsid w:val="000E23DF"/>
    <w:rsid w:val="000E2769"/>
    <w:rsid w:val="000E27AE"/>
    <w:rsid w:val="000E27DD"/>
    <w:rsid w:val="000E28D0"/>
    <w:rsid w:val="000E2AAD"/>
    <w:rsid w:val="000E2AFA"/>
    <w:rsid w:val="000E2C01"/>
    <w:rsid w:val="000E2DB6"/>
    <w:rsid w:val="000E3312"/>
    <w:rsid w:val="000E369F"/>
    <w:rsid w:val="000E374B"/>
    <w:rsid w:val="000E37FF"/>
    <w:rsid w:val="000E395B"/>
    <w:rsid w:val="000E3A32"/>
    <w:rsid w:val="000E3B80"/>
    <w:rsid w:val="000E3BD3"/>
    <w:rsid w:val="000E3BD5"/>
    <w:rsid w:val="000E3CC2"/>
    <w:rsid w:val="000E3EE9"/>
    <w:rsid w:val="000E3F18"/>
    <w:rsid w:val="000E4336"/>
    <w:rsid w:val="000E436A"/>
    <w:rsid w:val="000E43EC"/>
    <w:rsid w:val="000E44E2"/>
    <w:rsid w:val="000E459F"/>
    <w:rsid w:val="000E46D9"/>
    <w:rsid w:val="000E481E"/>
    <w:rsid w:val="000E485B"/>
    <w:rsid w:val="000E48E8"/>
    <w:rsid w:val="000E4944"/>
    <w:rsid w:val="000E4A0C"/>
    <w:rsid w:val="000E4A57"/>
    <w:rsid w:val="000E4B1E"/>
    <w:rsid w:val="000E4CF9"/>
    <w:rsid w:val="000E4D05"/>
    <w:rsid w:val="000E4D10"/>
    <w:rsid w:val="000E4D7C"/>
    <w:rsid w:val="000E4FFD"/>
    <w:rsid w:val="000E519A"/>
    <w:rsid w:val="000E55FA"/>
    <w:rsid w:val="000E56F6"/>
    <w:rsid w:val="000E57BC"/>
    <w:rsid w:val="000E57E3"/>
    <w:rsid w:val="000E58ED"/>
    <w:rsid w:val="000E590F"/>
    <w:rsid w:val="000E5D49"/>
    <w:rsid w:val="000E5D56"/>
    <w:rsid w:val="000E5F71"/>
    <w:rsid w:val="000E60A0"/>
    <w:rsid w:val="000E60E9"/>
    <w:rsid w:val="000E61B4"/>
    <w:rsid w:val="000E61CD"/>
    <w:rsid w:val="000E65F3"/>
    <w:rsid w:val="000E6652"/>
    <w:rsid w:val="000E67D7"/>
    <w:rsid w:val="000E6AE8"/>
    <w:rsid w:val="000E6BD7"/>
    <w:rsid w:val="000E740E"/>
    <w:rsid w:val="000E78FD"/>
    <w:rsid w:val="000E790F"/>
    <w:rsid w:val="000E7ACB"/>
    <w:rsid w:val="000E7D9D"/>
    <w:rsid w:val="000E7EDE"/>
    <w:rsid w:val="000E7F8B"/>
    <w:rsid w:val="000F083E"/>
    <w:rsid w:val="000F098C"/>
    <w:rsid w:val="000F0A34"/>
    <w:rsid w:val="000F0A62"/>
    <w:rsid w:val="000F0B46"/>
    <w:rsid w:val="000F0BAA"/>
    <w:rsid w:val="000F0C6C"/>
    <w:rsid w:val="000F0CEA"/>
    <w:rsid w:val="000F1054"/>
    <w:rsid w:val="000F10A2"/>
    <w:rsid w:val="000F118C"/>
    <w:rsid w:val="000F14EF"/>
    <w:rsid w:val="000F1583"/>
    <w:rsid w:val="000F1772"/>
    <w:rsid w:val="000F191E"/>
    <w:rsid w:val="000F19E8"/>
    <w:rsid w:val="000F1ABD"/>
    <w:rsid w:val="000F1B75"/>
    <w:rsid w:val="000F1D68"/>
    <w:rsid w:val="000F21E4"/>
    <w:rsid w:val="000F24F7"/>
    <w:rsid w:val="000F254E"/>
    <w:rsid w:val="000F25F8"/>
    <w:rsid w:val="000F26F9"/>
    <w:rsid w:val="000F28ED"/>
    <w:rsid w:val="000F2B7C"/>
    <w:rsid w:val="000F2C1B"/>
    <w:rsid w:val="000F30A2"/>
    <w:rsid w:val="000F3324"/>
    <w:rsid w:val="000F3347"/>
    <w:rsid w:val="000F3441"/>
    <w:rsid w:val="000F35F4"/>
    <w:rsid w:val="000F3639"/>
    <w:rsid w:val="000F37C3"/>
    <w:rsid w:val="000F383D"/>
    <w:rsid w:val="000F3897"/>
    <w:rsid w:val="000F3951"/>
    <w:rsid w:val="000F3992"/>
    <w:rsid w:val="000F3AC7"/>
    <w:rsid w:val="000F3B4A"/>
    <w:rsid w:val="000F3B7E"/>
    <w:rsid w:val="000F3C5C"/>
    <w:rsid w:val="000F3CDD"/>
    <w:rsid w:val="000F3EF7"/>
    <w:rsid w:val="000F4057"/>
    <w:rsid w:val="000F4072"/>
    <w:rsid w:val="000F4141"/>
    <w:rsid w:val="000F41C8"/>
    <w:rsid w:val="000F43FD"/>
    <w:rsid w:val="000F4518"/>
    <w:rsid w:val="000F4627"/>
    <w:rsid w:val="000F46D4"/>
    <w:rsid w:val="000F4737"/>
    <w:rsid w:val="000F47D9"/>
    <w:rsid w:val="000F4858"/>
    <w:rsid w:val="000F4919"/>
    <w:rsid w:val="000F4BCF"/>
    <w:rsid w:val="000F4C11"/>
    <w:rsid w:val="000F4C9D"/>
    <w:rsid w:val="000F4E7B"/>
    <w:rsid w:val="000F4EAF"/>
    <w:rsid w:val="000F4EF9"/>
    <w:rsid w:val="000F5046"/>
    <w:rsid w:val="000F50C7"/>
    <w:rsid w:val="000F5195"/>
    <w:rsid w:val="000F51AB"/>
    <w:rsid w:val="000F529E"/>
    <w:rsid w:val="000F5466"/>
    <w:rsid w:val="000F54A7"/>
    <w:rsid w:val="000F54D9"/>
    <w:rsid w:val="000F55F7"/>
    <w:rsid w:val="000F5617"/>
    <w:rsid w:val="000F5641"/>
    <w:rsid w:val="000F585A"/>
    <w:rsid w:val="000F628C"/>
    <w:rsid w:val="000F6349"/>
    <w:rsid w:val="000F64BA"/>
    <w:rsid w:val="000F651F"/>
    <w:rsid w:val="000F6572"/>
    <w:rsid w:val="000F6592"/>
    <w:rsid w:val="000F66E2"/>
    <w:rsid w:val="000F6829"/>
    <w:rsid w:val="000F68D3"/>
    <w:rsid w:val="000F68F9"/>
    <w:rsid w:val="000F6938"/>
    <w:rsid w:val="000F69EF"/>
    <w:rsid w:val="000F6AA1"/>
    <w:rsid w:val="000F6D5F"/>
    <w:rsid w:val="000F6E47"/>
    <w:rsid w:val="000F6F43"/>
    <w:rsid w:val="000F7093"/>
    <w:rsid w:val="000F7619"/>
    <w:rsid w:val="000F763A"/>
    <w:rsid w:val="000F792B"/>
    <w:rsid w:val="000F7B60"/>
    <w:rsid w:val="000F7CE1"/>
    <w:rsid w:val="000F7E57"/>
    <w:rsid w:val="000F7E5D"/>
    <w:rsid w:val="000F7F32"/>
    <w:rsid w:val="00100138"/>
    <w:rsid w:val="001003B8"/>
    <w:rsid w:val="001003C4"/>
    <w:rsid w:val="00100432"/>
    <w:rsid w:val="001004D4"/>
    <w:rsid w:val="00100631"/>
    <w:rsid w:val="00100A5D"/>
    <w:rsid w:val="00100B13"/>
    <w:rsid w:val="00100B85"/>
    <w:rsid w:val="00100C05"/>
    <w:rsid w:val="00100CE1"/>
    <w:rsid w:val="00100D35"/>
    <w:rsid w:val="00101031"/>
    <w:rsid w:val="00101444"/>
    <w:rsid w:val="0010147B"/>
    <w:rsid w:val="001015BD"/>
    <w:rsid w:val="001017BF"/>
    <w:rsid w:val="00101839"/>
    <w:rsid w:val="00101BD3"/>
    <w:rsid w:val="00101EB5"/>
    <w:rsid w:val="001022F4"/>
    <w:rsid w:val="00102390"/>
    <w:rsid w:val="001024FE"/>
    <w:rsid w:val="00102573"/>
    <w:rsid w:val="001027C2"/>
    <w:rsid w:val="001028DA"/>
    <w:rsid w:val="00102B49"/>
    <w:rsid w:val="00102B9C"/>
    <w:rsid w:val="00102DB2"/>
    <w:rsid w:val="00102DB6"/>
    <w:rsid w:val="00102FFB"/>
    <w:rsid w:val="00103022"/>
    <w:rsid w:val="001033AA"/>
    <w:rsid w:val="001034E0"/>
    <w:rsid w:val="00103573"/>
    <w:rsid w:val="0010389A"/>
    <w:rsid w:val="00103937"/>
    <w:rsid w:val="00103E4D"/>
    <w:rsid w:val="001040A8"/>
    <w:rsid w:val="00104130"/>
    <w:rsid w:val="001044E1"/>
    <w:rsid w:val="0010455D"/>
    <w:rsid w:val="00104842"/>
    <w:rsid w:val="00104889"/>
    <w:rsid w:val="001048B9"/>
    <w:rsid w:val="001048ED"/>
    <w:rsid w:val="00104AA2"/>
    <w:rsid w:val="00104B37"/>
    <w:rsid w:val="00104CFC"/>
    <w:rsid w:val="00104FBE"/>
    <w:rsid w:val="00105136"/>
    <w:rsid w:val="001051E2"/>
    <w:rsid w:val="00105396"/>
    <w:rsid w:val="00105398"/>
    <w:rsid w:val="00105638"/>
    <w:rsid w:val="00105653"/>
    <w:rsid w:val="0010567C"/>
    <w:rsid w:val="0010578D"/>
    <w:rsid w:val="001058E7"/>
    <w:rsid w:val="00105BEC"/>
    <w:rsid w:val="00105D74"/>
    <w:rsid w:val="00105D81"/>
    <w:rsid w:val="00105DD1"/>
    <w:rsid w:val="0010609C"/>
    <w:rsid w:val="001060A1"/>
    <w:rsid w:val="001060B6"/>
    <w:rsid w:val="00106277"/>
    <w:rsid w:val="0010629C"/>
    <w:rsid w:val="001062A2"/>
    <w:rsid w:val="00106321"/>
    <w:rsid w:val="0010664A"/>
    <w:rsid w:val="001067FF"/>
    <w:rsid w:val="0010694E"/>
    <w:rsid w:val="00106B11"/>
    <w:rsid w:val="00106B8D"/>
    <w:rsid w:val="00106C36"/>
    <w:rsid w:val="00106DAF"/>
    <w:rsid w:val="00106E18"/>
    <w:rsid w:val="00106EA1"/>
    <w:rsid w:val="00106EFF"/>
    <w:rsid w:val="00107088"/>
    <w:rsid w:val="00107298"/>
    <w:rsid w:val="00107666"/>
    <w:rsid w:val="001077CA"/>
    <w:rsid w:val="001078AC"/>
    <w:rsid w:val="00107921"/>
    <w:rsid w:val="001079E3"/>
    <w:rsid w:val="00107A1A"/>
    <w:rsid w:val="00107C13"/>
    <w:rsid w:val="00107CE3"/>
    <w:rsid w:val="00107FF5"/>
    <w:rsid w:val="00110094"/>
    <w:rsid w:val="00110164"/>
    <w:rsid w:val="001101A7"/>
    <w:rsid w:val="0011025F"/>
    <w:rsid w:val="001102C5"/>
    <w:rsid w:val="00110AAD"/>
    <w:rsid w:val="00110C65"/>
    <w:rsid w:val="00110CA6"/>
    <w:rsid w:val="00110DAB"/>
    <w:rsid w:val="00110DEA"/>
    <w:rsid w:val="00110DF6"/>
    <w:rsid w:val="001111FD"/>
    <w:rsid w:val="0011141B"/>
    <w:rsid w:val="00111546"/>
    <w:rsid w:val="001116DD"/>
    <w:rsid w:val="001116F1"/>
    <w:rsid w:val="001119D0"/>
    <w:rsid w:val="00111C56"/>
    <w:rsid w:val="00111E48"/>
    <w:rsid w:val="0011206A"/>
    <w:rsid w:val="00112111"/>
    <w:rsid w:val="0011227F"/>
    <w:rsid w:val="00112566"/>
    <w:rsid w:val="001129D1"/>
    <w:rsid w:val="00112A77"/>
    <w:rsid w:val="00112A9D"/>
    <w:rsid w:val="00112AAA"/>
    <w:rsid w:val="00112BDC"/>
    <w:rsid w:val="00112BED"/>
    <w:rsid w:val="00112D31"/>
    <w:rsid w:val="00112EF8"/>
    <w:rsid w:val="00112FA1"/>
    <w:rsid w:val="00112FDF"/>
    <w:rsid w:val="001130BF"/>
    <w:rsid w:val="00113199"/>
    <w:rsid w:val="001131AC"/>
    <w:rsid w:val="00113975"/>
    <w:rsid w:val="00113A5A"/>
    <w:rsid w:val="00113CDB"/>
    <w:rsid w:val="00113FF5"/>
    <w:rsid w:val="00114214"/>
    <w:rsid w:val="00114311"/>
    <w:rsid w:val="00114354"/>
    <w:rsid w:val="00114363"/>
    <w:rsid w:val="00114738"/>
    <w:rsid w:val="00114848"/>
    <w:rsid w:val="00114864"/>
    <w:rsid w:val="001148E6"/>
    <w:rsid w:val="001149F3"/>
    <w:rsid w:val="00114AD6"/>
    <w:rsid w:val="00114BE1"/>
    <w:rsid w:val="00114D74"/>
    <w:rsid w:val="00115174"/>
    <w:rsid w:val="001152A5"/>
    <w:rsid w:val="0011542A"/>
    <w:rsid w:val="00115783"/>
    <w:rsid w:val="001159CA"/>
    <w:rsid w:val="00115A15"/>
    <w:rsid w:val="00115B19"/>
    <w:rsid w:val="00115B41"/>
    <w:rsid w:val="00115B9C"/>
    <w:rsid w:val="00115C7A"/>
    <w:rsid w:val="00115DC3"/>
    <w:rsid w:val="00115F6E"/>
    <w:rsid w:val="00115FF7"/>
    <w:rsid w:val="0011609B"/>
    <w:rsid w:val="001160EC"/>
    <w:rsid w:val="001161A5"/>
    <w:rsid w:val="001161DB"/>
    <w:rsid w:val="0011624F"/>
    <w:rsid w:val="00116339"/>
    <w:rsid w:val="00116389"/>
    <w:rsid w:val="001167A7"/>
    <w:rsid w:val="001169C0"/>
    <w:rsid w:val="00116B28"/>
    <w:rsid w:val="00116B75"/>
    <w:rsid w:val="00116CC4"/>
    <w:rsid w:val="00116F4C"/>
    <w:rsid w:val="00117135"/>
    <w:rsid w:val="0011745E"/>
    <w:rsid w:val="00117479"/>
    <w:rsid w:val="0011758C"/>
    <w:rsid w:val="00117627"/>
    <w:rsid w:val="0011771E"/>
    <w:rsid w:val="001177DC"/>
    <w:rsid w:val="001179ED"/>
    <w:rsid w:val="00117A0F"/>
    <w:rsid w:val="00117A2F"/>
    <w:rsid w:val="00117EA8"/>
    <w:rsid w:val="00117FD6"/>
    <w:rsid w:val="00117FDA"/>
    <w:rsid w:val="00120049"/>
    <w:rsid w:val="0012023E"/>
    <w:rsid w:val="00120272"/>
    <w:rsid w:val="001202A8"/>
    <w:rsid w:val="0012035B"/>
    <w:rsid w:val="001204D2"/>
    <w:rsid w:val="0012055C"/>
    <w:rsid w:val="0012056C"/>
    <w:rsid w:val="001205F8"/>
    <w:rsid w:val="0012070C"/>
    <w:rsid w:val="001207AA"/>
    <w:rsid w:val="001209A8"/>
    <w:rsid w:val="00120A4B"/>
    <w:rsid w:val="00120C43"/>
    <w:rsid w:val="00120C49"/>
    <w:rsid w:val="00120E61"/>
    <w:rsid w:val="00120E7B"/>
    <w:rsid w:val="00120ED4"/>
    <w:rsid w:val="00120F4A"/>
    <w:rsid w:val="001210FB"/>
    <w:rsid w:val="00121173"/>
    <w:rsid w:val="001211E6"/>
    <w:rsid w:val="001212AA"/>
    <w:rsid w:val="0012132E"/>
    <w:rsid w:val="0012137C"/>
    <w:rsid w:val="0012145E"/>
    <w:rsid w:val="00121584"/>
    <w:rsid w:val="001217A4"/>
    <w:rsid w:val="00121A1D"/>
    <w:rsid w:val="00121A50"/>
    <w:rsid w:val="00121A57"/>
    <w:rsid w:val="00121C0A"/>
    <w:rsid w:val="00121C43"/>
    <w:rsid w:val="00121C5C"/>
    <w:rsid w:val="00121CC2"/>
    <w:rsid w:val="00121CE4"/>
    <w:rsid w:val="00121F02"/>
    <w:rsid w:val="00122045"/>
    <w:rsid w:val="001220B6"/>
    <w:rsid w:val="00122153"/>
    <w:rsid w:val="00122670"/>
    <w:rsid w:val="00122696"/>
    <w:rsid w:val="001226A4"/>
    <w:rsid w:val="00122783"/>
    <w:rsid w:val="00122837"/>
    <w:rsid w:val="0012286E"/>
    <w:rsid w:val="00122A9E"/>
    <w:rsid w:val="00122B85"/>
    <w:rsid w:val="00122BCA"/>
    <w:rsid w:val="00122C1B"/>
    <w:rsid w:val="00122D05"/>
    <w:rsid w:val="00122F76"/>
    <w:rsid w:val="001230A5"/>
    <w:rsid w:val="001230BD"/>
    <w:rsid w:val="001231A7"/>
    <w:rsid w:val="0012320B"/>
    <w:rsid w:val="00123229"/>
    <w:rsid w:val="0012323D"/>
    <w:rsid w:val="001232F6"/>
    <w:rsid w:val="001233B3"/>
    <w:rsid w:val="001233DF"/>
    <w:rsid w:val="00123404"/>
    <w:rsid w:val="0012370B"/>
    <w:rsid w:val="0012374D"/>
    <w:rsid w:val="001239EE"/>
    <w:rsid w:val="00123BFF"/>
    <w:rsid w:val="00123EAC"/>
    <w:rsid w:val="00123F73"/>
    <w:rsid w:val="0012418B"/>
    <w:rsid w:val="001241BD"/>
    <w:rsid w:val="001245E6"/>
    <w:rsid w:val="001247F6"/>
    <w:rsid w:val="0012493D"/>
    <w:rsid w:val="00125087"/>
    <w:rsid w:val="001250FA"/>
    <w:rsid w:val="00125140"/>
    <w:rsid w:val="001252D6"/>
    <w:rsid w:val="001252FB"/>
    <w:rsid w:val="0012543A"/>
    <w:rsid w:val="001254AC"/>
    <w:rsid w:val="001255EA"/>
    <w:rsid w:val="001255F0"/>
    <w:rsid w:val="001256AA"/>
    <w:rsid w:val="001256AE"/>
    <w:rsid w:val="00125888"/>
    <w:rsid w:val="00125BE5"/>
    <w:rsid w:val="00125C03"/>
    <w:rsid w:val="00125D5D"/>
    <w:rsid w:val="00125D63"/>
    <w:rsid w:val="00125EFE"/>
    <w:rsid w:val="00125F19"/>
    <w:rsid w:val="00125FF9"/>
    <w:rsid w:val="00126103"/>
    <w:rsid w:val="001261A7"/>
    <w:rsid w:val="001263FF"/>
    <w:rsid w:val="001265AB"/>
    <w:rsid w:val="001266BD"/>
    <w:rsid w:val="001266D5"/>
    <w:rsid w:val="00126899"/>
    <w:rsid w:val="00126BE9"/>
    <w:rsid w:val="00126C7E"/>
    <w:rsid w:val="00126CD8"/>
    <w:rsid w:val="00126CDC"/>
    <w:rsid w:val="00126D40"/>
    <w:rsid w:val="00126DCC"/>
    <w:rsid w:val="00126E2F"/>
    <w:rsid w:val="00126F9C"/>
    <w:rsid w:val="00126FCB"/>
    <w:rsid w:val="00127321"/>
    <w:rsid w:val="00127360"/>
    <w:rsid w:val="00127541"/>
    <w:rsid w:val="001277E6"/>
    <w:rsid w:val="00127AB5"/>
    <w:rsid w:val="00127AFA"/>
    <w:rsid w:val="00127CBF"/>
    <w:rsid w:val="00127D94"/>
    <w:rsid w:val="00127E4F"/>
    <w:rsid w:val="00127E56"/>
    <w:rsid w:val="00127E99"/>
    <w:rsid w:val="00130093"/>
    <w:rsid w:val="00130147"/>
    <w:rsid w:val="00130159"/>
    <w:rsid w:val="0013025B"/>
    <w:rsid w:val="0013044E"/>
    <w:rsid w:val="001306DE"/>
    <w:rsid w:val="00130725"/>
    <w:rsid w:val="001308EC"/>
    <w:rsid w:val="00130AA7"/>
    <w:rsid w:val="00130C0C"/>
    <w:rsid w:val="00130D58"/>
    <w:rsid w:val="00130E1B"/>
    <w:rsid w:val="001311BC"/>
    <w:rsid w:val="001313F5"/>
    <w:rsid w:val="00131595"/>
    <w:rsid w:val="0013170A"/>
    <w:rsid w:val="00131809"/>
    <w:rsid w:val="001318FF"/>
    <w:rsid w:val="00131BCC"/>
    <w:rsid w:val="00131D44"/>
    <w:rsid w:val="00131E8A"/>
    <w:rsid w:val="00131EC8"/>
    <w:rsid w:val="00132040"/>
    <w:rsid w:val="001321B7"/>
    <w:rsid w:val="0013244F"/>
    <w:rsid w:val="001324BE"/>
    <w:rsid w:val="001327A0"/>
    <w:rsid w:val="001327D7"/>
    <w:rsid w:val="00132868"/>
    <w:rsid w:val="00132922"/>
    <w:rsid w:val="00132A46"/>
    <w:rsid w:val="00132CF8"/>
    <w:rsid w:val="00132D57"/>
    <w:rsid w:val="00132D78"/>
    <w:rsid w:val="00132FB9"/>
    <w:rsid w:val="00133054"/>
    <w:rsid w:val="0013320F"/>
    <w:rsid w:val="001332AE"/>
    <w:rsid w:val="001332F5"/>
    <w:rsid w:val="00133350"/>
    <w:rsid w:val="001333F2"/>
    <w:rsid w:val="00133495"/>
    <w:rsid w:val="001337EF"/>
    <w:rsid w:val="001339B7"/>
    <w:rsid w:val="00133AA1"/>
    <w:rsid w:val="00133CB4"/>
    <w:rsid w:val="00133E9E"/>
    <w:rsid w:val="00133ECD"/>
    <w:rsid w:val="00134129"/>
    <w:rsid w:val="00134132"/>
    <w:rsid w:val="0013419C"/>
    <w:rsid w:val="00134224"/>
    <w:rsid w:val="001342C0"/>
    <w:rsid w:val="00134448"/>
    <w:rsid w:val="0013452D"/>
    <w:rsid w:val="0013469C"/>
    <w:rsid w:val="001347F6"/>
    <w:rsid w:val="00134A1E"/>
    <w:rsid w:val="00134AA4"/>
    <w:rsid w:val="00134BE0"/>
    <w:rsid w:val="00134F09"/>
    <w:rsid w:val="00135022"/>
    <w:rsid w:val="00135243"/>
    <w:rsid w:val="0013531D"/>
    <w:rsid w:val="001355DC"/>
    <w:rsid w:val="001357FD"/>
    <w:rsid w:val="001358C4"/>
    <w:rsid w:val="001359E3"/>
    <w:rsid w:val="00135CF8"/>
    <w:rsid w:val="00135D3A"/>
    <w:rsid w:val="00135DD0"/>
    <w:rsid w:val="00135F91"/>
    <w:rsid w:val="00135FB5"/>
    <w:rsid w:val="00136193"/>
    <w:rsid w:val="00136351"/>
    <w:rsid w:val="00136390"/>
    <w:rsid w:val="00136399"/>
    <w:rsid w:val="001363F0"/>
    <w:rsid w:val="00136493"/>
    <w:rsid w:val="0013667C"/>
    <w:rsid w:val="00136803"/>
    <w:rsid w:val="00136B64"/>
    <w:rsid w:val="00136D0A"/>
    <w:rsid w:val="00136D29"/>
    <w:rsid w:val="00136DF8"/>
    <w:rsid w:val="00136E5D"/>
    <w:rsid w:val="00136FB7"/>
    <w:rsid w:val="00137129"/>
    <w:rsid w:val="00137602"/>
    <w:rsid w:val="00137657"/>
    <w:rsid w:val="00137726"/>
    <w:rsid w:val="001379BE"/>
    <w:rsid w:val="00137A73"/>
    <w:rsid w:val="00137BFE"/>
    <w:rsid w:val="00137C27"/>
    <w:rsid w:val="00140152"/>
    <w:rsid w:val="001401E9"/>
    <w:rsid w:val="001404ED"/>
    <w:rsid w:val="0014055B"/>
    <w:rsid w:val="001406FB"/>
    <w:rsid w:val="0014087E"/>
    <w:rsid w:val="00140C57"/>
    <w:rsid w:val="00140CD8"/>
    <w:rsid w:val="00140EDB"/>
    <w:rsid w:val="00141233"/>
    <w:rsid w:val="0014128C"/>
    <w:rsid w:val="00141472"/>
    <w:rsid w:val="0014170E"/>
    <w:rsid w:val="00141AB4"/>
    <w:rsid w:val="00141C47"/>
    <w:rsid w:val="00141C4D"/>
    <w:rsid w:val="00141CE4"/>
    <w:rsid w:val="00142111"/>
    <w:rsid w:val="00142197"/>
    <w:rsid w:val="00142426"/>
    <w:rsid w:val="0014266D"/>
    <w:rsid w:val="00142787"/>
    <w:rsid w:val="00142A6A"/>
    <w:rsid w:val="00142B92"/>
    <w:rsid w:val="00142C09"/>
    <w:rsid w:val="00142C1B"/>
    <w:rsid w:val="00142EFB"/>
    <w:rsid w:val="00142F03"/>
    <w:rsid w:val="00142FA8"/>
    <w:rsid w:val="00143028"/>
    <w:rsid w:val="00143180"/>
    <w:rsid w:val="0014333A"/>
    <w:rsid w:val="0014362A"/>
    <w:rsid w:val="001436AC"/>
    <w:rsid w:val="001436CC"/>
    <w:rsid w:val="00143732"/>
    <w:rsid w:val="00143737"/>
    <w:rsid w:val="00143CAC"/>
    <w:rsid w:val="00143E81"/>
    <w:rsid w:val="00143F6F"/>
    <w:rsid w:val="001442D8"/>
    <w:rsid w:val="0014446D"/>
    <w:rsid w:val="00144539"/>
    <w:rsid w:val="0014471A"/>
    <w:rsid w:val="0014478A"/>
    <w:rsid w:val="001448B5"/>
    <w:rsid w:val="00144BA2"/>
    <w:rsid w:val="00144E32"/>
    <w:rsid w:val="00144EB1"/>
    <w:rsid w:val="00144EB7"/>
    <w:rsid w:val="00144F2B"/>
    <w:rsid w:val="00144FD9"/>
    <w:rsid w:val="00145053"/>
    <w:rsid w:val="00145229"/>
    <w:rsid w:val="00145492"/>
    <w:rsid w:val="001457C0"/>
    <w:rsid w:val="0014590A"/>
    <w:rsid w:val="001459D5"/>
    <w:rsid w:val="00145A0C"/>
    <w:rsid w:val="00145A66"/>
    <w:rsid w:val="00145BBF"/>
    <w:rsid w:val="00145C4A"/>
    <w:rsid w:val="00145D22"/>
    <w:rsid w:val="00145DFF"/>
    <w:rsid w:val="00145E8F"/>
    <w:rsid w:val="00145F27"/>
    <w:rsid w:val="0014609B"/>
    <w:rsid w:val="0014640B"/>
    <w:rsid w:val="00146420"/>
    <w:rsid w:val="001465A2"/>
    <w:rsid w:val="001466B0"/>
    <w:rsid w:val="001466CA"/>
    <w:rsid w:val="0014673F"/>
    <w:rsid w:val="0014676C"/>
    <w:rsid w:val="001467DE"/>
    <w:rsid w:val="00146AF0"/>
    <w:rsid w:val="00146D0A"/>
    <w:rsid w:val="00146D4D"/>
    <w:rsid w:val="00146FA7"/>
    <w:rsid w:val="00147005"/>
    <w:rsid w:val="001470C6"/>
    <w:rsid w:val="00147117"/>
    <w:rsid w:val="0014713F"/>
    <w:rsid w:val="00147267"/>
    <w:rsid w:val="0014738B"/>
    <w:rsid w:val="001475EB"/>
    <w:rsid w:val="0014768B"/>
    <w:rsid w:val="001476FF"/>
    <w:rsid w:val="0014773B"/>
    <w:rsid w:val="001477B2"/>
    <w:rsid w:val="001478FC"/>
    <w:rsid w:val="0014794D"/>
    <w:rsid w:val="00147B51"/>
    <w:rsid w:val="00147BF9"/>
    <w:rsid w:val="00147DE2"/>
    <w:rsid w:val="001500CD"/>
    <w:rsid w:val="001500E5"/>
    <w:rsid w:val="00150497"/>
    <w:rsid w:val="00150733"/>
    <w:rsid w:val="00150973"/>
    <w:rsid w:val="00150B37"/>
    <w:rsid w:val="00150CFA"/>
    <w:rsid w:val="00150D59"/>
    <w:rsid w:val="00150E5C"/>
    <w:rsid w:val="0015105A"/>
    <w:rsid w:val="00151153"/>
    <w:rsid w:val="00151305"/>
    <w:rsid w:val="0015130D"/>
    <w:rsid w:val="00151347"/>
    <w:rsid w:val="0015138A"/>
    <w:rsid w:val="00151919"/>
    <w:rsid w:val="0015195F"/>
    <w:rsid w:val="00151A93"/>
    <w:rsid w:val="00151C4E"/>
    <w:rsid w:val="00151D08"/>
    <w:rsid w:val="00151EFF"/>
    <w:rsid w:val="00151F19"/>
    <w:rsid w:val="00151FAF"/>
    <w:rsid w:val="00152090"/>
    <w:rsid w:val="001521C5"/>
    <w:rsid w:val="001523EE"/>
    <w:rsid w:val="0015259C"/>
    <w:rsid w:val="001525A8"/>
    <w:rsid w:val="001525B3"/>
    <w:rsid w:val="001525B5"/>
    <w:rsid w:val="00152873"/>
    <w:rsid w:val="0015289D"/>
    <w:rsid w:val="0015296A"/>
    <w:rsid w:val="001529B6"/>
    <w:rsid w:val="00152D43"/>
    <w:rsid w:val="00152D7D"/>
    <w:rsid w:val="00152E3F"/>
    <w:rsid w:val="00152E62"/>
    <w:rsid w:val="00152FC6"/>
    <w:rsid w:val="00153192"/>
    <w:rsid w:val="001533CC"/>
    <w:rsid w:val="00153434"/>
    <w:rsid w:val="00153540"/>
    <w:rsid w:val="001536F0"/>
    <w:rsid w:val="00153818"/>
    <w:rsid w:val="001538EE"/>
    <w:rsid w:val="00153984"/>
    <w:rsid w:val="00153A03"/>
    <w:rsid w:val="00153AA5"/>
    <w:rsid w:val="00153B0B"/>
    <w:rsid w:val="00153C5E"/>
    <w:rsid w:val="00153CB6"/>
    <w:rsid w:val="00153CCF"/>
    <w:rsid w:val="00153EF2"/>
    <w:rsid w:val="00153F1E"/>
    <w:rsid w:val="00154000"/>
    <w:rsid w:val="0015409D"/>
    <w:rsid w:val="00154228"/>
    <w:rsid w:val="001545AE"/>
    <w:rsid w:val="00154615"/>
    <w:rsid w:val="00154A17"/>
    <w:rsid w:val="00154B46"/>
    <w:rsid w:val="00154C17"/>
    <w:rsid w:val="00154E06"/>
    <w:rsid w:val="00154F2E"/>
    <w:rsid w:val="00155220"/>
    <w:rsid w:val="00155332"/>
    <w:rsid w:val="0015536D"/>
    <w:rsid w:val="001555D5"/>
    <w:rsid w:val="00155615"/>
    <w:rsid w:val="001557A9"/>
    <w:rsid w:val="00155926"/>
    <w:rsid w:val="00155E5C"/>
    <w:rsid w:val="00155EB6"/>
    <w:rsid w:val="00155EEE"/>
    <w:rsid w:val="0015634F"/>
    <w:rsid w:val="00156771"/>
    <w:rsid w:val="00156790"/>
    <w:rsid w:val="00156825"/>
    <w:rsid w:val="00156951"/>
    <w:rsid w:val="0015698D"/>
    <w:rsid w:val="00156A52"/>
    <w:rsid w:val="00156BFF"/>
    <w:rsid w:val="00156C17"/>
    <w:rsid w:val="00156DEF"/>
    <w:rsid w:val="001572ED"/>
    <w:rsid w:val="001574E9"/>
    <w:rsid w:val="001575D0"/>
    <w:rsid w:val="00157719"/>
    <w:rsid w:val="0015773A"/>
    <w:rsid w:val="001577E9"/>
    <w:rsid w:val="0015787C"/>
    <w:rsid w:val="00157A56"/>
    <w:rsid w:val="00157A61"/>
    <w:rsid w:val="00157E3D"/>
    <w:rsid w:val="00157F5B"/>
    <w:rsid w:val="00160004"/>
    <w:rsid w:val="001601A7"/>
    <w:rsid w:val="001601D8"/>
    <w:rsid w:val="001601DA"/>
    <w:rsid w:val="001603AA"/>
    <w:rsid w:val="0016067E"/>
    <w:rsid w:val="001606CE"/>
    <w:rsid w:val="00160755"/>
    <w:rsid w:val="00160811"/>
    <w:rsid w:val="00160A10"/>
    <w:rsid w:val="00160C25"/>
    <w:rsid w:val="00160C86"/>
    <w:rsid w:val="00160D37"/>
    <w:rsid w:val="00160E34"/>
    <w:rsid w:val="00160FDD"/>
    <w:rsid w:val="001611C2"/>
    <w:rsid w:val="001611F9"/>
    <w:rsid w:val="001613DB"/>
    <w:rsid w:val="001614B7"/>
    <w:rsid w:val="001615FD"/>
    <w:rsid w:val="00161A9D"/>
    <w:rsid w:val="00161AD5"/>
    <w:rsid w:val="00161ADC"/>
    <w:rsid w:val="00161D84"/>
    <w:rsid w:val="00161F9E"/>
    <w:rsid w:val="0016201D"/>
    <w:rsid w:val="001621CE"/>
    <w:rsid w:val="00162317"/>
    <w:rsid w:val="00162330"/>
    <w:rsid w:val="00162356"/>
    <w:rsid w:val="0016245D"/>
    <w:rsid w:val="00162752"/>
    <w:rsid w:val="0016289F"/>
    <w:rsid w:val="001629BB"/>
    <w:rsid w:val="00162B63"/>
    <w:rsid w:val="00162BB9"/>
    <w:rsid w:val="00162CE6"/>
    <w:rsid w:val="00162D54"/>
    <w:rsid w:val="00162E80"/>
    <w:rsid w:val="00162F1F"/>
    <w:rsid w:val="00162F33"/>
    <w:rsid w:val="001630A5"/>
    <w:rsid w:val="0016336E"/>
    <w:rsid w:val="001633F4"/>
    <w:rsid w:val="00163416"/>
    <w:rsid w:val="00163427"/>
    <w:rsid w:val="00163747"/>
    <w:rsid w:val="001638C9"/>
    <w:rsid w:val="00163D34"/>
    <w:rsid w:val="00163DC0"/>
    <w:rsid w:val="00163E78"/>
    <w:rsid w:val="00163F94"/>
    <w:rsid w:val="00163FA9"/>
    <w:rsid w:val="001640CC"/>
    <w:rsid w:val="00164259"/>
    <w:rsid w:val="00164362"/>
    <w:rsid w:val="0016449A"/>
    <w:rsid w:val="00164577"/>
    <w:rsid w:val="001645B1"/>
    <w:rsid w:val="00164A13"/>
    <w:rsid w:val="00164AF3"/>
    <w:rsid w:val="00164B3E"/>
    <w:rsid w:val="00164FE6"/>
    <w:rsid w:val="001651CC"/>
    <w:rsid w:val="0016533C"/>
    <w:rsid w:val="0016538E"/>
    <w:rsid w:val="0016552B"/>
    <w:rsid w:val="001655C4"/>
    <w:rsid w:val="0016563C"/>
    <w:rsid w:val="001657D6"/>
    <w:rsid w:val="001658F8"/>
    <w:rsid w:val="001659C0"/>
    <w:rsid w:val="00165A90"/>
    <w:rsid w:val="00165B53"/>
    <w:rsid w:val="00165B98"/>
    <w:rsid w:val="00165BFE"/>
    <w:rsid w:val="00165D97"/>
    <w:rsid w:val="00165DAD"/>
    <w:rsid w:val="00165DCB"/>
    <w:rsid w:val="00165EBB"/>
    <w:rsid w:val="00165F9C"/>
    <w:rsid w:val="00165FFB"/>
    <w:rsid w:val="00166255"/>
    <w:rsid w:val="00166274"/>
    <w:rsid w:val="0016632A"/>
    <w:rsid w:val="00166350"/>
    <w:rsid w:val="001663D6"/>
    <w:rsid w:val="00166499"/>
    <w:rsid w:val="001664C9"/>
    <w:rsid w:val="001666E6"/>
    <w:rsid w:val="0016673A"/>
    <w:rsid w:val="001667A9"/>
    <w:rsid w:val="00166831"/>
    <w:rsid w:val="00166914"/>
    <w:rsid w:val="001669E4"/>
    <w:rsid w:val="00166B3C"/>
    <w:rsid w:val="00166CDD"/>
    <w:rsid w:val="00166E0C"/>
    <w:rsid w:val="00166EA9"/>
    <w:rsid w:val="00166F6F"/>
    <w:rsid w:val="00167017"/>
    <w:rsid w:val="00167238"/>
    <w:rsid w:val="00167262"/>
    <w:rsid w:val="001674D8"/>
    <w:rsid w:val="001675E4"/>
    <w:rsid w:val="001676D6"/>
    <w:rsid w:val="00167855"/>
    <w:rsid w:val="00167923"/>
    <w:rsid w:val="00167966"/>
    <w:rsid w:val="001679B4"/>
    <w:rsid w:val="00167A04"/>
    <w:rsid w:val="00167A57"/>
    <w:rsid w:val="00167B5F"/>
    <w:rsid w:val="00167BA5"/>
    <w:rsid w:val="00167C19"/>
    <w:rsid w:val="00167C1F"/>
    <w:rsid w:val="00167F9C"/>
    <w:rsid w:val="00167FDF"/>
    <w:rsid w:val="00167FE0"/>
    <w:rsid w:val="00170007"/>
    <w:rsid w:val="001701AE"/>
    <w:rsid w:val="001703B0"/>
    <w:rsid w:val="00170634"/>
    <w:rsid w:val="001708EF"/>
    <w:rsid w:val="00170C81"/>
    <w:rsid w:val="00170E14"/>
    <w:rsid w:val="00170ED8"/>
    <w:rsid w:val="00170EEF"/>
    <w:rsid w:val="00170F8A"/>
    <w:rsid w:val="00171040"/>
    <w:rsid w:val="0017109F"/>
    <w:rsid w:val="001713B7"/>
    <w:rsid w:val="001713C4"/>
    <w:rsid w:val="00171484"/>
    <w:rsid w:val="001717C7"/>
    <w:rsid w:val="001717F1"/>
    <w:rsid w:val="00171972"/>
    <w:rsid w:val="00171A27"/>
    <w:rsid w:val="00171AB5"/>
    <w:rsid w:val="00171AD6"/>
    <w:rsid w:val="00171B0E"/>
    <w:rsid w:val="00171B0F"/>
    <w:rsid w:val="00171B57"/>
    <w:rsid w:val="00171B5C"/>
    <w:rsid w:val="00171C73"/>
    <w:rsid w:val="00171CB5"/>
    <w:rsid w:val="00171EE0"/>
    <w:rsid w:val="001720E4"/>
    <w:rsid w:val="001723EC"/>
    <w:rsid w:val="001723F1"/>
    <w:rsid w:val="0017259E"/>
    <w:rsid w:val="0017266D"/>
    <w:rsid w:val="0017272E"/>
    <w:rsid w:val="00172790"/>
    <w:rsid w:val="00172857"/>
    <w:rsid w:val="001728AB"/>
    <w:rsid w:val="001728D9"/>
    <w:rsid w:val="00172AC0"/>
    <w:rsid w:val="00172CCE"/>
    <w:rsid w:val="00172CD7"/>
    <w:rsid w:val="00172D29"/>
    <w:rsid w:val="00172D31"/>
    <w:rsid w:val="00172E88"/>
    <w:rsid w:val="00172F44"/>
    <w:rsid w:val="00173058"/>
    <w:rsid w:val="00173146"/>
    <w:rsid w:val="0017362E"/>
    <w:rsid w:val="0017366B"/>
    <w:rsid w:val="0017371A"/>
    <w:rsid w:val="0017377D"/>
    <w:rsid w:val="001737D6"/>
    <w:rsid w:val="00173A86"/>
    <w:rsid w:val="00173CEE"/>
    <w:rsid w:val="00174062"/>
    <w:rsid w:val="0017438B"/>
    <w:rsid w:val="001744D1"/>
    <w:rsid w:val="0017481C"/>
    <w:rsid w:val="00174852"/>
    <w:rsid w:val="001748DB"/>
    <w:rsid w:val="00174980"/>
    <w:rsid w:val="00174C68"/>
    <w:rsid w:val="00174C7A"/>
    <w:rsid w:val="00174EF4"/>
    <w:rsid w:val="00175096"/>
    <w:rsid w:val="0017510A"/>
    <w:rsid w:val="00175136"/>
    <w:rsid w:val="00175344"/>
    <w:rsid w:val="001753AF"/>
    <w:rsid w:val="001753D0"/>
    <w:rsid w:val="001755CF"/>
    <w:rsid w:val="001757A9"/>
    <w:rsid w:val="0017580A"/>
    <w:rsid w:val="00175838"/>
    <w:rsid w:val="001758E0"/>
    <w:rsid w:val="001759DB"/>
    <w:rsid w:val="00175A07"/>
    <w:rsid w:val="00175ACA"/>
    <w:rsid w:val="00175EB6"/>
    <w:rsid w:val="00175F2F"/>
    <w:rsid w:val="00175FEF"/>
    <w:rsid w:val="0017603F"/>
    <w:rsid w:val="0017610A"/>
    <w:rsid w:val="00176133"/>
    <w:rsid w:val="00176177"/>
    <w:rsid w:val="00176284"/>
    <w:rsid w:val="00176299"/>
    <w:rsid w:val="00176304"/>
    <w:rsid w:val="00176415"/>
    <w:rsid w:val="00176581"/>
    <w:rsid w:val="0017688C"/>
    <w:rsid w:val="00176899"/>
    <w:rsid w:val="001768B1"/>
    <w:rsid w:val="001769E4"/>
    <w:rsid w:val="00176AF6"/>
    <w:rsid w:val="00176C67"/>
    <w:rsid w:val="00176CB5"/>
    <w:rsid w:val="00176E43"/>
    <w:rsid w:val="00176E83"/>
    <w:rsid w:val="00177124"/>
    <w:rsid w:val="0017743B"/>
    <w:rsid w:val="001774BF"/>
    <w:rsid w:val="00177845"/>
    <w:rsid w:val="00177AE7"/>
    <w:rsid w:val="00177AED"/>
    <w:rsid w:val="00177D2F"/>
    <w:rsid w:val="00177DC8"/>
    <w:rsid w:val="00177EBC"/>
    <w:rsid w:val="00177F74"/>
    <w:rsid w:val="0018003A"/>
    <w:rsid w:val="001800E2"/>
    <w:rsid w:val="00180331"/>
    <w:rsid w:val="00180498"/>
    <w:rsid w:val="00180526"/>
    <w:rsid w:val="00180637"/>
    <w:rsid w:val="00180661"/>
    <w:rsid w:val="0018093C"/>
    <w:rsid w:val="001809C8"/>
    <w:rsid w:val="00180B5A"/>
    <w:rsid w:val="00180B74"/>
    <w:rsid w:val="00180C41"/>
    <w:rsid w:val="00180C48"/>
    <w:rsid w:val="00180EB2"/>
    <w:rsid w:val="00180EC9"/>
    <w:rsid w:val="001810B7"/>
    <w:rsid w:val="001811C2"/>
    <w:rsid w:val="00181274"/>
    <w:rsid w:val="001818CC"/>
    <w:rsid w:val="001818DF"/>
    <w:rsid w:val="00181914"/>
    <w:rsid w:val="00181CDD"/>
    <w:rsid w:val="00181D1A"/>
    <w:rsid w:val="00181F7B"/>
    <w:rsid w:val="0018208B"/>
    <w:rsid w:val="00182134"/>
    <w:rsid w:val="001823B9"/>
    <w:rsid w:val="001823BE"/>
    <w:rsid w:val="00182443"/>
    <w:rsid w:val="0018252F"/>
    <w:rsid w:val="001825F5"/>
    <w:rsid w:val="00182651"/>
    <w:rsid w:val="001826C4"/>
    <w:rsid w:val="001827C0"/>
    <w:rsid w:val="00182801"/>
    <w:rsid w:val="001828DB"/>
    <w:rsid w:val="001828F7"/>
    <w:rsid w:val="00182937"/>
    <w:rsid w:val="00182A00"/>
    <w:rsid w:val="00182B8B"/>
    <w:rsid w:val="00182CF5"/>
    <w:rsid w:val="00182D1A"/>
    <w:rsid w:val="00182DF8"/>
    <w:rsid w:val="0018303A"/>
    <w:rsid w:val="001830C5"/>
    <w:rsid w:val="001830CB"/>
    <w:rsid w:val="0018315A"/>
    <w:rsid w:val="0018326A"/>
    <w:rsid w:val="00183907"/>
    <w:rsid w:val="00183A6E"/>
    <w:rsid w:val="00183FFB"/>
    <w:rsid w:val="0018420D"/>
    <w:rsid w:val="00184407"/>
    <w:rsid w:val="00184429"/>
    <w:rsid w:val="001848D1"/>
    <w:rsid w:val="001849CF"/>
    <w:rsid w:val="001849D7"/>
    <w:rsid w:val="00184C68"/>
    <w:rsid w:val="00184CF0"/>
    <w:rsid w:val="00184D42"/>
    <w:rsid w:val="00184DB7"/>
    <w:rsid w:val="00184DC2"/>
    <w:rsid w:val="00184DE7"/>
    <w:rsid w:val="00184E57"/>
    <w:rsid w:val="00184F15"/>
    <w:rsid w:val="00185105"/>
    <w:rsid w:val="001852BB"/>
    <w:rsid w:val="00185477"/>
    <w:rsid w:val="001855F3"/>
    <w:rsid w:val="00185618"/>
    <w:rsid w:val="00185671"/>
    <w:rsid w:val="001856A1"/>
    <w:rsid w:val="001858C2"/>
    <w:rsid w:val="00185A07"/>
    <w:rsid w:val="00185BDB"/>
    <w:rsid w:val="00185BF9"/>
    <w:rsid w:val="00185C1E"/>
    <w:rsid w:val="00185C28"/>
    <w:rsid w:val="0018601F"/>
    <w:rsid w:val="0018603B"/>
    <w:rsid w:val="001862C9"/>
    <w:rsid w:val="00186654"/>
    <w:rsid w:val="0018668C"/>
    <w:rsid w:val="001866F3"/>
    <w:rsid w:val="0018674C"/>
    <w:rsid w:val="0018675B"/>
    <w:rsid w:val="0018678D"/>
    <w:rsid w:val="00186868"/>
    <w:rsid w:val="00186A4E"/>
    <w:rsid w:val="00186B56"/>
    <w:rsid w:val="00186D2A"/>
    <w:rsid w:val="00186E3C"/>
    <w:rsid w:val="00187037"/>
    <w:rsid w:val="00187063"/>
    <w:rsid w:val="00187079"/>
    <w:rsid w:val="00187144"/>
    <w:rsid w:val="00187172"/>
    <w:rsid w:val="001872DF"/>
    <w:rsid w:val="0018737A"/>
    <w:rsid w:val="00187673"/>
    <w:rsid w:val="001876B6"/>
    <w:rsid w:val="0018772B"/>
    <w:rsid w:val="0018778C"/>
    <w:rsid w:val="001877A8"/>
    <w:rsid w:val="001877CC"/>
    <w:rsid w:val="00187839"/>
    <w:rsid w:val="00187A11"/>
    <w:rsid w:val="00187C0E"/>
    <w:rsid w:val="00187C2F"/>
    <w:rsid w:val="00187DE0"/>
    <w:rsid w:val="00187FBC"/>
    <w:rsid w:val="00187FFC"/>
    <w:rsid w:val="0019016E"/>
    <w:rsid w:val="0019065D"/>
    <w:rsid w:val="0019076E"/>
    <w:rsid w:val="00190822"/>
    <w:rsid w:val="00190944"/>
    <w:rsid w:val="00190D8E"/>
    <w:rsid w:val="00190E9F"/>
    <w:rsid w:val="00191190"/>
    <w:rsid w:val="00191348"/>
    <w:rsid w:val="0019135E"/>
    <w:rsid w:val="00191548"/>
    <w:rsid w:val="00191592"/>
    <w:rsid w:val="00191840"/>
    <w:rsid w:val="00191927"/>
    <w:rsid w:val="00191B92"/>
    <w:rsid w:val="00191C8B"/>
    <w:rsid w:val="00191E5D"/>
    <w:rsid w:val="00191F3E"/>
    <w:rsid w:val="00192592"/>
    <w:rsid w:val="0019259D"/>
    <w:rsid w:val="001925EB"/>
    <w:rsid w:val="0019267B"/>
    <w:rsid w:val="001927CD"/>
    <w:rsid w:val="0019285C"/>
    <w:rsid w:val="00192D8D"/>
    <w:rsid w:val="00192D90"/>
    <w:rsid w:val="00192DCA"/>
    <w:rsid w:val="00192ECB"/>
    <w:rsid w:val="00192EF4"/>
    <w:rsid w:val="00192EFB"/>
    <w:rsid w:val="0019324D"/>
    <w:rsid w:val="0019329C"/>
    <w:rsid w:val="001935C4"/>
    <w:rsid w:val="001935E4"/>
    <w:rsid w:val="001936B4"/>
    <w:rsid w:val="001938F5"/>
    <w:rsid w:val="00193B85"/>
    <w:rsid w:val="00193DEA"/>
    <w:rsid w:val="00193EDD"/>
    <w:rsid w:val="00193F19"/>
    <w:rsid w:val="00193F5B"/>
    <w:rsid w:val="00194009"/>
    <w:rsid w:val="00194249"/>
    <w:rsid w:val="00194625"/>
    <w:rsid w:val="00194632"/>
    <w:rsid w:val="00194688"/>
    <w:rsid w:val="00194B8D"/>
    <w:rsid w:val="00194B93"/>
    <w:rsid w:val="00194B99"/>
    <w:rsid w:val="00194F15"/>
    <w:rsid w:val="00194F39"/>
    <w:rsid w:val="00195000"/>
    <w:rsid w:val="00195084"/>
    <w:rsid w:val="00195215"/>
    <w:rsid w:val="0019526A"/>
    <w:rsid w:val="001952F7"/>
    <w:rsid w:val="001953C1"/>
    <w:rsid w:val="001953E6"/>
    <w:rsid w:val="00195844"/>
    <w:rsid w:val="00195887"/>
    <w:rsid w:val="00195CF3"/>
    <w:rsid w:val="00195DCF"/>
    <w:rsid w:val="00195EE7"/>
    <w:rsid w:val="00195EF0"/>
    <w:rsid w:val="0019636D"/>
    <w:rsid w:val="001963B8"/>
    <w:rsid w:val="001963F2"/>
    <w:rsid w:val="001966CC"/>
    <w:rsid w:val="0019683B"/>
    <w:rsid w:val="0019684A"/>
    <w:rsid w:val="0019684B"/>
    <w:rsid w:val="0019691B"/>
    <w:rsid w:val="001969AD"/>
    <w:rsid w:val="00196A5C"/>
    <w:rsid w:val="00196AAF"/>
    <w:rsid w:val="00196C6D"/>
    <w:rsid w:val="00196EE1"/>
    <w:rsid w:val="00196F0B"/>
    <w:rsid w:val="00196FCD"/>
    <w:rsid w:val="00197142"/>
    <w:rsid w:val="00197471"/>
    <w:rsid w:val="00197478"/>
    <w:rsid w:val="00197521"/>
    <w:rsid w:val="001977BF"/>
    <w:rsid w:val="0019789A"/>
    <w:rsid w:val="00197AA2"/>
    <w:rsid w:val="00197C44"/>
    <w:rsid w:val="00197FC8"/>
    <w:rsid w:val="00197FD9"/>
    <w:rsid w:val="001A012F"/>
    <w:rsid w:val="001A0240"/>
    <w:rsid w:val="001A0358"/>
    <w:rsid w:val="001A0478"/>
    <w:rsid w:val="001A0523"/>
    <w:rsid w:val="001A0583"/>
    <w:rsid w:val="001A06D5"/>
    <w:rsid w:val="001A07BD"/>
    <w:rsid w:val="001A09EE"/>
    <w:rsid w:val="001A0AE7"/>
    <w:rsid w:val="001A0B2C"/>
    <w:rsid w:val="001A0BE0"/>
    <w:rsid w:val="001A0F68"/>
    <w:rsid w:val="001A1035"/>
    <w:rsid w:val="001A10FF"/>
    <w:rsid w:val="001A11B3"/>
    <w:rsid w:val="001A11F1"/>
    <w:rsid w:val="001A1361"/>
    <w:rsid w:val="001A1604"/>
    <w:rsid w:val="001A1903"/>
    <w:rsid w:val="001A193A"/>
    <w:rsid w:val="001A1A3E"/>
    <w:rsid w:val="001A1A7F"/>
    <w:rsid w:val="001A1C18"/>
    <w:rsid w:val="001A205A"/>
    <w:rsid w:val="001A21B9"/>
    <w:rsid w:val="001A229D"/>
    <w:rsid w:val="001A2332"/>
    <w:rsid w:val="001A243D"/>
    <w:rsid w:val="001A2608"/>
    <w:rsid w:val="001A2676"/>
    <w:rsid w:val="001A2685"/>
    <w:rsid w:val="001A2B11"/>
    <w:rsid w:val="001A2BB5"/>
    <w:rsid w:val="001A2E2F"/>
    <w:rsid w:val="001A2E42"/>
    <w:rsid w:val="001A3256"/>
    <w:rsid w:val="001A349D"/>
    <w:rsid w:val="001A351D"/>
    <w:rsid w:val="001A3658"/>
    <w:rsid w:val="001A3B8E"/>
    <w:rsid w:val="001A3CB0"/>
    <w:rsid w:val="001A3CEA"/>
    <w:rsid w:val="001A4069"/>
    <w:rsid w:val="001A4216"/>
    <w:rsid w:val="001A4231"/>
    <w:rsid w:val="001A42B6"/>
    <w:rsid w:val="001A434E"/>
    <w:rsid w:val="001A449D"/>
    <w:rsid w:val="001A4519"/>
    <w:rsid w:val="001A4721"/>
    <w:rsid w:val="001A48B0"/>
    <w:rsid w:val="001A4A0F"/>
    <w:rsid w:val="001A4B10"/>
    <w:rsid w:val="001A4D87"/>
    <w:rsid w:val="001A4D8F"/>
    <w:rsid w:val="001A4DAA"/>
    <w:rsid w:val="001A4DF3"/>
    <w:rsid w:val="001A4F9E"/>
    <w:rsid w:val="001A52AA"/>
    <w:rsid w:val="001A54EF"/>
    <w:rsid w:val="001A5612"/>
    <w:rsid w:val="001A5654"/>
    <w:rsid w:val="001A56F7"/>
    <w:rsid w:val="001A56FB"/>
    <w:rsid w:val="001A5796"/>
    <w:rsid w:val="001A5874"/>
    <w:rsid w:val="001A59AB"/>
    <w:rsid w:val="001A5BEA"/>
    <w:rsid w:val="001A5CF6"/>
    <w:rsid w:val="001A5DBF"/>
    <w:rsid w:val="001A5E1D"/>
    <w:rsid w:val="001A5E60"/>
    <w:rsid w:val="001A5E6C"/>
    <w:rsid w:val="001A6089"/>
    <w:rsid w:val="001A60B3"/>
    <w:rsid w:val="001A6471"/>
    <w:rsid w:val="001A66D7"/>
    <w:rsid w:val="001A672C"/>
    <w:rsid w:val="001A67C3"/>
    <w:rsid w:val="001A690F"/>
    <w:rsid w:val="001A69C6"/>
    <w:rsid w:val="001A6A66"/>
    <w:rsid w:val="001A6B06"/>
    <w:rsid w:val="001A6B9D"/>
    <w:rsid w:val="001A6C1A"/>
    <w:rsid w:val="001A6C7A"/>
    <w:rsid w:val="001A6CAF"/>
    <w:rsid w:val="001A6CE5"/>
    <w:rsid w:val="001A6FAB"/>
    <w:rsid w:val="001A6FC5"/>
    <w:rsid w:val="001A6FF9"/>
    <w:rsid w:val="001A7041"/>
    <w:rsid w:val="001A73A3"/>
    <w:rsid w:val="001A74B2"/>
    <w:rsid w:val="001A750A"/>
    <w:rsid w:val="001A7679"/>
    <w:rsid w:val="001A7894"/>
    <w:rsid w:val="001A78A4"/>
    <w:rsid w:val="001A78D2"/>
    <w:rsid w:val="001A7B35"/>
    <w:rsid w:val="001A7E52"/>
    <w:rsid w:val="001A7F1F"/>
    <w:rsid w:val="001A7FB4"/>
    <w:rsid w:val="001B0188"/>
    <w:rsid w:val="001B02DF"/>
    <w:rsid w:val="001B031A"/>
    <w:rsid w:val="001B035F"/>
    <w:rsid w:val="001B04C8"/>
    <w:rsid w:val="001B07F5"/>
    <w:rsid w:val="001B0BBD"/>
    <w:rsid w:val="001B0C4D"/>
    <w:rsid w:val="001B0C5D"/>
    <w:rsid w:val="001B10A2"/>
    <w:rsid w:val="001B11E9"/>
    <w:rsid w:val="001B1201"/>
    <w:rsid w:val="001B13C1"/>
    <w:rsid w:val="001B13DD"/>
    <w:rsid w:val="001B13EB"/>
    <w:rsid w:val="001B141C"/>
    <w:rsid w:val="001B155F"/>
    <w:rsid w:val="001B15A9"/>
    <w:rsid w:val="001B17BC"/>
    <w:rsid w:val="001B183D"/>
    <w:rsid w:val="001B1A76"/>
    <w:rsid w:val="001B1AC0"/>
    <w:rsid w:val="001B1DA5"/>
    <w:rsid w:val="001B1DDD"/>
    <w:rsid w:val="001B2137"/>
    <w:rsid w:val="001B22BC"/>
    <w:rsid w:val="001B22CB"/>
    <w:rsid w:val="001B23F2"/>
    <w:rsid w:val="001B242F"/>
    <w:rsid w:val="001B2508"/>
    <w:rsid w:val="001B25F3"/>
    <w:rsid w:val="001B2CDB"/>
    <w:rsid w:val="001B2DDD"/>
    <w:rsid w:val="001B2F4A"/>
    <w:rsid w:val="001B30C6"/>
    <w:rsid w:val="001B377C"/>
    <w:rsid w:val="001B3FB2"/>
    <w:rsid w:val="001B40FB"/>
    <w:rsid w:val="001B424E"/>
    <w:rsid w:val="001B439A"/>
    <w:rsid w:val="001B43D2"/>
    <w:rsid w:val="001B4410"/>
    <w:rsid w:val="001B4449"/>
    <w:rsid w:val="001B45AD"/>
    <w:rsid w:val="001B4918"/>
    <w:rsid w:val="001B4931"/>
    <w:rsid w:val="001B4CA6"/>
    <w:rsid w:val="001B4D14"/>
    <w:rsid w:val="001B4DC9"/>
    <w:rsid w:val="001B4F90"/>
    <w:rsid w:val="001B5058"/>
    <w:rsid w:val="001B5301"/>
    <w:rsid w:val="001B5399"/>
    <w:rsid w:val="001B565F"/>
    <w:rsid w:val="001B56AC"/>
    <w:rsid w:val="001B57BF"/>
    <w:rsid w:val="001B594B"/>
    <w:rsid w:val="001B5A52"/>
    <w:rsid w:val="001B5A7A"/>
    <w:rsid w:val="001B5CE1"/>
    <w:rsid w:val="001B5F19"/>
    <w:rsid w:val="001B5F3C"/>
    <w:rsid w:val="001B6159"/>
    <w:rsid w:val="001B61C6"/>
    <w:rsid w:val="001B6208"/>
    <w:rsid w:val="001B627B"/>
    <w:rsid w:val="001B6345"/>
    <w:rsid w:val="001B642D"/>
    <w:rsid w:val="001B644D"/>
    <w:rsid w:val="001B6535"/>
    <w:rsid w:val="001B6717"/>
    <w:rsid w:val="001B6719"/>
    <w:rsid w:val="001B675C"/>
    <w:rsid w:val="001B6803"/>
    <w:rsid w:val="001B68CF"/>
    <w:rsid w:val="001B68E8"/>
    <w:rsid w:val="001B68F2"/>
    <w:rsid w:val="001B6948"/>
    <w:rsid w:val="001B6977"/>
    <w:rsid w:val="001B698F"/>
    <w:rsid w:val="001B6C57"/>
    <w:rsid w:val="001B6C66"/>
    <w:rsid w:val="001B6D88"/>
    <w:rsid w:val="001B6E08"/>
    <w:rsid w:val="001B6E96"/>
    <w:rsid w:val="001B6EBC"/>
    <w:rsid w:val="001B6F69"/>
    <w:rsid w:val="001B7124"/>
    <w:rsid w:val="001B71BA"/>
    <w:rsid w:val="001B71CC"/>
    <w:rsid w:val="001B71D3"/>
    <w:rsid w:val="001B720B"/>
    <w:rsid w:val="001B72F2"/>
    <w:rsid w:val="001B7667"/>
    <w:rsid w:val="001B7739"/>
    <w:rsid w:val="001B77CF"/>
    <w:rsid w:val="001B785A"/>
    <w:rsid w:val="001B79A3"/>
    <w:rsid w:val="001B7A93"/>
    <w:rsid w:val="001B7CE7"/>
    <w:rsid w:val="001B7D81"/>
    <w:rsid w:val="001B7DD3"/>
    <w:rsid w:val="001B7F49"/>
    <w:rsid w:val="001B7F8E"/>
    <w:rsid w:val="001C002F"/>
    <w:rsid w:val="001C00F2"/>
    <w:rsid w:val="001C0243"/>
    <w:rsid w:val="001C0295"/>
    <w:rsid w:val="001C02EB"/>
    <w:rsid w:val="001C04F1"/>
    <w:rsid w:val="001C0B17"/>
    <w:rsid w:val="001C0BA0"/>
    <w:rsid w:val="001C0BD7"/>
    <w:rsid w:val="001C0C20"/>
    <w:rsid w:val="001C0E6A"/>
    <w:rsid w:val="001C0FF2"/>
    <w:rsid w:val="001C104A"/>
    <w:rsid w:val="001C1069"/>
    <w:rsid w:val="001C115B"/>
    <w:rsid w:val="001C1164"/>
    <w:rsid w:val="001C1234"/>
    <w:rsid w:val="001C135C"/>
    <w:rsid w:val="001C1400"/>
    <w:rsid w:val="001C1591"/>
    <w:rsid w:val="001C1667"/>
    <w:rsid w:val="001C1695"/>
    <w:rsid w:val="001C191B"/>
    <w:rsid w:val="001C1A05"/>
    <w:rsid w:val="001C1B80"/>
    <w:rsid w:val="001C1C07"/>
    <w:rsid w:val="001C1F3D"/>
    <w:rsid w:val="001C20A9"/>
    <w:rsid w:val="001C2175"/>
    <w:rsid w:val="001C21F1"/>
    <w:rsid w:val="001C2256"/>
    <w:rsid w:val="001C227F"/>
    <w:rsid w:val="001C24A7"/>
    <w:rsid w:val="001C26FA"/>
    <w:rsid w:val="001C27DA"/>
    <w:rsid w:val="001C2A6A"/>
    <w:rsid w:val="001C2B38"/>
    <w:rsid w:val="001C2EBC"/>
    <w:rsid w:val="001C2FAC"/>
    <w:rsid w:val="001C2FCF"/>
    <w:rsid w:val="001C31D5"/>
    <w:rsid w:val="001C34D9"/>
    <w:rsid w:val="001C34E9"/>
    <w:rsid w:val="001C3521"/>
    <w:rsid w:val="001C368D"/>
    <w:rsid w:val="001C3A5A"/>
    <w:rsid w:val="001C3AFA"/>
    <w:rsid w:val="001C3BB2"/>
    <w:rsid w:val="001C3C44"/>
    <w:rsid w:val="001C3F47"/>
    <w:rsid w:val="001C3FCD"/>
    <w:rsid w:val="001C41B7"/>
    <w:rsid w:val="001C43EE"/>
    <w:rsid w:val="001C45FB"/>
    <w:rsid w:val="001C4667"/>
    <w:rsid w:val="001C477A"/>
    <w:rsid w:val="001C4837"/>
    <w:rsid w:val="001C4925"/>
    <w:rsid w:val="001C49CF"/>
    <w:rsid w:val="001C4BE4"/>
    <w:rsid w:val="001C4E01"/>
    <w:rsid w:val="001C4E71"/>
    <w:rsid w:val="001C4FF6"/>
    <w:rsid w:val="001C5066"/>
    <w:rsid w:val="001C51B7"/>
    <w:rsid w:val="001C51D8"/>
    <w:rsid w:val="001C5235"/>
    <w:rsid w:val="001C52E7"/>
    <w:rsid w:val="001C5433"/>
    <w:rsid w:val="001C551F"/>
    <w:rsid w:val="001C55DC"/>
    <w:rsid w:val="001C5AF6"/>
    <w:rsid w:val="001C5AFC"/>
    <w:rsid w:val="001C5B67"/>
    <w:rsid w:val="001C5D4D"/>
    <w:rsid w:val="001C5D71"/>
    <w:rsid w:val="001C61BE"/>
    <w:rsid w:val="001C61D5"/>
    <w:rsid w:val="001C62FE"/>
    <w:rsid w:val="001C630E"/>
    <w:rsid w:val="001C67A7"/>
    <w:rsid w:val="001C67F0"/>
    <w:rsid w:val="001C69E8"/>
    <w:rsid w:val="001C6A69"/>
    <w:rsid w:val="001C6BE8"/>
    <w:rsid w:val="001C6C3D"/>
    <w:rsid w:val="001C6E80"/>
    <w:rsid w:val="001C7046"/>
    <w:rsid w:val="001C7091"/>
    <w:rsid w:val="001C71FB"/>
    <w:rsid w:val="001C72FE"/>
    <w:rsid w:val="001C73EB"/>
    <w:rsid w:val="001C7642"/>
    <w:rsid w:val="001C7645"/>
    <w:rsid w:val="001C77A0"/>
    <w:rsid w:val="001C782E"/>
    <w:rsid w:val="001C7972"/>
    <w:rsid w:val="001C7D23"/>
    <w:rsid w:val="001C7D6D"/>
    <w:rsid w:val="001C7E38"/>
    <w:rsid w:val="001C7FFC"/>
    <w:rsid w:val="001D01C1"/>
    <w:rsid w:val="001D0255"/>
    <w:rsid w:val="001D02F3"/>
    <w:rsid w:val="001D0306"/>
    <w:rsid w:val="001D0363"/>
    <w:rsid w:val="001D036D"/>
    <w:rsid w:val="001D056D"/>
    <w:rsid w:val="001D07C1"/>
    <w:rsid w:val="001D0964"/>
    <w:rsid w:val="001D09E5"/>
    <w:rsid w:val="001D0C97"/>
    <w:rsid w:val="001D0D1E"/>
    <w:rsid w:val="001D0E92"/>
    <w:rsid w:val="001D107B"/>
    <w:rsid w:val="001D108F"/>
    <w:rsid w:val="001D1149"/>
    <w:rsid w:val="001D136F"/>
    <w:rsid w:val="001D185D"/>
    <w:rsid w:val="001D1B4C"/>
    <w:rsid w:val="001D1EB9"/>
    <w:rsid w:val="001D1F88"/>
    <w:rsid w:val="001D2247"/>
    <w:rsid w:val="001D229A"/>
    <w:rsid w:val="001D22CC"/>
    <w:rsid w:val="001D242C"/>
    <w:rsid w:val="001D2526"/>
    <w:rsid w:val="001D27F1"/>
    <w:rsid w:val="001D2A0D"/>
    <w:rsid w:val="001D2ABC"/>
    <w:rsid w:val="001D2C78"/>
    <w:rsid w:val="001D302F"/>
    <w:rsid w:val="001D305E"/>
    <w:rsid w:val="001D3177"/>
    <w:rsid w:val="001D338A"/>
    <w:rsid w:val="001D345A"/>
    <w:rsid w:val="001D3468"/>
    <w:rsid w:val="001D34EB"/>
    <w:rsid w:val="001D366F"/>
    <w:rsid w:val="001D3741"/>
    <w:rsid w:val="001D37BD"/>
    <w:rsid w:val="001D3DA5"/>
    <w:rsid w:val="001D3DD7"/>
    <w:rsid w:val="001D3E16"/>
    <w:rsid w:val="001D3E17"/>
    <w:rsid w:val="001D3E41"/>
    <w:rsid w:val="001D3FBD"/>
    <w:rsid w:val="001D410C"/>
    <w:rsid w:val="001D43C0"/>
    <w:rsid w:val="001D44B8"/>
    <w:rsid w:val="001D4587"/>
    <w:rsid w:val="001D4A89"/>
    <w:rsid w:val="001D4B48"/>
    <w:rsid w:val="001D4BD0"/>
    <w:rsid w:val="001D51EF"/>
    <w:rsid w:val="001D53B3"/>
    <w:rsid w:val="001D54D9"/>
    <w:rsid w:val="001D56C8"/>
    <w:rsid w:val="001D57E3"/>
    <w:rsid w:val="001D5919"/>
    <w:rsid w:val="001D5AC2"/>
    <w:rsid w:val="001D5BEF"/>
    <w:rsid w:val="001D5CF1"/>
    <w:rsid w:val="001D5E04"/>
    <w:rsid w:val="001D5E1C"/>
    <w:rsid w:val="001D5EB8"/>
    <w:rsid w:val="001D6048"/>
    <w:rsid w:val="001D60B4"/>
    <w:rsid w:val="001D6118"/>
    <w:rsid w:val="001D625C"/>
    <w:rsid w:val="001D62DC"/>
    <w:rsid w:val="001D6424"/>
    <w:rsid w:val="001D66A7"/>
    <w:rsid w:val="001D68FE"/>
    <w:rsid w:val="001D6932"/>
    <w:rsid w:val="001D6972"/>
    <w:rsid w:val="001D69A3"/>
    <w:rsid w:val="001D6B07"/>
    <w:rsid w:val="001D6B65"/>
    <w:rsid w:val="001D6BBA"/>
    <w:rsid w:val="001D72DF"/>
    <w:rsid w:val="001D7671"/>
    <w:rsid w:val="001D7685"/>
    <w:rsid w:val="001D7854"/>
    <w:rsid w:val="001D7A80"/>
    <w:rsid w:val="001D7A99"/>
    <w:rsid w:val="001D7BA2"/>
    <w:rsid w:val="001D7BA6"/>
    <w:rsid w:val="001D7D0A"/>
    <w:rsid w:val="001E0052"/>
    <w:rsid w:val="001E035E"/>
    <w:rsid w:val="001E0463"/>
    <w:rsid w:val="001E04CB"/>
    <w:rsid w:val="001E098F"/>
    <w:rsid w:val="001E09CE"/>
    <w:rsid w:val="001E0AA2"/>
    <w:rsid w:val="001E0B2D"/>
    <w:rsid w:val="001E0E8B"/>
    <w:rsid w:val="001E0EFE"/>
    <w:rsid w:val="001E0FC0"/>
    <w:rsid w:val="001E0FCE"/>
    <w:rsid w:val="001E1123"/>
    <w:rsid w:val="001E116D"/>
    <w:rsid w:val="001E11B7"/>
    <w:rsid w:val="001E155C"/>
    <w:rsid w:val="001E1574"/>
    <w:rsid w:val="001E16B4"/>
    <w:rsid w:val="001E16F6"/>
    <w:rsid w:val="001E175F"/>
    <w:rsid w:val="001E1959"/>
    <w:rsid w:val="001E1982"/>
    <w:rsid w:val="001E1DCA"/>
    <w:rsid w:val="001E1E15"/>
    <w:rsid w:val="001E2051"/>
    <w:rsid w:val="001E2417"/>
    <w:rsid w:val="001E2424"/>
    <w:rsid w:val="001E290B"/>
    <w:rsid w:val="001E2988"/>
    <w:rsid w:val="001E2AEF"/>
    <w:rsid w:val="001E2D30"/>
    <w:rsid w:val="001E2E65"/>
    <w:rsid w:val="001E2EE7"/>
    <w:rsid w:val="001E2FCC"/>
    <w:rsid w:val="001E3193"/>
    <w:rsid w:val="001E3328"/>
    <w:rsid w:val="001E3476"/>
    <w:rsid w:val="001E3537"/>
    <w:rsid w:val="001E3784"/>
    <w:rsid w:val="001E3824"/>
    <w:rsid w:val="001E384D"/>
    <w:rsid w:val="001E39C5"/>
    <w:rsid w:val="001E3ADD"/>
    <w:rsid w:val="001E3B60"/>
    <w:rsid w:val="001E3D3C"/>
    <w:rsid w:val="001E3E91"/>
    <w:rsid w:val="001E3EB2"/>
    <w:rsid w:val="001E3FCE"/>
    <w:rsid w:val="001E416D"/>
    <w:rsid w:val="001E41EE"/>
    <w:rsid w:val="001E42F3"/>
    <w:rsid w:val="001E4335"/>
    <w:rsid w:val="001E4368"/>
    <w:rsid w:val="001E452C"/>
    <w:rsid w:val="001E4569"/>
    <w:rsid w:val="001E4596"/>
    <w:rsid w:val="001E45E8"/>
    <w:rsid w:val="001E468D"/>
    <w:rsid w:val="001E46D5"/>
    <w:rsid w:val="001E47EC"/>
    <w:rsid w:val="001E4891"/>
    <w:rsid w:val="001E48AB"/>
    <w:rsid w:val="001E4B3C"/>
    <w:rsid w:val="001E4BFF"/>
    <w:rsid w:val="001E4ED1"/>
    <w:rsid w:val="001E4F93"/>
    <w:rsid w:val="001E4FED"/>
    <w:rsid w:val="001E5028"/>
    <w:rsid w:val="001E50AA"/>
    <w:rsid w:val="001E512F"/>
    <w:rsid w:val="001E5235"/>
    <w:rsid w:val="001E5299"/>
    <w:rsid w:val="001E5339"/>
    <w:rsid w:val="001E5645"/>
    <w:rsid w:val="001E59AB"/>
    <w:rsid w:val="001E5A23"/>
    <w:rsid w:val="001E5A8B"/>
    <w:rsid w:val="001E5AB9"/>
    <w:rsid w:val="001E5ABC"/>
    <w:rsid w:val="001E5BB5"/>
    <w:rsid w:val="001E5C00"/>
    <w:rsid w:val="001E5C06"/>
    <w:rsid w:val="001E5C4B"/>
    <w:rsid w:val="001E5CFC"/>
    <w:rsid w:val="001E5DEA"/>
    <w:rsid w:val="001E61AA"/>
    <w:rsid w:val="001E6620"/>
    <w:rsid w:val="001E693D"/>
    <w:rsid w:val="001E6C7D"/>
    <w:rsid w:val="001E6CF1"/>
    <w:rsid w:val="001E6E75"/>
    <w:rsid w:val="001E701C"/>
    <w:rsid w:val="001E72EC"/>
    <w:rsid w:val="001E7476"/>
    <w:rsid w:val="001E75EC"/>
    <w:rsid w:val="001E7877"/>
    <w:rsid w:val="001E7A29"/>
    <w:rsid w:val="001E7AB2"/>
    <w:rsid w:val="001E7B13"/>
    <w:rsid w:val="001E7BB0"/>
    <w:rsid w:val="001E7F54"/>
    <w:rsid w:val="001E7F5F"/>
    <w:rsid w:val="001E7FD9"/>
    <w:rsid w:val="001F0231"/>
    <w:rsid w:val="001F02EF"/>
    <w:rsid w:val="001F03D0"/>
    <w:rsid w:val="001F03D8"/>
    <w:rsid w:val="001F053F"/>
    <w:rsid w:val="001F05FB"/>
    <w:rsid w:val="001F08FC"/>
    <w:rsid w:val="001F0C30"/>
    <w:rsid w:val="001F0D3C"/>
    <w:rsid w:val="001F0DBA"/>
    <w:rsid w:val="001F0E2A"/>
    <w:rsid w:val="001F0EEA"/>
    <w:rsid w:val="001F0F64"/>
    <w:rsid w:val="001F107D"/>
    <w:rsid w:val="001F12D6"/>
    <w:rsid w:val="001F132E"/>
    <w:rsid w:val="001F138A"/>
    <w:rsid w:val="001F151A"/>
    <w:rsid w:val="001F1AEF"/>
    <w:rsid w:val="001F1C04"/>
    <w:rsid w:val="001F1DB8"/>
    <w:rsid w:val="001F1F6A"/>
    <w:rsid w:val="001F20E7"/>
    <w:rsid w:val="001F229A"/>
    <w:rsid w:val="001F238C"/>
    <w:rsid w:val="001F24B9"/>
    <w:rsid w:val="001F2650"/>
    <w:rsid w:val="001F2660"/>
    <w:rsid w:val="001F27E7"/>
    <w:rsid w:val="001F280C"/>
    <w:rsid w:val="001F2930"/>
    <w:rsid w:val="001F29AD"/>
    <w:rsid w:val="001F29C2"/>
    <w:rsid w:val="001F29FF"/>
    <w:rsid w:val="001F2CE0"/>
    <w:rsid w:val="001F2CFE"/>
    <w:rsid w:val="001F2D4E"/>
    <w:rsid w:val="001F2EDB"/>
    <w:rsid w:val="001F3076"/>
    <w:rsid w:val="001F370D"/>
    <w:rsid w:val="001F37B9"/>
    <w:rsid w:val="001F382A"/>
    <w:rsid w:val="001F3833"/>
    <w:rsid w:val="001F38B0"/>
    <w:rsid w:val="001F3912"/>
    <w:rsid w:val="001F3B27"/>
    <w:rsid w:val="001F3C7C"/>
    <w:rsid w:val="001F3D69"/>
    <w:rsid w:val="001F3D6A"/>
    <w:rsid w:val="001F3DC2"/>
    <w:rsid w:val="001F40E7"/>
    <w:rsid w:val="001F4474"/>
    <w:rsid w:val="001F4797"/>
    <w:rsid w:val="001F48E1"/>
    <w:rsid w:val="001F4A3A"/>
    <w:rsid w:val="001F4B98"/>
    <w:rsid w:val="001F4BDA"/>
    <w:rsid w:val="001F4D27"/>
    <w:rsid w:val="001F4DBC"/>
    <w:rsid w:val="001F4E65"/>
    <w:rsid w:val="001F5098"/>
    <w:rsid w:val="001F5315"/>
    <w:rsid w:val="001F53B1"/>
    <w:rsid w:val="001F5493"/>
    <w:rsid w:val="001F54D9"/>
    <w:rsid w:val="001F5611"/>
    <w:rsid w:val="001F57BE"/>
    <w:rsid w:val="001F583F"/>
    <w:rsid w:val="001F5AAD"/>
    <w:rsid w:val="001F5B1C"/>
    <w:rsid w:val="001F5CCE"/>
    <w:rsid w:val="001F5DAE"/>
    <w:rsid w:val="001F60FF"/>
    <w:rsid w:val="001F6187"/>
    <w:rsid w:val="001F61BA"/>
    <w:rsid w:val="001F622B"/>
    <w:rsid w:val="001F6242"/>
    <w:rsid w:val="001F62BA"/>
    <w:rsid w:val="001F635C"/>
    <w:rsid w:val="001F6759"/>
    <w:rsid w:val="001F69CB"/>
    <w:rsid w:val="001F6A9C"/>
    <w:rsid w:val="001F6D58"/>
    <w:rsid w:val="001F6F92"/>
    <w:rsid w:val="001F718D"/>
    <w:rsid w:val="001F71BC"/>
    <w:rsid w:val="001F71F6"/>
    <w:rsid w:val="001F7315"/>
    <w:rsid w:val="001F7350"/>
    <w:rsid w:val="001F7391"/>
    <w:rsid w:val="001F7521"/>
    <w:rsid w:val="001F75B9"/>
    <w:rsid w:val="001F76FB"/>
    <w:rsid w:val="001F7823"/>
    <w:rsid w:val="001F79B6"/>
    <w:rsid w:val="001F7A30"/>
    <w:rsid w:val="001F7D62"/>
    <w:rsid w:val="001F7F6E"/>
    <w:rsid w:val="002000C3"/>
    <w:rsid w:val="00200224"/>
    <w:rsid w:val="00200348"/>
    <w:rsid w:val="00200351"/>
    <w:rsid w:val="00200378"/>
    <w:rsid w:val="002003D1"/>
    <w:rsid w:val="002003DC"/>
    <w:rsid w:val="002003F0"/>
    <w:rsid w:val="002004B7"/>
    <w:rsid w:val="002004C5"/>
    <w:rsid w:val="0020071A"/>
    <w:rsid w:val="0020071D"/>
    <w:rsid w:val="0020080C"/>
    <w:rsid w:val="00200829"/>
    <w:rsid w:val="00200941"/>
    <w:rsid w:val="0020095F"/>
    <w:rsid w:val="00200B7C"/>
    <w:rsid w:val="00200B99"/>
    <w:rsid w:val="00200B9A"/>
    <w:rsid w:val="00200C08"/>
    <w:rsid w:val="00200D54"/>
    <w:rsid w:val="00200DB7"/>
    <w:rsid w:val="00200ED1"/>
    <w:rsid w:val="00200FD1"/>
    <w:rsid w:val="00201095"/>
    <w:rsid w:val="002012F7"/>
    <w:rsid w:val="0020136E"/>
    <w:rsid w:val="002013C7"/>
    <w:rsid w:val="0020140B"/>
    <w:rsid w:val="00201425"/>
    <w:rsid w:val="00201519"/>
    <w:rsid w:val="0020180A"/>
    <w:rsid w:val="00201A08"/>
    <w:rsid w:val="00201ADD"/>
    <w:rsid w:val="00201AED"/>
    <w:rsid w:val="00201BEE"/>
    <w:rsid w:val="00201CAD"/>
    <w:rsid w:val="00201D53"/>
    <w:rsid w:val="00201E29"/>
    <w:rsid w:val="00201E4A"/>
    <w:rsid w:val="0020208E"/>
    <w:rsid w:val="002020E6"/>
    <w:rsid w:val="00202199"/>
    <w:rsid w:val="00202380"/>
    <w:rsid w:val="002023C6"/>
    <w:rsid w:val="00202611"/>
    <w:rsid w:val="002026C0"/>
    <w:rsid w:val="002028D0"/>
    <w:rsid w:val="00202927"/>
    <w:rsid w:val="0020295B"/>
    <w:rsid w:val="00202A71"/>
    <w:rsid w:val="00202AFD"/>
    <w:rsid w:val="00202CFF"/>
    <w:rsid w:val="00202D79"/>
    <w:rsid w:val="00202DC0"/>
    <w:rsid w:val="00202EA5"/>
    <w:rsid w:val="002034E9"/>
    <w:rsid w:val="00203613"/>
    <w:rsid w:val="002036C5"/>
    <w:rsid w:val="002038E5"/>
    <w:rsid w:val="0020397E"/>
    <w:rsid w:val="0020398C"/>
    <w:rsid w:val="00203A46"/>
    <w:rsid w:val="00203BA1"/>
    <w:rsid w:val="00203C6C"/>
    <w:rsid w:val="00203ED0"/>
    <w:rsid w:val="00204108"/>
    <w:rsid w:val="00204227"/>
    <w:rsid w:val="0020425C"/>
    <w:rsid w:val="00204278"/>
    <w:rsid w:val="002042B0"/>
    <w:rsid w:val="00204477"/>
    <w:rsid w:val="0020454B"/>
    <w:rsid w:val="0020472D"/>
    <w:rsid w:val="00204BBE"/>
    <w:rsid w:val="00204DAC"/>
    <w:rsid w:val="00204E83"/>
    <w:rsid w:val="00204FE9"/>
    <w:rsid w:val="00205084"/>
    <w:rsid w:val="002050DD"/>
    <w:rsid w:val="002052FC"/>
    <w:rsid w:val="00205303"/>
    <w:rsid w:val="0020533A"/>
    <w:rsid w:val="0020535D"/>
    <w:rsid w:val="0020559C"/>
    <w:rsid w:val="0020559D"/>
    <w:rsid w:val="0020568B"/>
    <w:rsid w:val="00205894"/>
    <w:rsid w:val="00205A38"/>
    <w:rsid w:val="00205B50"/>
    <w:rsid w:val="00205D41"/>
    <w:rsid w:val="00205D53"/>
    <w:rsid w:val="00205E09"/>
    <w:rsid w:val="00205EC8"/>
    <w:rsid w:val="00205EE1"/>
    <w:rsid w:val="00206023"/>
    <w:rsid w:val="002061AE"/>
    <w:rsid w:val="002061D4"/>
    <w:rsid w:val="00206440"/>
    <w:rsid w:val="002064CD"/>
    <w:rsid w:val="00206592"/>
    <w:rsid w:val="00206601"/>
    <w:rsid w:val="002068FB"/>
    <w:rsid w:val="00206948"/>
    <w:rsid w:val="00206975"/>
    <w:rsid w:val="00206AE9"/>
    <w:rsid w:val="00206C8D"/>
    <w:rsid w:val="00206DD6"/>
    <w:rsid w:val="00206E10"/>
    <w:rsid w:val="00206E70"/>
    <w:rsid w:val="00206E9E"/>
    <w:rsid w:val="00206EAC"/>
    <w:rsid w:val="002071C7"/>
    <w:rsid w:val="002071F6"/>
    <w:rsid w:val="0020732E"/>
    <w:rsid w:val="00207585"/>
    <w:rsid w:val="002075D2"/>
    <w:rsid w:val="00207716"/>
    <w:rsid w:val="00207B91"/>
    <w:rsid w:val="00207C07"/>
    <w:rsid w:val="00207D64"/>
    <w:rsid w:val="00207E07"/>
    <w:rsid w:val="00207F57"/>
    <w:rsid w:val="00207F87"/>
    <w:rsid w:val="0021001F"/>
    <w:rsid w:val="0021010C"/>
    <w:rsid w:val="00210202"/>
    <w:rsid w:val="002102AC"/>
    <w:rsid w:val="002102D4"/>
    <w:rsid w:val="00210376"/>
    <w:rsid w:val="002106D2"/>
    <w:rsid w:val="0021086E"/>
    <w:rsid w:val="00210C16"/>
    <w:rsid w:val="00210EDD"/>
    <w:rsid w:val="0021113A"/>
    <w:rsid w:val="00211287"/>
    <w:rsid w:val="00211290"/>
    <w:rsid w:val="002113D0"/>
    <w:rsid w:val="002115AA"/>
    <w:rsid w:val="00211683"/>
    <w:rsid w:val="002116FF"/>
    <w:rsid w:val="00211736"/>
    <w:rsid w:val="00211797"/>
    <w:rsid w:val="002117D1"/>
    <w:rsid w:val="002117FC"/>
    <w:rsid w:val="0021187C"/>
    <w:rsid w:val="002119AE"/>
    <w:rsid w:val="00211A33"/>
    <w:rsid w:val="00211A37"/>
    <w:rsid w:val="00211A63"/>
    <w:rsid w:val="00211A93"/>
    <w:rsid w:val="00211F5F"/>
    <w:rsid w:val="00211FB6"/>
    <w:rsid w:val="00212276"/>
    <w:rsid w:val="0021285D"/>
    <w:rsid w:val="00212AB6"/>
    <w:rsid w:val="00212BEE"/>
    <w:rsid w:val="00212CFA"/>
    <w:rsid w:val="00212D51"/>
    <w:rsid w:val="00212F13"/>
    <w:rsid w:val="002130B2"/>
    <w:rsid w:val="00213190"/>
    <w:rsid w:val="0021347A"/>
    <w:rsid w:val="002134DE"/>
    <w:rsid w:val="002135C4"/>
    <w:rsid w:val="00213635"/>
    <w:rsid w:val="002138F2"/>
    <w:rsid w:val="00213B3C"/>
    <w:rsid w:val="00213B6C"/>
    <w:rsid w:val="00213BC9"/>
    <w:rsid w:val="00213C3F"/>
    <w:rsid w:val="00213D53"/>
    <w:rsid w:val="00213D79"/>
    <w:rsid w:val="00213F44"/>
    <w:rsid w:val="00213F63"/>
    <w:rsid w:val="0021405E"/>
    <w:rsid w:val="00214151"/>
    <w:rsid w:val="00214189"/>
    <w:rsid w:val="00214211"/>
    <w:rsid w:val="00214354"/>
    <w:rsid w:val="00214587"/>
    <w:rsid w:val="00214617"/>
    <w:rsid w:val="00214787"/>
    <w:rsid w:val="0021491C"/>
    <w:rsid w:val="00214964"/>
    <w:rsid w:val="002149A1"/>
    <w:rsid w:val="00214A5D"/>
    <w:rsid w:val="00214C5C"/>
    <w:rsid w:val="00214C76"/>
    <w:rsid w:val="00214E52"/>
    <w:rsid w:val="00214EF4"/>
    <w:rsid w:val="00215012"/>
    <w:rsid w:val="0021516C"/>
    <w:rsid w:val="002151AD"/>
    <w:rsid w:val="002151C9"/>
    <w:rsid w:val="00215200"/>
    <w:rsid w:val="002152C2"/>
    <w:rsid w:val="002153C2"/>
    <w:rsid w:val="0021542D"/>
    <w:rsid w:val="00215534"/>
    <w:rsid w:val="0021568C"/>
    <w:rsid w:val="002157F3"/>
    <w:rsid w:val="002157F5"/>
    <w:rsid w:val="0021594C"/>
    <w:rsid w:val="00215979"/>
    <w:rsid w:val="00215AF6"/>
    <w:rsid w:val="00215CA1"/>
    <w:rsid w:val="00215D6C"/>
    <w:rsid w:val="00215D7E"/>
    <w:rsid w:val="00215DA6"/>
    <w:rsid w:val="00215DF8"/>
    <w:rsid w:val="00215E14"/>
    <w:rsid w:val="00216107"/>
    <w:rsid w:val="0021614E"/>
    <w:rsid w:val="002161BB"/>
    <w:rsid w:val="002162B6"/>
    <w:rsid w:val="002166C7"/>
    <w:rsid w:val="002166D7"/>
    <w:rsid w:val="00216876"/>
    <w:rsid w:val="00216983"/>
    <w:rsid w:val="00216A9E"/>
    <w:rsid w:val="00216D1E"/>
    <w:rsid w:val="00216D41"/>
    <w:rsid w:val="00216E99"/>
    <w:rsid w:val="00216F94"/>
    <w:rsid w:val="00216FD7"/>
    <w:rsid w:val="00217340"/>
    <w:rsid w:val="002173B6"/>
    <w:rsid w:val="002174E1"/>
    <w:rsid w:val="0021763C"/>
    <w:rsid w:val="002176F0"/>
    <w:rsid w:val="00217A65"/>
    <w:rsid w:val="00217BD7"/>
    <w:rsid w:val="00217C9C"/>
    <w:rsid w:val="00217CBB"/>
    <w:rsid w:val="00217D0F"/>
    <w:rsid w:val="00217DDC"/>
    <w:rsid w:val="00217DFA"/>
    <w:rsid w:val="002200E2"/>
    <w:rsid w:val="00220167"/>
    <w:rsid w:val="0022032D"/>
    <w:rsid w:val="00220561"/>
    <w:rsid w:val="002207B2"/>
    <w:rsid w:val="00220878"/>
    <w:rsid w:val="002208D8"/>
    <w:rsid w:val="00220BD5"/>
    <w:rsid w:val="00220BD8"/>
    <w:rsid w:val="00220D05"/>
    <w:rsid w:val="00220D18"/>
    <w:rsid w:val="00220FB9"/>
    <w:rsid w:val="00220FCA"/>
    <w:rsid w:val="002210AD"/>
    <w:rsid w:val="00221565"/>
    <w:rsid w:val="002215DD"/>
    <w:rsid w:val="0022167D"/>
    <w:rsid w:val="00221737"/>
    <w:rsid w:val="0022183C"/>
    <w:rsid w:val="00221AE1"/>
    <w:rsid w:val="00221BA6"/>
    <w:rsid w:val="00221CE9"/>
    <w:rsid w:val="00221E63"/>
    <w:rsid w:val="00221F14"/>
    <w:rsid w:val="0022203D"/>
    <w:rsid w:val="00222064"/>
    <w:rsid w:val="002221A0"/>
    <w:rsid w:val="002222A8"/>
    <w:rsid w:val="002224A1"/>
    <w:rsid w:val="00222601"/>
    <w:rsid w:val="00222646"/>
    <w:rsid w:val="002226AF"/>
    <w:rsid w:val="002228B6"/>
    <w:rsid w:val="00222907"/>
    <w:rsid w:val="00222A29"/>
    <w:rsid w:val="00222C4A"/>
    <w:rsid w:val="00222C91"/>
    <w:rsid w:val="00222C92"/>
    <w:rsid w:val="00222CE2"/>
    <w:rsid w:val="00222CFA"/>
    <w:rsid w:val="0022302E"/>
    <w:rsid w:val="002230D3"/>
    <w:rsid w:val="00223263"/>
    <w:rsid w:val="002232D9"/>
    <w:rsid w:val="0022335C"/>
    <w:rsid w:val="0022347F"/>
    <w:rsid w:val="00223523"/>
    <w:rsid w:val="0022356F"/>
    <w:rsid w:val="0022357A"/>
    <w:rsid w:val="00223679"/>
    <w:rsid w:val="00223788"/>
    <w:rsid w:val="002237CF"/>
    <w:rsid w:val="00223882"/>
    <w:rsid w:val="0022389C"/>
    <w:rsid w:val="00223924"/>
    <w:rsid w:val="00223988"/>
    <w:rsid w:val="00223A2C"/>
    <w:rsid w:val="00223AE0"/>
    <w:rsid w:val="00223B2E"/>
    <w:rsid w:val="00223DB9"/>
    <w:rsid w:val="00224079"/>
    <w:rsid w:val="002240C8"/>
    <w:rsid w:val="002241E3"/>
    <w:rsid w:val="00224230"/>
    <w:rsid w:val="002245B1"/>
    <w:rsid w:val="00224A88"/>
    <w:rsid w:val="00224AD2"/>
    <w:rsid w:val="00224B1B"/>
    <w:rsid w:val="00224B92"/>
    <w:rsid w:val="00224BF3"/>
    <w:rsid w:val="00225139"/>
    <w:rsid w:val="002253DE"/>
    <w:rsid w:val="002254CC"/>
    <w:rsid w:val="0022553F"/>
    <w:rsid w:val="0022561D"/>
    <w:rsid w:val="002257CC"/>
    <w:rsid w:val="002259AF"/>
    <w:rsid w:val="00225E7E"/>
    <w:rsid w:val="002260B2"/>
    <w:rsid w:val="002261C1"/>
    <w:rsid w:val="002262C8"/>
    <w:rsid w:val="00226368"/>
    <w:rsid w:val="002267BD"/>
    <w:rsid w:val="0022687C"/>
    <w:rsid w:val="002269AD"/>
    <w:rsid w:val="00226A3A"/>
    <w:rsid w:val="00226D8D"/>
    <w:rsid w:val="00226D99"/>
    <w:rsid w:val="00226E6B"/>
    <w:rsid w:val="00226F78"/>
    <w:rsid w:val="0022703C"/>
    <w:rsid w:val="00227185"/>
    <w:rsid w:val="0022718D"/>
    <w:rsid w:val="00227217"/>
    <w:rsid w:val="002272FE"/>
    <w:rsid w:val="00227858"/>
    <w:rsid w:val="002278AB"/>
    <w:rsid w:val="002278E2"/>
    <w:rsid w:val="002279A7"/>
    <w:rsid w:val="00227ED7"/>
    <w:rsid w:val="00227F1F"/>
    <w:rsid w:val="00227FA3"/>
    <w:rsid w:val="0023005B"/>
    <w:rsid w:val="0023012E"/>
    <w:rsid w:val="00230258"/>
    <w:rsid w:val="0023042F"/>
    <w:rsid w:val="002305CD"/>
    <w:rsid w:val="0023066C"/>
    <w:rsid w:val="00230A47"/>
    <w:rsid w:val="00230D19"/>
    <w:rsid w:val="00230E88"/>
    <w:rsid w:val="00230F27"/>
    <w:rsid w:val="0023133E"/>
    <w:rsid w:val="0023140B"/>
    <w:rsid w:val="0023153F"/>
    <w:rsid w:val="002315D2"/>
    <w:rsid w:val="00231630"/>
    <w:rsid w:val="002316C0"/>
    <w:rsid w:val="00231777"/>
    <w:rsid w:val="0023185E"/>
    <w:rsid w:val="002318D2"/>
    <w:rsid w:val="00231AB9"/>
    <w:rsid w:val="00231C4D"/>
    <w:rsid w:val="00231D72"/>
    <w:rsid w:val="00231F4E"/>
    <w:rsid w:val="00232149"/>
    <w:rsid w:val="002321FE"/>
    <w:rsid w:val="00232210"/>
    <w:rsid w:val="00232216"/>
    <w:rsid w:val="00232245"/>
    <w:rsid w:val="00232354"/>
    <w:rsid w:val="002323B9"/>
    <w:rsid w:val="00232619"/>
    <w:rsid w:val="00232667"/>
    <w:rsid w:val="0023269F"/>
    <w:rsid w:val="00232805"/>
    <w:rsid w:val="00232826"/>
    <w:rsid w:val="002328FB"/>
    <w:rsid w:val="00232B11"/>
    <w:rsid w:val="00232C3F"/>
    <w:rsid w:val="00232D1C"/>
    <w:rsid w:val="00233130"/>
    <w:rsid w:val="0023351E"/>
    <w:rsid w:val="00233561"/>
    <w:rsid w:val="00233761"/>
    <w:rsid w:val="002337C3"/>
    <w:rsid w:val="002338A8"/>
    <w:rsid w:val="00233A63"/>
    <w:rsid w:val="00233FFA"/>
    <w:rsid w:val="002344BB"/>
    <w:rsid w:val="002346BE"/>
    <w:rsid w:val="00234947"/>
    <w:rsid w:val="00234999"/>
    <w:rsid w:val="00234BC0"/>
    <w:rsid w:val="00234C01"/>
    <w:rsid w:val="00234C24"/>
    <w:rsid w:val="00234C3D"/>
    <w:rsid w:val="00234CEE"/>
    <w:rsid w:val="00234E64"/>
    <w:rsid w:val="00234FDF"/>
    <w:rsid w:val="0023500D"/>
    <w:rsid w:val="00235063"/>
    <w:rsid w:val="002350A8"/>
    <w:rsid w:val="002351A0"/>
    <w:rsid w:val="002351D7"/>
    <w:rsid w:val="00235309"/>
    <w:rsid w:val="002354BC"/>
    <w:rsid w:val="0023571B"/>
    <w:rsid w:val="00235740"/>
    <w:rsid w:val="002359F2"/>
    <w:rsid w:val="00235CDD"/>
    <w:rsid w:val="00235CEC"/>
    <w:rsid w:val="00235D1D"/>
    <w:rsid w:val="00235D31"/>
    <w:rsid w:val="00235D5B"/>
    <w:rsid w:val="00235DF1"/>
    <w:rsid w:val="00235EBD"/>
    <w:rsid w:val="0023607B"/>
    <w:rsid w:val="0023624F"/>
    <w:rsid w:val="0023641E"/>
    <w:rsid w:val="002365B1"/>
    <w:rsid w:val="00236638"/>
    <w:rsid w:val="00236782"/>
    <w:rsid w:val="002367D9"/>
    <w:rsid w:val="00236951"/>
    <w:rsid w:val="00236A02"/>
    <w:rsid w:val="00236A95"/>
    <w:rsid w:val="00236BAC"/>
    <w:rsid w:val="00236EAB"/>
    <w:rsid w:val="00236FE6"/>
    <w:rsid w:val="0023721B"/>
    <w:rsid w:val="002372BE"/>
    <w:rsid w:val="00237326"/>
    <w:rsid w:val="0023733D"/>
    <w:rsid w:val="002376D6"/>
    <w:rsid w:val="00237787"/>
    <w:rsid w:val="00237820"/>
    <w:rsid w:val="002379AA"/>
    <w:rsid w:val="002379B3"/>
    <w:rsid w:val="00237AB0"/>
    <w:rsid w:val="00237D7C"/>
    <w:rsid w:val="00237E53"/>
    <w:rsid w:val="00237E7E"/>
    <w:rsid w:val="00237EE0"/>
    <w:rsid w:val="00237FDB"/>
    <w:rsid w:val="0024017F"/>
    <w:rsid w:val="002401DF"/>
    <w:rsid w:val="002402B5"/>
    <w:rsid w:val="002403AE"/>
    <w:rsid w:val="0024062F"/>
    <w:rsid w:val="002406BF"/>
    <w:rsid w:val="0024077F"/>
    <w:rsid w:val="00240929"/>
    <w:rsid w:val="002409CC"/>
    <w:rsid w:val="00240AD4"/>
    <w:rsid w:val="00240B31"/>
    <w:rsid w:val="00240CD0"/>
    <w:rsid w:val="00240CF8"/>
    <w:rsid w:val="00240F67"/>
    <w:rsid w:val="00240FE1"/>
    <w:rsid w:val="00241151"/>
    <w:rsid w:val="00241170"/>
    <w:rsid w:val="00241178"/>
    <w:rsid w:val="00241249"/>
    <w:rsid w:val="0024126A"/>
    <w:rsid w:val="00241271"/>
    <w:rsid w:val="0024134B"/>
    <w:rsid w:val="0024159A"/>
    <w:rsid w:val="002416BC"/>
    <w:rsid w:val="0024173C"/>
    <w:rsid w:val="00241905"/>
    <w:rsid w:val="002419AE"/>
    <w:rsid w:val="002419EC"/>
    <w:rsid w:val="00241D93"/>
    <w:rsid w:val="00241E2A"/>
    <w:rsid w:val="00242132"/>
    <w:rsid w:val="0024217E"/>
    <w:rsid w:val="0024228A"/>
    <w:rsid w:val="00242308"/>
    <w:rsid w:val="00242394"/>
    <w:rsid w:val="00242B99"/>
    <w:rsid w:val="00242CC7"/>
    <w:rsid w:val="00242CE7"/>
    <w:rsid w:val="00242D32"/>
    <w:rsid w:val="00242D87"/>
    <w:rsid w:val="00242EC3"/>
    <w:rsid w:val="00242F32"/>
    <w:rsid w:val="0024323D"/>
    <w:rsid w:val="00243485"/>
    <w:rsid w:val="002434FF"/>
    <w:rsid w:val="00243518"/>
    <w:rsid w:val="002436D0"/>
    <w:rsid w:val="0024388C"/>
    <w:rsid w:val="002438C0"/>
    <w:rsid w:val="00243B13"/>
    <w:rsid w:val="00243D14"/>
    <w:rsid w:val="00243F84"/>
    <w:rsid w:val="0024411E"/>
    <w:rsid w:val="0024422C"/>
    <w:rsid w:val="00244457"/>
    <w:rsid w:val="0024461A"/>
    <w:rsid w:val="002446B9"/>
    <w:rsid w:val="00244711"/>
    <w:rsid w:val="0024476C"/>
    <w:rsid w:val="00244BAF"/>
    <w:rsid w:val="00244C9A"/>
    <w:rsid w:val="00244D46"/>
    <w:rsid w:val="00244D70"/>
    <w:rsid w:val="00244F17"/>
    <w:rsid w:val="00244F72"/>
    <w:rsid w:val="002450C6"/>
    <w:rsid w:val="002452F4"/>
    <w:rsid w:val="00245318"/>
    <w:rsid w:val="002453AC"/>
    <w:rsid w:val="00245574"/>
    <w:rsid w:val="0024558E"/>
    <w:rsid w:val="002455F7"/>
    <w:rsid w:val="0024575A"/>
    <w:rsid w:val="002458BC"/>
    <w:rsid w:val="00245981"/>
    <w:rsid w:val="00245BCF"/>
    <w:rsid w:val="00245CC3"/>
    <w:rsid w:val="00245CDB"/>
    <w:rsid w:val="00245D13"/>
    <w:rsid w:val="00245DA7"/>
    <w:rsid w:val="00245DB9"/>
    <w:rsid w:val="00245EA5"/>
    <w:rsid w:val="00245ED3"/>
    <w:rsid w:val="00246080"/>
    <w:rsid w:val="0024636B"/>
    <w:rsid w:val="00246589"/>
    <w:rsid w:val="00246632"/>
    <w:rsid w:val="0024685F"/>
    <w:rsid w:val="00246986"/>
    <w:rsid w:val="002469AA"/>
    <w:rsid w:val="00246A03"/>
    <w:rsid w:val="00246B57"/>
    <w:rsid w:val="00246C3D"/>
    <w:rsid w:val="00246C63"/>
    <w:rsid w:val="00246CBB"/>
    <w:rsid w:val="00246D66"/>
    <w:rsid w:val="00246E89"/>
    <w:rsid w:val="00246FBB"/>
    <w:rsid w:val="0024741F"/>
    <w:rsid w:val="0024742D"/>
    <w:rsid w:val="002474BD"/>
    <w:rsid w:val="002474DF"/>
    <w:rsid w:val="00247690"/>
    <w:rsid w:val="00247A07"/>
    <w:rsid w:val="00247BA8"/>
    <w:rsid w:val="00247D54"/>
    <w:rsid w:val="00247E09"/>
    <w:rsid w:val="00247F55"/>
    <w:rsid w:val="00250450"/>
    <w:rsid w:val="0025057E"/>
    <w:rsid w:val="0025079F"/>
    <w:rsid w:val="002508A6"/>
    <w:rsid w:val="00250997"/>
    <w:rsid w:val="00250ADB"/>
    <w:rsid w:val="00250BB1"/>
    <w:rsid w:val="00250C49"/>
    <w:rsid w:val="00250E77"/>
    <w:rsid w:val="00250E7C"/>
    <w:rsid w:val="00250EE9"/>
    <w:rsid w:val="002511DE"/>
    <w:rsid w:val="00251285"/>
    <w:rsid w:val="0025173A"/>
    <w:rsid w:val="002518E1"/>
    <w:rsid w:val="00251948"/>
    <w:rsid w:val="002519CC"/>
    <w:rsid w:val="00251A00"/>
    <w:rsid w:val="00251E27"/>
    <w:rsid w:val="00251E94"/>
    <w:rsid w:val="00251EFD"/>
    <w:rsid w:val="00252113"/>
    <w:rsid w:val="002522F2"/>
    <w:rsid w:val="0025235E"/>
    <w:rsid w:val="0025236D"/>
    <w:rsid w:val="0025237C"/>
    <w:rsid w:val="00252473"/>
    <w:rsid w:val="002524A0"/>
    <w:rsid w:val="002525F5"/>
    <w:rsid w:val="002525F9"/>
    <w:rsid w:val="002527F8"/>
    <w:rsid w:val="0025283B"/>
    <w:rsid w:val="00252B1E"/>
    <w:rsid w:val="00252F61"/>
    <w:rsid w:val="002530E7"/>
    <w:rsid w:val="00253377"/>
    <w:rsid w:val="0025339F"/>
    <w:rsid w:val="0025341F"/>
    <w:rsid w:val="0025362C"/>
    <w:rsid w:val="00253759"/>
    <w:rsid w:val="00253A3B"/>
    <w:rsid w:val="00253C88"/>
    <w:rsid w:val="00253CB5"/>
    <w:rsid w:val="00253D2D"/>
    <w:rsid w:val="00253DC9"/>
    <w:rsid w:val="00253DF2"/>
    <w:rsid w:val="00253F41"/>
    <w:rsid w:val="00253F75"/>
    <w:rsid w:val="0025441A"/>
    <w:rsid w:val="002546DA"/>
    <w:rsid w:val="00254786"/>
    <w:rsid w:val="002547EA"/>
    <w:rsid w:val="00254837"/>
    <w:rsid w:val="00254A03"/>
    <w:rsid w:val="00254CB7"/>
    <w:rsid w:val="00254FF9"/>
    <w:rsid w:val="002551A3"/>
    <w:rsid w:val="002551FD"/>
    <w:rsid w:val="00255416"/>
    <w:rsid w:val="00255445"/>
    <w:rsid w:val="00255599"/>
    <w:rsid w:val="002558A3"/>
    <w:rsid w:val="00255C5B"/>
    <w:rsid w:val="00255C7E"/>
    <w:rsid w:val="00255D7D"/>
    <w:rsid w:val="002560E2"/>
    <w:rsid w:val="0025633D"/>
    <w:rsid w:val="0025664D"/>
    <w:rsid w:val="002567ED"/>
    <w:rsid w:val="002567FD"/>
    <w:rsid w:val="0025680E"/>
    <w:rsid w:val="002568C8"/>
    <w:rsid w:val="002568D0"/>
    <w:rsid w:val="00256AB3"/>
    <w:rsid w:val="00256B90"/>
    <w:rsid w:val="00256FD8"/>
    <w:rsid w:val="00256FF0"/>
    <w:rsid w:val="0025705E"/>
    <w:rsid w:val="002570F6"/>
    <w:rsid w:val="0025766F"/>
    <w:rsid w:val="00257733"/>
    <w:rsid w:val="002578CC"/>
    <w:rsid w:val="00257B5D"/>
    <w:rsid w:val="00257BED"/>
    <w:rsid w:val="00257C5E"/>
    <w:rsid w:val="00260145"/>
    <w:rsid w:val="002602C9"/>
    <w:rsid w:val="00260510"/>
    <w:rsid w:val="002605D4"/>
    <w:rsid w:val="00260997"/>
    <w:rsid w:val="00260D6D"/>
    <w:rsid w:val="00260D81"/>
    <w:rsid w:val="00260EE3"/>
    <w:rsid w:val="00260F06"/>
    <w:rsid w:val="00260F92"/>
    <w:rsid w:val="00260FB1"/>
    <w:rsid w:val="00261169"/>
    <w:rsid w:val="00261443"/>
    <w:rsid w:val="00261627"/>
    <w:rsid w:val="0026165D"/>
    <w:rsid w:val="00261711"/>
    <w:rsid w:val="0026177D"/>
    <w:rsid w:val="002617E8"/>
    <w:rsid w:val="00261869"/>
    <w:rsid w:val="00261CAE"/>
    <w:rsid w:val="00261D0B"/>
    <w:rsid w:val="00261F89"/>
    <w:rsid w:val="002622CE"/>
    <w:rsid w:val="00262343"/>
    <w:rsid w:val="002624CE"/>
    <w:rsid w:val="002624D7"/>
    <w:rsid w:val="002624E1"/>
    <w:rsid w:val="00262587"/>
    <w:rsid w:val="00262599"/>
    <w:rsid w:val="002626AE"/>
    <w:rsid w:val="00262726"/>
    <w:rsid w:val="00262767"/>
    <w:rsid w:val="0026280D"/>
    <w:rsid w:val="00262919"/>
    <w:rsid w:val="00262979"/>
    <w:rsid w:val="00262B63"/>
    <w:rsid w:val="00262B74"/>
    <w:rsid w:val="00262B86"/>
    <w:rsid w:val="00262BB9"/>
    <w:rsid w:val="00262BE4"/>
    <w:rsid w:val="00262D0C"/>
    <w:rsid w:val="00262E4B"/>
    <w:rsid w:val="00262E6D"/>
    <w:rsid w:val="00262EAB"/>
    <w:rsid w:val="00262EE2"/>
    <w:rsid w:val="00262F57"/>
    <w:rsid w:val="00263129"/>
    <w:rsid w:val="002636AE"/>
    <w:rsid w:val="00263905"/>
    <w:rsid w:val="00263A36"/>
    <w:rsid w:val="00263B20"/>
    <w:rsid w:val="00263C45"/>
    <w:rsid w:val="00263EF5"/>
    <w:rsid w:val="00264099"/>
    <w:rsid w:val="002640EB"/>
    <w:rsid w:val="0026418B"/>
    <w:rsid w:val="0026424F"/>
    <w:rsid w:val="0026456D"/>
    <w:rsid w:val="0026474E"/>
    <w:rsid w:val="00264819"/>
    <w:rsid w:val="002648E3"/>
    <w:rsid w:val="002648EE"/>
    <w:rsid w:val="002649D3"/>
    <w:rsid w:val="00264E42"/>
    <w:rsid w:val="00264E7E"/>
    <w:rsid w:val="00264F57"/>
    <w:rsid w:val="0026509A"/>
    <w:rsid w:val="002652E2"/>
    <w:rsid w:val="00265492"/>
    <w:rsid w:val="00265677"/>
    <w:rsid w:val="00265748"/>
    <w:rsid w:val="002659E9"/>
    <w:rsid w:val="00265B1F"/>
    <w:rsid w:val="00265E37"/>
    <w:rsid w:val="00265F79"/>
    <w:rsid w:val="00265FB8"/>
    <w:rsid w:val="00265FCB"/>
    <w:rsid w:val="00266052"/>
    <w:rsid w:val="00266337"/>
    <w:rsid w:val="002664DC"/>
    <w:rsid w:val="0026653D"/>
    <w:rsid w:val="00266603"/>
    <w:rsid w:val="002666A2"/>
    <w:rsid w:val="002669B2"/>
    <w:rsid w:val="00266C12"/>
    <w:rsid w:val="00266CBC"/>
    <w:rsid w:val="00266E7C"/>
    <w:rsid w:val="00266E8A"/>
    <w:rsid w:val="00266F7A"/>
    <w:rsid w:val="00266FA2"/>
    <w:rsid w:val="00267034"/>
    <w:rsid w:val="0026705F"/>
    <w:rsid w:val="00267260"/>
    <w:rsid w:val="00267397"/>
    <w:rsid w:val="002673B3"/>
    <w:rsid w:val="002673D4"/>
    <w:rsid w:val="00267B57"/>
    <w:rsid w:val="00267B5A"/>
    <w:rsid w:val="00267B87"/>
    <w:rsid w:val="00267BFC"/>
    <w:rsid w:val="00267CCB"/>
    <w:rsid w:val="00270070"/>
    <w:rsid w:val="00270228"/>
    <w:rsid w:val="00270313"/>
    <w:rsid w:val="002703E8"/>
    <w:rsid w:val="00270408"/>
    <w:rsid w:val="00270641"/>
    <w:rsid w:val="00270687"/>
    <w:rsid w:val="002706AD"/>
    <w:rsid w:val="002706CD"/>
    <w:rsid w:val="00270768"/>
    <w:rsid w:val="00270803"/>
    <w:rsid w:val="002708D0"/>
    <w:rsid w:val="0027091B"/>
    <w:rsid w:val="0027092C"/>
    <w:rsid w:val="0027096E"/>
    <w:rsid w:val="0027096F"/>
    <w:rsid w:val="00270A34"/>
    <w:rsid w:val="00270CCF"/>
    <w:rsid w:val="00270D4F"/>
    <w:rsid w:val="00270DC8"/>
    <w:rsid w:val="00270DD5"/>
    <w:rsid w:val="00270DE9"/>
    <w:rsid w:val="00270F29"/>
    <w:rsid w:val="00270FDC"/>
    <w:rsid w:val="0027118B"/>
    <w:rsid w:val="00271300"/>
    <w:rsid w:val="00271449"/>
    <w:rsid w:val="00271C97"/>
    <w:rsid w:val="002720B0"/>
    <w:rsid w:val="002721AC"/>
    <w:rsid w:val="002721FC"/>
    <w:rsid w:val="0027298F"/>
    <w:rsid w:val="002729AA"/>
    <w:rsid w:val="002729B9"/>
    <w:rsid w:val="00272A12"/>
    <w:rsid w:val="00272ABC"/>
    <w:rsid w:val="00272B09"/>
    <w:rsid w:val="00272B57"/>
    <w:rsid w:val="00272BAB"/>
    <w:rsid w:val="00272D75"/>
    <w:rsid w:val="00272EA5"/>
    <w:rsid w:val="00272EED"/>
    <w:rsid w:val="002731B5"/>
    <w:rsid w:val="002732F5"/>
    <w:rsid w:val="00273397"/>
    <w:rsid w:val="00273454"/>
    <w:rsid w:val="002735D9"/>
    <w:rsid w:val="002737E6"/>
    <w:rsid w:val="002738FE"/>
    <w:rsid w:val="00273964"/>
    <w:rsid w:val="00273999"/>
    <w:rsid w:val="00273AED"/>
    <w:rsid w:val="00273B84"/>
    <w:rsid w:val="00273C45"/>
    <w:rsid w:val="00273D09"/>
    <w:rsid w:val="00273DF3"/>
    <w:rsid w:val="00273FC6"/>
    <w:rsid w:val="00273FF4"/>
    <w:rsid w:val="00273FF5"/>
    <w:rsid w:val="002742DB"/>
    <w:rsid w:val="002742E4"/>
    <w:rsid w:val="002747D2"/>
    <w:rsid w:val="00274A62"/>
    <w:rsid w:val="00274C3D"/>
    <w:rsid w:val="00274CFB"/>
    <w:rsid w:val="00274D0C"/>
    <w:rsid w:val="00274E57"/>
    <w:rsid w:val="00274FF6"/>
    <w:rsid w:val="00275155"/>
    <w:rsid w:val="00275191"/>
    <w:rsid w:val="00275229"/>
    <w:rsid w:val="002754B5"/>
    <w:rsid w:val="0027555B"/>
    <w:rsid w:val="0027555E"/>
    <w:rsid w:val="0027563B"/>
    <w:rsid w:val="0027583A"/>
    <w:rsid w:val="002758B7"/>
    <w:rsid w:val="00275973"/>
    <w:rsid w:val="0027598D"/>
    <w:rsid w:val="00275A57"/>
    <w:rsid w:val="00275B66"/>
    <w:rsid w:val="00275E5E"/>
    <w:rsid w:val="002760A8"/>
    <w:rsid w:val="00276163"/>
    <w:rsid w:val="00276389"/>
    <w:rsid w:val="00276419"/>
    <w:rsid w:val="0027641F"/>
    <w:rsid w:val="002764D3"/>
    <w:rsid w:val="002765C9"/>
    <w:rsid w:val="00276678"/>
    <w:rsid w:val="002766AB"/>
    <w:rsid w:val="00276760"/>
    <w:rsid w:val="00276837"/>
    <w:rsid w:val="0027689D"/>
    <w:rsid w:val="00276D48"/>
    <w:rsid w:val="00276F99"/>
    <w:rsid w:val="00276FAB"/>
    <w:rsid w:val="0027714E"/>
    <w:rsid w:val="002771A1"/>
    <w:rsid w:val="002772FA"/>
    <w:rsid w:val="0027741F"/>
    <w:rsid w:val="00277596"/>
    <w:rsid w:val="0027759A"/>
    <w:rsid w:val="002775A2"/>
    <w:rsid w:val="00277604"/>
    <w:rsid w:val="002777FF"/>
    <w:rsid w:val="00277B65"/>
    <w:rsid w:val="00277C27"/>
    <w:rsid w:val="00277D07"/>
    <w:rsid w:val="00277EED"/>
    <w:rsid w:val="00277F84"/>
    <w:rsid w:val="002800EA"/>
    <w:rsid w:val="00280174"/>
    <w:rsid w:val="0028048C"/>
    <w:rsid w:val="00280569"/>
    <w:rsid w:val="00280589"/>
    <w:rsid w:val="002807A3"/>
    <w:rsid w:val="00280B7D"/>
    <w:rsid w:val="00280C08"/>
    <w:rsid w:val="00280F72"/>
    <w:rsid w:val="00280F9E"/>
    <w:rsid w:val="00280FE3"/>
    <w:rsid w:val="00280FF4"/>
    <w:rsid w:val="002810CE"/>
    <w:rsid w:val="00281726"/>
    <w:rsid w:val="002819DF"/>
    <w:rsid w:val="00281DD3"/>
    <w:rsid w:val="00281F37"/>
    <w:rsid w:val="00281FFE"/>
    <w:rsid w:val="00282128"/>
    <w:rsid w:val="0028226A"/>
    <w:rsid w:val="002822E1"/>
    <w:rsid w:val="002824BB"/>
    <w:rsid w:val="00282686"/>
    <w:rsid w:val="002826BE"/>
    <w:rsid w:val="002827BE"/>
    <w:rsid w:val="00282B2E"/>
    <w:rsid w:val="00282B53"/>
    <w:rsid w:val="00282B80"/>
    <w:rsid w:val="00282C11"/>
    <w:rsid w:val="00282FFC"/>
    <w:rsid w:val="0028317B"/>
    <w:rsid w:val="002833B0"/>
    <w:rsid w:val="0028344A"/>
    <w:rsid w:val="002834D4"/>
    <w:rsid w:val="00283669"/>
    <w:rsid w:val="0028371B"/>
    <w:rsid w:val="00283744"/>
    <w:rsid w:val="00283A41"/>
    <w:rsid w:val="00283AD2"/>
    <w:rsid w:val="00283B5F"/>
    <w:rsid w:val="00283BEB"/>
    <w:rsid w:val="00283CA9"/>
    <w:rsid w:val="00283CF1"/>
    <w:rsid w:val="00283DAA"/>
    <w:rsid w:val="00283FE5"/>
    <w:rsid w:val="002842E9"/>
    <w:rsid w:val="00284534"/>
    <w:rsid w:val="00284725"/>
    <w:rsid w:val="00284745"/>
    <w:rsid w:val="00284815"/>
    <w:rsid w:val="00284896"/>
    <w:rsid w:val="00284A7C"/>
    <w:rsid w:val="00284BDE"/>
    <w:rsid w:val="00284DD8"/>
    <w:rsid w:val="00284F1A"/>
    <w:rsid w:val="00285112"/>
    <w:rsid w:val="00285146"/>
    <w:rsid w:val="002852CA"/>
    <w:rsid w:val="0028534D"/>
    <w:rsid w:val="002853A2"/>
    <w:rsid w:val="002853B1"/>
    <w:rsid w:val="00285427"/>
    <w:rsid w:val="00285433"/>
    <w:rsid w:val="002855A3"/>
    <w:rsid w:val="00285AAD"/>
    <w:rsid w:val="00285B69"/>
    <w:rsid w:val="00285C51"/>
    <w:rsid w:val="00285DAE"/>
    <w:rsid w:val="00285FB7"/>
    <w:rsid w:val="00285FE9"/>
    <w:rsid w:val="002860EB"/>
    <w:rsid w:val="0028640F"/>
    <w:rsid w:val="0028644F"/>
    <w:rsid w:val="00286846"/>
    <w:rsid w:val="002869A2"/>
    <w:rsid w:val="00286BB2"/>
    <w:rsid w:val="00286C3C"/>
    <w:rsid w:val="00286EAA"/>
    <w:rsid w:val="00287297"/>
    <w:rsid w:val="002872A3"/>
    <w:rsid w:val="002875B0"/>
    <w:rsid w:val="00287681"/>
    <w:rsid w:val="002876A4"/>
    <w:rsid w:val="002877A8"/>
    <w:rsid w:val="002877B0"/>
    <w:rsid w:val="002878C5"/>
    <w:rsid w:val="002878EB"/>
    <w:rsid w:val="00287A54"/>
    <w:rsid w:val="00287A89"/>
    <w:rsid w:val="00287B20"/>
    <w:rsid w:val="00287C7D"/>
    <w:rsid w:val="00287D4D"/>
    <w:rsid w:val="00287E27"/>
    <w:rsid w:val="00287E78"/>
    <w:rsid w:val="00287F22"/>
    <w:rsid w:val="00287F25"/>
    <w:rsid w:val="00287FE0"/>
    <w:rsid w:val="00290095"/>
    <w:rsid w:val="002900C2"/>
    <w:rsid w:val="00290113"/>
    <w:rsid w:val="0029029E"/>
    <w:rsid w:val="00290385"/>
    <w:rsid w:val="00290398"/>
    <w:rsid w:val="00290456"/>
    <w:rsid w:val="00290582"/>
    <w:rsid w:val="002906BD"/>
    <w:rsid w:val="002906DE"/>
    <w:rsid w:val="002907ED"/>
    <w:rsid w:val="002909F6"/>
    <w:rsid w:val="002909FE"/>
    <w:rsid w:val="00290ABD"/>
    <w:rsid w:val="00290AD8"/>
    <w:rsid w:val="00290C9B"/>
    <w:rsid w:val="00290E47"/>
    <w:rsid w:val="00290F7F"/>
    <w:rsid w:val="00290FE8"/>
    <w:rsid w:val="0029100C"/>
    <w:rsid w:val="0029104F"/>
    <w:rsid w:val="002910CF"/>
    <w:rsid w:val="00291156"/>
    <w:rsid w:val="00291396"/>
    <w:rsid w:val="002913BB"/>
    <w:rsid w:val="0029147D"/>
    <w:rsid w:val="002915E5"/>
    <w:rsid w:val="00291630"/>
    <w:rsid w:val="0029167C"/>
    <w:rsid w:val="0029168C"/>
    <w:rsid w:val="002916C8"/>
    <w:rsid w:val="002918E5"/>
    <w:rsid w:val="00291B1A"/>
    <w:rsid w:val="00291D9E"/>
    <w:rsid w:val="00291E32"/>
    <w:rsid w:val="00292010"/>
    <w:rsid w:val="0029201C"/>
    <w:rsid w:val="002920B7"/>
    <w:rsid w:val="002921EE"/>
    <w:rsid w:val="002921F6"/>
    <w:rsid w:val="002921FB"/>
    <w:rsid w:val="002922C8"/>
    <w:rsid w:val="002924A4"/>
    <w:rsid w:val="00292583"/>
    <w:rsid w:val="00292659"/>
    <w:rsid w:val="0029266B"/>
    <w:rsid w:val="0029273D"/>
    <w:rsid w:val="002928ED"/>
    <w:rsid w:val="0029290E"/>
    <w:rsid w:val="00292978"/>
    <w:rsid w:val="002929CA"/>
    <w:rsid w:val="00292A3D"/>
    <w:rsid w:val="00292A61"/>
    <w:rsid w:val="00293083"/>
    <w:rsid w:val="00293097"/>
    <w:rsid w:val="002935C9"/>
    <w:rsid w:val="002935E8"/>
    <w:rsid w:val="002935F3"/>
    <w:rsid w:val="002939B4"/>
    <w:rsid w:val="00293BE0"/>
    <w:rsid w:val="00293CAF"/>
    <w:rsid w:val="00293CD3"/>
    <w:rsid w:val="002941CB"/>
    <w:rsid w:val="002943E2"/>
    <w:rsid w:val="00294534"/>
    <w:rsid w:val="0029457A"/>
    <w:rsid w:val="002945B9"/>
    <w:rsid w:val="002946B1"/>
    <w:rsid w:val="002946D7"/>
    <w:rsid w:val="0029488D"/>
    <w:rsid w:val="002949E2"/>
    <w:rsid w:val="00294A86"/>
    <w:rsid w:val="00294AA0"/>
    <w:rsid w:val="00294BCD"/>
    <w:rsid w:val="00294D1C"/>
    <w:rsid w:val="002950D0"/>
    <w:rsid w:val="00295127"/>
    <w:rsid w:val="00295392"/>
    <w:rsid w:val="002953C8"/>
    <w:rsid w:val="00295691"/>
    <w:rsid w:val="00295728"/>
    <w:rsid w:val="002957FA"/>
    <w:rsid w:val="00296015"/>
    <w:rsid w:val="00296062"/>
    <w:rsid w:val="002960B6"/>
    <w:rsid w:val="00296105"/>
    <w:rsid w:val="00296134"/>
    <w:rsid w:val="002962E2"/>
    <w:rsid w:val="0029699A"/>
    <w:rsid w:val="00296AD6"/>
    <w:rsid w:val="00296C4C"/>
    <w:rsid w:val="00296E00"/>
    <w:rsid w:val="00297114"/>
    <w:rsid w:val="002973B2"/>
    <w:rsid w:val="002975E5"/>
    <w:rsid w:val="002976EC"/>
    <w:rsid w:val="00297A29"/>
    <w:rsid w:val="00297FC0"/>
    <w:rsid w:val="00297FED"/>
    <w:rsid w:val="002A037E"/>
    <w:rsid w:val="002A046B"/>
    <w:rsid w:val="002A04DF"/>
    <w:rsid w:val="002A06B7"/>
    <w:rsid w:val="002A0A1F"/>
    <w:rsid w:val="002A0ADB"/>
    <w:rsid w:val="002A0BB7"/>
    <w:rsid w:val="002A0CB1"/>
    <w:rsid w:val="002A0CE5"/>
    <w:rsid w:val="002A0E44"/>
    <w:rsid w:val="002A0EEB"/>
    <w:rsid w:val="002A106A"/>
    <w:rsid w:val="002A114C"/>
    <w:rsid w:val="002A13B5"/>
    <w:rsid w:val="002A13C8"/>
    <w:rsid w:val="002A141B"/>
    <w:rsid w:val="002A14C4"/>
    <w:rsid w:val="002A16F8"/>
    <w:rsid w:val="002A1810"/>
    <w:rsid w:val="002A190E"/>
    <w:rsid w:val="002A1B1A"/>
    <w:rsid w:val="002A1B47"/>
    <w:rsid w:val="002A1CA8"/>
    <w:rsid w:val="002A1D3B"/>
    <w:rsid w:val="002A1DA4"/>
    <w:rsid w:val="002A2007"/>
    <w:rsid w:val="002A2352"/>
    <w:rsid w:val="002A2461"/>
    <w:rsid w:val="002A25EC"/>
    <w:rsid w:val="002A26CA"/>
    <w:rsid w:val="002A2D2C"/>
    <w:rsid w:val="002A2E72"/>
    <w:rsid w:val="002A2F7A"/>
    <w:rsid w:val="002A3006"/>
    <w:rsid w:val="002A302D"/>
    <w:rsid w:val="002A32CC"/>
    <w:rsid w:val="002A3400"/>
    <w:rsid w:val="002A3450"/>
    <w:rsid w:val="002A34E3"/>
    <w:rsid w:val="002A361D"/>
    <w:rsid w:val="002A3CA9"/>
    <w:rsid w:val="002A3CE9"/>
    <w:rsid w:val="002A3D54"/>
    <w:rsid w:val="002A3E1C"/>
    <w:rsid w:val="002A3ED3"/>
    <w:rsid w:val="002A3F4A"/>
    <w:rsid w:val="002A3F87"/>
    <w:rsid w:val="002A3FAB"/>
    <w:rsid w:val="002A4103"/>
    <w:rsid w:val="002A421A"/>
    <w:rsid w:val="002A4229"/>
    <w:rsid w:val="002A45D9"/>
    <w:rsid w:val="002A47BB"/>
    <w:rsid w:val="002A4813"/>
    <w:rsid w:val="002A4857"/>
    <w:rsid w:val="002A48E0"/>
    <w:rsid w:val="002A48FD"/>
    <w:rsid w:val="002A4ADC"/>
    <w:rsid w:val="002A4DF7"/>
    <w:rsid w:val="002A4F00"/>
    <w:rsid w:val="002A4F8C"/>
    <w:rsid w:val="002A502E"/>
    <w:rsid w:val="002A5406"/>
    <w:rsid w:val="002A541B"/>
    <w:rsid w:val="002A5462"/>
    <w:rsid w:val="002A5514"/>
    <w:rsid w:val="002A552B"/>
    <w:rsid w:val="002A5729"/>
    <w:rsid w:val="002A5891"/>
    <w:rsid w:val="002A5899"/>
    <w:rsid w:val="002A5935"/>
    <w:rsid w:val="002A5B0E"/>
    <w:rsid w:val="002A5CF3"/>
    <w:rsid w:val="002A5D6C"/>
    <w:rsid w:val="002A5F79"/>
    <w:rsid w:val="002A5FC6"/>
    <w:rsid w:val="002A6098"/>
    <w:rsid w:val="002A60EB"/>
    <w:rsid w:val="002A63E8"/>
    <w:rsid w:val="002A673F"/>
    <w:rsid w:val="002A6836"/>
    <w:rsid w:val="002A691F"/>
    <w:rsid w:val="002A69E8"/>
    <w:rsid w:val="002A6A6D"/>
    <w:rsid w:val="002A6BA0"/>
    <w:rsid w:val="002A6BBB"/>
    <w:rsid w:val="002A6C5B"/>
    <w:rsid w:val="002A6EEB"/>
    <w:rsid w:val="002A73E1"/>
    <w:rsid w:val="002A748A"/>
    <w:rsid w:val="002A7581"/>
    <w:rsid w:val="002A75F2"/>
    <w:rsid w:val="002A7648"/>
    <w:rsid w:val="002A76D1"/>
    <w:rsid w:val="002A77E3"/>
    <w:rsid w:val="002A7875"/>
    <w:rsid w:val="002A7A0E"/>
    <w:rsid w:val="002A7A1F"/>
    <w:rsid w:val="002A7A4C"/>
    <w:rsid w:val="002A7A71"/>
    <w:rsid w:val="002A7B7D"/>
    <w:rsid w:val="002A7EB1"/>
    <w:rsid w:val="002B0015"/>
    <w:rsid w:val="002B025E"/>
    <w:rsid w:val="002B0546"/>
    <w:rsid w:val="002B0733"/>
    <w:rsid w:val="002B0849"/>
    <w:rsid w:val="002B0961"/>
    <w:rsid w:val="002B0980"/>
    <w:rsid w:val="002B09BE"/>
    <w:rsid w:val="002B0A1E"/>
    <w:rsid w:val="002B0A8D"/>
    <w:rsid w:val="002B0A90"/>
    <w:rsid w:val="002B0C31"/>
    <w:rsid w:val="002B0C62"/>
    <w:rsid w:val="002B0CD2"/>
    <w:rsid w:val="002B0E5F"/>
    <w:rsid w:val="002B11BC"/>
    <w:rsid w:val="002B1206"/>
    <w:rsid w:val="002B1263"/>
    <w:rsid w:val="002B12EC"/>
    <w:rsid w:val="002B1377"/>
    <w:rsid w:val="002B16E2"/>
    <w:rsid w:val="002B1776"/>
    <w:rsid w:val="002B18BE"/>
    <w:rsid w:val="002B1B58"/>
    <w:rsid w:val="002B1C2B"/>
    <w:rsid w:val="002B1C7D"/>
    <w:rsid w:val="002B1DC0"/>
    <w:rsid w:val="002B2073"/>
    <w:rsid w:val="002B208A"/>
    <w:rsid w:val="002B210A"/>
    <w:rsid w:val="002B219B"/>
    <w:rsid w:val="002B22D8"/>
    <w:rsid w:val="002B23EC"/>
    <w:rsid w:val="002B2538"/>
    <w:rsid w:val="002B267A"/>
    <w:rsid w:val="002B27E4"/>
    <w:rsid w:val="002B291F"/>
    <w:rsid w:val="002B295C"/>
    <w:rsid w:val="002B2A78"/>
    <w:rsid w:val="002B2AA5"/>
    <w:rsid w:val="002B2C7D"/>
    <w:rsid w:val="002B2D21"/>
    <w:rsid w:val="002B2E23"/>
    <w:rsid w:val="002B2E5D"/>
    <w:rsid w:val="002B2EDC"/>
    <w:rsid w:val="002B302E"/>
    <w:rsid w:val="002B3371"/>
    <w:rsid w:val="002B364C"/>
    <w:rsid w:val="002B36C9"/>
    <w:rsid w:val="002B3711"/>
    <w:rsid w:val="002B382E"/>
    <w:rsid w:val="002B3985"/>
    <w:rsid w:val="002B3BEE"/>
    <w:rsid w:val="002B3E94"/>
    <w:rsid w:val="002B41E0"/>
    <w:rsid w:val="002B4410"/>
    <w:rsid w:val="002B4438"/>
    <w:rsid w:val="002B44D0"/>
    <w:rsid w:val="002B45D3"/>
    <w:rsid w:val="002B48FE"/>
    <w:rsid w:val="002B4C36"/>
    <w:rsid w:val="002B4C97"/>
    <w:rsid w:val="002B4DE5"/>
    <w:rsid w:val="002B4F86"/>
    <w:rsid w:val="002B4FF3"/>
    <w:rsid w:val="002B4FFC"/>
    <w:rsid w:val="002B5023"/>
    <w:rsid w:val="002B513B"/>
    <w:rsid w:val="002B52A2"/>
    <w:rsid w:val="002B5317"/>
    <w:rsid w:val="002B5322"/>
    <w:rsid w:val="002B546E"/>
    <w:rsid w:val="002B5745"/>
    <w:rsid w:val="002B5945"/>
    <w:rsid w:val="002B59D1"/>
    <w:rsid w:val="002B5A0C"/>
    <w:rsid w:val="002B5B89"/>
    <w:rsid w:val="002B5CA2"/>
    <w:rsid w:val="002B5D4F"/>
    <w:rsid w:val="002B5D56"/>
    <w:rsid w:val="002B60D7"/>
    <w:rsid w:val="002B60FA"/>
    <w:rsid w:val="002B617B"/>
    <w:rsid w:val="002B61E2"/>
    <w:rsid w:val="002B628E"/>
    <w:rsid w:val="002B629F"/>
    <w:rsid w:val="002B658E"/>
    <w:rsid w:val="002B6685"/>
    <w:rsid w:val="002B69F0"/>
    <w:rsid w:val="002B6DF1"/>
    <w:rsid w:val="002B6E70"/>
    <w:rsid w:val="002B6EBE"/>
    <w:rsid w:val="002B7000"/>
    <w:rsid w:val="002B7128"/>
    <w:rsid w:val="002B73B2"/>
    <w:rsid w:val="002B7617"/>
    <w:rsid w:val="002B77F3"/>
    <w:rsid w:val="002B78C7"/>
    <w:rsid w:val="002B78DC"/>
    <w:rsid w:val="002B798C"/>
    <w:rsid w:val="002B7A61"/>
    <w:rsid w:val="002B7D31"/>
    <w:rsid w:val="002B7E4A"/>
    <w:rsid w:val="002BD984"/>
    <w:rsid w:val="002C00D8"/>
    <w:rsid w:val="002C00DD"/>
    <w:rsid w:val="002C0174"/>
    <w:rsid w:val="002C01BB"/>
    <w:rsid w:val="002C041A"/>
    <w:rsid w:val="002C04BD"/>
    <w:rsid w:val="002C0661"/>
    <w:rsid w:val="002C06BA"/>
    <w:rsid w:val="002C0792"/>
    <w:rsid w:val="002C087A"/>
    <w:rsid w:val="002C08DB"/>
    <w:rsid w:val="002C0ACE"/>
    <w:rsid w:val="002C0BD5"/>
    <w:rsid w:val="002C0C54"/>
    <w:rsid w:val="002C0E31"/>
    <w:rsid w:val="002C0EA9"/>
    <w:rsid w:val="002C0FA0"/>
    <w:rsid w:val="002C102C"/>
    <w:rsid w:val="002C15D9"/>
    <w:rsid w:val="002C177D"/>
    <w:rsid w:val="002C1D2B"/>
    <w:rsid w:val="002C1DA1"/>
    <w:rsid w:val="002C1DCC"/>
    <w:rsid w:val="002C1EF1"/>
    <w:rsid w:val="002C20A3"/>
    <w:rsid w:val="002C222F"/>
    <w:rsid w:val="002C238C"/>
    <w:rsid w:val="002C24B9"/>
    <w:rsid w:val="002C2655"/>
    <w:rsid w:val="002C2697"/>
    <w:rsid w:val="002C2A7A"/>
    <w:rsid w:val="002C2C17"/>
    <w:rsid w:val="002C2E47"/>
    <w:rsid w:val="002C2F0E"/>
    <w:rsid w:val="002C2F13"/>
    <w:rsid w:val="002C308B"/>
    <w:rsid w:val="002C30BB"/>
    <w:rsid w:val="002C314B"/>
    <w:rsid w:val="002C32CC"/>
    <w:rsid w:val="002C341C"/>
    <w:rsid w:val="002C3693"/>
    <w:rsid w:val="002C36BB"/>
    <w:rsid w:val="002C36E9"/>
    <w:rsid w:val="002C38DA"/>
    <w:rsid w:val="002C39D0"/>
    <w:rsid w:val="002C3A4F"/>
    <w:rsid w:val="002C3EE1"/>
    <w:rsid w:val="002C3F50"/>
    <w:rsid w:val="002C3F51"/>
    <w:rsid w:val="002C404D"/>
    <w:rsid w:val="002C409E"/>
    <w:rsid w:val="002C40A4"/>
    <w:rsid w:val="002C4103"/>
    <w:rsid w:val="002C41B7"/>
    <w:rsid w:val="002C437B"/>
    <w:rsid w:val="002C4475"/>
    <w:rsid w:val="002C45E5"/>
    <w:rsid w:val="002C475F"/>
    <w:rsid w:val="002C482B"/>
    <w:rsid w:val="002C4A0B"/>
    <w:rsid w:val="002C4C34"/>
    <w:rsid w:val="002C4E00"/>
    <w:rsid w:val="002C4E60"/>
    <w:rsid w:val="002C4E68"/>
    <w:rsid w:val="002C4EC5"/>
    <w:rsid w:val="002C5195"/>
    <w:rsid w:val="002C5237"/>
    <w:rsid w:val="002C5253"/>
    <w:rsid w:val="002C52C3"/>
    <w:rsid w:val="002C52C8"/>
    <w:rsid w:val="002C53D4"/>
    <w:rsid w:val="002C5482"/>
    <w:rsid w:val="002C5493"/>
    <w:rsid w:val="002C55F5"/>
    <w:rsid w:val="002C56B1"/>
    <w:rsid w:val="002C57EF"/>
    <w:rsid w:val="002C5A4D"/>
    <w:rsid w:val="002C5AFF"/>
    <w:rsid w:val="002C5BB3"/>
    <w:rsid w:val="002C5E0A"/>
    <w:rsid w:val="002C5F07"/>
    <w:rsid w:val="002C602A"/>
    <w:rsid w:val="002C62A8"/>
    <w:rsid w:val="002C65AA"/>
    <w:rsid w:val="002C664B"/>
    <w:rsid w:val="002C667E"/>
    <w:rsid w:val="002C67CB"/>
    <w:rsid w:val="002C686B"/>
    <w:rsid w:val="002C687C"/>
    <w:rsid w:val="002C6881"/>
    <w:rsid w:val="002C6A78"/>
    <w:rsid w:val="002C6E1C"/>
    <w:rsid w:val="002C7254"/>
    <w:rsid w:val="002C757F"/>
    <w:rsid w:val="002C776A"/>
    <w:rsid w:val="002C782F"/>
    <w:rsid w:val="002C7AF0"/>
    <w:rsid w:val="002C7BAA"/>
    <w:rsid w:val="002C7C2E"/>
    <w:rsid w:val="002C7C79"/>
    <w:rsid w:val="002C7D75"/>
    <w:rsid w:val="002C7DB8"/>
    <w:rsid w:val="002C7DCE"/>
    <w:rsid w:val="002D00C2"/>
    <w:rsid w:val="002D00E9"/>
    <w:rsid w:val="002D047D"/>
    <w:rsid w:val="002D0536"/>
    <w:rsid w:val="002D0631"/>
    <w:rsid w:val="002D09AB"/>
    <w:rsid w:val="002D09F8"/>
    <w:rsid w:val="002D0D5C"/>
    <w:rsid w:val="002D0E3B"/>
    <w:rsid w:val="002D1060"/>
    <w:rsid w:val="002D10BB"/>
    <w:rsid w:val="002D14AD"/>
    <w:rsid w:val="002D188C"/>
    <w:rsid w:val="002D189A"/>
    <w:rsid w:val="002D1925"/>
    <w:rsid w:val="002D1ABB"/>
    <w:rsid w:val="002D1AD1"/>
    <w:rsid w:val="002D1C0C"/>
    <w:rsid w:val="002D1D0B"/>
    <w:rsid w:val="002D1FAF"/>
    <w:rsid w:val="002D2211"/>
    <w:rsid w:val="002D22A2"/>
    <w:rsid w:val="002D22AE"/>
    <w:rsid w:val="002D232A"/>
    <w:rsid w:val="002D2523"/>
    <w:rsid w:val="002D2646"/>
    <w:rsid w:val="002D27CF"/>
    <w:rsid w:val="002D291B"/>
    <w:rsid w:val="002D29D1"/>
    <w:rsid w:val="002D2A0F"/>
    <w:rsid w:val="002D2ADF"/>
    <w:rsid w:val="002D2AFB"/>
    <w:rsid w:val="002D2B4F"/>
    <w:rsid w:val="002D2CBD"/>
    <w:rsid w:val="002D2D1F"/>
    <w:rsid w:val="002D2EC2"/>
    <w:rsid w:val="002D2FDB"/>
    <w:rsid w:val="002D3085"/>
    <w:rsid w:val="002D321F"/>
    <w:rsid w:val="002D324D"/>
    <w:rsid w:val="002D3314"/>
    <w:rsid w:val="002D339F"/>
    <w:rsid w:val="002D37F4"/>
    <w:rsid w:val="002D3825"/>
    <w:rsid w:val="002D387D"/>
    <w:rsid w:val="002D3B5E"/>
    <w:rsid w:val="002D3C1C"/>
    <w:rsid w:val="002D3D26"/>
    <w:rsid w:val="002D3D6A"/>
    <w:rsid w:val="002D3DFB"/>
    <w:rsid w:val="002D3EE1"/>
    <w:rsid w:val="002D4001"/>
    <w:rsid w:val="002D408C"/>
    <w:rsid w:val="002D415B"/>
    <w:rsid w:val="002D4164"/>
    <w:rsid w:val="002D4282"/>
    <w:rsid w:val="002D42CB"/>
    <w:rsid w:val="002D4358"/>
    <w:rsid w:val="002D4665"/>
    <w:rsid w:val="002D4786"/>
    <w:rsid w:val="002D4EAA"/>
    <w:rsid w:val="002D4ED3"/>
    <w:rsid w:val="002D520E"/>
    <w:rsid w:val="002D53ED"/>
    <w:rsid w:val="002D59C5"/>
    <w:rsid w:val="002D5B3D"/>
    <w:rsid w:val="002D5B4C"/>
    <w:rsid w:val="002D5BA9"/>
    <w:rsid w:val="002D5EB2"/>
    <w:rsid w:val="002D5FE2"/>
    <w:rsid w:val="002D6089"/>
    <w:rsid w:val="002D6488"/>
    <w:rsid w:val="002D65F1"/>
    <w:rsid w:val="002D6643"/>
    <w:rsid w:val="002D6757"/>
    <w:rsid w:val="002D683B"/>
    <w:rsid w:val="002D695A"/>
    <w:rsid w:val="002D6C53"/>
    <w:rsid w:val="002D6DF0"/>
    <w:rsid w:val="002D6EB0"/>
    <w:rsid w:val="002D7327"/>
    <w:rsid w:val="002D7411"/>
    <w:rsid w:val="002D785C"/>
    <w:rsid w:val="002D7C20"/>
    <w:rsid w:val="002D7D7F"/>
    <w:rsid w:val="002D7E7B"/>
    <w:rsid w:val="002D7EC5"/>
    <w:rsid w:val="002D7F7A"/>
    <w:rsid w:val="002D7F9A"/>
    <w:rsid w:val="002E04AB"/>
    <w:rsid w:val="002E0554"/>
    <w:rsid w:val="002E07E7"/>
    <w:rsid w:val="002E0818"/>
    <w:rsid w:val="002E088C"/>
    <w:rsid w:val="002E0938"/>
    <w:rsid w:val="002E0AD2"/>
    <w:rsid w:val="002E0B49"/>
    <w:rsid w:val="002E0C8B"/>
    <w:rsid w:val="002E0E9E"/>
    <w:rsid w:val="002E0F4C"/>
    <w:rsid w:val="002E1148"/>
    <w:rsid w:val="002E1247"/>
    <w:rsid w:val="002E1311"/>
    <w:rsid w:val="002E13A3"/>
    <w:rsid w:val="002E1524"/>
    <w:rsid w:val="002E1574"/>
    <w:rsid w:val="002E15DE"/>
    <w:rsid w:val="002E15EE"/>
    <w:rsid w:val="002E170B"/>
    <w:rsid w:val="002E1971"/>
    <w:rsid w:val="002E19A2"/>
    <w:rsid w:val="002E1A40"/>
    <w:rsid w:val="002E1A48"/>
    <w:rsid w:val="002E1A72"/>
    <w:rsid w:val="002E1AC1"/>
    <w:rsid w:val="002E1E35"/>
    <w:rsid w:val="002E1E42"/>
    <w:rsid w:val="002E1FAA"/>
    <w:rsid w:val="002E205E"/>
    <w:rsid w:val="002E217B"/>
    <w:rsid w:val="002E21B9"/>
    <w:rsid w:val="002E21E3"/>
    <w:rsid w:val="002E23C7"/>
    <w:rsid w:val="002E24A5"/>
    <w:rsid w:val="002E24B0"/>
    <w:rsid w:val="002E24EB"/>
    <w:rsid w:val="002E2585"/>
    <w:rsid w:val="002E2736"/>
    <w:rsid w:val="002E27AB"/>
    <w:rsid w:val="002E29F7"/>
    <w:rsid w:val="002E2A7F"/>
    <w:rsid w:val="002E2B12"/>
    <w:rsid w:val="002E2E26"/>
    <w:rsid w:val="002E2EFE"/>
    <w:rsid w:val="002E303C"/>
    <w:rsid w:val="002E304D"/>
    <w:rsid w:val="002E314A"/>
    <w:rsid w:val="002E32AD"/>
    <w:rsid w:val="002E3397"/>
    <w:rsid w:val="002E339D"/>
    <w:rsid w:val="002E33F3"/>
    <w:rsid w:val="002E34E5"/>
    <w:rsid w:val="002E35DC"/>
    <w:rsid w:val="002E38B7"/>
    <w:rsid w:val="002E39C0"/>
    <w:rsid w:val="002E39E0"/>
    <w:rsid w:val="002E3A12"/>
    <w:rsid w:val="002E3A64"/>
    <w:rsid w:val="002E3C62"/>
    <w:rsid w:val="002E3ED2"/>
    <w:rsid w:val="002E4089"/>
    <w:rsid w:val="002E4452"/>
    <w:rsid w:val="002E44D1"/>
    <w:rsid w:val="002E452E"/>
    <w:rsid w:val="002E4742"/>
    <w:rsid w:val="002E4A22"/>
    <w:rsid w:val="002E4B5A"/>
    <w:rsid w:val="002E4E49"/>
    <w:rsid w:val="002E4E8B"/>
    <w:rsid w:val="002E4EF1"/>
    <w:rsid w:val="002E5000"/>
    <w:rsid w:val="002E514C"/>
    <w:rsid w:val="002E5650"/>
    <w:rsid w:val="002E56EE"/>
    <w:rsid w:val="002E58D0"/>
    <w:rsid w:val="002E5914"/>
    <w:rsid w:val="002E5B63"/>
    <w:rsid w:val="002E5BD7"/>
    <w:rsid w:val="002E5C38"/>
    <w:rsid w:val="002E5DF0"/>
    <w:rsid w:val="002E5E78"/>
    <w:rsid w:val="002E5EF3"/>
    <w:rsid w:val="002E5FD8"/>
    <w:rsid w:val="002E6143"/>
    <w:rsid w:val="002E61C4"/>
    <w:rsid w:val="002E6245"/>
    <w:rsid w:val="002E63AB"/>
    <w:rsid w:val="002E64B2"/>
    <w:rsid w:val="002E6710"/>
    <w:rsid w:val="002E6725"/>
    <w:rsid w:val="002E67B0"/>
    <w:rsid w:val="002E685F"/>
    <w:rsid w:val="002E68D6"/>
    <w:rsid w:val="002E6958"/>
    <w:rsid w:val="002E69A8"/>
    <w:rsid w:val="002E6C96"/>
    <w:rsid w:val="002E6DB0"/>
    <w:rsid w:val="002E6E2F"/>
    <w:rsid w:val="002E6E7A"/>
    <w:rsid w:val="002E7028"/>
    <w:rsid w:val="002E7085"/>
    <w:rsid w:val="002E70DE"/>
    <w:rsid w:val="002E7227"/>
    <w:rsid w:val="002E74A4"/>
    <w:rsid w:val="002E753B"/>
    <w:rsid w:val="002E7566"/>
    <w:rsid w:val="002E76B3"/>
    <w:rsid w:val="002E79B3"/>
    <w:rsid w:val="002E79F4"/>
    <w:rsid w:val="002E7BC9"/>
    <w:rsid w:val="002E7E86"/>
    <w:rsid w:val="002E7E90"/>
    <w:rsid w:val="002E7F80"/>
    <w:rsid w:val="002E7F8F"/>
    <w:rsid w:val="002F0065"/>
    <w:rsid w:val="002F0137"/>
    <w:rsid w:val="002F01B6"/>
    <w:rsid w:val="002F06E4"/>
    <w:rsid w:val="002F07DC"/>
    <w:rsid w:val="002F08D1"/>
    <w:rsid w:val="002F0ABB"/>
    <w:rsid w:val="002F0AF6"/>
    <w:rsid w:val="002F0B7F"/>
    <w:rsid w:val="002F0CBB"/>
    <w:rsid w:val="002F0D1B"/>
    <w:rsid w:val="002F0EED"/>
    <w:rsid w:val="002F1039"/>
    <w:rsid w:val="002F1168"/>
    <w:rsid w:val="002F1390"/>
    <w:rsid w:val="002F13DF"/>
    <w:rsid w:val="002F1614"/>
    <w:rsid w:val="002F1671"/>
    <w:rsid w:val="002F16CA"/>
    <w:rsid w:val="002F16E4"/>
    <w:rsid w:val="002F17B2"/>
    <w:rsid w:val="002F181A"/>
    <w:rsid w:val="002F1B1C"/>
    <w:rsid w:val="002F1D1A"/>
    <w:rsid w:val="002F1D4C"/>
    <w:rsid w:val="002F1DDB"/>
    <w:rsid w:val="002F1F0C"/>
    <w:rsid w:val="002F1F7A"/>
    <w:rsid w:val="002F20A3"/>
    <w:rsid w:val="002F21E2"/>
    <w:rsid w:val="002F231C"/>
    <w:rsid w:val="002F24A1"/>
    <w:rsid w:val="002F250C"/>
    <w:rsid w:val="002F258E"/>
    <w:rsid w:val="002F2688"/>
    <w:rsid w:val="002F26DE"/>
    <w:rsid w:val="002F2759"/>
    <w:rsid w:val="002F278B"/>
    <w:rsid w:val="002F2AB2"/>
    <w:rsid w:val="002F2B02"/>
    <w:rsid w:val="002F2C28"/>
    <w:rsid w:val="002F2D2F"/>
    <w:rsid w:val="002F2EB8"/>
    <w:rsid w:val="002F2FED"/>
    <w:rsid w:val="002F3059"/>
    <w:rsid w:val="002F31F9"/>
    <w:rsid w:val="002F34F1"/>
    <w:rsid w:val="002F3676"/>
    <w:rsid w:val="002F395F"/>
    <w:rsid w:val="002F3C5F"/>
    <w:rsid w:val="002F3DF6"/>
    <w:rsid w:val="002F3E70"/>
    <w:rsid w:val="002F3F3A"/>
    <w:rsid w:val="002F3F91"/>
    <w:rsid w:val="002F402C"/>
    <w:rsid w:val="002F40CB"/>
    <w:rsid w:val="002F4129"/>
    <w:rsid w:val="002F415C"/>
    <w:rsid w:val="002F41E0"/>
    <w:rsid w:val="002F42D5"/>
    <w:rsid w:val="002F4360"/>
    <w:rsid w:val="002F44A9"/>
    <w:rsid w:val="002F458F"/>
    <w:rsid w:val="002F462C"/>
    <w:rsid w:val="002F492E"/>
    <w:rsid w:val="002F4A7C"/>
    <w:rsid w:val="002F4BB0"/>
    <w:rsid w:val="002F4C07"/>
    <w:rsid w:val="002F4C56"/>
    <w:rsid w:val="002F4CC1"/>
    <w:rsid w:val="002F4DA0"/>
    <w:rsid w:val="002F4F17"/>
    <w:rsid w:val="002F4F9C"/>
    <w:rsid w:val="002F4FA3"/>
    <w:rsid w:val="002F4FD2"/>
    <w:rsid w:val="002F52D5"/>
    <w:rsid w:val="002F5620"/>
    <w:rsid w:val="002F563C"/>
    <w:rsid w:val="002F5707"/>
    <w:rsid w:val="002F580C"/>
    <w:rsid w:val="002F5A72"/>
    <w:rsid w:val="002F5B06"/>
    <w:rsid w:val="002F5C12"/>
    <w:rsid w:val="002F5EF2"/>
    <w:rsid w:val="002F5F33"/>
    <w:rsid w:val="002F6018"/>
    <w:rsid w:val="002F6473"/>
    <w:rsid w:val="002F66E1"/>
    <w:rsid w:val="002F68BD"/>
    <w:rsid w:val="002F6967"/>
    <w:rsid w:val="002F6A3F"/>
    <w:rsid w:val="002F6AE5"/>
    <w:rsid w:val="002F6B7C"/>
    <w:rsid w:val="002F6BA9"/>
    <w:rsid w:val="002F6DFD"/>
    <w:rsid w:val="002F6E74"/>
    <w:rsid w:val="002F70B0"/>
    <w:rsid w:val="002F733D"/>
    <w:rsid w:val="002F73AC"/>
    <w:rsid w:val="002F740E"/>
    <w:rsid w:val="002F7570"/>
    <w:rsid w:val="002F75D5"/>
    <w:rsid w:val="002F7637"/>
    <w:rsid w:val="002F774F"/>
    <w:rsid w:val="002F7837"/>
    <w:rsid w:val="002F7A02"/>
    <w:rsid w:val="002F7A7D"/>
    <w:rsid w:val="002F7DDC"/>
    <w:rsid w:val="0030000B"/>
    <w:rsid w:val="003000D0"/>
    <w:rsid w:val="0030019E"/>
    <w:rsid w:val="00300308"/>
    <w:rsid w:val="00300437"/>
    <w:rsid w:val="00300539"/>
    <w:rsid w:val="00300617"/>
    <w:rsid w:val="00300764"/>
    <w:rsid w:val="00300936"/>
    <w:rsid w:val="00300965"/>
    <w:rsid w:val="00300BEF"/>
    <w:rsid w:val="00300C6F"/>
    <w:rsid w:val="00300C73"/>
    <w:rsid w:val="00301306"/>
    <w:rsid w:val="00301363"/>
    <w:rsid w:val="003014FE"/>
    <w:rsid w:val="0030157F"/>
    <w:rsid w:val="0030163E"/>
    <w:rsid w:val="00301679"/>
    <w:rsid w:val="003017ED"/>
    <w:rsid w:val="0030197C"/>
    <w:rsid w:val="00301AAA"/>
    <w:rsid w:val="00301C11"/>
    <w:rsid w:val="00301C8F"/>
    <w:rsid w:val="00301DF7"/>
    <w:rsid w:val="0030207D"/>
    <w:rsid w:val="0030207F"/>
    <w:rsid w:val="003021A3"/>
    <w:rsid w:val="0030232A"/>
    <w:rsid w:val="003023A8"/>
    <w:rsid w:val="003025D3"/>
    <w:rsid w:val="003026DE"/>
    <w:rsid w:val="0030272C"/>
    <w:rsid w:val="00302747"/>
    <w:rsid w:val="00302AAF"/>
    <w:rsid w:val="00302B03"/>
    <w:rsid w:val="00302BE0"/>
    <w:rsid w:val="00302CC6"/>
    <w:rsid w:val="00302FDA"/>
    <w:rsid w:val="003031AF"/>
    <w:rsid w:val="0030331B"/>
    <w:rsid w:val="003034E2"/>
    <w:rsid w:val="00303505"/>
    <w:rsid w:val="00303754"/>
    <w:rsid w:val="0030386E"/>
    <w:rsid w:val="00303906"/>
    <w:rsid w:val="00303953"/>
    <w:rsid w:val="00303A9D"/>
    <w:rsid w:val="00303C93"/>
    <w:rsid w:val="00303E90"/>
    <w:rsid w:val="00303F51"/>
    <w:rsid w:val="00303F9A"/>
    <w:rsid w:val="00304067"/>
    <w:rsid w:val="003040FB"/>
    <w:rsid w:val="00304136"/>
    <w:rsid w:val="0030419F"/>
    <w:rsid w:val="003041C2"/>
    <w:rsid w:val="003041EC"/>
    <w:rsid w:val="00304371"/>
    <w:rsid w:val="0030440F"/>
    <w:rsid w:val="00304476"/>
    <w:rsid w:val="0030448F"/>
    <w:rsid w:val="0030478B"/>
    <w:rsid w:val="003047E6"/>
    <w:rsid w:val="0030489F"/>
    <w:rsid w:val="00304977"/>
    <w:rsid w:val="00304E15"/>
    <w:rsid w:val="003050A6"/>
    <w:rsid w:val="0030516A"/>
    <w:rsid w:val="0030528C"/>
    <w:rsid w:val="0030553B"/>
    <w:rsid w:val="003055BA"/>
    <w:rsid w:val="00305693"/>
    <w:rsid w:val="0030581A"/>
    <w:rsid w:val="00305A87"/>
    <w:rsid w:val="00305AC2"/>
    <w:rsid w:val="00305DF9"/>
    <w:rsid w:val="00305E0A"/>
    <w:rsid w:val="00305E75"/>
    <w:rsid w:val="00305FBE"/>
    <w:rsid w:val="0030605C"/>
    <w:rsid w:val="003060FF"/>
    <w:rsid w:val="00306440"/>
    <w:rsid w:val="003064B7"/>
    <w:rsid w:val="00306525"/>
    <w:rsid w:val="00306595"/>
    <w:rsid w:val="003065AF"/>
    <w:rsid w:val="00306725"/>
    <w:rsid w:val="00306756"/>
    <w:rsid w:val="00306AE0"/>
    <w:rsid w:val="00306DB1"/>
    <w:rsid w:val="00307007"/>
    <w:rsid w:val="00307089"/>
    <w:rsid w:val="0030718B"/>
    <w:rsid w:val="00307276"/>
    <w:rsid w:val="003073F4"/>
    <w:rsid w:val="00307418"/>
    <w:rsid w:val="0030752F"/>
    <w:rsid w:val="00307678"/>
    <w:rsid w:val="003077D2"/>
    <w:rsid w:val="00307922"/>
    <w:rsid w:val="00307DF2"/>
    <w:rsid w:val="00307F53"/>
    <w:rsid w:val="00310051"/>
    <w:rsid w:val="00310082"/>
    <w:rsid w:val="003100E3"/>
    <w:rsid w:val="003102A4"/>
    <w:rsid w:val="003102FE"/>
    <w:rsid w:val="00310373"/>
    <w:rsid w:val="003103E6"/>
    <w:rsid w:val="00310439"/>
    <w:rsid w:val="0031063D"/>
    <w:rsid w:val="00310678"/>
    <w:rsid w:val="003108F9"/>
    <w:rsid w:val="00310956"/>
    <w:rsid w:val="00310A4F"/>
    <w:rsid w:val="00310F2E"/>
    <w:rsid w:val="003112B4"/>
    <w:rsid w:val="003112E6"/>
    <w:rsid w:val="00311467"/>
    <w:rsid w:val="003115E7"/>
    <w:rsid w:val="00311A4B"/>
    <w:rsid w:val="00311A64"/>
    <w:rsid w:val="00311ACD"/>
    <w:rsid w:val="00311B24"/>
    <w:rsid w:val="00311BC6"/>
    <w:rsid w:val="0031205B"/>
    <w:rsid w:val="0031220A"/>
    <w:rsid w:val="00312215"/>
    <w:rsid w:val="00312393"/>
    <w:rsid w:val="003125F5"/>
    <w:rsid w:val="0031271D"/>
    <w:rsid w:val="0031272A"/>
    <w:rsid w:val="0031279A"/>
    <w:rsid w:val="003127E2"/>
    <w:rsid w:val="003128A7"/>
    <w:rsid w:val="00312A6C"/>
    <w:rsid w:val="00312B72"/>
    <w:rsid w:val="00312C1F"/>
    <w:rsid w:val="00312E7D"/>
    <w:rsid w:val="00313134"/>
    <w:rsid w:val="003131BD"/>
    <w:rsid w:val="003133B5"/>
    <w:rsid w:val="00313528"/>
    <w:rsid w:val="00313907"/>
    <w:rsid w:val="00313922"/>
    <w:rsid w:val="00313A57"/>
    <w:rsid w:val="00313A6A"/>
    <w:rsid w:val="00313C69"/>
    <w:rsid w:val="00313CFA"/>
    <w:rsid w:val="00313E96"/>
    <w:rsid w:val="00313EB8"/>
    <w:rsid w:val="00313FBF"/>
    <w:rsid w:val="0031405E"/>
    <w:rsid w:val="003142D9"/>
    <w:rsid w:val="003143B2"/>
    <w:rsid w:val="003143E7"/>
    <w:rsid w:val="00314425"/>
    <w:rsid w:val="003145AB"/>
    <w:rsid w:val="0031478D"/>
    <w:rsid w:val="003147EF"/>
    <w:rsid w:val="003149DC"/>
    <w:rsid w:val="00314B5E"/>
    <w:rsid w:val="00314DDA"/>
    <w:rsid w:val="00314E17"/>
    <w:rsid w:val="00314F9B"/>
    <w:rsid w:val="00314FD7"/>
    <w:rsid w:val="00315026"/>
    <w:rsid w:val="00315032"/>
    <w:rsid w:val="0031517A"/>
    <w:rsid w:val="003151AC"/>
    <w:rsid w:val="003151F2"/>
    <w:rsid w:val="0031524D"/>
    <w:rsid w:val="003152C7"/>
    <w:rsid w:val="00315629"/>
    <w:rsid w:val="0031563A"/>
    <w:rsid w:val="003156ED"/>
    <w:rsid w:val="00315981"/>
    <w:rsid w:val="00315A31"/>
    <w:rsid w:val="00315B38"/>
    <w:rsid w:val="00315E25"/>
    <w:rsid w:val="00315E36"/>
    <w:rsid w:val="00315E37"/>
    <w:rsid w:val="00315F16"/>
    <w:rsid w:val="00316350"/>
    <w:rsid w:val="0031635F"/>
    <w:rsid w:val="00316422"/>
    <w:rsid w:val="003165B3"/>
    <w:rsid w:val="003165C4"/>
    <w:rsid w:val="003167E3"/>
    <w:rsid w:val="00316885"/>
    <w:rsid w:val="0031699A"/>
    <w:rsid w:val="003169CE"/>
    <w:rsid w:val="00316A60"/>
    <w:rsid w:val="00316B57"/>
    <w:rsid w:val="00316BE2"/>
    <w:rsid w:val="00316CC4"/>
    <w:rsid w:val="00316D72"/>
    <w:rsid w:val="003172D6"/>
    <w:rsid w:val="003175DE"/>
    <w:rsid w:val="0031761B"/>
    <w:rsid w:val="003178C7"/>
    <w:rsid w:val="0031792A"/>
    <w:rsid w:val="00317AC1"/>
    <w:rsid w:val="00317B1C"/>
    <w:rsid w:val="00317B80"/>
    <w:rsid w:val="00317BF8"/>
    <w:rsid w:val="00317C28"/>
    <w:rsid w:val="0032000D"/>
    <w:rsid w:val="00320212"/>
    <w:rsid w:val="0032023C"/>
    <w:rsid w:val="0032054F"/>
    <w:rsid w:val="00320858"/>
    <w:rsid w:val="0032088C"/>
    <w:rsid w:val="003208C7"/>
    <w:rsid w:val="003209E8"/>
    <w:rsid w:val="00320ACB"/>
    <w:rsid w:val="00320B69"/>
    <w:rsid w:val="00320D2B"/>
    <w:rsid w:val="00320ED0"/>
    <w:rsid w:val="00320EDA"/>
    <w:rsid w:val="00320F86"/>
    <w:rsid w:val="00320F9A"/>
    <w:rsid w:val="00320FE2"/>
    <w:rsid w:val="0032108C"/>
    <w:rsid w:val="0032118E"/>
    <w:rsid w:val="003213E9"/>
    <w:rsid w:val="0032153B"/>
    <w:rsid w:val="0032160E"/>
    <w:rsid w:val="003216E2"/>
    <w:rsid w:val="00321736"/>
    <w:rsid w:val="0032188E"/>
    <w:rsid w:val="003219DA"/>
    <w:rsid w:val="00321A04"/>
    <w:rsid w:val="00321BC6"/>
    <w:rsid w:val="00321D43"/>
    <w:rsid w:val="0032207F"/>
    <w:rsid w:val="003221C7"/>
    <w:rsid w:val="00322309"/>
    <w:rsid w:val="0032244C"/>
    <w:rsid w:val="003224BC"/>
    <w:rsid w:val="00322539"/>
    <w:rsid w:val="003225AC"/>
    <w:rsid w:val="0032285C"/>
    <w:rsid w:val="003228F7"/>
    <w:rsid w:val="0032298C"/>
    <w:rsid w:val="00322A7C"/>
    <w:rsid w:val="00322ACA"/>
    <w:rsid w:val="00322D9F"/>
    <w:rsid w:val="00322DA9"/>
    <w:rsid w:val="00322F6A"/>
    <w:rsid w:val="0032301E"/>
    <w:rsid w:val="00323106"/>
    <w:rsid w:val="003231FC"/>
    <w:rsid w:val="00323255"/>
    <w:rsid w:val="0032334E"/>
    <w:rsid w:val="003233F0"/>
    <w:rsid w:val="0032341B"/>
    <w:rsid w:val="00323423"/>
    <w:rsid w:val="00323429"/>
    <w:rsid w:val="003234BC"/>
    <w:rsid w:val="00323685"/>
    <w:rsid w:val="0032374C"/>
    <w:rsid w:val="003237BA"/>
    <w:rsid w:val="00323B11"/>
    <w:rsid w:val="00323B5A"/>
    <w:rsid w:val="00323BCD"/>
    <w:rsid w:val="00323D74"/>
    <w:rsid w:val="00323FAB"/>
    <w:rsid w:val="00323FEE"/>
    <w:rsid w:val="003240D1"/>
    <w:rsid w:val="0032436C"/>
    <w:rsid w:val="003243A5"/>
    <w:rsid w:val="003244C0"/>
    <w:rsid w:val="0032466F"/>
    <w:rsid w:val="003247AD"/>
    <w:rsid w:val="00324882"/>
    <w:rsid w:val="00324968"/>
    <w:rsid w:val="00324CB4"/>
    <w:rsid w:val="00324D47"/>
    <w:rsid w:val="00324E31"/>
    <w:rsid w:val="003250CE"/>
    <w:rsid w:val="003251A7"/>
    <w:rsid w:val="0032534B"/>
    <w:rsid w:val="00325360"/>
    <w:rsid w:val="003253E2"/>
    <w:rsid w:val="00325557"/>
    <w:rsid w:val="003256E4"/>
    <w:rsid w:val="0032570D"/>
    <w:rsid w:val="00325784"/>
    <w:rsid w:val="00325900"/>
    <w:rsid w:val="003259ED"/>
    <w:rsid w:val="00325C4A"/>
    <w:rsid w:val="00325CC8"/>
    <w:rsid w:val="00325D08"/>
    <w:rsid w:val="00325F94"/>
    <w:rsid w:val="0032605B"/>
    <w:rsid w:val="003260F1"/>
    <w:rsid w:val="00326110"/>
    <w:rsid w:val="00326356"/>
    <w:rsid w:val="0032646D"/>
    <w:rsid w:val="003264B8"/>
    <w:rsid w:val="00326537"/>
    <w:rsid w:val="00326566"/>
    <w:rsid w:val="003266A8"/>
    <w:rsid w:val="0032675B"/>
    <w:rsid w:val="00326958"/>
    <w:rsid w:val="003269F8"/>
    <w:rsid w:val="00326B47"/>
    <w:rsid w:val="00326BBC"/>
    <w:rsid w:val="00326D26"/>
    <w:rsid w:val="00326FD4"/>
    <w:rsid w:val="0032731B"/>
    <w:rsid w:val="0032761C"/>
    <w:rsid w:val="003278FD"/>
    <w:rsid w:val="00327A04"/>
    <w:rsid w:val="00327AC4"/>
    <w:rsid w:val="00327AD2"/>
    <w:rsid w:val="00327BE7"/>
    <w:rsid w:val="00327EA9"/>
    <w:rsid w:val="0032A008"/>
    <w:rsid w:val="003300ED"/>
    <w:rsid w:val="0033011D"/>
    <w:rsid w:val="00330187"/>
    <w:rsid w:val="00330348"/>
    <w:rsid w:val="003303BD"/>
    <w:rsid w:val="003303F9"/>
    <w:rsid w:val="00330671"/>
    <w:rsid w:val="003306CE"/>
    <w:rsid w:val="003307F7"/>
    <w:rsid w:val="00330B44"/>
    <w:rsid w:val="00330BE6"/>
    <w:rsid w:val="00330DD4"/>
    <w:rsid w:val="00330FDF"/>
    <w:rsid w:val="003310DC"/>
    <w:rsid w:val="0033113E"/>
    <w:rsid w:val="003313C8"/>
    <w:rsid w:val="0033172A"/>
    <w:rsid w:val="00331814"/>
    <w:rsid w:val="003318B1"/>
    <w:rsid w:val="0033191B"/>
    <w:rsid w:val="00331923"/>
    <w:rsid w:val="00331A47"/>
    <w:rsid w:val="00331AD7"/>
    <w:rsid w:val="00331AF0"/>
    <w:rsid w:val="00331C17"/>
    <w:rsid w:val="00331E72"/>
    <w:rsid w:val="00331F76"/>
    <w:rsid w:val="003320C8"/>
    <w:rsid w:val="00332121"/>
    <w:rsid w:val="003322D3"/>
    <w:rsid w:val="0033243C"/>
    <w:rsid w:val="00332453"/>
    <w:rsid w:val="00332491"/>
    <w:rsid w:val="00332654"/>
    <w:rsid w:val="00332C7C"/>
    <w:rsid w:val="00332CD7"/>
    <w:rsid w:val="00332D22"/>
    <w:rsid w:val="00332D6B"/>
    <w:rsid w:val="00333121"/>
    <w:rsid w:val="00333137"/>
    <w:rsid w:val="003334A2"/>
    <w:rsid w:val="0033368F"/>
    <w:rsid w:val="003336F9"/>
    <w:rsid w:val="00333790"/>
    <w:rsid w:val="00333897"/>
    <w:rsid w:val="003338BD"/>
    <w:rsid w:val="00333941"/>
    <w:rsid w:val="00333ACF"/>
    <w:rsid w:val="00333CD4"/>
    <w:rsid w:val="00333DB2"/>
    <w:rsid w:val="00334056"/>
    <w:rsid w:val="003342FA"/>
    <w:rsid w:val="003346FC"/>
    <w:rsid w:val="0033490F"/>
    <w:rsid w:val="00334C49"/>
    <w:rsid w:val="00334CC0"/>
    <w:rsid w:val="00334CC5"/>
    <w:rsid w:val="00334DA4"/>
    <w:rsid w:val="00334DB1"/>
    <w:rsid w:val="00334DEA"/>
    <w:rsid w:val="00334E40"/>
    <w:rsid w:val="00335137"/>
    <w:rsid w:val="00335204"/>
    <w:rsid w:val="003354EB"/>
    <w:rsid w:val="0033573D"/>
    <w:rsid w:val="00335891"/>
    <w:rsid w:val="00335898"/>
    <w:rsid w:val="00335A74"/>
    <w:rsid w:val="00335C97"/>
    <w:rsid w:val="00335D6A"/>
    <w:rsid w:val="00335E51"/>
    <w:rsid w:val="00335F62"/>
    <w:rsid w:val="00336191"/>
    <w:rsid w:val="003361BA"/>
    <w:rsid w:val="0033620B"/>
    <w:rsid w:val="00336239"/>
    <w:rsid w:val="0033637A"/>
    <w:rsid w:val="003363B1"/>
    <w:rsid w:val="003363BD"/>
    <w:rsid w:val="003365E5"/>
    <w:rsid w:val="003367E7"/>
    <w:rsid w:val="00336852"/>
    <w:rsid w:val="0033697D"/>
    <w:rsid w:val="00336984"/>
    <w:rsid w:val="00336A10"/>
    <w:rsid w:val="00336ADF"/>
    <w:rsid w:val="00336AEC"/>
    <w:rsid w:val="00336F1A"/>
    <w:rsid w:val="003370A5"/>
    <w:rsid w:val="00337114"/>
    <w:rsid w:val="00337183"/>
    <w:rsid w:val="00337194"/>
    <w:rsid w:val="00337290"/>
    <w:rsid w:val="00337659"/>
    <w:rsid w:val="00337D99"/>
    <w:rsid w:val="003400C6"/>
    <w:rsid w:val="0034029B"/>
    <w:rsid w:val="003402B1"/>
    <w:rsid w:val="003403B0"/>
    <w:rsid w:val="003405F2"/>
    <w:rsid w:val="00340603"/>
    <w:rsid w:val="00340657"/>
    <w:rsid w:val="00340810"/>
    <w:rsid w:val="003408E8"/>
    <w:rsid w:val="003408FB"/>
    <w:rsid w:val="00340922"/>
    <w:rsid w:val="00340A77"/>
    <w:rsid w:val="00340AD8"/>
    <w:rsid w:val="00340BB4"/>
    <w:rsid w:val="00340BE6"/>
    <w:rsid w:val="00340CBB"/>
    <w:rsid w:val="00340D0B"/>
    <w:rsid w:val="00340D70"/>
    <w:rsid w:val="00341259"/>
    <w:rsid w:val="00341523"/>
    <w:rsid w:val="003417D0"/>
    <w:rsid w:val="003418F1"/>
    <w:rsid w:val="00341951"/>
    <w:rsid w:val="00341A93"/>
    <w:rsid w:val="00341AD0"/>
    <w:rsid w:val="00341B30"/>
    <w:rsid w:val="00341C5A"/>
    <w:rsid w:val="00341D3C"/>
    <w:rsid w:val="00341FB3"/>
    <w:rsid w:val="0034217E"/>
    <w:rsid w:val="00342639"/>
    <w:rsid w:val="0034266F"/>
    <w:rsid w:val="00342793"/>
    <w:rsid w:val="003428FE"/>
    <w:rsid w:val="003429C0"/>
    <w:rsid w:val="00342D7E"/>
    <w:rsid w:val="00343036"/>
    <w:rsid w:val="00343065"/>
    <w:rsid w:val="0034357C"/>
    <w:rsid w:val="00343631"/>
    <w:rsid w:val="00343795"/>
    <w:rsid w:val="003438F3"/>
    <w:rsid w:val="00343AA1"/>
    <w:rsid w:val="00343B5D"/>
    <w:rsid w:val="00343C23"/>
    <w:rsid w:val="00343CE7"/>
    <w:rsid w:val="00343E77"/>
    <w:rsid w:val="00343F5B"/>
    <w:rsid w:val="00343F97"/>
    <w:rsid w:val="00344163"/>
    <w:rsid w:val="00344277"/>
    <w:rsid w:val="00344298"/>
    <w:rsid w:val="003442DE"/>
    <w:rsid w:val="0034444A"/>
    <w:rsid w:val="00344531"/>
    <w:rsid w:val="003446F1"/>
    <w:rsid w:val="00344786"/>
    <w:rsid w:val="0034497F"/>
    <w:rsid w:val="00344A06"/>
    <w:rsid w:val="00344A2A"/>
    <w:rsid w:val="00344C25"/>
    <w:rsid w:val="00344EE9"/>
    <w:rsid w:val="00345055"/>
    <w:rsid w:val="00345142"/>
    <w:rsid w:val="0034524D"/>
    <w:rsid w:val="00345468"/>
    <w:rsid w:val="00345484"/>
    <w:rsid w:val="003454FC"/>
    <w:rsid w:val="00345516"/>
    <w:rsid w:val="00345695"/>
    <w:rsid w:val="003456B5"/>
    <w:rsid w:val="00345730"/>
    <w:rsid w:val="003457C5"/>
    <w:rsid w:val="0034587C"/>
    <w:rsid w:val="00345941"/>
    <w:rsid w:val="00345B8F"/>
    <w:rsid w:val="00345C28"/>
    <w:rsid w:val="00345D32"/>
    <w:rsid w:val="00345DA5"/>
    <w:rsid w:val="0034604A"/>
    <w:rsid w:val="003460A8"/>
    <w:rsid w:val="003460B1"/>
    <w:rsid w:val="00346273"/>
    <w:rsid w:val="003465D0"/>
    <w:rsid w:val="003467BF"/>
    <w:rsid w:val="003467EA"/>
    <w:rsid w:val="00346840"/>
    <w:rsid w:val="00346A20"/>
    <w:rsid w:val="00346DCF"/>
    <w:rsid w:val="00346E21"/>
    <w:rsid w:val="00346F26"/>
    <w:rsid w:val="00347080"/>
    <w:rsid w:val="003470BC"/>
    <w:rsid w:val="003471D6"/>
    <w:rsid w:val="0034724D"/>
    <w:rsid w:val="003473C0"/>
    <w:rsid w:val="0034768C"/>
    <w:rsid w:val="00347885"/>
    <w:rsid w:val="003478A4"/>
    <w:rsid w:val="00347B12"/>
    <w:rsid w:val="00347D5E"/>
    <w:rsid w:val="00347DCC"/>
    <w:rsid w:val="00347DD9"/>
    <w:rsid w:val="00350095"/>
    <w:rsid w:val="00350250"/>
    <w:rsid w:val="003502E7"/>
    <w:rsid w:val="00350529"/>
    <w:rsid w:val="0035067A"/>
    <w:rsid w:val="00350AFB"/>
    <w:rsid w:val="00350C00"/>
    <w:rsid w:val="00350C4B"/>
    <w:rsid w:val="00350EC3"/>
    <w:rsid w:val="00350F9F"/>
    <w:rsid w:val="00350FA5"/>
    <w:rsid w:val="003510FD"/>
    <w:rsid w:val="003511AF"/>
    <w:rsid w:val="00351229"/>
    <w:rsid w:val="003512F7"/>
    <w:rsid w:val="003515C3"/>
    <w:rsid w:val="00351730"/>
    <w:rsid w:val="003517C0"/>
    <w:rsid w:val="003519E2"/>
    <w:rsid w:val="00351A74"/>
    <w:rsid w:val="00351B39"/>
    <w:rsid w:val="00351C7C"/>
    <w:rsid w:val="00351D6D"/>
    <w:rsid w:val="00351F35"/>
    <w:rsid w:val="00352058"/>
    <w:rsid w:val="003521BD"/>
    <w:rsid w:val="00352223"/>
    <w:rsid w:val="00352295"/>
    <w:rsid w:val="00352348"/>
    <w:rsid w:val="00352674"/>
    <w:rsid w:val="0035269B"/>
    <w:rsid w:val="003526FE"/>
    <w:rsid w:val="003527E6"/>
    <w:rsid w:val="00352948"/>
    <w:rsid w:val="00352ABA"/>
    <w:rsid w:val="00352C5E"/>
    <w:rsid w:val="00352D51"/>
    <w:rsid w:val="00352DDD"/>
    <w:rsid w:val="00352E03"/>
    <w:rsid w:val="00352E61"/>
    <w:rsid w:val="00352E8A"/>
    <w:rsid w:val="00352F7D"/>
    <w:rsid w:val="003531BF"/>
    <w:rsid w:val="003531F1"/>
    <w:rsid w:val="003531F9"/>
    <w:rsid w:val="00353495"/>
    <w:rsid w:val="00353541"/>
    <w:rsid w:val="00353591"/>
    <w:rsid w:val="00353686"/>
    <w:rsid w:val="003536F5"/>
    <w:rsid w:val="00353712"/>
    <w:rsid w:val="003537A4"/>
    <w:rsid w:val="003537FB"/>
    <w:rsid w:val="00353A2D"/>
    <w:rsid w:val="00353BC7"/>
    <w:rsid w:val="00353C25"/>
    <w:rsid w:val="00353E94"/>
    <w:rsid w:val="00353F04"/>
    <w:rsid w:val="003541E2"/>
    <w:rsid w:val="003542C6"/>
    <w:rsid w:val="00354668"/>
    <w:rsid w:val="00354700"/>
    <w:rsid w:val="0035489C"/>
    <w:rsid w:val="00354A6C"/>
    <w:rsid w:val="00354ABB"/>
    <w:rsid w:val="00354C18"/>
    <w:rsid w:val="00354E3E"/>
    <w:rsid w:val="00355045"/>
    <w:rsid w:val="003550AC"/>
    <w:rsid w:val="0035524D"/>
    <w:rsid w:val="0035546A"/>
    <w:rsid w:val="003555CA"/>
    <w:rsid w:val="003555DF"/>
    <w:rsid w:val="0035560A"/>
    <w:rsid w:val="0035586D"/>
    <w:rsid w:val="00355B35"/>
    <w:rsid w:val="00355BBC"/>
    <w:rsid w:val="00355D73"/>
    <w:rsid w:val="00355DEC"/>
    <w:rsid w:val="00355EB5"/>
    <w:rsid w:val="00356013"/>
    <w:rsid w:val="00356032"/>
    <w:rsid w:val="00356350"/>
    <w:rsid w:val="0035648D"/>
    <w:rsid w:val="003564D8"/>
    <w:rsid w:val="00356541"/>
    <w:rsid w:val="0035654B"/>
    <w:rsid w:val="00356575"/>
    <w:rsid w:val="00356817"/>
    <w:rsid w:val="0035689A"/>
    <w:rsid w:val="003568AF"/>
    <w:rsid w:val="00356AFE"/>
    <w:rsid w:val="00356BC0"/>
    <w:rsid w:val="00356D47"/>
    <w:rsid w:val="00356DCA"/>
    <w:rsid w:val="00356E16"/>
    <w:rsid w:val="00356E1B"/>
    <w:rsid w:val="00356E4A"/>
    <w:rsid w:val="00356F28"/>
    <w:rsid w:val="00357093"/>
    <w:rsid w:val="003570E0"/>
    <w:rsid w:val="003570EC"/>
    <w:rsid w:val="0035718A"/>
    <w:rsid w:val="0035728D"/>
    <w:rsid w:val="003573C0"/>
    <w:rsid w:val="0035743F"/>
    <w:rsid w:val="00357587"/>
    <w:rsid w:val="00357619"/>
    <w:rsid w:val="00357687"/>
    <w:rsid w:val="0035779B"/>
    <w:rsid w:val="00357886"/>
    <w:rsid w:val="00357888"/>
    <w:rsid w:val="003578E6"/>
    <w:rsid w:val="00357AEC"/>
    <w:rsid w:val="00357B3E"/>
    <w:rsid w:val="00357B4D"/>
    <w:rsid w:val="00357B7F"/>
    <w:rsid w:val="00357CC7"/>
    <w:rsid w:val="00357D55"/>
    <w:rsid w:val="00357EBF"/>
    <w:rsid w:val="00357EE0"/>
    <w:rsid w:val="00357F58"/>
    <w:rsid w:val="00360035"/>
    <w:rsid w:val="0036008F"/>
    <w:rsid w:val="00360184"/>
    <w:rsid w:val="00360221"/>
    <w:rsid w:val="00360239"/>
    <w:rsid w:val="00360348"/>
    <w:rsid w:val="0036043F"/>
    <w:rsid w:val="0036044C"/>
    <w:rsid w:val="00360537"/>
    <w:rsid w:val="00360795"/>
    <w:rsid w:val="003607AC"/>
    <w:rsid w:val="00360950"/>
    <w:rsid w:val="0036098F"/>
    <w:rsid w:val="00360DBE"/>
    <w:rsid w:val="00360F06"/>
    <w:rsid w:val="00361155"/>
    <w:rsid w:val="00361218"/>
    <w:rsid w:val="003613D9"/>
    <w:rsid w:val="003613DE"/>
    <w:rsid w:val="003615E7"/>
    <w:rsid w:val="0036163F"/>
    <w:rsid w:val="00361A4F"/>
    <w:rsid w:val="00361B4B"/>
    <w:rsid w:val="00361C10"/>
    <w:rsid w:val="00361C33"/>
    <w:rsid w:val="00361C94"/>
    <w:rsid w:val="00361D84"/>
    <w:rsid w:val="00361D90"/>
    <w:rsid w:val="00361FBF"/>
    <w:rsid w:val="00362306"/>
    <w:rsid w:val="003623F6"/>
    <w:rsid w:val="003626C3"/>
    <w:rsid w:val="00362789"/>
    <w:rsid w:val="003629B5"/>
    <w:rsid w:val="00362A9F"/>
    <w:rsid w:val="00362D1E"/>
    <w:rsid w:val="00362D70"/>
    <w:rsid w:val="00362E9E"/>
    <w:rsid w:val="00362ECB"/>
    <w:rsid w:val="00362EDF"/>
    <w:rsid w:val="00363087"/>
    <w:rsid w:val="0036310F"/>
    <w:rsid w:val="003632B7"/>
    <w:rsid w:val="00363323"/>
    <w:rsid w:val="00363327"/>
    <w:rsid w:val="0036333F"/>
    <w:rsid w:val="00363365"/>
    <w:rsid w:val="00363565"/>
    <w:rsid w:val="00363619"/>
    <w:rsid w:val="00363862"/>
    <w:rsid w:val="0036389F"/>
    <w:rsid w:val="00363CED"/>
    <w:rsid w:val="00364080"/>
    <w:rsid w:val="003641B6"/>
    <w:rsid w:val="0036430A"/>
    <w:rsid w:val="00364409"/>
    <w:rsid w:val="003644C2"/>
    <w:rsid w:val="00364768"/>
    <w:rsid w:val="003647DE"/>
    <w:rsid w:val="003648CD"/>
    <w:rsid w:val="00364A02"/>
    <w:rsid w:val="00364ACF"/>
    <w:rsid w:val="00364AD9"/>
    <w:rsid w:val="00364B1B"/>
    <w:rsid w:val="00364B46"/>
    <w:rsid w:val="00364DE9"/>
    <w:rsid w:val="00365007"/>
    <w:rsid w:val="003653C1"/>
    <w:rsid w:val="00365834"/>
    <w:rsid w:val="0036591F"/>
    <w:rsid w:val="00365933"/>
    <w:rsid w:val="00365B58"/>
    <w:rsid w:val="00365C2F"/>
    <w:rsid w:val="00365FC2"/>
    <w:rsid w:val="0036601D"/>
    <w:rsid w:val="00366073"/>
    <w:rsid w:val="0036607A"/>
    <w:rsid w:val="00366096"/>
    <w:rsid w:val="00366295"/>
    <w:rsid w:val="003663FE"/>
    <w:rsid w:val="00366587"/>
    <w:rsid w:val="003665D8"/>
    <w:rsid w:val="00366619"/>
    <w:rsid w:val="00366681"/>
    <w:rsid w:val="003666E3"/>
    <w:rsid w:val="00366A69"/>
    <w:rsid w:val="00366A87"/>
    <w:rsid w:val="00366AF3"/>
    <w:rsid w:val="00366AF6"/>
    <w:rsid w:val="00366C32"/>
    <w:rsid w:val="00366C9F"/>
    <w:rsid w:val="00366CFD"/>
    <w:rsid w:val="00366D05"/>
    <w:rsid w:val="0036712E"/>
    <w:rsid w:val="00367472"/>
    <w:rsid w:val="003674F8"/>
    <w:rsid w:val="003676A7"/>
    <w:rsid w:val="003676E4"/>
    <w:rsid w:val="00367778"/>
    <w:rsid w:val="00367780"/>
    <w:rsid w:val="003677E3"/>
    <w:rsid w:val="003679B8"/>
    <w:rsid w:val="00367A4F"/>
    <w:rsid w:val="00367AA1"/>
    <w:rsid w:val="00367D97"/>
    <w:rsid w:val="00367FCC"/>
    <w:rsid w:val="003701B8"/>
    <w:rsid w:val="00370226"/>
    <w:rsid w:val="0037025A"/>
    <w:rsid w:val="00370483"/>
    <w:rsid w:val="003705A7"/>
    <w:rsid w:val="003705F9"/>
    <w:rsid w:val="00370670"/>
    <w:rsid w:val="00370765"/>
    <w:rsid w:val="0037095D"/>
    <w:rsid w:val="00370A73"/>
    <w:rsid w:val="00370A9A"/>
    <w:rsid w:val="00370B24"/>
    <w:rsid w:val="00370BA3"/>
    <w:rsid w:val="00370C1E"/>
    <w:rsid w:val="00370E62"/>
    <w:rsid w:val="00370F1F"/>
    <w:rsid w:val="00371077"/>
    <w:rsid w:val="00371147"/>
    <w:rsid w:val="003714B8"/>
    <w:rsid w:val="0037152E"/>
    <w:rsid w:val="0037154D"/>
    <w:rsid w:val="003715C9"/>
    <w:rsid w:val="00371631"/>
    <w:rsid w:val="00371912"/>
    <w:rsid w:val="003719D5"/>
    <w:rsid w:val="00371A03"/>
    <w:rsid w:val="00371A2E"/>
    <w:rsid w:val="00371ABC"/>
    <w:rsid w:val="00371B01"/>
    <w:rsid w:val="00371B14"/>
    <w:rsid w:val="00371B6E"/>
    <w:rsid w:val="00371C3A"/>
    <w:rsid w:val="00371D1B"/>
    <w:rsid w:val="00371F87"/>
    <w:rsid w:val="00372023"/>
    <w:rsid w:val="003720BD"/>
    <w:rsid w:val="003721F4"/>
    <w:rsid w:val="0037230C"/>
    <w:rsid w:val="0037234F"/>
    <w:rsid w:val="00372433"/>
    <w:rsid w:val="003726A1"/>
    <w:rsid w:val="003727A9"/>
    <w:rsid w:val="00372902"/>
    <w:rsid w:val="0037291C"/>
    <w:rsid w:val="00372A04"/>
    <w:rsid w:val="00372B98"/>
    <w:rsid w:val="00372C78"/>
    <w:rsid w:val="00372CFD"/>
    <w:rsid w:val="00372D0C"/>
    <w:rsid w:val="00372DE3"/>
    <w:rsid w:val="00372E83"/>
    <w:rsid w:val="00373077"/>
    <w:rsid w:val="003732CC"/>
    <w:rsid w:val="00373426"/>
    <w:rsid w:val="00373546"/>
    <w:rsid w:val="0037365F"/>
    <w:rsid w:val="0037376A"/>
    <w:rsid w:val="00373A85"/>
    <w:rsid w:val="00373BE6"/>
    <w:rsid w:val="00373C0D"/>
    <w:rsid w:val="00373D49"/>
    <w:rsid w:val="00373D63"/>
    <w:rsid w:val="00373D99"/>
    <w:rsid w:val="00373DD9"/>
    <w:rsid w:val="00373E2C"/>
    <w:rsid w:val="00373F6E"/>
    <w:rsid w:val="00373F91"/>
    <w:rsid w:val="0037405E"/>
    <w:rsid w:val="00374102"/>
    <w:rsid w:val="00374266"/>
    <w:rsid w:val="00374378"/>
    <w:rsid w:val="003743A7"/>
    <w:rsid w:val="003744E0"/>
    <w:rsid w:val="00374693"/>
    <w:rsid w:val="00374717"/>
    <w:rsid w:val="003747C1"/>
    <w:rsid w:val="00374ADF"/>
    <w:rsid w:val="00374B73"/>
    <w:rsid w:val="00374CC4"/>
    <w:rsid w:val="00374CF2"/>
    <w:rsid w:val="00374D38"/>
    <w:rsid w:val="00374D90"/>
    <w:rsid w:val="00374E5D"/>
    <w:rsid w:val="00374F9B"/>
    <w:rsid w:val="00374FDB"/>
    <w:rsid w:val="003750F8"/>
    <w:rsid w:val="0037512B"/>
    <w:rsid w:val="00375131"/>
    <w:rsid w:val="0037513A"/>
    <w:rsid w:val="003751B8"/>
    <w:rsid w:val="003751E8"/>
    <w:rsid w:val="00375489"/>
    <w:rsid w:val="00375576"/>
    <w:rsid w:val="0037561D"/>
    <w:rsid w:val="00375884"/>
    <w:rsid w:val="0037595E"/>
    <w:rsid w:val="00375BE6"/>
    <w:rsid w:val="00375C39"/>
    <w:rsid w:val="00375EE0"/>
    <w:rsid w:val="00375EE6"/>
    <w:rsid w:val="0037632A"/>
    <w:rsid w:val="003763EC"/>
    <w:rsid w:val="00376463"/>
    <w:rsid w:val="003765D7"/>
    <w:rsid w:val="00376688"/>
    <w:rsid w:val="003767CF"/>
    <w:rsid w:val="003767F2"/>
    <w:rsid w:val="00376965"/>
    <w:rsid w:val="00376A08"/>
    <w:rsid w:val="00376B4D"/>
    <w:rsid w:val="00376BB8"/>
    <w:rsid w:val="00376BBB"/>
    <w:rsid w:val="00376BC4"/>
    <w:rsid w:val="00376C1C"/>
    <w:rsid w:val="00376C66"/>
    <w:rsid w:val="00376E98"/>
    <w:rsid w:val="003770C3"/>
    <w:rsid w:val="00377376"/>
    <w:rsid w:val="00377833"/>
    <w:rsid w:val="00377DF0"/>
    <w:rsid w:val="00377F2F"/>
    <w:rsid w:val="0038000D"/>
    <w:rsid w:val="0038007C"/>
    <w:rsid w:val="003800DD"/>
    <w:rsid w:val="00380185"/>
    <w:rsid w:val="003801D4"/>
    <w:rsid w:val="0038034B"/>
    <w:rsid w:val="003806C2"/>
    <w:rsid w:val="00380951"/>
    <w:rsid w:val="0038099F"/>
    <w:rsid w:val="00380B32"/>
    <w:rsid w:val="00380C5B"/>
    <w:rsid w:val="00380FBF"/>
    <w:rsid w:val="00381031"/>
    <w:rsid w:val="00381227"/>
    <w:rsid w:val="00381286"/>
    <w:rsid w:val="003812AE"/>
    <w:rsid w:val="0038172B"/>
    <w:rsid w:val="00381B1A"/>
    <w:rsid w:val="00381DEB"/>
    <w:rsid w:val="00381E17"/>
    <w:rsid w:val="00381E19"/>
    <w:rsid w:val="00381F1B"/>
    <w:rsid w:val="00382119"/>
    <w:rsid w:val="003823D4"/>
    <w:rsid w:val="003824E2"/>
    <w:rsid w:val="00382501"/>
    <w:rsid w:val="0038254C"/>
    <w:rsid w:val="00382586"/>
    <w:rsid w:val="0038261F"/>
    <w:rsid w:val="003827AB"/>
    <w:rsid w:val="00382A4F"/>
    <w:rsid w:val="00382AAB"/>
    <w:rsid w:val="003831C2"/>
    <w:rsid w:val="00383235"/>
    <w:rsid w:val="00383358"/>
    <w:rsid w:val="003834B2"/>
    <w:rsid w:val="00383675"/>
    <w:rsid w:val="003837B9"/>
    <w:rsid w:val="00383AC4"/>
    <w:rsid w:val="00383C0E"/>
    <w:rsid w:val="00383C14"/>
    <w:rsid w:val="00383C30"/>
    <w:rsid w:val="00383D43"/>
    <w:rsid w:val="00383F6F"/>
    <w:rsid w:val="00383FC0"/>
    <w:rsid w:val="00383FF7"/>
    <w:rsid w:val="00384143"/>
    <w:rsid w:val="003843EE"/>
    <w:rsid w:val="00384530"/>
    <w:rsid w:val="003845FC"/>
    <w:rsid w:val="00384636"/>
    <w:rsid w:val="00384878"/>
    <w:rsid w:val="003849DA"/>
    <w:rsid w:val="00384A4E"/>
    <w:rsid w:val="00384CA6"/>
    <w:rsid w:val="00384CFD"/>
    <w:rsid w:val="00385496"/>
    <w:rsid w:val="00385669"/>
    <w:rsid w:val="003856B6"/>
    <w:rsid w:val="00385723"/>
    <w:rsid w:val="0038582C"/>
    <w:rsid w:val="0038593E"/>
    <w:rsid w:val="00385971"/>
    <w:rsid w:val="00385D1F"/>
    <w:rsid w:val="00385DCF"/>
    <w:rsid w:val="00385E2E"/>
    <w:rsid w:val="00385E94"/>
    <w:rsid w:val="00385F72"/>
    <w:rsid w:val="003860E7"/>
    <w:rsid w:val="00386271"/>
    <w:rsid w:val="0038635A"/>
    <w:rsid w:val="0038646A"/>
    <w:rsid w:val="00386536"/>
    <w:rsid w:val="00386544"/>
    <w:rsid w:val="00386652"/>
    <w:rsid w:val="003867CD"/>
    <w:rsid w:val="00386A8B"/>
    <w:rsid w:val="00386AF5"/>
    <w:rsid w:val="00386B11"/>
    <w:rsid w:val="00386B7F"/>
    <w:rsid w:val="00386BAD"/>
    <w:rsid w:val="00386C1D"/>
    <w:rsid w:val="00386E1F"/>
    <w:rsid w:val="00386E26"/>
    <w:rsid w:val="00386F82"/>
    <w:rsid w:val="0038723B"/>
    <w:rsid w:val="00387288"/>
    <w:rsid w:val="00387376"/>
    <w:rsid w:val="0038737F"/>
    <w:rsid w:val="003874A4"/>
    <w:rsid w:val="0038760D"/>
    <w:rsid w:val="00387846"/>
    <w:rsid w:val="003878F9"/>
    <w:rsid w:val="003879FD"/>
    <w:rsid w:val="00387A7F"/>
    <w:rsid w:val="00387AFC"/>
    <w:rsid w:val="00387D57"/>
    <w:rsid w:val="00387E17"/>
    <w:rsid w:val="0039011D"/>
    <w:rsid w:val="00390245"/>
    <w:rsid w:val="0039028F"/>
    <w:rsid w:val="0039053C"/>
    <w:rsid w:val="00390623"/>
    <w:rsid w:val="003906EF"/>
    <w:rsid w:val="00390779"/>
    <w:rsid w:val="00390C3E"/>
    <w:rsid w:val="00390C5A"/>
    <w:rsid w:val="00390D0A"/>
    <w:rsid w:val="00390D1B"/>
    <w:rsid w:val="00390EA8"/>
    <w:rsid w:val="00390EBC"/>
    <w:rsid w:val="00390F53"/>
    <w:rsid w:val="003910B4"/>
    <w:rsid w:val="003910F4"/>
    <w:rsid w:val="00391255"/>
    <w:rsid w:val="003913F5"/>
    <w:rsid w:val="00391446"/>
    <w:rsid w:val="003914C9"/>
    <w:rsid w:val="0039157A"/>
    <w:rsid w:val="00391604"/>
    <w:rsid w:val="0039196B"/>
    <w:rsid w:val="00391CB1"/>
    <w:rsid w:val="00391DC0"/>
    <w:rsid w:val="00391F57"/>
    <w:rsid w:val="00391F9F"/>
    <w:rsid w:val="003922F3"/>
    <w:rsid w:val="0039234A"/>
    <w:rsid w:val="00392353"/>
    <w:rsid w:val="0039236F"/>
    <w:rsid w:val="00392575"/>
    <w:rsid w:val="00392693"/>
    <w:rsid w:val="00392746"/>
    <w:rsid w:val="00392851"/>
    <w:rsid w:val="00392A0E"/>
    <w:rsid w:val="00392A4B"/>
    <w:rsid w:val="00392B14"/>
    <w:rsid w:val="00392C05"/>
    <w:rsid w:val="00392C58"/>
    <w:rsid w:val="00392D14"/>
    <w:rsid w:val="00392E92"/>
    <w:rsid w:val="00392EDE"/>
    <w:rsid w:val="0039313B"/>
    <w:rsid w:val="0039337D"/>
    <w:rsid w:val="003933DA"/>
    <w:rsid w:val="003933F4"/>
    <w:rsid w:val="00393426"/>
    <w:rsid w:val="003934AC"/>
    <w:rsid w:val="003935EB"/>
    <w:rsid w:val="003936DE"/>
    <w:rsid w:val="003937CA"/>
    <w:rsid w:val="003937E4"/>
    <w:rsid w:val="00393814"/>
    <w:rsid w:val="003939A3"/>
    <w:rsid w:val="00393AB0"/>
    <w:rsid w:val="00393AC2"/>
    <w:rsid w:val="00393B06"/>
    <w:rsid w:val="00393DEB"/>
    <w:rsid w:val="00393F6B"/>
    <w:rsid w:val="0039407F"/>
    <w:rsid w:val="00394114"/>
    <w:rsid w:val="003941A8"/>
    <w:rsid w:val="003943EE"/>
    <w:rsid w:val="0039444C"/>
    <w:rsid w:val="003946EB"/>
    <w:rsid w:val="00394938"/>
    <w:rsid w:val="00394AA1"/>
    <w:rsid w:val="00394B84"/>
    <w:rsid w:val="00394B8A"/>
    <w:rsid w:val="00394D7E"/>
    <w:rsid w:val="00394D86"/>
    <w:rsid w:val="00394DBD"/>
    <w:rsid w:val="00394F4F"/>
    <w:rsid w:val="003950C5"/>
    <w:rsid w:val="003950EC"/>
    <w:rsid w:val="0039562D"/>
    <w:rsid w:val="00395717"/>
    <w:rsid w:val="0039572C"/>
    <w:rsid w:val="003958C8"/>
    <w:rsid w:val="00395C1A"/>
    <w:rsid w:val="00395C72"/>
    <w:rsid w:val="00395D98"/>
    <w:rsid w:val="00395E89"/>
    <w:rsid w:val="00395F51"/>
    <w:rsid w:val="00396043"/>
    <w:rsid w:val="0039611E"/>
    <w:rsid w:val="0039619C"/>
    <w:rsid w:val="003966FE"/>
    <w:rsid w:val="00396A23"/>
    <w:rsid w:val="00396A36"/>
    <w:rsid w:val="00396A46"/>
    <w:rsid w:val="00396BDB"/>
    <w:rsid w:val="00396DB9"/>
    <w:rsid w:val="00396DC3"/>
    <w:rsid w:val="003971E3"/>
    <w:rsid w:val="0039726D"/>
    <w:rsid w:val="00397282"/>
    <w:rsid w:val="003973CC"/>
    <w:rsid w:val="0039743F"/>
    <w:rsid w:val="00397616"/>
    <w:rsid w:val="00397652"/>
    <w:rsid w:val="003976F3"/>
    <w:rsid w:val="00397C80"/>
    <w:rsid w:val="00397CB4"/>
    <w:rsid w:val="00397CE0"/>
    <w:rsid w:val="00397D2A"/>
    <w:rsid w:val="00397E65"/>
    <w:rsid w:val="003A00B1"/>
    <w:rsid w:val="003A015D"/>
    <w:rsid w:val="003A05D3"/>
    <w:rsid w:val="003A0607"/>
    <w:rsid w:val="003A067A"/>
    <w:rsid w:val="003A06EA"/>
    <w:rsid w:val="003A0ABB"/>
    <w:rsid w:val="003A0E72"/>
    <w:rsid w:val="003A0EC9"/>
    <w:rsid w:val="003A0EFA"/>
    <w:rsid w:val="003A0F38"/>
    <w:rsid w:val="003A1156"/>
    <w:rsid w:val="003A11F0"/>
    <w:rsid w:val="003A14A8"/>
    <w:rsid w:val="003A176C"/>
    <w:rsid w:val="003A18C4"/>
    <w:rsid w:val="003A198E"/>
    <w:rsid w:val="003A1B75"/>
    <w:rsid w:val="003A1C13"/>
    <w:rsid w:val="003A1EC8"/>
    <w:rsid w:val="003A1FEB"/>
    <w:rsid w:val="003A2389"/>
    <w:rsid w:val="003A23AB"/>
    <w:rsid w:val="003A299F"/>
    <w:rsid w:val="003A2A11"/>
    <w:rsid w:val="003A2A2A"/>
    <w:rsid w:val="003A2A49"/>
    <w:rsid w:val="003A2A58"/>
    <w:rsid w:val="003A2C99"/>
    <w:rsid w:val="003A2CAE"/>
    <w:rsid w:val="003A2D0E"/>
    <w:rsid w:val="003A3059"/>
    <w:rsid w:val="003A32DB"/>
    <w:rsid w:val="003A36A7"/>
    <w:rsid w:val="003A379E"/>
    <w:rsid w:val="003A3875"/>
    <w:rsid w:val="003A38F4"/>
    <w:rsid w:val="003A3913"/>
    <w:rsid w:val="003A3979"/>
    <w:rsid w:val="003A3A60"/>
    <w:rsid w:val="003A3BDF"/>
    <w:rsid w:val="003A3C77"/>
    <w:rsid w:val="003A3E68"/>
    <w:rsid w:val="003A3EE5"/>
    <w:rsid w:val="003A40BF"/>
    <w:rsid w:val="003A41BE"/>
    <w:rsid w:val="003A431C"/>
    <w:rsid w:val="003A43DE"/>
    <w:rsid w:val="003A456A"/>
    <w:rsid w:val="003A4701"/>
    <w:rsid w:val="003A4795"/>
    <w:rsid w:val="003A47E4"/>
    <w:rsid w:val="003A488D"/>
    <w:rsid w:val="003A4927"/>
    <w:rsid w:val="003A49AD"/>
    <w:rsid w:val="003A4A45"/>
    <w:rsid w:val="003A4A8E"/>
    <w:rsid w:val="003A4B68"/>
    <w:rsid w:val="003A4D60"/>
    <w:rsid w:val="003A4F08"/>
    <w:rsid w:val="003A4FE4"/>
    <w:rsid w:val="003A5158"/>
    <w:rsid w:val="003A52C9"/>
    <w:rsid w:val="003A535B"/>
    <w:rsid w:val="003A563D"/>
    <w:rsid w:val="003A5A34"/>
    <w:rsid w:val="003A5C5C"/>
    <w:rsid w:val="003A5CAE"/>
    <w:rsid w:val="003A5FE7"/>
    <w:rsid w:val="003A60BB"/>
    <w:rsid w:val="003A60FC"/>
    <w:rsid w:val="003A6259"/>
    <w:rsid w:val="003A676A"/>
    <w:rsid w:val="003A685A"/>
    <w:rsid w:val="003A6878"/>
    <w:rsid w:val="003A68DF"/>
    <w:rsid w:val="003A68E7"/>
    <w:rsid w:val="003A692A"/>
    <w:rsid w:val="003A6984"/>
    <w:rsid w:val="003A6A02"/>
    <w:rsid w:val="003A6B12"/>
    <w:rsid w:val="003A6CEB"/>
    <w:rsid w:val="003A6E8A"/>
    <w:rsid w:val="003A7131"/>
    <w:rsid w:val="003A7229"/>
    <w:rsid w:val="003A729A"/>
    <w:rsid w:val="003A729E"/>
    <w:rsid w:val="003A74C3"/>
    <w:rsid w:val="003A7ADE"/>
    <w:rsid w:val="003A7C57"/>
    <w:rsid w:val="003A7D49"/>
    <w:rsid w:val="003A7E5F"/>
    <w:rsid w:val="003A7F16"/>
    <w:rsid w:val="003A7F58"/>
    <w:rsid w:val="003A7F75"/>
    <w:rsid w:val="003B0154"/>
    <w:rsid w:val="003B02CF"/>
    <w:rsid w:val="003B05DD"/>
    <w:rsid w:val="003B06AF"/>
    <w:rsid w:val="003B06D2"/>
    <w:rsid w:val="003B0AA2"/>
    <w:rsid w:val="003B0AF3"/>
    <w:rsid w:val="003B0D0D"/>
    <w:rsid w:val="003B0D22"/>
    <w:rsid w:val="003B0DDD"/>
    <w:rsid w:val="003B0EC7"/>
    <w:rsid w:val="003B0EC9"/>
    <w:rsid w:val="003B0EE4"/>
    <w:rsid w:val="003B1095"/>
    <w:rsid w:val="003B1179"/>
    <w:rsid w:val="003B1690"/>
    <w:rsid w:val="003B16FF"/>
    <w:rsid w:val="003B172C"/>
    <w:rsid w:val="003B1892"/>
    <w:rsid w:val="003B19BA"/>
    <w:rsid w:val="003B1BAD"/>
    <w:rsid w:val="003B1BC5"/>
    <w:rsid w:val="003B1BF3"/>
    <w:rsid w:val="003B1D43"/>
    <w:rsid w:val="003B1F4D"/>
    <w:rsid w:val="003B1F7B"/>
    <w:rsid w:val="003B2008"/>
    <w:rsid w:val="003B21DE"/>
    <w:rsid w:val="003B2250"/>
    <w:rsid w:val="003B247C"/>
    <w:rsid w:val="003B2612"/>
    <w:rsid w:val="003B2645"/>
    <w:rsid w:val="003B26F8"/>
    <w:rsid w:val="003B2838"/>
    <w:rsid w:val="003B288A"/>
    <w:rsid w:val="003B2929"/>
    <w:rsid w:val="003B2E39"/>
    <w:rsid w:val="003B30A7"/>
    <w:rsid w:val="003B35B0"/>
    <w:rsid w:val="003B36C0"/>
    <w:rsid w:val="003B3875"/>
    <w:rsid w:val="003B3A8E"/>
    <w:rsid w:val="003B3CCB"/>
    <w:rsid w:val="003B3CFE"/>
    <w:rsid w:val="003B3D69"/>
    <w:rsid w:val="003B3E14"/>
    <w:rsid w:val="003B3F9D"/>
    <w:rsid w:val="003B3FD2"/>
    <w:rsid w:val="003B4084"/>
    <w:rsid w:val="003B423B"/>
    <w:rsid w:val="003B463F"/>
    <w:rsid w:val="003B477B"/>
    <w:rsid w:val="003B48DA"/>
    <w:rsid w:val="003B4B31"/>
    <w:rsid w:val="003B4D05"/>
    <w:rsid w:val="003B4D58"/>
    <w:rsid w:val="003B4E71"/>
    <w:rsid w:val="003B5017"/>
    <w:rsid w:val="003B5721"/>
    <w:rsid w:val="003B5C3B"/>
    <w:rsid w:val="003B5CCB"/>
    <w:rsid w:val="003B5E08"/>
    <w:rsid w:val="003B5F35"/>
    <w:rsid w:val="003B60D5"/>
    <w:rsid w:val="003B648C"/>
    <w:rsid w:val="003B65C3"/>
    <w:rsid w:val="003B670B"/>
    <w:rsid w:val="003B6761"/>
    <w:rsid w:val="003B6799"/>
    <w:rsid w:val="003B690F"/>
    <w:rsid w:val="003B69EF"/>
    <w:rsid w:val="003B6B6C"/>
    <w:rsid w:val="003B6C76"/>
    <w:rsid w:val="003B6D4E"/>
    <w:rsid w:val="003B6D50"/>
    <w:rsid w:val="003B7008"/>
    <w:rsid w:val="003B70F7"/>
    <w:rsid w:val="003B7240"/>
    <w:rsid w:val="003B72FE"/>
    <w:rsid w:val="003B755C"/>
    <w:rsid w:val="003B791E"/>
    <w:rsid w:val="003B7AEE"/>
    <w:rsid w:val="003B7B17"/>
    <w:rsid w:val="003B7C66"/>
    <w:rsid w:val="003B7F32"/>
    <w:rsid w:val="003B7F88"/>
    <w:rsid w:val="003C04A7"/>
    <w:rsid w:val="003C0546"/>
    <w:rsid w:val="003C05AB"/>
    <w:rsid w:val="003C07C4"/>
    <w:rsid w:val="003C0811"/>
    <w:rsid w:val="003C0994"/>
    <w:rsid w:val="003C0C85"/>
    <w:rsid w:val="003C0D57"/>
    <w:rsid w:val="003C0DC1"/>
    <w:rsid w:val="003C0DE5"/>
    <w:rsid w:val="003C0E26"/>
    <w:rsid w:val="003C1221"/>
    <w:rsid w:val="003C1260"/>
    <w:rsid w:val="003C13A2"/>
    <w:rsid w:val="003C14D9"/>
    <w:rsid w:val="003C1624"/>
    <w:rsid w:val="003C1A2E"/>
    <w:rsid w:val="003C1C3B"/>
    <w:rsid w:val="003C1CF9"/>
    <w:rsid w:val="003C226D"/>
    <w:rsid w:val="003C24C6"/>
    <w:rsid w:val="003C28F8"/>
    <w:rsid w:val="003C2945"/>
    <w:rsid w:val="003C2A08"/>
    <w:rsid w:val="003C2A81"/>
    <w:rsid w:val="003C2C58"/>
    <w:rsid w:val="003C2C67"/>
    <w:rsid w:val="003C2E9B"/>
    <w:rsid w:val="003C2F2F"/>
    <w:rsid w:val="003C3179"/>
    <w:rsid w:val="003C3331"/>
    <w:rsid w:val="003C3432"/>
    <w:rsid w:val="003C34E8"/>
    <w:rsid w:val="003C35C3"/>
    <w:rsid w:val="003C37AD"/>
    <w:rsid w:val="003C37FF"/>
    <w:rsid w:val="003C3982"/>
    <w:rsid w:val="003C3BF7"/>
    <w:rsid w:val="003C3BF9"/>
    <w:rsid w:val="003C3E5B"/>
    <w:rsid w:val="003C3EA0"/>
    <w:rsid w:val="003C3F7D"/>
    <w:rsid w:val="003C3FF1"/>
    <w:rsid w:val="003C4112"/>
    <w:rsid w:val="003C4230"/>
    <w:rsid w:val="003C4361"/>
    <w:rsid w:val="003C4890"/>
    <w:rsid w:val="003C48AB"/>
    <w:rsid w:val="003C4A36"/>
    <w:rsid w:val="003C4ADC"/>
    <w:rsid w:val="003C4AE3"/>
    <w:rsid w:val="003C4EFC"/>
    <w:rsid w:val="003C4FE3"/>
    <w:rsid w:val="003C5175"/>
    <w:rsid w:val="003C51D7"/>
    <w:rsid w:val="003C5232"/>
    <w:rsid w:val="003C5246"/>
    <w:rsid w:val="003C52A7"/>
    <w:rsid w:val="003C54C6"/>
    <w:rsid w:val="003C55D0"/>
    <w:rsid w:val="003C55EC"/>
    <w:rsid w:val="003C562A"/>
    <w:rsid w:val="003C571C"/>
    <w:rsid w:val="003C574C"/>
    <w:rsid w:val="003C575E"/>
    <w:rsid w:val="003C5881"/>
    <w:rsid w:val="003C5BF8"/>
    <w:rsid w:val="003C5D20"/>
    <w:rsid w:val="003C5D4F"/>
    <w:rsid w:val="003C5DB1"/>
    <w:rsid w:val="003C5EA2"/>
    <w:rsid w:val="003C6082"/>
    <w:rsid w:val="003C60F1"/>
    <w:rsid w:val="003C61FC"/>
    <w:rsid w:val="003C62B2"/>
    <w:rsid w:val="003C6330"/>
    <w:rsid w:val="003C6346"/>
    <w:rsid w:val="003C64C3"/>
    <w:rsid w:val="003C64EF"/>
    <w:rsid w:val="003C6518"/>
    <w:rsid w:val="003C65B3"/>
    <w:rsid w:val="003C65F1"/>
    <w:rsid w:val="003C6929"/>
    <w:rsid w:val="003C696C"/>
    <w:rsid w:val="003C6A55"/>
    <w:rsid w:val="003C6F76"/>
    <w:rsid w:val="003C758B"/>
    <w:rsid w:val="003C7920"/>
    <w:rsid w:val="003C7A1D"/>
    <w:rsid w:val="003C7A9B"/>
    <w:rsid w:val="003C7AB6"/>
    <w:rsid w:val="003C7C94"/>
    <w:rsid w:val="003C7D5D"/>
    <w:rsid w:val="003C7F3D"/>
    <w:rsid w:val="003D00AE"/>
    <w:rsid w:val="003D036B"/>
    <w:rsid w:val="003D03DB"/>
    <w:rsid w:val="003D03FF"/>
    <w:rsid w:val="003D04E7"/>
    <w:rsid w:val="003D0687"/>
    <w:rsid w:val="003D07DE"/>
    <w:rsid w:val="003D09AD"/>
    <w:rsid w:val="003D0A67"/>
    <w:rsid w:val="003D0ADE"/>
    <w:rsid w:val="003D0BC1"/>
    <w:rsid w:val="003D0D28"/>
    <w:rsid w:val="003D0D3C"/>
    <w:rsid w:val="003D0E1A"/>
    <w:rsid w:val="003D0E46"/>
    <w:rsid w:val="003D0E52"/>
    <w:rsid w:val="003D0F1B"/>
    <w:rsid w:val="003D0F5F"/>
    <w:rsid w:val="003D0FDD"/>
    <w:rsid w:val="003D1066"/>
    <w:rsid w:val="003D10E2"/>
    <w:rsid w:val="003D12E4"/>
    <w:rsid w:val="003D145A"/>
    <w:rsid w:val="003D1471"/>
    <w:rsid w:val="003D14A3"/>
    <w:rsid w:val="003D14DE"/>
    <w:rsid w:val="003D14E0"/>
    <w:rsid w:val="003D15C4"/>
    <w:rsid w:val="003D1AD4"/>
    <w:rsid w:val="003D1BAD"/>
    <w:rsid w:val="003D1DDE"/>
    <w:rsid w:val="003D1DF0"/>
    <w:rsid w:val="003D1F60"/>
    <w:rsid w:val="003D200A"/>
    <w:rsid w:val="003D2018"/>
    <w:rsid w:val="003D234A"/>
    <w:rsid w:val="003D2385"/>
    <w:rsid w:val="003D23C3"/>
    <w:rsid w:val="003D24EA"/>
    <w:rsid w:val="003D2514"/>
    <w:rsid w:val="003D2570"/>
    <w:rsid w:val="003D2666"/>
    <w:rsid w:val="003D2678"/>
    <w:rsid w:val="003D2833"/>
    <w:rsid w:val="003D297F"/>
    <w:rsid w:val="003D29E3"/>
    <w:rsid w:val="003D2AA8"/>
    <w:rsid w:val="003D2BBC"/>
    <w:rsid w:val="003D2BEC"/>
    <w:rsid w:val="003D2C84"/>
    <w:rsid w:val="003D2FA3"/>
    <w:rsid w:val="003D2FB9"/>
    <w:rsid w:val="003D3244"/>
    <w:rsid w:val="003D3258"/>
    <w:rsid w:val="003D3273"/>
    <w:rsid w:val="003D3338"/>
    <w:rsid w:val="003D335A"/>
    <w:rsid w:val="003D35D1"/>
    <w:rsid w:val="003D3700"/>
    <w:rsid w:val="003D37A0"/>
    <w:rsid w:val="003D38CA"/>
    <w:rsid w:val="003D3A35"/>
    <w:rsid w:val="003D3DDF"/>
    <w:rsid w:val="003D3F49"/>
    <w:rsid w:val="003D414F"/>
    <w:rsid w:val="003D42C3"/>
    <w:rsid w:val="003D43BA"/>
    <w:rsid w:val="003D4539"/>
    <w:rsid w:val="003D4924"/>
    <w:rsid w:val="003D4A4F"/>
    <w:rsid w:val="003D4BAC"/>
    <w:rsid w:val="003D4BEE"/>
    <w:rsid w:val="003D4C7E"/>
    <w:rsid w:val="003D4E86"/>
    <w:rsid w:val="003D4EBB"/>
    <w:rsid w:val="003D4ECF"/>
    <w:rsid w:val="003D53AA"/>
    <w:rsid w:val="003D55E9"/>
    <w:rsid w:val="003D572C"/>
    <w:rsid w:val="003D5767"/>
    <w:rsid w:val="003D58AF"/>
    <w:rsid w:val="003D59D1"/>
    <w:rsid w:val="003D5A54"/>
    <w:rsid w:val="003D5CEA"/>
    <w:rsid w:val="003D5E88"/>
    <w:rsid w:val="003D5F31"/>
    <w:rsid w:val="003D614A"/>
    <w:rsid w:val="003D6183"/>
    <w:rsid w:val="003D61B0"/>
    <w:rsid w:val="003D64A6"/>
    <w:rsid w:val="003D6591"/>
    <w:rsid w:val="003D6653"/>
    <w:rsid w:val="003D6680"/>
    <w:rsid w:val="003D672A"/>
    <w:rsid w:val="003D67C8"/>
    <w:rsid w:val="003D6843"/>
    <w:rsid w:val="003D6983"/>
    <w:rsid w:val="003D6A94"/>
    <w:rsid w:val="003D6BCA"/>
    <w:rsid w:val="003D6BE1"/>
    <w:rsid w:val="003D6C91"/>
    <w:rsid w:val="003D6D3B"/>
    <w:rsid w:val="003D7018"/>
    <w:rsid w:val="003D7027"/>
    <w:rsid w:val="003D7177"/>
    <w:rsid w:val="003D71E5"/>
    <w:rsid w:val="003D7300"/>
    <w:rsid w:val="003D753C"/>
    <w:rsid w:val="003D7658"/>
    <w:rsid w:val="003D76D3"/>
    <w:rsid w:val="003D7898"/>
    <w:rsid w:val="003D7924"/>
    <w:rsid w:val="003D7E58"/>
    <w:rsid w:val="003E01EB"/>
    <w:rsid w:val="003E026C"/>
    <w:rsid w:val="003E02DB"/>
    <w:rsid w:val="003E046A"/>
    <w:rsid w:val="003E0AD7"/>
    <w:rsid w:val="003E0BDF"/>
    <w:rsid w:val="003E0C11"/>
    <w:rsid w:val="003E0C5D"/>
    <w:rsid w:val="003E0C70"/>
    <w:rsid w:val="003E0D22"/>
    <w:rsid w:val="003E0E4E"/>
    <w:rsid w:val="003E0EA0"/>
    <w:rsid w:val="003E0EF9"/>
    <w:rsid w:val="003E10D0"/>
    <w:rsid w:val="003E12A9"/>
    <w:rsid w:val="003E168F"/>
    <w:rsid w:val="003E175F"/>
    <w:rsid w:val="003E17CE"/>
    <w:rsid w:val="003E1892"/>
    <w:rsid w:val="003E1928"/>
    <w:rsid w:val="003E19B1"/>
    <w:rsid w:val="003E1C0A"/>
    <w:rsid w:val="003E1C36"/>
    <w:rsid w:val="003E1CB0"/>
    <w:rsid w:val="003E1F5A"/>
    <w:rsid w:val="003E1FC9"/>
    <w:rsid w:val="003E21D9"/>
    <w:rsid w:val="003E21DA"/>
    <w:rsid w:val="003E2426"/>
    <w:rsid w:val="003E247F"/>
    <w:rsid w:val="003E26F3"/>
    <w:rsid w:val="003E28B0"/>
    <w:rsid w:val="003E2969"/>
    <w:rsid w:val="003E2C8B"/>
    <w:rsid w:val="003E2D5C"/>
    <w:rsid w:val="003E2DF7"/>
    <w:rsid w:val="003E3006"/>
    <w:rsid w:val="003E314B"/>
    <w:rsid w:val="003E3160"/>
    <w:rsid w:val="003E3206"/>
    <w:rsid w:val="003E3372"/>
    <w:rsid w:val="003E344D"/>
    <w:rsid w:val="003E345B"/>
    <w:rsid w:val="003E34A8"/>
    <w:rsid w:val="003E3507"/>
    <w:rsid w:val="003E3698"/>
    <w:rsid w:val="003E3709"/>
    <w:rsid w:val="003E3748"/>
    <w:rsid w:val="003E38A6"/>
    <w:rsid w:val="003E395D"/>
    <w:rsid w:val="003E3C56"/>
    <w:rsid w:val="003E3F3A"/>
    <w:rsid w:val="003E3FD5"/>
    <w:rsid w:val="003E403F"/>
    <w:rsid w:val="003E414E"/>
    <w:rsid w:val="003E4217"/>
    <w:rsid w:val="003E4246"/>
    <w:rsid w:val="003E435C"/>
    <w:rsid w:val="003E4534"/>
    <w:rsid w:val="003E453B"/>
    <w:rsid w:val="003E45E6"/>
    <w:rsid w:val="003E4764"/>
    <w:rsid w:val="003E47C3"/>
    <w:rsid w:val="003E47F1"/>
    <w:rsid w:val="003E489B"/>
    <w:rsid w:val="003E48CA"/>
    <w:rsid w:val="003E49E9"/>
    <w:rsid w:val="003E4AEB"/>
    <w:rsid w:val="003E4B37"/>
    <w:rsid w:val="003E4B8B"/>
    <w:rsid w:val="003E4BDE"/>
    <w:rsid w:val="003E4D4B"/>
    <w:rsid w:val="003E4D5F"/>
    <w:rsid w:val="003E4D76"/>
    <w:rsid w:val="003E4FB6"/>
    <w:rsid w:val="003E501D"/>
    <w:rsid w:val="003E5256"/>
    <w:rsid w:val="003E5490"/>
    <w:rsid w:val="003E555E"/>
    <w:rsid w:val="003E564C"/>
    <w:rsid w:val="003E56D7"/>
    <w:rsid w:val="003E572C"/>
    <w:rsid w:val="003E5A18"/>
    <w:rsid w:val="003E5A8E"/>
    <w:rsid w:val="003E5C54"/>
    <w:rsid w:val="003E5C9F"/>
    <w:rsid w:val="003E5CAC"/>
    <w:rsid w:val="003E5DA7"/>
    <w:rsid w:val="003E6039"/>
    <w:rsid w:val="003E6272"/>
    <w:rsid w:val="003E63DD"/>
    <w:rsid w:val="003E65DB"/>
    <w:rsid w:val="003E67E7"/>
    <w:rsid w:val="003E67E8"/>
    <w:rsid w:val="003E693D"/>
    <w:rsid w:val="003E6AC8"/>
    <w:rsid w:val="003E6D8D"/>
    <w:rsid w:val="003E6F66"/>
    <w:rsid w:val="003E70B5"/>
    <w:rsid w:val="003E71A1"/>
    <w:rsid w:val="003E71A8"/>
    <w:rsid w:val="003E72C8"/>
    <w:rsid w:val="003E72F9"/>
    <w:rsid w:val="003E7683"/>
    <w:rsid w:val="003E76B1"/>
    <w:rsid w:val="003E76DB"/>
    <w:rsid w:val="003E771C"/>
    <w:rsid w:val="003E77AB"/>
    <w:rsid w:val="003E7953"/>
    <w:rsid w:val="003E7BEB"/>
    <w:rsid w:val="003E7C95"/>
    <w:rsid w:val="003E7EEC"/>
    <w:rsid w:val="003E7F89"/>
    <w:rsid w:val="003E7FF4"/>
    <w:rsid w:val="003F0149"/>
    <w:rsid w:val="003F026C"/>
    <w:rsid w:val="003F0572"/>
    <w:rsid w:val="003F06A8"/>
    <w:rsid w:val="003F07F5"/>
    <w:rsid w:val="003F07F8"/>
    <w:rsid w:val="003F0839"/>
    <w:rsid w:val="003F08B3"/>
    <w:rsid w:val="003F09E7"/>
    <w:rsid w:val="003F0C6C"/>
    <w:rsid w:val="003F0F61"/>
    <w:rsid w:val="003F0F63"/>
    <w:rsid w:val="003F0FB7"/>
    <w:rsid w:val="003F1135"/>
    <w:rsid w:val="003F1205"/>
    <w:rsid w:val="003F15EF"/>
    <w:rsid w:val="003F16FF"/>
    <w:rsid w:val="003F184F"/>
    <w:rsid w:val="003F1865"/>
    <w:rsid w:val="003F18F7"/>
    <w:rsid w:val="003F19C0"/>
    <w:rsid w:val="003F1AD2"/>
    <w:rsid w:val="003F1BFE"/>
    <w:rsid w:val="003F1C3A"/>
    <w:rsid w:val="003F1EA8"/>
    <w:rsid w:val="003F1FDE"/>
    <w:rsid w:val="003F21C5"/>
    <w:rsid w:val="003F22C8"/>
    <w:rsid w:val="003F22F1"/>
    <w:rsid w:val="003F2511"/>
    <w:rsid w:val="003F2525"/>
    <w:rsid w:val="003F25BF"/>
    <w:rsid w:val="003F260B"/>
    <w:rsid w:val="003F284A"/>
    <w:rsid w:val="003F29FD"/>
    <w:rsid w:val="003F2BDA"/>
    <w:rsid w:val="003F2CE8"/>
    <w:rsid w:val="003F2D3B"/>
    <w:rsid w:val="003F2EA4"/>
    <w:rsid w:val="003F2F83"/>
    <w:rsid w:val="003F2FA3"/>
    <w:rsid w:val="003F2FCD"/>
    <w:rsid w:val="003F3207"/>
    <w:rsid w:val="003F33FC"/>
    <w:rsid w:val="003F3432"/>
    <w:rsid w:val="003F34ED"/>
    <w:rsid w:val="003F360C"/>
    <w:rsid w:val="003F36D1"/>
    <w:rsid w:val="003F3710"/>
    <w:rsid w:val="003F3923"/>
    <w:rsid w:val="003F3A08"/>
    <w:rsid w:val="003F3A39"/>
    <w:rsid w:val="003F3B0B"/>
    <w:rsid w:val="003F3D1D"/>
    <w:rsid w:val="003F3E80"/>
    <w:rsid w:val="003F3F3B"/>
    <w:rsid w:val="003F4091"/>
    <w:rsid w:val="003F4353"/>
    <w:rsid w:val="003F43AE"/>
    <w:rsid w:val="003F4487"/>
    <w:rsid w:val="003F44D7"/>
    <w:rsid w:val="003F4759"/>
    <w:rsid w:val="003F4794"/>
    <w:rsid w:val="003F4933"/>
    <w:rsid w:val="003F4A9A"/>
    <w:rsid w:val="003F4B61"/>
    <w:rsid w:val="003F4BED"/>
    <w:rsid w:val="003F4E10"/>
    <w:rsid w:val="003F4E30"/>
    <w:rsid w:val="003F4EFB"/>
    <w:rsid w:val="003F518E"/>
    <w:rsid w:val="003F5351"/>
    <w:rsid w:val="003F5359"/>
    <w:rsid w:val="003F53A8"/>
    <w:rsid w:val="003F53C7"/>
    <w:rsid w:val="003F56BC"/>
    <w:rsid w:val="003F5700"/>
    <w:rsid w:val="003F577E"/>
    <w:rsid w:val="003F59F0"/>
    <w:rsid w:val="003F6041"/>
    <w:rsid w:val="003F6072"/>
    <w:rsid w:val="003F60F2"/>
    <w:rsid w:val="003F6103"/>
    <w:rsid w:val="003F616E"/>
    <w:rsid w:val="003F67AA"/>
    <w:rsid w:val="003F6969"/>
    <w:rsid w:val="003F69D8"/>
    <w:rsid w:val="003F69EC"/>
    <w:rsid w:val="003F6E9F"/>
    <w:rsid w:val="003F7033"/>
    <w:rsid w:val="003F7256"/>
    <w:rsid w:val="003F72D1"/>
    <w:rsid w:val="003F7471"/>
    <w:rsid w:val="003F75AA"/>
    <w:rsid w:val="003F75B8"/>
    <w:rsid w:val="003F76CB"/>
    <w:rsid w:val="003F78F6"/>
    <w:rsid w:val="003F798A"/>
    <w:rsid w:val="003F7A55"/>
    <w:rsid w:val="003F7BD4"/>
    <w:rsid w:val="003F7C2D"/>
    <w:rsid w:val="003F7DC4"/>
    <w:rsid w:val="003F7FCD"/>
    <w:rsid w:val="0040007E"/>
    <w:rsid w:val="00400143"/>
    <w:rsid w:val="00400452"/>
    <w:rsid w:val="004004B7"/>
    <w:rsid w:val="00400562"/>
    <w:rsid w:val="00400598"/>
    <w:rsid w:val="004005DA"/>
    <w:rsid w:val="00400842"/>
    <w:rsid w:val="00400909"/>
    <w:rsid w:val="00400A6B"/>
    <w:rsid w:val="00400AC5"/>
    <w:rsid w:val="00400DE0"/>
    <w:rsid w:val="00400F17"/>
    <w:rsid w:val="00400F6A"/>
    <w:rsid w:val="00400F90"/>
    <w:rsid w:val="004011E4"/>
    <w:rsid w:val="0040121B"/>
    <w:rsid w:val="0040125A"/>
    <w:rsid w:val="004012DC"/>
    <w:rsid w:val="004012F8"/>
    <w:rsid w:val="00401682"/>
    <w:rsid w:val="00401B13"/>
    <w:rsid w:val="00401C93"/>
    <w:rsid w:val="00401F0F"/>
    <w:rsid w:val="00401F88"/>
    <w:rsid w:val="00402075"/>
    <w:rsid w:val="004020C8"/>
    <w:rsid w:val="00402457"/>
    <w:rsid w:val="004024C9"/>
    <w:rsid w:val="004025E9"/>
    <w:rsid w:val="004028E8"/>
    <w:rsid w:val="00402DD8"/>
    <w:rsid w:val="00402E21"/>
    <w:rsid w:val="0040321F"/>
    <w:rsid w:val="00403254"/>
    <w:rsid w:val="004032D1"/>
    <w:rsid w:val="00403329"/>
    <w:rsid w:val="004034A8"/>
    <w:rsid w:val="0040368B"/>
    <w:rsid w:val="00403966"/>
    <w:rsid w:val="00403C69"/>
    <w:rsid w:val="00403D7D"/>
    <w:rsid w:val="0040404D"/>
    <w:rsid w:val="00404099"/>
    <w:rsid w:val="0040417F"/>
    <w:rsid w:val="00404261"/>
    <w:rsid w:val="004042A3"/>
    <w:rsid w:val="004042C4"/>
    <w:rsid w:val="004045DF"/>
    <w:rsid w:val="004046EB"/>
    <w:rsid w:val="00404973"/>
    <w:rsid w:val="004049A5"/>
    <w:rsid w:val="00404A11"/>
    <w:rsid w:val="00404B35"/>
    <w:rsid w:val="00404DFF"/>
    <w:rsid w:val="00404E8E"/>
    <w:rsid w:val="00404FA4"/>
    <w:rsid w:val="00404FD8"/>
    <w:rsid w:val="0040515D"/>
    <w:rsid w:val="00405388"/>
    <w:rsid w:val="0040539A"/>
    <w:rsid w:val="00405704"/>
    <w:rsid w:val="00405841"/>
    <w:rsid w:val="004059C0"/>
    <w:rsid w:val="00405C57"/>
    <w:rsid w:val="00405C58"/>
    <w:rsid w:val="00405C77"/>
    <w:rsid w:val="00405DB2"/>
    <w:rsid w:val="00405E19"/>
    <w:rsid w:val="0040603B"/>
    <w:rsid w:val="004061C0"/>
    <w:rsid w:val="00406597"/>
    <w:rsid w:val="004065D2"/>
    <w:rsid w:val="00406678"/>
    <w:rsid w:val="004066D4"/>
    <w:rsid w:val="004067A4"/>
    <w:rsid w:val="00406ABA"/>
    <w:rsid w:val="00406BBC"/>
    <w:rsid w:val="00407095"/>
    <w:rsid w:val="0040711A"/>
    <w:rsid w:val="00407189"/>
    <w:rsid w:val="0040735A"/>
    <w:rsid w:val="0040737E"/>
    <w:rsid w:val="00407473"/>
    <w:rsid w:val="00407603"/>
    <w:rsid w:val="0040793D"/>
    <w:rsid w:val="0040799F"/>
    <w:rsid w:val="00407A33"/>
    <w:rsid w:val="00407A85"/>
    <w:rsid w:val="00407B08"/>
    <w:rsid w:val="00407BC3"/>
    <w:rsid w:val="00407BD0"/>
    <w:rsid w:val="00407BE4"/>
    <w:rsid w:val="00407CEE"/>
    <w:rsid w:val="00407D20"/>
    <w:rsid w:val="00407E41"/>
    <w:rsid w:val="00407EA5"/>
    <w:rsid w:val="00407F89"/>
    <w:rsid w:val="004100EC"/>
    <w:rsid w:val="0041015D"/>
    <w:rsid w:val="004102E6"/>
    <w:rsid w:val="00410424"/>
    <w:rsid w:val="00410473"/>
    <w:rsid w:val="004106F8"/>
    <w:rsid w:val="004106FC"/>
    <w:rsid w:val="004108E4"/>
    <w:rsid w:val="00410A26"/>
    <w:rsid w:val="00410B6C"/>
    <w:rsid w:val="00410DB5"/>
    <w:rsid w:val="00410E49"/>
    <w:rsid w:val="00410E8C"/>
    <w:rsid w:val="00410F5B"/>
    <w:rsid w:val="004111A2"/>
    <w:rsid w:val="004111A3"/>
    <w:rsid w:val="004111D1"/>
    <w:rsid w:val="00411412"/>
    <w:rsid w:val="00411659"/>
    <w:rsid w:val="0041166A"/>
    <w:rsid w:val="0041168A"/>
    <w:rsid w:val="004116BB"/>
    <w:rsid w:val="00411841"/>
    <w:rsid w:val="004119E0"/>
    <w:rsid w:val="00411A49"/>
    <w:rsid w:val="00411CFC"/>
    <w:rsid w:val="0041202B"/>
    <w:rsid w:val="00412318"/>
    <w:rsid w:val="00412522"/>
    <w:rsid w:val="00412648"/>
    <w:rsid w:val="004126EE"/>
    <w:rsid w:val="0041295C"/>
    <w:rsid w:val="004129B9"/>
    <w:rsid w:val="00412A35"/>
    <w:rsid w:val="00412A75"/>
    <w:rsid w:val="00412B4B"/>
    <w:rsid w:val="00412BE0"/>
    <w:rsid w:val="00412CE6"/>
    <w:rsid w:val="00412DAB"/>
    <w:rsid w:val="00412F41"/>
    <w:rsid w:val="00412FAF"/>
    <w:rsid w:val="00412FE9"/>
    <w:rsid w:val="00413245"/>
    <w:rsid w:val="004133B2"/>
    <w:rsid w:val="0041347F"/>
    <w:rsid w:val="004134F9"/>
    <w:rsid w:val="004136C2"/>
    <w:rsid w:val="00413C57"/>
    <w:rsid w:val="00413CC1"/>
    <w:rsid w:val="00413CDC"/>
    <w:rsid w:val="00413D02"/>
    <w:rsid w:val="00413E66"/>
    <w:rsid w:val="0041403E"/>
    <w:rsid w:val="0041405C"/>
    <w:rsid w:val="004140A4"/>
    <w:rsid w:val="004140C1"/>
    <w:rsid w:val="004141CD"/>
    <w:rsid w:val="004141F0"/>
    <w:rsid w:val="0041428E"/>
    <w:rsid w:val="00414308"/>
    <w:rsid w:val="00414401"/>
    <w:rsid w:val="004144E1"/>
    <w:rsid w:val="0041452C"/>
    <w:rsid w:val="004146E1"/>
    <w:rsid w:val="00414836"/>
    <w:rsid w:val="004148D1"/>
    <w:rsid w:val="004149D9"/>
    <w:rsid w:val="004149F1"/>
    <w:rsid w:val="00414A99"/>
    <w:rsid w:val="00414C76"/>
    <w:rsid w:val="00414E8C"/>
    <w:rsid w:val="00414EFA"/>
    <w:rsid w:val="00414F88"/>
    <w:rsid w:val="00415067"/>
    <w:rsid w:val="004150FA"/>
    <w:rsid w:val="0041516D"/>
    <w:rsid w:val="004154B2"/>
    <w:rsid w:val="004154C8"/>
    <w:rsid w:val="0041569B"/>
    <w:rsid w:val="00415738"/>
    <w:rsid w:val="004159B7"/>
    <w:rsid w:val="00415A26"/>
    <w:rsid w:val="00415BEE"/>
    <w:rsid w:val="00415CE6"/>
    <w:rsid w:val="00415D81"/>
    <w:rsid w:val="00416116"/>
    <w:rsid w:val="0041631E"/>
    <w:rsid w:val="00416445"/>
    <w:rsid w:val="004164CF"/>
    <w:rsid w:val="004164E4"/>
    <w:rsid w:val="004166BC"/>
    <w:rsid w:val="004167E0"/>
    <w:rsid w:val="0041688A"/>
    <w:rsid w:val="00416B0F"/>
    <w:rsid w:val="00416C0D"/>
    <w:rsid w:val="00416C77"/>
    <w:rsid w:val="00416D88"/>
    <w:rsid w:val="00416EC7"/>
    <w:rsid w:val="00416F17"/>
    <w:rsid w:val="00416FB7"/>
    <w:rsid w:val="00416FBC"/>
    <w:rsid w:val="00417090"/>
    <w:rsid w:val="004170D7"/>
    <w:rsid w:val="004171D8"/>
    <w:rsid w:val="0041729F"/>
    <w:rsid w:val="004172B7"/>
    <w:rsid w:val="004174E1"/>
    <w:rsid w:val="00417588"/>
    <w:rsid w:val="004175C2"/>
    <w:rsid w:val="00417698"/>
    <w:rsid w:val="004176B2"/>
    <w:rsid w:val="00417870"/>
    <w:rsid w:val="00417A02"/>
    <w:rsid w:val="00417A82"/>
    <w:rsid w:val="00417ABE"/>
    <w:rsid w:val="00417C2F"/>
    <w:rsid w:val="00417C5D"/>
    <w:rsid w:val="00417DE1"/>
    <w:rsid w:val="004202CD"/>
    <w:rsid w:val="00420410"/>
    <w:rsid w:val="004205E4"/>
    <w:rsid w:val="004205EB"/>
    <w:rsid w:val="00420700"/>
    <w:rsid w:val="00420DC4"/>
    <w:rsid w:val="00420FCD"/>
    <w:rsid w:val="004211B7"/>
    <w:rsid w:val="00421274"/>
    <w:rsid w:val="00421456"/>
    <w:rsid w:val="004214D0"/>
    <w:rsid w:val="0042150E"/>
    <w:rsid w:val="00421739"/>
    <w:rsid w:val="00421765"/>
    <w:rsid w:val="00421773"/>
    <w:rsid w:val="004217A4"/>
    <w:rsid w:val="0042191D"/>
    <w:rsid w:val="0042192F"/>
    <w:rsid w:val="00421971"/>
    <w:rsid w:val="004219F9"/>
    <w:rsid w:val="00421BA9"/>
    <w:rsid w:val="00421D1C"/>
    <w:rsid w:val="00421D26"/>
    <w:rsid w:val="00421FEB"/>
    <w:rsid w:val="00422184"/>
    <w:rsid w:val="004223CA"/>
    <w:rsid w:val="004223F1"/>
    <w:rsid w:val="00422482"/>
    <w:rsid w:val="004226A9"/>
    <w:rsid w:val="00422ADC"/>
    <w:rsid w:val="00422B95"/>
    <w:rsid w:val="00422B9D"/>
    <w:rsid w:val="00422BF5"/>
    <w:rsid w:val="00422CBA"/>
    <w:rsid w:val="00422CE7"/>
    <w:rsid w:val="00423044"/>
    <w:rsid w:val="00423090"/>
    <w:rsid w:val="00423150"/>
    <w:rsid w:val="00423261"/>
    <w:rsid w:val="0042327C"/>
    <w:rsid w:val="004232E3"/>
    <w:rsid w:val="0042347A"/>
    <w:rsid w:val="00423754"/>
    <w:rsid w:val="00423919"/>
    <w:rsid w:val="0042396E"/>
    <w:rsid w:val="00423A2D"/>
    <w:rsid w:val="00423E5F"/>
    <w:rsid w:val="00423F22"/>
    <w:rsid w:val="004240F0"/>
    <w:rsid w:val="00424290"/>
    <w:rsid w:val="00424424"/>
    <w:rsid w:val="004244A0"/>
    <w:rsid w:val="004244A5"/>
    <w:rsid w:val="00424709"/>
    <w:rsid w:val="00424782"/>
    <w:rsid w:val="004247D7"/>
    <w:rsid w:val="004248A1"/>
    <w:rsid w:val="00424992"/>
    <w:rsid w:val="00424CB3"/>
    <w:rsid w:val="00424F3D"/>
    <w:rsid w:val="0042505F"/>
    <w:rsid w:val="00425091"/>
    <w:rsid w:val="0042539B"/>
    <w:rsid w:val="004254FD"/>
    <w:rsid w:val="004256D2"/>
    <w:rsid w:val="004258F8"/>
    <w:rsid w:val="00425AC3"/>
    <w:rsid w:val="00425BC7"/>
    <w:rsid w:val="00425ED0"/>
    <w:rsid w:val="00425F02"/>
    <w:rsid w:val="00426019"/>
    <w:rsid w:val="00426037"/>
    <w:rsid w:val="0042608F"/>
    <w:rsid w:val="004260A3"/>
    <w:rsid w:val="00426131"/>
    <w:rsid w:val="004263DA"/>
    <w:rsid w:val="004265E6"/>
    <w:rsid w:val="004267CE"/>
    <w:rsid w:val="00426987"/>
    <w:rsid w:val="004269DB"/>
    <w:rsid w:val="00426AC2"/>
    <w:rsid w:val="00426AD6"/>
    <w:rsid w:val="00426AFA"/>
    <w:rsid w:val="00426C34"/>
    <w:rsid w:val="00426CA8"/>
    <w:rsid w:val="00426CAB"/>
    <w:rsid w:val="00426E17"/>
    <w:rsid w:val="00426E20"/>
    <w:rsid w:val="00426E53"/>
    <w:rsid w:val="00426ED8"/>
    <w:rsid w:val="0042709B"/>
    <w:rsid w:val="00427227"/>
    <w:rsid w:val="00427295"/>
    <w:rsid w:val="0042742E"/>
    <w:rsid w:val="004274BD"/>
    <w:rsid w:val="00427524"/>
    <w:rsid w:val="004275B5"/>
    <w:rsid w:val="004278D7"/>
    <w:rsid w:val="00427B02"/>
    <w:rsid w:val="00427ED2"/>
    <w:rsid w:val="00430093"/>
    <w:rsid w:val="00430177"/>
    <w:rsid w:val="0043039F"/>
    <w:rsid w:val="004304D8"/>
    <w:rsid w:val="0043055D"/>
    <w:rsid w:val="0043058E"/>
    <w:rsid w:val="004306E3"/>
    <w:rsid w:val="004307C1"/>
    <w:rsid w:val="0043089C"/>
    <w:rsid w:val="004309B3"/>
    <w:rsid w:val="00430A42"/>
    <w:rsid w:val="00430C25"/>
    <w:rsid w:val="00430CDB"/>
    <w:rsid w:val="00430F0B"/>
    <w:rsid w:val="00430F6B"/>
    <w:rsid w:val="00431012"/>
    <w:rsid w:val="004310F8"/>
    <w:rsid w:val="004313E9"/>
    <w:rsid w:val="004316BB"/>
    <w:rsid w:val="00431779"/>
    <w:rsid w:val="00431B14"/>
    <w:rsid w:val="00431B2E"/>
    <w:rsid w:val="00431BC1"/>
    <w:rsid w:val="00431DFA"/>
    <w:rsid w:val="00431DFC"/>
    <w:rsid w:val="00431E07"/>
    <w:rsid w:val="00431F96"/>
    <w:rsid w:val="004321EC"/>
    <w:rsid w:val="00432460"/>
    <w:rsid w:val="00432865"/>
    <w:rsid w:val="004329A7"/>
    <w:rsid w:val="00432A5F"/>
    <w:rsid w:val="00432B2E"/>
    <w:rsid w:val="00432B7F"/>
    <w:rsid w:val="00432B86"/>
    <w:rsid w:val="00432CE3"/>
    <w:rsid w:val="00432D8E"/>
    <w:rsid w:val="00432DE5"/>
    <w:rsid w:val="00432EBE"/>
    <w:rsid w:val="00432F61"/>
    <w:rsid w:val="004330D0"/>
    <w:rsid w:val="004334C0"/>
    <w:rsid w:val="00433519"/>
    <w:rsid w:val="0043371B"/>
    <w:rsid w:val="004337A5"/>
    <w:rsid w:val="00433830"/>
    <w:rsid w:val="0043398E"/>
    <w:rsid w:val="00433A4F"/>
    <w:rsid w:val="00433A53"/>
    <w:rsid w:val="00433A55"/>
    <w:rsid w:val="00433BEA"/>
    <w:rsid w:val="00433E94"/>
    <w:rsid w:val="00433E99"/>
    <w:rsid w:val="00433F69"/>
    <w:rsid w:val="00434386"/>
    <w:rsid w:val="004344F3"/>
    <w:rsid w:val="004344FF"/>
    <w:rsid w:val="0043455C"/>
    <w:rsid w:val="0043472D"/>
    <w:rsid w:val="00434748"/>
    <w:rsid w:val="004348ED"/>
    <w:rsid w:val="004349BA"/>
    <w:rsid w:val="00434ADC"/>
    <w:rsid w:val="00434B66"/>
    <w:rsid w:val="00434C10"/>
    <w:rsid w:val="00434E63"/>
    <w:rsid w:val="00434EB8"/>
    <w:rsid w:val="00434F2B"/>
    <w:rsid w:val="00435017"/>
    <w:rsid w:val="004350C0"/>
    <w:rsid w:val="004350FA"/>
    <w:rsid w:val="00435138"/>
    <w:rsid w:val="00435149"/>
    <w:rsid w:val="0043547A"/>
    <w:rsid w:val="00435638"/>
    <w:rsid w:val="00435746"/>
    <w:rsid w:val="00435ABC"/>
    <w:rsid w:val="00435D29"/>
    <w:rsid w:val="00435ED3"/>
    <w:rsid w:val="00435EE7"/>
    <w:rsid w:val="00436047"/>
    <w:rsid w:val="004361EA"/>
    <w:rsid w:val="004362B1"/>
    <w:rsid w:val="00436327"/>
    <w:rsid w:val="00436378"/>
    <w:rsid w:val="004363A8"/>
    <w:rsid w:val="004363F4"/>
    <w:rsid w:val="00436563"/>
    <w:rsid w:val="00436741"/>
    <w:rsid w:val="00436875"/>
    <w:rsid w:val="00436981"/>
    <w:rsid w:val="00436A19"/>
    <w:rsid w:val="00436A24"/>
    <w:rsid w:val="00436A76"/>
    <w:rsid w:val="00436C7C"/>
    <w:rsid w:val="00437181"/>
    <w:rsid w:val="004371FE"/>
    <w:rsid w:val="004372CD"/>
    <w:rsid w:val="00437505"/>
    <w:rsid w:val="00437650"/>
    <w:rsid w:val="0043767F"/>
    <w:rsid w:val="004378CE"/>
    <w:rsid w:val="00437913"/>
    <w:rsid w:val="00437A9A"/>
    <w:rsid w:val="00437B82"/>
    <w:rsid w:val="00437C53"/>
    <w:rsid w:val="00437F42"/>
    <w:rsid w:val="00437F4A"/>
    <w:rsid w:val="004400B7"/>
    <w:rsid w:val="00440171"/>
    <w:rsid w:val="00440173"/>
    <w:rsid w:val="0044035B"/>
    <w:rsid w:val="004403C5"/>
    <w:rsid w:val="004403E6"/>
    <w:rsid w:val="00440420"/>
    <w:rsid w:val="00440583"/>
    <w:rsid w:val="00440678"/>
    <w:rsid w:val="00440711"/>
    <w:rsid w:val="004407AD"/>
    <w:rsid w:val="00440B64"/>
    <w:rsid w:val="00440C0A"/>
    <w:rsid w:val="00440D14"/>
    <w:rsid w:val="00440D47"/>
    <w:rsid w:val="00440D7B"/>
    <w:rsid w:val="00440D90"/>
    <w:rsid w:val="00440D94"/>
    <w:rsid w:val="00440F35"/>
    <w:rsid w:val="00441088"/>
    <w:rsid w:val="00441096"/>
    <w:rsid w:val="004411FD"/>
    <w:rsid w:val="004412B3"/>
    <w:rsid w:val="004412DD"/>
    <w:rsid w:val="0044137E"/>
    <w:rsid w:val="00441724"/>
    <w:rsid w:val="00441730"/>
    <w:rsid w:val="0044188B"/>
    <w:rsid w:val="00441D46"/>
    <w:rsid w:val="00441E6A"/>
    <w:rsid w:val="00441F19"/>
    <w:rsid w:val="00442066"/>
    <w:rsid w:val="004420DB"/>
    <w:rsid w:val="0044211A"/>
    <w:rsid w:val="0044217A"/>
    <w:rsid w:val="004422C7"/>
    <w:rsid w:val="004422EE"/>
    <w:rsid w:val="0044242F"/>
    <w:rsid w:val="004426FF"/>
    <w:rsid w:val="0044280C"/>
    <w:rsid w:val="0044293E"/>
    <w:rsid w:val="00442D09"/>
    <w:rsid w:val="00442EBA"/>
    <w:rsid w:val="00442ECB"/>
    <w:rsid w:val="00442ED8"/>
    <w:rsid w:val="00442FEE"/>
    <w:rsid w:val="00442FF5"/>
    <w:rsid w:val="0044328A"/>
    <w:rsid w:val="004432C3"/>
    <w:rsid w:val="00443450"/>
    <w:rsid w:val="00443556"/>
    <w:rsid w:val="00443558"/>
    <w:rsid w:val="00443745"/>
    <w:rsid w:val="0044385C"/>
    <w:rsid w:val="00443AFA"/>
    <w:rsid w:val="00443D4B"/>
    <w:rsid w:val="00443D7E"/>
    <w:rsid w:val="00443F28"/>
    <w:rsid w:val="004442BC"/>
    <w:rsid w:val="004442D8"/>
    <w:rsid w:val="00444498"/>
    <w:rsid w:val="00444569"/>
    <w:rsid w:val="00444575"/>
    <w:rsid w:val="00444B0C"/>
    <w:rsid w:val="00444B91"/>
    <w:rsid w:val="00444D72"/>
    <w:rsid w:val="00444E0A"/>
    <w:rsid w:val="00444F54"/>
    <w:rsid w:val="00444F7E"/>
    <w:rsid w:val="004451D4"/>
    <w:rsid w:val="004451F9"/>
    <w:rsid w:val="0044531A"/>
    <w:rsid w:val="004453EB"/>
    <w:rsid w:val="0044548E"/>
    <w:rsid w:val="004454B3"/>
    <w:rsid w:val="0044550D"/>
    <w:rsid w:val="004455EA"/>
    <w:rsid w:val="00445787"/>
    <w:rsid w:val="0044584A"/>
    <w:rsid w:val="00445A05"/>
    <w:rsid w:val="00445A28"/>
    <w:rsid w:val="00445A44"/>
    <w:rsid w:val="00445A84"/>
    <w:rsid w:val="00445B86"/>
    <w:rsid w:val="00445BCF"/>
    <w:rsid w:val="00445CD6"/>
    <w:rsid w:val="00445D1D"/>
    <w:rsid w:val="00445D37"/>
    <w:rsid w:val="00445D3C"/>
    <w:rsid w:val="00445DF1"/>
    <w:rsid w:val="00445E23"/>
    <w:rsid w:val="00445EFA"/>
    <w:rsid w:val="0044606B"/>
    <w:rsid w:val="00446238"/>
    <w:rsid w:val="004464AB"/>
    <w:rsid w:val="00446578"/>
    <w:rsid w:val="00446977"/>
    <w:rsid w:val="00446B14"/>
    <w:rsid w:val="00446C7B"/>
    <w:rsid w:val="00446C8C"/>
    <w:rsid w:val="00446F26"/>
    <w:rsid w:val="00447120"/>
    <w:rsid w:val="0044739C"/>
    <w:rsid w:val="004474E5"/>
    <w:rsid w:val="00447527"/>
    <w:rsid w:val="0044760E"/>
    <w:rsid w:val="004476A8"/>
    <w:rsid w:val="0044782D"/>
    <w:rsid w:val="00447A4C"/>
    <w:rsid w:val="00447B99"/>
    <w:rsid w:val="00447BEF"/>
    <w:rsid w:val="00447C38"/>
    <w:rsid w:val="00447E61"/>
    <w:rsid w:val="00450007"/>
    <w:rsid w:val="004501C3"/>
    <w:rsid w:val="004502E3"/>
    <w:rsid w:val="00450340"/>
    <w:rsid w:val="004503B7"/>
    <w:rsid w:val="004503EC"/>
    <w:rsid w:val="004504FF"/>
    <w:rsid w:val="00450549"/>
    <w:rsid w:val="004508C3"/>
    <w:rsid w:val="004509DE"/>
    <w:rsid w:val="004509F3"/>
    <w:rsid w:val="00450C27"/>
    <w:rsid w:val="00450D92"/>
    <w:rsid w:val="00450D99"/>
    <w:rsid w:val="00450DBC"/>
    <w:rsid w:val="00450E5B"/>
    <w:rsid w:val="00450E6C"/>
    <w:rsid w:val="00450FA6"/>
    <w:rsid w:val="004513CE"/>
    <w:rsid w:val="004514C9"/>
    <w:rsid w:val="0045157F"/>
    <w:rsid w:val="00451612"/>
    <w:rsid w:val="004516D3"/>
    <w:rsid w:val="004517DA"/>
    <w:rsid w:val="004519CA"/>
    <w:rsid w:val="004519FD"/>
    <w:rsid w:val="00451A93"/>
    <w:rsid w:val="00451C55"/>
    <w:rsid w:val="00451D00"/>
    <w:rsid w:val="00451D07"/>
    <w:rsid w:val="00451FD9"/>
    <w:rsid w:val="0045201E"/>
    <w:rsid w:val="004529FB"/>
    <w:rsid w:val="00452AC5"/>
    <w:rsid w:val="00452AC9"/>
    <w:rsid w:val="00452EC0"/>
    <w:rsid w:val="00452EE3"/>
    <w:rsid w:val="00452F6C"/>
    <w:rsid w:val="00452FD2"/>
    <w:rsid w:val="0045311F"/>
    <w:rsid w:val="0045359F"/>
    <w:rsid w:val="00453623"/>
    <w:rsid w:val="004538D8"/>
    <w:rsid w:val="00453A81"/>
    <w:rsid w:val="00453C43"/>
    <w:rsid w:val="00453DC8"/>
    <w:rsid w:val="00453ED8"/>
    <w:rsid w:val="00453F82"/>
    <w:rsid w:val="00454162"/>
    <w:rsid w:val="004541F2"/>
    <w:rsid w:val="00454238"/>
    <w:rsid w:val="004542A2"/>
    <w:rsid w:val="0045478C"/>
    <w:rsid w:val="004547CA"/>
    <w:rsid w:val="004547FD"/>
    <w:rsid w:val="00454B7F"/>
    <w:rsid w:val="00454D09"/>
    <w:rsid w:val="00454DA3"/>
    <w:rsid w:val="00454E26"/>
    <w:rsid w:val="00454EB9"/>
    <w:rsid w:val="00454F3D"/>
    <w:rsid w:val="00454F85"/>
    <w:rsid w:val="00455033"/>
    <w:rsid w:val="00455087"/>
    <w:rsid w:val="004550F2"/>
    <w:rsid w:val="0045520F"/>
    <w:rsid w:val="0045529A"/>
    <w:rsid w:val="004554DF"/>
    <w:rsid w:val="004555BD"/>
    <w:rsid w:val="004558AF"/>
    <w:rsid w:val="004559D1"/>
    <w:rsid w:val="00455A14"/>
    <w:rsid w:val="00455A9B"/>
    <w:rsid w:val="00455A9F"/>
    <w:rsid w:val="00455E28"/>
    <w:rsid w:val="00455F36"/>
    <w:rsid w:val="00455FA6"/>
    <w:rsid w:val="00455FB6"/>
    <w:rsid w:val="0045606D"/>
    <w:rsid w:val="0045614B"/>
    <w:rsid w:val="004564C9"/>
    <w:rsid w:val="004566E4"/>
    <w:rsid w:val="00456A1F"/>
    <w:rsid w:val="00456BB0"/>
    <w:rsid w:val="00456E36"/>
    <w:rsid w:val="00456F5C"/>
    <w:rsid w:val="00457057"/>
    <w:rsid w:val="0045762C"/>
    <w:rsid w:val="004576D7"/>
    <w:rsid w:val="00457812"/>
    <w:rsid w:val="0045782F"/>
    <w:rsid w:val="0045787D"/>
    <w:rsid w:val="00457AE3"/>
    <w:rsid w:val="00457BC5"/>
    <w:rsid w:val="00457C16"/>
    <w:rsid w:val="00457C54"/>
    <w:rsid w:val="00457E6E"/>
    <w:rsid w:val="00457F32"/>
    <w:rsid w:val="00457F6F"/>
    <w:rsid w:val="00460102"/>
    <w:rsid w:val="00460114"/>
    <w:rsid w:val="0046062B"/>
    <w:rsid w:val="004609E3"/>
    <w:rsid w:val="00460B55"/>
    <w:rsid w:val="00460BAC"/>
    <w:rsid w:val="00460DB4"/>
    <w:rsid w:val="00460F9A"/>
    <w:rsid w:val="00461080"/>
    <w:rsid w:val="004610A1"/>
    <w:rsid w:val="00461297"/>
    <w:rsid w:val="0046132A"/>
    <w:rsid w:val="0046138B"/>
    <w:rsid w:val="004613B3"/>
    <w:rsid w:val="0046179C"/>
    <w:rsid w:val="004617B5"/>
    <w:rsid w:val="00461803"/>
    <w:rsid w:val="00461855"/>
    <w:rsid w:val="004618A7"/>
    <w:rsid w:val="004619FE"/>
    <w:rsid w:val="00461DF9"/>
    <w:rsid w:val="00461E59"/>
    <w:rsid w:val="004620D8"/>
    <w:rsid w:val="00462298"/>
    <w:rsid w:val="004629CA"/>
    <w:rsid w:val="00462B29"/>
    <w:rsid w:val="00462B3E"/>
    <w:rsid w:val="00462E84"/>
    <w:rsid w:val="004633A9"/>
    <w:rsid w:val="004633F0"/>
    <w:rsid w:val="00463529"/>
    <w:rsid w:val="004636C8"/>
    <w:rsid w:val="004637D2"/>
    <w:rsid w:val="00463802"/>
    <w:rsid w:val="0046388E"/>
    <w:rsid w:val="00463BB9"/>
    <w:rsid w:val="00463DBE"/>
    <w:rsid w:val="00463DD2"/>
    <w:rsid w:val="00463EF8"/>
    <w:rsid w:val="00464205"/>
    <w:rsid w:val="004642DB"/>
    <w:rsid w:val="00464493"/>
    <w:rsid w:val="00464543"/>
    <w:rsid w:val="004645EB"/>
    <w:rsid w:val="004648F5"/>
    <w:rsid w:val="00464D48"/>
    <w:rsid w:val="00464F73"/>
    <w:rsid w:val="00464FFA"/>
    <w:rsid w:val="00465035"/>
    <w:rsid w:val="00465316"/>
    <w:rsid w:val="00465408"/>
    <w:rsid w:val="004654D5"/>
    <w:rsid w:val="0046588B"/>
    <w:rsid w:val="004658DF"/>
    <w:rsid w:val="004659A5"/>
    <w:rsid w:val="00465BAA"/>
    <w:rsid w:val="00465E3F"/>
    <w:rsid w:val="00465E88"/>
    <w:rsid w:val="00465EB4"/>
    <w:rsid w:val="00465FA6"/>
    <w:rsid w:val="00465FDF"/>
    <w:rsid w:val="0046601D"/>
    <w:rsid w:val="00466124"/>
    <w:rsid w:val="00466137"/>
    <w:rsid w:val="0046617D"/>
    <w:rsid w:val="004662DA"/>
    <w:rsid w:val="0046631D"/>
    <w:rsid w:val="0046635F"/>
    <w:rsid w:val="00466463"/>
    <w:rsid w:val="004664E3"/>
    <w:rsid w:val="00466625"/>
    <w:rsid w:val="00466681"/>
    <w:rsid w:val="004666EE"/>
    <w:rsid w:val="004667E2"/>
    <w:rsid w:val="0046682F"/>
    <w:rsid w:val="0046689A"/>
    <w:rsid w:val="0046690F"/>
    <w:rsid w:val="0046696F"/>
    <w:rsid w:val="004669DD"/>
    <w:rsid w:val="004669E7"/>
    <w:rsid w:val="00466A96"/>
    <w:rsid w:val="00466BB3"/>
    <w:rsid w:val="00466DA2"/>
    <w:rsid w:val="00466EBC"/>
    <w:rsid w:val="00466F74"/>
    <w:rsid w:val="00466F9E"/>
    <w:rsid w:val="00467045"/>
    <w:rsid w:val="0046727F"/>
    <w:rsid w:val="004672A8"/>
    <w:rsid w:val="004672F7"/>
    <w:rsid w:val="004672FB"/>
    <w:rsid w:val="00467520"/>
    <w:rsid w:val="00467889"/>
    <w:rsid w:val="004678C1"/>
    <w:rsid w:val="00467932"/>
    <w:rsid w:val="00467B53"/>
    <w:rsid w:val="00467C72"/>
    <w:rsid w:val="00467D7E"/>
    <w:rsid w:val="00467DF6"/>
    <w:rsid w:val="00467DFE"/>
    <w:rsid w:val="00467E03"/>
    <w:rsid w:val="0047006F"/>
    <w:rsid w:val="00470391"/>
    <w:rsid w:val="00470435"/>
    <w:rsid w:val="0047082F"/>
    <w:rsid w:val="00470882"/>
    <w:rsid w:val="00470D68"/>
    <w:rsid w:val="00470EA4"/>
    <w:rsid w:val="00470F7E"/>
    <w:rsid w:val="004710E3"/>
    <w:rsid w:val="004713A4"/>
    <w:rsid w:val="0047144B"/>
    <w:rsid w:val="004714C2"/>
    <w:rsid w:val="0047157C"/>
    <w:rsid w:val="00471591"/>
    <w:rsid w:val="00471802"/>
    <w:rsid w:val="00471D00"/>
    <w:rsid w:val="00471EB9"/>
    <w:rsid w:val="00471F3B"/>
    <w:rsid w:val="00471F4F"/>
    <w:rsid w:val="00472056"/>
    <w:rsid w:val="0047205F"/>
    <w:rsid w:val="0047220A"/>
    <w:rsid w:val="0047229F"/>
    <w:rsid w:val="004723D5"/>
    <w:rsid w:val="00472517"/>
    <w:rsid w:val="0047269E"/>
    <w:rsid w:val="004726EC"/>
    <w:rsid w:val="00472734"/>
    <w:rsid w:val="004727BD"/>
    <w:rsid w:val="004728BB"/>
    <w:rsid w:val="00472999"/>
    <w:rsid w:val="004729AA"/>
    <w:rsid w:val="00472B45"/>
    <w:rsid w:val="00472B65"/>
    <w:rsid w:val="00472C0B"/>
    <w:rsid w:val="00472C89"/>
    <w:rsid w:val="00472F0D"/>
    <w:rsid w:val="00472FF9"/>
    <w:rsid w:val="0047345A"/>
    <w:rsid w:val="00473520"/>
    <w:rsid w:val="004735FE"/>
    <w:rsid w:val="00473709"/>
    <w:rsid w:val="00473710"/>
    <w:rsid w:val="00473777"/>
    <w:rsid w:val="00473884"/>
    <w:rsid w:val="00473926"/>
    <w:rsid w:val="00473F08"/>
    <w:rsid w:val="00473F83"/>
    <w:rsid w:val="00474189"/>
    <w:rsid w:val="00474221"/>
    <w:rsid w:val="0047463E"/>
    <w:rsid w:val="00474915"/>
    <w:rsid w:val="00474A58"/>
    <w:rsid w:val="00474C02"/>
    <w:rsid w:val="00474C9F"/>
    <w:rsid w:val="00474D15"/>
    <w:rsid w:val="00474DF7"/>
    <w:rsid w:val="00474E9A"/>
    <w:rsid w:val="00474FC3"/>
    <w:rsid w:val="00475005"/>
    <w:rsid w:val="00475100"/>
    <w:rsid w:val="00475349"/>
    <w:rsid w:val="00475596"/>
    <w:rsid w:val="0047586E"/>
    <w:rsid w:val="0047591B"/>
    <w:rsid w:val="00475A7D"/>
    <w:rsid w:val="00475E4C"/>
    <w:rsid w:val="00476132"/>
    <w:rsid w:val="00476166"/>
    <w:rsid w:val="00476394"/>
    <w:rsid w:val="004769A1"/>
    <w:rsid w:val="00476AF2"/>
    <w:rsid w:val="00476BE3"/>
    <w:rsid w:val="00476C14"/>
    <w:rsid w:val="00476C4A"/>
    <w:rsid w:val="00476C5B"/>
    <w:rsid w:val="00476CFA"/>
    <w:rsid w:val="004770DF"/>
    <w:rsid w:val="0047710B"/>
    <w:rsid w:val="004771DC"/>
    <w:rsid w:val="0047722C"/>
    <w:rsid w:val="004773BB"/>
    <w:rsid w:val="004776BF"/>
    <w:rsid w:val="0047776D"/>
    <w:rsid w:val="004777AB"/>
    <w:rsid w:val="0047786C"/>
    <w:rsid w:val="00480061"/>
    <w:rsid w:val="00480178"/>
    <w:rsid w:val="0048033C"/>
    <w:rsid w:val="004803CC"/>
    <w:rsid w:val="004803F8"/>
    <w:rsid w:val="004804D4"/>
    <w:rsid w:val="004807B6"/>
    <w:rsid w:val="00480848"/>
    <w:rsid w:val="00480918"/>
    <w:rsid w:val="00480A71"/>
    <w:rsid w:val="00480B91"/>
    <w:rsid w:val="00480CED"/>
    <w:rsid w:val="00480DFD"/>
    <w:rsid w:val="00480F25"/>
    <w:rsid w:val="00481122"/>
    <w:rsid w:val="004811A5"/>
    <w:rsid w:val="004813CA"/>
    <w:rsid w:val="004816BB"/>
    <w:rsid w:val="004818CE"/>
    <w:rsid w:val="0048195E"/>
    <w:rsid w:val="00481988"/>
    <w:rsid w:val="00481AB4"/>
    <w:rsid w:val="00481C58"/>
    <w:rsid w:val="00481D62"/>
    <w:rsid w:val="00481F05"/>
    <w:rsid w:val="00481FAE"/>
    <w:rsid w:val="00482010"/>
    <w:rsid w:val="00482044"/>
    <w:rsid w:val="0048204B"/>
    <w:rsid w:val="0048211F"/>
    <w:rsid w:val="00482192"/>
    <w:rsid w:val="00482229"/>
    <w:rsid w:val="00482254"/>
    <w:rsid w:val="00482358"/>
    <w:rsid w:val="004823DB"/>
    <w:rsid w:val="004823F9"/>
    <w:rsid w:val="004824ED"/>
    <w:rsid w:val="0048250B"/>
    <w:rsid w:val="0048276D"/>
    <w:rsid w:val="00482A8C"/>
    <w:rsid w:val="00482B95"/>
    <w:rsid w:val="00482D8F"/>
    <w:rsid w:val="00482DA1"/>
    <w:rsid w:val="00482E64"/>
    <w:rsid w:val="00483077"/>
    <w:rsid w:val="004831F0"/>
    <w:rsid w:val="004833FE"/>
    <w:rsid w:val="00483447"/>
    <w:rsid w:val="0048352B"/>
    <w:rsid w:val="0048370A"/>
    <w:rsid w:val="00483870"/>
    <w:rsid w:val="0048392C"/>
    <w:rsid w:val="00483BD3"/>
    <w:rsid w:val="00483BFE"/>
    <w:rsid w:val="00483C34"/>
    <w:rsid w:val="00483D49"/>
    <w:rsid w:val="00483D91"/>
    <w:rsid w:val="00483DD5"/>
    <w:rsid w:val="00483DDA"/>
    <w:rsid w:val="00483E06"/>
    <w:rsid w:val="00483F57"/>
    <w:rsid w:val="00483FC1"/>
    <w:rsid w:val="00484067"/>
    <w:rsid w:val="00484276"/>
    <w:rsid w:val="0048450B"/>
    <w:rsid w:val="0048457F"/>
    <w:rsid w:val="004846F6"/>
    <w:rsid w:val="004847A3"/>
    <w:rsid w:val="00484892"/>
    <w:rsid w:val="00484DAF"/>
    <w:rsid w:val="00484DD4"/>
    <w:rsid w:val="00484E9E"/>
    <w:rsid w:val="00485019"/>
    <w:rsid w:val="0048503A"/>
    <w:rsid w:val="00485215"/>
    <w:rsid w:val="004853DA"/>
    <w:rsid w:val="0048541E"/>
    <w:rsid w:val="0048548A"/>
    <w:rsid w:val="004859E5"/>
    <w:rsid w:val="00485EC1"/>
    <w:rsid w:val="00485F05"/>
    <w:rsid w:val="00485F2D"/>
    <w:rsid w:val="00485FD9"/>
    <w:rsid w:val="00486067"/>
    <w:rsid w:val="00486076"/>
    <w:rsid w:val="004860AE"/>
    <w:rsid w:val="00486203"/>
    <w:rsid w:val="0048642F"/>
    <w:rsid w:val="004866E9"/>
    <w:rsid w:val="00486ABC"/>
    <w:rsid w:val="00486ADE"/>
    <w:rsid w:val="00486B08"/>
    <w:rsid w:val="00486D31"/>
    <w:rsid w:val="00486EAD"/>
    <w:rsid w:val="00486F4E"/>
    <w:rsid w:val="00486FBA"/>
    <w:rsid w:val="0048706B"/>
    <w:rsid w:val="004870EE"/>
    <w:rsid w:val="00487633"/>
    <w:rsid w:val="004876A0"/>
    <w:rsid w:val="00487720"/>
    <w:rsid w:val="004879DC"/>
    <w:rsid w:val="00487B40"/>
    <w:rsid w:val="00487DAE"/>
    <w:rsid w:val="00490218"/>
    <w:rsid w:val="00490240"/>
    <w:rsid w:val="0049042B"/>
    <w:rsid w:val="0049059A"/>
    <w:rsid w:val="004906D9"/>
    <w:rsid w:val="0049078B"/>
    <w:rsid w:val="0049079E"/>
    <w:rsid w:val="004907DD"/>
    <w:rsid w:val="004908A6"/>
    <w:rsid w:val="00490A4C"/>
    <w:rsid w:val="00490B3A"/>
    <w:rsid w:val="00490B4F"/>
    <w:rsid w:val="00490BCB"/>
    <w:rsid w:val="00490D42"/>
    <w:rsid w:val="00490EFC"/>
    <w:rsid w:val="00490F8A"/>
    <w:rsid w:val="004911A4"/>
    <w:rsid w:val="004911DC"/>
    <w:rsid w:val="00491281"/>
    <w:rsid w:val="004914CE"/>
    <w:rsid w:val="00491561"/>
    <w:rsid w:val="004915B3"/>
    <w:rsid w:val="004915DD"/>
    <w:rsid w:val="004917E6"/>
    <w:rsid w:val="00491823"/>
    <w:rsid w:val="0049190A"/>
    <w:rsid w:val="00491986"/>
    <w:rsid w:val="00491AF5"/>
    <w:rsid w:val="00491C3B"/>
    <w:rsid w:val="00491DCC"/>
    <w:rsid w:val="00491E19"/>
    <w:rsid w:val="00491E8E"/>
    <w:rsid w:val="00492141"/>
    <w:rsid w:val="0049217E"/>
    <w:rsid w:val="00492354"/>
    <w:rsid w:val="0049260A"/>
    <w:rsid w:val="00492615"/>
    <w:rsid w:val="004926AB"/>
    <w:rsid w:val="004927EE"/>
    <w:rsid w:val="0049287D"/>
    <w:rsid w:val="00492884"/>
    <w:rsid w:val="004929E1"/>
    <w:rsid w:val="00492A0E"/>
    <w:rsid w:val="00492BFA"/>
    <w:rsid w:val="00492C52"/>
    <w:rsid w:val="00492C69"/>
    <w:rsid w:val="00492C73"/>
    <w:rsid w:val="00492DD6"/>
    <w:rsid w:val="00492E9B"/>
    <w:rsid w:val="00492EAC"/>
    <w:rsid w:val="00492F8F"/>
    <w:rsid w:val="00493060"/>
    <w:rsid w:val="004930A0"/>
    <w:rsid w:val="004930FB"/>
    <w:rsid w:val="00493158"/>
    <w:rsid w:val="00493489"/>
    <w:rsid w:val="0049356B"/>
    <w:rsid w:val="0049359F"/>
    <w:rsid w:val="0049360C"/>
    <w:rsid w:val="004938D2"/>
    <w:rsid w:val="004939A6"/>
    <w:rsid w:val="00493F10"/>
    <w:rsid w:val="00493F55"/>
    <w:rsid w:val="004940FE"/>
    <w:rsid w:val="0049432F"/>
    <w:rsid w:val="00494338"/>
    <w:rsid w:val="00494393"/>
    <w:rsid w:val="004944EB"/>
    <w:rsid w:val="00494626"/>
    <w:rsid w:val="00494679"/>
    <w:rsid w:val="004947CF"/>
    <w:rsid w:val="00494860"/>
    <w:rsid w:val="00494AFF"/>
    <w:rsid w:val="00494B3D"/>
    <w:rsid w:val="00494B4E"/>
    <w:rsid w:val="00494E98"/>
    <w:rsid w:val="004951F3"/>
    <w:rsid w:val="0049538F"/>
    <w:rsid w:val="00495397"/>
    <w:rsid w:val="004953D2"/>
    <w:rsid w:val="00495786"/>
    <w:rsid w:val="00495850"/>
    <w:rsid w:val="004958FC"/>
    <w:rsid w:val="00495B40"/>
    <w:rsid w:val="00495D7D"/>
    <w:rsid w:val="00495E6F"/>
    <w:rsid w:val="00495FB2"/>
    <w:rsid w:val="00495FC6"/>
    <w:rsid w:val="004960C2"/>
    <w:rsid w:val="004960F7"/>
    <w:rsid w:val="004961BE"/>
    <w:rsid w:val="00496264"/>
    <w:rsid w:val="004962A7"/>
    <w:rsid w:val="00496333"/>
    <w:rsid w:val="004965DD"/>
    <w:rsid w:val="004966A5"/>
    <w:rsid w:val="004966F9"/>
    <w:rsid w:val="00496850"/>
    <w:rsid w:val="00496875"/>
    <w:rsid w:val="004968AC"/>
    <w:rsid w:val="00496BFB"/>
    <w:rsid w:val="00496CCE"/>
    <w:rsid w:val="00496EB8"/>
    <w:rsid w:val="00496EED"/>
    <w:rsid w:val="004970B2"/>
    <w:rsid w:val="004971F5"/>
    <w:rsid w:val="00497332"/>
    <w:rsid w:val="004973EC"/>
    <w:rsid w:val="00497607"/>
    <w:rsid w:val="00497652"/>
    <w:rsid w:val="004976E8"/>
    <w:rsid w:val="004978C9"/>
    <w:rsid w:val="00497AD4"/>
    <w:rsid w:val="00497D51"/>
    <w:rsid w:val="00497F8F"/>
    <w:rsid w:val="004A08DC"/>
    <w:rsid w:val="004A098A"/>
    <w:rsid w:val="004A09CC"/>
    <w:rsid w:val="004A0A29"/>
    <w:rsid w:val="004A0BD6"/>
    <w:rsid w:val="004A0C25"/>
    <w:rsid w:val="004A0CDA"/>
    <w:rsid w:val="004A0E24"/>
    <w:rsid w:val="004A0E3C"/>
    <w:rsid w:val="004A1256"/>
    <w:rsid w:val="004A1634"/>
    <w:rsid w:val="004A18C2"/>
    <w:rsid w:val="004A1904"/>
    <w:rsid w:val="004A1A7E"/>
    <w:rsid w:val="004A1AE0"/>
    <w:rsid w:val="004A1B31"/>
    <w:rsid w:val="004A1BFC"/>
    <w:rsid w:val="004A1BFE"/>
    <w:rsid w:val="004A1C16"/>
    <w:rsid w:val="004A1D9A"/>
    <w:rsid w:val="004A1DDC"/>
    <w:rsid w:val="004A1E76"/>
    <w:rsid w:val="004A1F16"/>
    <w:rsid w:val="004A1F48"/>
    <w:rsid w:val="004A1FB4"/>
    <w:rsid w:val="004A229B"/>
    <w:rsid w:val="004A25C4"/>
    <w:rsid w:val="004A2679"/>
    <w:rsid w:val="004A27EA"/>
    <w:rsid w:val="004A293A"/>
    <w:rsid w:val="004A295F"/>
    <w:rsid w:val="004A2A09"/>
    <w:rsid w:val="004A2A30"/>
    <w:rsid w:val="004A2BC8"/>
    <w:rsid w:val="004A2D55"/>
    <w:rsid w:val="004A2EF8"/>
    <w:rsid w:val="004A30EE"/>
    <w:rsid w:val="004A310C"/>
    <w:rsid w:val="004A3217"/>
    <w:rsid w:val="004A326B"/>
    <w:rsid w:val="004A365A"/>
    <w:rsid w:val="004A36A4"/>
    <w:rsid w:val="004A3851"/>
    <w:rsid w:val="004A3A6F"/>
    <w:rsid w:val="004A3DFE"/>
    <w:rsid w:val="004A3F38"/>
    <w:rsid w:val="004A425F"/>
    <w:rsid w:val="004A42C0"/>
    <w:rsid w:val="004A43BB"/>
    <w:rsid w:val="004A4485"/>
    <w:rsid w:val="004A465D"/>
    <w:rsid w:val="004A4909"/>
    <w:rsid w:val="004A496A"/>
    <w:rsid w:val="004A4AE8"/>
    <w:rsid w:val="004A4BD3"/>
    <w:rsid w:val="004A4DC5"/>
    <w:rsid w:val="004A50AC"/>
    <w:rsid w:val="004A518B"/>
    <w:rsid w:val="004A529A"/>
    <w:rsid w:val="004A529C"/>
    <w:rsid w:val="004A52FA"/>
    <w:rsid w:val="004A5395"/>
    <w:rsid w:val="004A5A14"/>
    <w:rsid w:val="004A5A31"/>
    <w:rsid w:val="004A5B78"/>
    <w:rsid w:val="004A5CB5"/>
    <w:rsid w:val="004A5CE9"/>
    <w:rsid w:val="004A5E2A"/>
    <w:rsid w:val="004A6008"/>
    <w:rsid w:val="004A607E"/>
    <w:rsid w:val="004A60CA"/>
    <w:rsid w:val="004A6145"/>
    <w:rsid w:val="004A6265"/>
    <w:rsid w:val="004A62D9"/>
    <w:rsid w:val="004A6307"/>
    <w:rsid w:val="004A63B4"/>
    <w:rsid w:val="004A691E"/>
    <w:rsid w:val="004A69C8"/>
    <w:rsid w:val="004A6B3D"/>
    <w:rsid w:val="004A6B44"/>
    <w:rsid w:val="004A6C46"/>
    <w:rsid w:val="004A6E24"/>
    <w:rsid w:val="004A6E70"/>
    <w:rsid w:val="004A6EA9"/>
    <w:rsid w:val="004A6ED2"/>
    <w:rsid w:val="004A6F0E"/>
    <w:rsid w:val="004A7162"/>
    <w:rsid w:val="004A7677"/>
    <w:rsid w:val="004A7697"/>
    <w:rsid w:val="004A7756"/>
    <w:rsid w:val="004A77FB"/>
    <w:rsid w:val="004A7A44"/>
    <w:rsid w:val="004A7AD0"/>
    <w:rsid w:val="004A7B3C"/>
    <w:rsid w:val="004A7C0C"/>
    <w:rsid w:val="004A7C74"/>
    <w:rsid w:val="004A7EAF"/>
    <w:rsid w:val="004B010A"/>
    <w:rsid w:val="004B011C"/>
    <w:rsid w:val="004B056B"/>
    <w:rsid w:val="004B05F3"/>
    <w:rsid w:val="004B073B"/>
    <w:rsid w:val="004B0749"/>
    <w:rsid w:val="004B076D"/>
    <w:rsid w:val="004B077F"/>
    <w:rsid w:val="004B0932"/>
    <w:rsid w:val="004B0C61"/>
    <w:rsid w:val="004B0C70"/>
    <w:rsid w:val="004B0C75"/>
    <w:rsid w:val="004B0CD9"/>
    <w:rsid w:val="004B0DEC"/>
    <w:rsid w:val="004B0E70"/>
    <w:rsid w:val="004B0F94"/>
    <w:rsid w:val="004B0FAF"/>
    <w:rsid w:val="004B137D"/>
    <w:rsid w:val="004B13BD"/>
    <w:rsid w:val="004B17EF"/>
    <w:rsid w:val="004B1845"/>
    <w:rsid w:val="004B18D5"/>
    <w:rsid w:val="004B1BC6"/>
    <w:rsid w:val="004B1CFB"/>
    <w:rsid w:val="004B1D14"/>
    <w:rsid w:val="004B1D56"/>
    <w:rsid w:val="004B1D7F"/>
    <w:rsid w:val="004B1DCB"/>
    <w:rsid w:val="004B1E56"/>
    <w:rsid w:val="004B1ED5"/>
    <w:rsid w:val="004B2034"/>
    <w:rsid w:val="004B206F"/>
    <w:rsid w:val="004B2263"/>
    <w:rsid w:val="004B22AC"/>
    <w:rsid w:val="004B23F4"/>
    <w:rsid w:val="004B28DD"/>
    <w:rsid w:val="004B2C73"/>
    <w:rsid w:val="004B2D56"/>
    <w:rsid w:val="004B2DEB"/>
    <w:rsid w:val="004B2EA1"/>
    <w:rsid w:val="004B3087"/>
    <w:rsid w:val="004B30A5"/>
    <w:rsid w:val="004B31D1"/>
    <w:rsid w:val="004B3582"/>
    <w:rsid w:val="004B35C4"/>
    <w:rsid w:val="004B371C"/>
    <w:rsid w:val="004B3779"/>
    <w:rsid w:val="004B378F"/>
    <w:rsid w:val="004B380F"/>
    <w:rsid w:val="004B3998"/>
    <w:rsid w:val="004B39C7"/>
    <w:rsid w:val="004B3A25"/>
    <w:rsid w:val="004B3AAE"/>
    <w:rsid w:val="004B3B6B"/>
    <w:rsid w:val="004B3CE3"/>
    <w:rsid w:val="004B3CFA"/>
    <w:rsid w:val="004B4059"/>
    <w:rsid w:val="004B41A9"/>
    <w:rsid w:val="004B41EE"/>
    <w:rsid w:val="004B4243"/>
    <w:rsid w:val="004B42EE"/>
    <w:rsid w:val="004B438A"/>
    <w:rsid w:val="004B4399"/>
    <w:rsid w:val="004B45AE"/>
    <w:rsid w:val="004B4613"/>
    <w:rsid w:val="004B4671"/>
    <w:rsid w:val="004B4C33"/>
    <w:rsid w:val="004B4CDE"/>
    <w:rsid w:val="004B4D87"/>
    <w:rsid w:val="004B502A"/>
    <w:rsid w:val="004B52E7"/>
    <w:rsid w:val="004B54D6"/>
    <w:rsid w:val="004B54DE"/>
    <w:rsid w:val="004B54F3"/>
    <w:rsid w:val="004B552D"/>
    <w:rsid w:val="004B56B2"/>
    <w:rsid w:val="004B56B7"/>
    <w:rsid w:val="004B5949"/>
    <w:rsid w:val="004B597A"/>
    <w:rsid w:val="004B5ACC"/>
    <w:rsid w:val="004B5C23"/>
    <w:rsid w:val="004B6018"/>
    <w:rsid w:val="004B609B"/>
    <w:rsid w:val="004B60FC"/>
    <w:rsid w:val="004B612A"/>
    <w:rsid w:val="004B61A6"/>
    <w:rsid w:val="004B6340"/>
    <w:rsid w:val="004B63E3"/>
    <w:rsid w:val="004B6660"/>
    <w:rsid w:val="004B67FC"/>
    <w:rsid w:val="004B68EA"/>
    <w:rsid w:val="004B6B6D"/>
    <w:rsid w:val="004B6BC2"/>
    <w:rsid w:val="004B6C22"/>
    <w:rsid w:val="004B7219"/>
    <w:rsid w:val="004B7221"/>
    <w:rsid w:val="004B72B5"/>
    <w:rsid w:val="004B737B"/>
    <w:rsid w:val="004B7522"/>
    <w:rsid w:val="004B761A"/>
    <w:rsid w:val="004B7678"/>
    <w:rsid w:val="004B786B"/>
    <w:rsid w:val="004B78AD"/>
    <w:rsid w:val="004B7A08"/>
    <w:rsid w:val="004B7A42"/>
    <w:rsid w:val="004B7BF9"/>
    <w:rsid w:val="004B7F07"/>
    <w:rsid w:val="004B7F5D"/>
    <w:rsid w:val="004C013B"/>
    <w:rsid w:val="004C0154"/>
    <w:rsid w:val="004C01B2"/>
    <w:rsid w:val="004C068C"/>
    <w:rsid w:val="004C06DA"/>
    <w:rsid w:val="004C075A"/>
    <w:rsid w:val="004C08A8"/>
    <w:rsid w:val="004C0945"/>
    <w:rsid w:val="004C0AA6"/>
    <w:rsid w:val="004C0B17"/>
    <w:rsid w:val="004C0BB8"/>
    <w:rsid w:val="004C0D70"/>
    <w:rsid w:val="004C0E50"/>
    <w:rsid w:val="004C0F68"/>
    <w:rsid w:val="004C10EA"/>
    <w:rsid w:val="004C111A"/>
    <w:rsid w:val="004C1130"/>
    <w:rsid w:val="004C1170"/>
    <w:rsid w:val="004C11E9"/>
    <w:rsid w:val="004C12AC"/>
    <w:rsid w:val="004C13E6"/>
    <w:rsid w:val="004C1401"/>
    <w:rsid w:val="004C160B"/>
    <w:rsid w:val="004C18D4"/>
    <w:rsid w:val="004C1A4B"/>
    <w:rsid w:val="004C1BBC"/>
    <w:rsid w:val="004C1C33"/>
    <w:rsid w:val="004C1C73"/>
    <w:rsid w:val="004C1D94"/>
    <w:rsid w:val="004C2007"/>
    <w:rsid w:val="004C2090"/>
    <w:rsid w:val="004C22F1"/>
    <w:rsid w:val="004C2443"/>
    <w:rsid w:val="004C2523"/>
    <w:rsid w:val="004C2896"/>
    <w:rsid w:val="004C2A0E"/>
    <w:rsid w:val="004C2DB2"/>
    <w:rsid w:val="004C2EC0"/>
    <w:rsid w:val="004C3088"/>
    <w:rsid w:val="004C3527"/>
    <w:rsid w:val="004C3587"/>
    <w:rsid w:val="004C37CC"/>
    <w:rsid w:val="004C387D"/>
    <w:rsid w:val="004C3AAD"/>
    <w:rsid w:val="004C3B28"/>
    <w:rsid w:val="004C3BEB"/>
    <w:rsid w:val="004C3D5B"/>
    <w:rsid w:val="004C3E31"/>
    <w:rsid w:val="004C3FB0"/>
    <w:rsid w:val="004C40B7"/>
    <w:rsid w:val="004C4692"/>
    <w:rsid w:val="004C469D"/>
    <w:rsid w:val="004C4939"/>
    <w:rsid w:val="004C494D"/>
    <w:rsid w:val="004C4B71"/>
    <w:rsid w:val="004C4C69"/>
    <w:rsid w:val="004C4E27"/>
    <w:rsid w:val="004C4E7E"/>
    <w:rsid w:val="004C501B"/>
    <w:rsid w:val="004C532B"/>
    <w:rsid w:val="004C538E"/>
    <w:rsid w:val="004C58D2"/>
    <w:rsid w:val="004C5906"/>
    <w:rsid w:val="004C595E"/>
    <w:rsid w:val="004C5A2D"/>
    <w:rsid w:val="004C5AC8"/>
    <w:rsid w:val="004C62B9"/>
    <w:rsid w:val="004C65E9"/>
    <w:rsid w:val="004C6691"/>
    <w:rsid w:val="004C6BC1"/>
    <w:rsid w:val="004C6C1A"/>
    <w:rsid w:val="004C6FBA"/>
    <w:rsid w:val="004C721E"/>
    <w:rsid w:val="004C7253"/>
    <w:rsid w:val="004C733B"/>
    <w:rsid w:val="004C785C"/>
    <w:rsid w:val="004C788B"/>
    <w:rsid w:val="004C7C30"/>
    <w:rsid w:val="004D001B"/>
    <w:rsid w:val="004D00A7"/>
    <w:rsid w:val="004D01E9"/>
    <w:rsid w:val="004D0221"/>
    <w:rsid w:val="004D0268"/>
    <w:rsid w:val="004D0407"/>
    <w:rsid w:val="004D0598"/>
    <w:rsid w:val="004D05B8"/>
    <w:rsid w:val="004D08DF"/>
    <w:rsid w:val="004D093C"/>
    <w:rsid w:val="004D0946"/>
    <w:rsid w:val="004D09E4"/>
    <w:rsid w:val="004D0E54"/>
    <w:rsid w:val="004D0EE1"/>
    <w:rsid w:val="004D0F2B"/>
    <w:rsid w:val="004D0F97"/>
    <w:rsid w:val="004D1011"/>
    <w:rsid w:val="004D104D"/>
    <w:rsid w:val="004D1204"/>
    <w:rsid w:val="004D1355"/>
    <w:rsid w:val="004D13D0"/>
    <w:rsid w:val="004D14DB"/>
    <w:rsid w:val="004D1517"/>
    <w:rsid w:val="004D1566"/>
    <w:rsid w:val="004D164E"/>
    <w:rsid w:val="004D16AE"/>
    <w:rsid w:val="004D18E5"/>
    <w:rsid w:val="004D19A2"/>
    <w:rsid w:val="004D1B98"/>
    <w:rsid w:val="004D1D7D"/>
    <w:rsid w:val="004D1E54"/>
    <w:rsid w:val="004D1EA1"/>
    <w:rsid w:val="004D1F82"/>
    <w:rsid w:val="004D1FE1"/>
    <w:rsid w:val="004D1FE2"/>
    <w:rsid w:val="004D205D"/>
    <w:rsid w:val="004D21E6"/>
    <w:rsid w:val="004D234A"/>
    <w:rsid w:val="004D2396"/>
    <w:rsid w:val="004D24E7"/>
    <w:rsid w:val="004D2527"/>
    <w:rsid w:val="004D26E2"/>
    <w:rsid w:val="004D2979"/>
    <w:rsid w:val="004D2A96"/>
    <w:rsid w:val="004D2CC2"/>
    <w:rsid w:val="004D2DD8"/>
    <w:rsid w:val="004D2E25"/>
    <w:rsid w:val="004D30BE"/>
    <w:rsid w:val="004D30D2"/>
    <w:rsid w:val="004D31C9"/>
    <w:rsid w:val="004D3221"/>
    <w:rsid w:val="004D34EC"/>
    <w:rsid w:val="004D35CE"/>
    <w:rsid w:val="004D37E3"/>
    <w:rsid w:val="004D3806"/>
    <w:rsid w:val="004D3821"/>
    <w:rsid w:val="004D393D"/>
    <w:rsid w:val="004D39F7"/>
    <w:rsid w:val="004D3A72"/>
    <w:rsid w:val="004D3C9D"/>
    <w:rsid w:val="004D3D4F"/>
    <w:rsid w:val="004D3E44"/>
    <w:rsid w:val="004D3FCC"/>
    <w:rsid w:val="004D406C"/>
    <w:rsid w:val="004D4193"/>
    <w:rsid w:val="004D4374"/>
    <w:rsid w:val="004D448B"/>
    <w:rsid w:val="004D4552"/>
    <w:rsid w:val="004D4583"/>
    <w:rsid w:val="004D4651"/>
    <w:rsid w:val="004D47ED"/>
    <w:rsid w:val="004D4996"/>
    <w:rsid w:val="004D4A44"/>
    <w:rsid w:val="004D4FB4"/>
    <w:rsid w:val="004D51D0"/>
    <w:rsid w:val="004D520F"/>
    <w:rsid w:val="004D5442"/>
    <w:rsid w:val="004D5490"/>
    <w:rsid w:val="004D5521"/>
    <w:rsid w:val="004D554C"/>
    <w:rsid w:val="004D55EC"/>
    <w:rsid w:val="004D5981"/>
    <w:rsid w:val="004D59FB"/>
    <w:rsid w:val="004D5A87"/>
    <w:rsid w:val="004D5B61"/>
    <w:rsid w:val="004D5B63"/>
    <w:rsid w:val="004D5C19"/>
    <w:rsid w:val="004D5EB9"/>
    <w:rsid w:val="004D5EDA"/>
    <w:rsid w:val="004D5FD9"/>
    <w:rsid w:val="004D600D"/>
    <w:rsid w:val="004D6031"/>
    <w:rsid w:val="004D6094"/>
    <w:rsid w:val="004D6218"/>
    <w:rsid w:val="004D6712"/>
    <w:rsid w:val="004D6AB4"/>
    <w:rsid w:val="004D6B33"/>
    <w:rsid w:val="004D6EDB"/>
    <w:rsid w:val="004D71B8"/>
    <w:rsid w:val="004D71C2"/>
    <w:rsid w:val="004D71C8"/>
    <w:rsid w:val="004D72B5"/>
    <w:rsid w:val="004D7925"/>
    <w:rsid w:val="004D7978"/>
    <w:rsid w:val="004D7D26"/>
    <w:rsid w:val="004D7DE9"/>
    <w:rsid w:val="004D7E8F"/>
    <w:rsid w:val="004E0205"/>
    <w:rsid w:val="004E0316"/>
    <w:rsid w:val="004E05AB"/>
    <w:rsid w:val="004E0748"/>
    <w:rsid w:val="004E0775"/>
    <w:rsid w:val="004E078A"/>
    <w:rsid w:val="004E08E4"/>
    <w:rsid w:val="004E09A0"/>
    <w:rsid w:val="004E0A8F"/>
    <w:rsid w:val="004E0B97"/>
    <w:rsid w:val="004E0C8F"/>
    <w:rsid w:val="004E0CDA"/>
    <w:rsid w:val="004E105D"/>
    <w:rsid w:val="004E10BC"/>
    <w:rsid w:val="004E1160"/>
    <w:rsid w:val="004E143C"/>
    <w:rsid w:val="004E14F9"/>
    <w:rsid w:val="004E16E6"/>
    <w:rsid w:val="004E1724"/>
    <w:rsid w:val="004E19B9"/>
    <w:rsid w:val="004E1A24"/>
    <w:rsid w:val="004E1B29"/>
    <w:rsid w:val="004E1CB0"/>
    <w:rsid w:val="004E1CC3"/>
    <w:rsid w:val="004E1E9F"/>
    <w:rsid w:val="004E2033"/>
    <w:rsid w:val="004E218E"/>
    <w:rsid w:val="004E2227"/>
    <w:rsid w:val="004E2388"/>
    <w:rsid w:val="004E238A"/>
    <w:rsid w:val="004E23B6"/>
    <w:rsid w:val="004E25F4"/>
    <w:rsid w:val="004E26A9"/>
    <w:rsid w:val="004E2707"/>
    <w:rsid w:val="004E27CD"/>
    <w:rsid w:val="004E280A"/>
    <w:rsid w:val="004E287A"/>
    <w:rsid w:val="004E2A35"/>
    <w:rsid w:val="004E2A98"/>
    <w:rsid w:val="004E31AB"/>
    <w:rsid w:val="004E31AE"/>
    <w:rsid w:val="004E3251"/>
    <w:rsid w:val="004E3343"/>
    <w:rsid w:val="004E3351"/>
    <w:rsid w:val="004E362C"/>
    <w:rsid w:val="004E379B"/>
    <w:rsid w:val="004E37BD"/>
    <w:rsid w:val="004E386B"/>
    <w:rsid w:val="004E3B53"/>
    <w:rsid w:val="004E3D98"/>
    <w:rsid w:val="004E3DA8"/>
    <w:rsid w:val="004E3E20"/>
    <w:rsid w:val="004E3EE9"/>
    <w:rsid w:val="004E424C"/>
    <w:rsid w:val="004E427D"/>
    <w:rsid w:val="004E4391"/>
    <w:rsid w:val="004E443F"/>
    <w:rsid w:val="004E446F"/>
    <w:rsid w:val="004E44FF"/>
    <w:rsid w:val="004E45D8"/>
    <w:rsid w:val="004E460B"/>
    <w:rsid w:val="004E4638"/>
    <w:rsid w:val="004E4750"/>
    <w:rsid w:val="004E475F"/>
    <w:rsid w:val="004E480F"/>
    <w:rsid w:val="004E48BE"/>
    <w:rsid w:val="004E4983"/>
    <w:rsid w:val="004E49C8"/>
    <w:rsid w:val="004E4A58"/>
    <w:rsid w:val="004E4A88"/>
    <w:rsid w:val="004E4B50"/>
    <w:rsid w:val="004E4B7B"/>
    <w:rsid w:val="004E4E1B"/>
    <w:rsid w:val="004E4E7F"/>
    <w:rsid w:val="004E507A"/>
    <w:rsid w:val="004E526C"/>
    <w:rsid w:val="004E539C"/>
    <w:rsid w:val="004E5455"/>
    <w:rsid w:val="004E55A2"/>
    <w:rsid w:val="004E589E"/>
    <w:rsid w:val="004E5979"/>
    <w:rsid w:val="004E59B8"/>
    <w:rsid w:val="004E59D1"/>
    <w:rsid w:val="004E5CB5"/>
    <w:rsid w:val="004E5E1D"/>
    <w:rsid w:val="004E5E6F"/>
    <w:rsid w:val="004E5F00"/>
    <w:rsid w:val="004E5F16"/>
    <w:rsid w:val="004E5F60"/>
    <w:rsid w:val="004E621D"/>
    <w:rsid w:val="004E63EA"/>
    <w:rsid w:val="004E64E9"/>
    <w:rsid w:val="004E64ED"/>
    <w:rsid w:val="004E65D3"/>
    <w:rsid w:val="004E661E"/>
    <w:rsid w:val="004E668C"/>
    <w:rsid w:val="004E66C8"/>
    <w:rsid w:val="004E67FA"/>
    <w:rsid w:val="004E68F7"/>
    <w:rsid w:val="004E6900"/>
    <w:rsid w:val="004E6915"/>
    <w:rsid w:val="004E6B8E"/>
    <w:rsid w:val="004E6DDD"/>
    <w:rsid w:val="004E6F24"/>
    <w:rsid w:val="004E6F4B"/>
    <w:rsid w:val="004E6FF9"/>
    <w:rsid w:val="004E7116"/>
    <w:rsid w:val="004E71C1"/>
    <w:rsid w:val="004E720F"/>
    <w:rsid w:val="004E73C1"/>
    <w:rsid w:val="004E73F8"/>
    <w:rsid w:val="004E76A3"/>
    <w:rsid w:val="004E76A9"/>
    <w:rsid w:val="004E78AE"/>
    <w:rsid w:val="004E7A79"/>
    <w:rsid w:val="004E7B58"/>
    <w:rsid w:val="004E7C22"/>
    <w:rsid w:val="004E7D2B"/>
    <w:rsid w:val="004E7FE4"/>
    <w:rsid w:val="004F00E2"/>
    <w:rsid w:val="004F02B3"/>
    <w:rsid w:val="004F02C3"/>
    <w:rsid w:val="004F033A"/>
    <w:rsid w:val="004F0357"/>
    <w:rsid w:val="004F04C8"/>
    <w:rsid w:val="004F07BA"/>
    <w:rsid w:val="004F08D5"/>
    <w:rsid w:val="004F0AD9"/>
    <w:rsid w:val="004F0B45"/>
    <w:rsid w:val="004F0BE4"/>
    <w:rsid w:val="004F0DAA"/>
    <w:rsid w:val="004F0E19"/>
    <w:rsid w:val="004F0E60"/>
    <w:rsid w:val="004F0EE3"/>
    <w:rsid w:val="004F1321"/>
    <w:rsid w:val="004F13DE"/>
    <w:rsid w:val="004F16F1"/>
    <w:rsid w:val="004F17E0"/>
    <w:rsid w:val="004F19AF"/>
    <w:rsid w:val="004F1A6B"/>
    <w:rsid w:val="004F1BC0"/>
    <w:rsid w:val="004F1C1E"/>
    <w:rsid w:val="004F1D10"/>
    <w:rsid w:val="004F1D59"/>
    <w:rsid w:val="004F215E"/>
    <w:rsid w:val="004F21D0"/>
    <w:rsid w:val="004F23B4"/>
    <w:rsid w:val="004F23FC"/>
    <w:rsid w:val="004F2569"/>
    <w:rsid w:val="004F26FE"/>
    <w:rsid w:val="004F276B"/>
    <w:rsid w:val="004F279F"/>
    <w:rsid w:val="004F2A95"/>
    <w:rsid w:val="004F2B64"/>
    <w:rsid w:val="004F2C1A"/>
    <w:rsid w:val="004F2CB3"/>
    <w:rsid w:val="004F2EF5"/>
    <w:rsid w:val="004F30A2"/>
    <w:rsid w:val="004F3130"/>
    <w:rsid w:val="004F335B"/>
    <w:rsid w:val="004F338E"/>
    <w:rsid w:val="004F33EF"/>
    <w:rsid w:val="004F3563"/>
    <w:rsid w:val="004F362B"/>
    <w:rsid w:val="004F3773"/>
    <w:rsid w:val="004F3823"/>
    <w:rsid w:val="004F384C"/>
    <w:rsid w:val="004F3895"/>
    <w:rsid w:val="004F38D6"/>
    <w:rsid w:val="004F3A3E"/>
    <w:rsid w:val="004F3B95"/>
    <w:rsid w:val="004F3C06"/>
    <w:rsid w:val="004F3C0E"/>
    <w:rsid w:val="004F3C5D"/>
    <w:rsid w:val="004F3D0F"/>
    <w:rsid w:val="004F3E0A"/>
    <w:rsid w:val="004F3FDE"/>
    <w:rsid w:val="004F401F"/>
    <w:rsid w:val="004F41F1"/>
    <w:rsid w:val="004F42C5"/>
    <w:rsid w:val="004F43E3"/>
    <w:rsid w:val="004F441B"/>
    <w:rsid w:val="004F44EA"/>
    <w:rsid w:val="004F47E7"/>
    <w:rsid w:val="004F48C5"/>
    <w:rsid w:val="004F48E8"/>
    <w:rsid w:val="004F497F"/>
    <w:rsid w:val="004F4980"/>
    <w:rsid w:val="004F49DD"/>
    <w:rsid w:val="004F4AAF"/>
    <w:rsid w:val="004F4B95"/>
    <w:rsid w:val="004F4BBD"/>
    <w:rsid w:val="004F4C67"/>
    <w:rsid w:val="004F4CBD"/>
    <w:rsid w:val="004F4DB4"/>
    <w:rsid w:val="004F5195"/>
    <w:rsid w:val="004F51B3"/>
    <w:rsid w:val="004F5350"/>
    <w:rsid w:val="004F548A"/>
    <w:rsid w:val="004F572C"/>
    <w:rsid w:val="004F5863"/>
    <w:rsid w:val="004F5AF9"/>
    <w:rsid w:val="004F5BB6"/>
    <w:rsid w:val="004F5D64"/>
    <w:rsid w:val="004F5DD9"/>
    <w:rsid w:val="004F5EE2"/>
    <w:rsid w:val="004F60F6"/>
    <w:rsid w:val="004F628C"/>
    <w:rsid w:val="004F6644"/>
    <w:rsid w:val="004F669B"/>
    <w:rsid w:val="004F6811"/>
    <w:rsid w:val="004F6997"/>
    <w:rsid w:val="004F6A4E"/>
    <w:rsid w:val="004F6B08"/>
    <w:rsid w:val="004F6BB2"/>
    <w:rsid w:val="004F6C69"/>
    <w:rsid w:val="004F6C92"/>
    <w:rsid w:val="004F6C9A"/>
    <w:rsid w:val="004F6EC4"/>
    <w:rsid w:val="004F702B"/>
    <w:rsid w:val="004F7039"/>
    <w:rsid w:val="004F7252"/>
    <w:rsid w:val="004F7274"/>
    <w:rsid w:val="004F7424"/>
    <w:rsid w:val="004F744D"/>
    <w:rsid w:val="004F777A"/>
    <w:rsid w:val="004F778C"/>
    <w:rsid w:val="004F78E8"/>
    <w:rsid w:val="004F7A02"/>
    <w:rsid w:val="004F7A60"/>
    <w:rsid w:val="004F7BC3"/>
    <w:rsid w:val="004F7CEA"/>
    <w:rsid w:val="004F7EE2"/>
    <w:rsid w:val="0050003D"/>
    <w:rsid w:val="00500098"/>
    <w:rsid w:val="005001AB"/>
    <w:rsid w:val="00500308"/>
    <w:rsid w:val="0050037B"/>
    <w:rsid w:val="005003BD"/>
    <w:rsid w:val="00500630"/>
    <w:rsid w:val="005006C4"/>
    <w:rsid w:val="00500738"/>
    <w:rsid w:val="00500895"/>
    <w:rsid w:val="005008C1"/>
    <w:rsid w:val="00500914"/>
    <w:rsid w:val="00500919"/>
    <w:rsid w:val="005009AA"/>
    <w:rsid w:val="00500B2A"/>
    <w:rsid w:val="00500BDC"/>
    <w:rsid w:val="00500F89"/>
    <w:rsid w:val="00501044"/>
    <w:rsid w:val="005012D3"/>
    <w:rsid w:val="00501312"/>
    <w:rsid w:val="0050136B"/>
    <w:rsid w:val="00501490"/>
    <w:rsid w:val="005014FF"/>
    <w:rsid w:val="005015E2"/>
    <w:rsid w:val="005019E5"/>
    <w:rsid w:val="00501A4D"/>
    <w:rsid w:val="00501B63"/>
    <w:rsid w:val="00501F36"/>
    <w:rsid w:val="00501FD0"/>
    <w:rsid w:val="00502083"/>
    <w:rsid w:val="00502094"/>
    <w:rsid w:val="005022C2"/>
    <w:rsid w:val="0050244B"/>
    <w:rsid w:val="00502569"/>
    <w:rsid w:val="00502706"/>
    <w:rsid w:val="00502767"/>
    <w:rsid w:val="00502815"/>
    <w:rsid w:val="00502860"/>
    <w:rsid w:val="005029EB"/>
    <w:rsid w:val="00502C48"/>
    <w:rsid w:val="00502C67"/>
    <w:rsid w:val="00502E9D"/>
    <w:rsid w:val="00502EA8"/>
    <w:rsid w:val="00502FB1"/>
    <w:rsid w:val="00502FF5"/>
    <w:rsid w:val="005031B1"/>
    <w:rsid w:val="005031E0"/>
    <w:rsid w:val="005031F6"/>
    <w:rsid w:val="0050327D"/>
    <w:rsid w:val="00503431"/>
    <w:rsid w:val="00503515"/>
    <w:rsid w:val="005035E2"/>
    <w:rsid w:val="00503729"/>
    <w:rsid w:val="00503A83"/>
    <w:rsid w:val="00503BBB"/>
    <w:rsid w:val="00503C40"/>
    <w:rsid w:val="00503EA8"/>
    <w:rsid w:val="00503F8E"/>
    <w:rsid w:val="005042FB"/>
    <w:rsid w:val="00504367"/>
    <w:rsid w:val="005044CC"/>
    <w:rsid w:val="0050450E"/>
    <w:rsid w:val="0050477D"/>
    <w:rsid w:val="00504790"/>
    <w:rsid w:val="00504929"/>
    <w:rsid w:val="0050498F"/>
    <w:rsid w:val="00504998"/>
    <w:rsid w:val="00504A10"/>
    <w:rsid w:val="00504ACB"/>
    <w:rsid w:val="00504C64"/>
    <w:rsid w:val="00504D4F"/>
    <w:rsid w:val="00504DCA"/>
    <w:rsid w:val="00504E84"/>
    <w:rsid w:val="00504EC8"/>
    <w:rsid w:val="005050FA"/>
    <w:rsid w:val="0050517E"/>
    <w:rsid w:val="005051A0"/>
    <w:rsid w:val="005052E7"/>
    <w:rsid w:val="0050543D"/>
    <w:rsid w:val="00505584"/>
    <w:rsid w:val="005056BB"/>
    <w:rsid w:val="00505A32"/>
    <w:rsid w:val="00505A3A"/>
    <w:rsid w:val="00505BE3"/>
    <w:rsid w:val="00505E6A"/>
    <w:rsid w:val="00505ED5"/>
    <w:rsid w:val="005060B4"/>
    <w:rsid w:val="0050636D"/>
    <w:rsid w:val="0050637F"/>
    <w:rsid w:val="005063D2"/>
    <w:rsid w:val="005063FD"/>
    <w:rsid w:val="005065E1"/>
    <w:rsid w:val="005066FF"/>
    <w:rsid w:val="0050673B"/>
    <w:rsid w:val="005067E2"/>
    <w:rsid w:val="00506863"/>
    <w:rsid w:val="005069DB"/>
    <w:rsid w:val="00506A20"/>
    <w:rsid w:val="00506B08"/>
    <w:rsid w:val="00506CAB"/>
    <w:rsid w:val="00506DCE"/>
    <w:rsid w:val="00506F94"/>
    <w:rsid w:val="005070E5"/>
    <w:rsid w:val="005074E0"/>
    <w:rsid w:val="005075CF"/>
    <w:rsid w:val="005077D2"/>
    <w:rsid w:val="005078B1"/>
    <w:rsid w:val="005079EA"/>
    <w:rsid w:val="00507D5C"/>
    <w:rsid w:val="00507DAE"/>
    <w:rsid w:val="00507E21"/>
    <w:rsid w:val="00507E57"/>
    <w:rsid w:val="00507E8F"/>
    <w:rsid w:val="00507F85"/>
    <w:rsid w:val="005102D4"/>
    <w:rsid w:val="005102E8"/>
    <w:rsid w:val="005104A2"/>
    <w:rsid w:val="005104ED"/>
    <w:rsid w:val="005105E0"/>
    <w:rsid w:val="00510814"/>
    <w:rsid w:val="00510953"/>
    <w:rsid w:val="0051099A"/>
    <w:rsid w:val="00510B6B"/>
    <w:rsid w:val="00510D67"/>
    <w:rsid w:val="00510DB6"/>
    <w:rsid w:val="00510E27"/>
    <w:rsid w:val="00510FBD"/>
    <w:rsid w:val="005110EB"/>
    <w:rsid w:val="005111DF"/>
    <w:rsid w:val="005111EA"/>
    <w:rsid w:val="0051126F"/>
    <w:rsid w:val="0051135A"/>
    <w:rsid w:val="00511425"/>
    <w:rsid w:val="00511476"/>
    <w:rsid w:val="00511535"/>
    <w:rsid w:val="0051176A"/>
    <w:rsid w:val="00511782"/>
    <w:rsid w:val="005117D3"/>
    <w:rsid w:val="0051189B"/>
    <w:rsid w:val="00511A2C"/>
    <w:rsid w:val="00511A53"/>
    <w:rsid w:val="00511A83"/>
    <w:rsid w:val="00511A97"/>
    <w:rsid w:val="00511C07"/>
    <w:rsid w:val="00511D15"/>
    <w:rsid w:val="00511D1E"/>
    <w:rsid w:val="00511D81"/>
    <w:rsid w:val="00511F1B"/>
    <w:rsid w:val="00511FEE"/>
    <w:rsid w:val="00512079"/>
    <w:rsid w:val="005121E7"/>
    <w:rsid w:val="005122D2"/>
    <w:rsid w:val="00512428"/>
    <w:rsid w:val="00512473"/>
    <w:rsid w:val="005125B4"/>
    <w:rsid w:val="005125EA"/>
    <w:rsid w:val="005128EC"/>
    <w:rsid w:val="005129F9"/>
    <w:rsid w:val="00512C63"/>
    <w:rsid w:val="00512DBA"/>
    <w:rsid w:val="00512DED"/>
    <w:rsid w:val="00512F10"/>
    <w:rsid w:val="00512FA8"/>
    <w:rsid w:val="00513098"/>
    <w:rsid w:val="005130DC"/>
    <w:rsid w:val="00513481"/>
    <w:rsid w:val="0051351C"/>
    <w:rsid w:val="0051362B"/>
    <w:rsid w:val="0051365D"/>
    <w:rsid w:val="00513951"/>
    <w:rsid w:val="00513A85"/>
    <w:rsid w:val="00513B37"/>
    <w:rsid w:val="00513DAF"/>
    <w:rsid w:val="00513DF1"/>
    <w:rsid w:val="00513ECB"/>
    <w:rsid w:val="00513F09"/>
    <w:rsid w:val="0051402A"/>
    <w:rsid w:val="00514047"/>
    <w:rsid w:val="005140E5"/>
    <w:rsid w:val="0051428E"/>
    <w:rsid w:val="0051437F"/>
    <w:rsid w:val="00514398"/>
    <w:rsid w:val="005143CE"/>
    <w:rsid w:val="0051442D"/>
    <w:rsid w:val="00514548"/>
    <w:rsid w:val="005146A3"/>
    <w:rsid w:val="005146B8"/>
    <w:rsid w:val="00514762"/>
    <w:rsid w:val="00514A67"/>
    <w:rsid w:val="00514C51"/>
    <w:rsid w:val="00514DDD"/>
    <w:rsid w:val="00514FAB"/>
    <w:rsid w:val="00515005"/>
    <w:rsid w:val="00515078"/>
    <w:rsid w:val="005151B3"/>
    <w:rsid w:val="005151BE"/>
    <w:rsid w:val="0051530B"/>
    <w:rsid w:val="005153B0"/>
    <w:rsid w:val="0051574A"/>
    <w:rsid w:val="005158E4"/>
    <w:rsid w:val="005159DF"/>
    <w:rsid w:val="005159E8"/>
    <w:rsid w:val="005159F0"/>
    <w:rsid w:val="00515A57"/>
    <w:rsid w:val="00515D4F"/>
    <w:rsid w:val="00515ED7"/>
    <w:rsid w:val="00515EDB"/>
    <w:rsid w:val="00516052"/>
    <w:rsid w:val="00516207"/>
    <w:rsid w:val="005163C4"/>
    <w:rsid w:val="005164FE"/>
    <w:rsid w:val="0051677A"/>
    <w:rsid w:val="005169EC"/>
    <w:rsid w:val="00516B97"/>
    <w:rsid w:val="00516D71"/>
    <w:rsid w:val="00516DBB"/>
    <w:rsid w:val="00516E88"/>
    <w:rsid w:val="00516F5C"/>
    <w:rsid w:val="00516FA0"/>
    <w:rsid w:val="00516FF1"/>
    <w:rsid w:val="00517147"/>
    <w:rsid w:val="00517175"/>
    <w:rsid w:val="00517226"/>
    <w:rsid w:val="00517237"/>
    <w:rsid w:val="005172CA"/>
    <w:rsid w:val="005172DB"/>
    <w:rsid w:val="0051734F"/>
    <w:rsid w:val="00517497"/>
    <w:rsid w:val="0051750F"/>
    <w:rsid w:val="005175F3"/>
    <w:rsid w:val="005177B0"/>
    <w:rsid w:val="0051788B"/>
    <w:rsid w:val="0051789B"/>
    <w:rsid w:val="005179AB"/>
    <w:rsid w:val="005179EA"/>
    <w:rsid w:val="005179FD"/>
    <w:rsid w:val="005179FE"/>
    <w:rsid w:val="00517ABE"/>
    <w:rsid w:val="00517B2F"/>
    <w:rsid w:val="00517CAF"/>
    <w:rsid w:val="00517E76"/>
    <w:rsid w:val="00517E9E"/>
    <w:rsid w:val="00517FB1"/>
    <w:rsid w:val="00517FD2"/>
    <w:rsid w:val="00520077"/>
    <w:rsid w:val="005200D1"/>
    <w:rsid w:val="00520241"/>
    <w:rsid w:val="005202AA"/>
    <w:rsid w:val="005202CE"/>
    <w:rsid w:val="00520447"/>
    <w:rsid w:val="00520470"/>
    <w:rsid w:val="0052084C"/>
    <w:rsid w:val="0052085E"/>
    <w:rsid w:val="00520A70"/>
    <w:rsid w:val="00520AF1"/>
    <w:rsid w:val="00520BB8"/>
    <w:rsid w:val="00520BC5"/>
    <w:rsid w:val="00520BF3"/>
    <w:rsid w:val="00520C1A"/>
    <w:rsid w:val="00520C1E"/>
    <w:rsid w:val="00520C57"/>
    <w:rsid w:val="00520D0F"/>
    <w:rsid w:val="00520D52"/>
    <w:rsid w:val="00520DDE"/>
    <w:rsid w:val="00520EFB"/>
    <w:rsid w:val="00520F45"/>
    <w:rsid w:val="0052113B"/>
    <w:rsid w:val="0052114A"/>
    <w:rsid w:val="0052118C"/>
    <w:rsid w:val="0052128F"/>
    <w:rsid w:val="0052135A"/>
    <w:rsid w:val="0052148F"/>
    <w:rsid w:val="005214BF"/>
    <w:rsid w:val="00521539"/>
    <w:rsid w:val="00521667"/>
    <w:rsid w:val="00521750"/>
    <w:rsid w:val="005217E1"/>
    <w:rsid w:val="0052183B"/>
    <w:rsid w:val="00521928"/>
    <w:rsid w:val="00521C55"/>
    <w:rsid w:val="00521D8D"/>
    <w:rsid w:val="00521DAD"/>
    <w:rsid w:val="0052202F"/>
    <w:rsid w:val="0052211A"/>
    <w:rsid w:val="0052213E"/>
    <w:rsid w:val="005221F8"/>
    <w:rsid w:val="00522262"/>
    <w:rsid w:val="005222C4"/>
    <w:rsid w:val="0052246C"/>
    <w:rsid w:val="00522471"/>
    <w:rsid w:val="0052274E"/>
    <w:rsid w:val="0052284C"/>
    <w:rsid w:val="00522884"/>
    <w:rsid w:val="00522891"/>
    <w:rsid w:val="005228AB"/>
    <w:rsid w:val="005228B3"/>
    <w:rsid w:val="0052296C"/>
    <w:rsid w:val="005229DF"/>
    <w:rsid w:val="00522A3B"/>
    <w:rsid w:val="00522CB1"/>
    <w:rsid w:val="0052301E"/>
    <w:rsid w:val="0052302A"/>
    <w:rsid w:val="00523252"/>
    <w:rsid w:val="005235C3"/>
    <w:rsid w:val="00523621"/>
    <w:rsid w:val="00523628"/>
    <w:rsid w:val="005236B8"/>
    <w:rsid w:val="00523857"/>
    <w:rsid w:val="00523880"/>
    <w:rsid w:val="005239F6"/>
    <w:rsid w:val="00523BBD"/>
    <w:rsid w:val="00523C73"/>
    <w:rsid w:val="00523C75"/>
    <w:rsid w:val="00523C79"/>
    <w:rsid w:val="00523D82"/>
    <w:rsid w:val="00523E51"/>
    <w:rsid w:val="00523E9E"/>
    <w:rsid w:val="00523ED1"/>
    <w:rsid w:val="00523F3A"/>
    <w:rsid w:val="00523FED"/>
    <w:rsid w:val="00524039"/>
    <w:rsid w:val="005242AB"/>
    <w:rsid w:val="005242DC"/>
    <w:rsid w:val="00524421"/>
    <w:rsid w:val="00524463"/>
    <w:rsid w:val="0052447F"/>
    <w:rsid w:val="00524654"/>
    <w:rsid w:val="005246A6"/>
    <w:rsid w:val="00524782"/>
    <w:rsid w:val="00524823"/>
    <w:rsid w:val="0052482B"/>
    <w:rsid w:val="0052488C"/>
    <w:rsid w:val="00524AB4"/>
    <w:rsid w:val="00524D45"/>
    <w:rsid w:val="005250C3"/>
    <w:rsid w:val="0052522D"/>
    <w:rsid w:val="0052523F"/>
    <w:rsid w:val="005254C2"/>
    <w:rsid w:val="0052566D"/>
    <w:rsid w:val="0052568C"/>
    <w:rsid w:val="00525767"/>
    <w:rsid w:val="00525927"/>
    <w:rsid w:val="0052592E"/>
    <w:rsid w:val="00525A5D"/>
    <w:rsid w:val="00525A98"/>
    <w:rsid w:val="00525CA7"/>
    <w:rsid w:val="00525F36"/>
    <w:rsid w:val="00525F5A"/>
    <w:rsid w:val="00526221"/>
    <w:rsid w:val="00526305"/>
    <w:rsid w:val="00526356"/>
    <w:rsid w:val="00526442"/>
    <w:rsid w:val="00526582"/>
    <w:rsid w:val="00526594"/>
    <w:rsid w:val="00526648"/>
    <w:rsid w:val="0052669F"/>
    <w:rsid w:val="005266F5"/>
    <w:rsid w:val="005267F9"/>
    <w:rsid w:val="005268C7"/>
    <w:rsid w:val="00526993"/>
    <w:rsid w:val="00526AC1"/>
    <w:rsid w:val="00526D57"/>
    <w:rsid w:val="00526E25"/>
    <w:rsid w:val="00526F55"/>
    <w:rsid w:val="00526FC1"/>
    <w:rsid w:val="0052707A"/>
    <w:rsid w:val="005275C6"/>
    <w:rsid w:val="005276F9"/>
    <w:rsid w:val="0052779A"/>
    <w:rsid w:val="00527A68"/>
    <w:rsid w:val="00527AA2"/>
    <w:rsid w:val="00527AC3"/>
    <w:rsid w:val="00527AFE"/>
    <w:rsid w:val="00527C05"/>
    <w:rsid w:val="00527E6B"/>
    <w:rsid w:val="00527EA5"/>
    <w:rsid w:val="00527F8A"/>
    <w:rsid w:val="00530057"/>
    <w:rsid w:val="00530370"/>
    <w:rsid w:val="0053053F"/>
    <w:rsid w:val="00530755"/>
    <w:rsid w:val="00530892"/>
    <w:rsid w:val="005309E1"/>
    <w:rsid w:val="00530AAA"/>
    <w:rsid w:val="00530B74"/>
    <w:rsid w:val="00530C6B"/>
    <w:rsid w:val="00530E9F"/>
    <w:rsid w:val="0053101D"/>
    <w:rsid w:val="0053105A"/>
    <w:rsid w:val="005311E6"/>
    <w:rsid w:val="005312EB"/>
    <w:rsid w:val="0053150B"/>
    <w:rsid w:val="00531576"/>
    <w:rsid w:val="005315A7"/>
    <w:rsid w:val="00531651"/>
    <w:rsid w:val="005316C0"/>
    <w:rsid w:val="005319AF"/>
    <w:rsid w:val="00531A13"/>
    <w:rsid w:val="00531B92"/>
    <w:rsid w:val="00531D22"/>
    <w:rsid w:val="00531DCF"/>
    <w:rsid w:val="00531F3B"/>
    <w:rsid w:val="0053200A"/>
    <w:rsid w:val="0053223C"/>
    <w:rsid w:val="005323D2"/>
    <w:rsid w:val="005324C5"/>
    <w:rsid w:val="005325C2"/>
    <w:rsid w:val="005325CD"/>
    <w:rsid w:val="005326AF"/>
    <w:rsid w:val="0053270D"/>
    <w:rsid w:val="00532739"/>
    <w:rsid w:val="00532759"/>
    <w:rsid w:val="00532813"/>
    <w:rsid w:val="00532DC7"/>
    <w:rsid w:val="00532EE9"/>
    <w:rsid w:val="00532F4D"/>
    <w:rsid w:val="005330E5"/>
    <w:rsid w:val="00533430"/>
    <w:rsid w:val="00533596"/>
    <w:rsid w:val="005335D6"/>
    <w:rsid w:val="005335F5"/>
    <w:rsid w:val="00533600"/>
    <w:rsid w:val="005336DB"/>
    <w:rsid w:val="005337E7"/>
    <w:rsid w:val="0053399A"/>
    <w:rsid w:val="00533CEA"/>
    <w:rsid w:val="00533E3A"/>
    <w:rsid w:val="00533E67"/>
    <w:rsid w:val="00533EB2"/>
    <w:rsid w:val="00533F4D"/>
    <w:rsid w:val="00533FEC"/>
    <w:rsid w:val="00534036"/>
    <w:rsid w:val="005340A6"/>
    <w:rsid w:val="005341F9"/>
    <w:rsid w:val="00534282"/>
    <w:rsid w:val="0053442C"/>
    <w:rsid w:val="00534498"/>
    <w:rsid w:val="005344C9"/>
    <w:rsid w:val="005344D9"/>
    <w:rsid w:val="005344F7"/>
    <w:rsid w:val="0053463C"/>
    <w:rsid w:val="00534682"/>
    <w:rsid w:val="00534984"/>
    <w:rsid w:val="00534AEF"/>
    <w:rsid w:val="00534B95"/>
    <w:rsid w:val="00534CD3"/>
    <w:rsid w:val="00534DE3"/>
    <w:rsid w:val="00534EAF"/>
    <w:rsid w:val="005351E2"/>
    <w:rsid w:val="005351EE"/>
    <w:rsid w:val="00535328"/>
    <w:rsid w:val="0053535A"/>
    <w:rsid w:val="00535410"/>
    <w:rsid w:val="00535615"/>
    <w:rsid w:val="00535625"/>
    <w:rsid w:val="00535685"/>
    <w:rsid w:val="005358C3"/>
    <w:rsid w:val="005359A2"/>
    <w:rsid w:val="00535A5E"/>
    <w:rsid w:val="00535CFC"/>
    <w:rsid w:val="00535DE3"/>
    <w:rsid w:val="00535E59"/>
    <w:rsid w:val="00535F5A"/>
    <w:rsid w:val="00535FE5"/>
    <w:rsid w:val="0053631C"/>
    <w:rsid w:val="005368C6"/>
    <w:rsid w:val="00536911"/>
    <w:rsid w:val="00536967"/>
    <w:rsid w:val="00536A89"/>
    <w:rsid w:val="00536C4A"/>
    <w:rsid w:val="00536D6E"/>
    <w:rsid w:val="00536D97"/>
    <w:rsid w:val="00536DB3"/>
    <w:rsid w:val="00536DBA"/>
    <w:rsid w:val="00536DFB"/>
    <w:rsid w:val="00536E9D"/>
    <w:rsid w:val="005370A9"/>
    <w:rsid w:val="0053715F"/>
    <w:rsid w:val="00537229"/>
    <w:rsid w:val="005372B4"/>
    <w:rsid w:val="0053732F"/>
    <w:rsid w:val="005373C2"/>
    <w:rsid w:val="00537670"/>
    <w:rsid w:val="00537707"/>
    <w:rsid w:val="00537A7A"/>
    <w:rsid w:val="00537B5D"/>
    <w:rsid w:val="00537B67"/>
    <w:rsid w:val="00537CCD"/>
    <w:rsid w:val="00537D25"/>
    <w:rsid w:val="00537E1F"/>
    <w:rsid w:val="0054007D"/>
    <w:rsid w:val="00540089"/>
    <w:rsid w:val="00540104"/>
    <w:rsid w:val="00540268"/>
    <w:rsid w:val="005402E9"/>
    <w:rsid w:val="00540395"/>
    <w:rsid w:val="005403E6"/>
    <w:rsid w:val="0054058E"/>
    <w:rsid w:val="005405CB"/>
    <w:rsid w:val="005405DD"/>
    <w:rsid w:val="0054065E"/>
    <w:rsid w:val="005406AD"/>
    <w:rsid w:val="005407D2"/>
    <w:rsid w:val="00540906"/>
    <w:rsid w:val="0054097B"/>
    <w:rsid w:val="00540993"/>
    <w:rsid w:val="00540B82"/>
    <w:rsid w:val="00540BE7"/>
    <w:rsid w:val="00540BF5"/>
    <w:rsid w:val="00540E26"/>
    <w:rsid w:val="00540F60"/>
    <w:rsid w:val="00540FA5"/>
    <w:rsid w:val="0054111A"/>
    <w:rsid w:val="0054115B"/>
    <w:rsid w:val="00541298"/>
    <w:rsid w:val="005412A9"/>
    <w:rsid w:val="00541379"/>
    <w:rsid w:val="00541643"/>
    <w:rsid w:val="0054182A"/>
    <w:rsid w:val="00541AF3"/>
    <w:rsid w:val="00541E49"/>
    <w:rsid w:val="00541E6E"/>
    <w:rsid w:val="0054219C"/>
    <w:rsid w:val="00542206"/>
    <w:rsid w:val="00542258"/>
    <w:rsid w:val="005423F3"/>
    <w:rsid w:val="00542448"/>
    <w:rsid w:val="0054266C"/>
    <w:rsid w:val="00542748"/>
    <w:rsid w:val="0054276C"/>
    <w:rsid w:val="00542830"/>
    <w:rsid w:val="005429FD"/>
    <w:rsid w:val="00542AE6"/>
    <w:rsid w:val="00542C14"/>
    <w:rsid w:val="00542C75"/>
    <w:rsid w:val="00542F58"/>
    <w:rsid w:val="00542FA3"/>
    <w:rsid w:val="00543024"/>
    <w:rsid w:val="00543031"/>
    <w:rsid w:val="0054320C"/>
    <w:rsid w:val="005432F1"/>
    <w:rsid w:val="00543386"/>
    <w:rsid w:val="00543411"/>
    <w:rsid w:val="00543566"/>
    <w:rsid w:val="005435AF"/>
    <w:rsid w:val="0054361D"/>
    <w:rsid w:val="0054374A"/>
    <w:rsid w:val="00543858"/>
    <w:rsid w:val="00543C5C"/>
    <w:rsid w:val="00543D0B"/>
    <w:rsid w:val="00543D9F"/>
    <w:rsid w:val="00543DA3"/>
    <w:rsid w:val="00543FBF"/>
    <w:rsid w:val="0054401B"/>
    <w:rsid w:val="00544052"/>
    <w:rsid w:val="005440CE"/>
    <w:rsid w:val="0054422B"/>
    <w:rsid w:val="005443D2"/>
    <w:rsid w:val="005444F8"/>
    <w:rsid w:val="005445DA"/>
    <w:rsid w:val="005445E9"/>
    <w:rsid w:val="0054467A"/>
    <w:rsid w:val="0054475B"/>
    <w:rsid w:val="00544778"/>
    <w:rsid w:val="00544C12"/>
    <w:rsid w:val="00544CA8"/>
    <w:rsid w:val="00544D3A"/>
    <w:rsid w:val="00544E9B"/>
    <w:rsid w:val="00544FAC"/>
    <w:rsid w:val="00545096"/>
    <w:rsid w:val="0054514B"/>
    <w:rsid w:val="005454FA"/>
    <w:rsid w:val="0054566D"/>
    <w:rsid w:val="0054584D"/>
    <w:rsid w:val="00545AA7"/>
    <w:rsid w:val="00545D5B"/>
    <w:rsid w:val="00545FA7"/>
    <w:rsid w:val="00545FD7"/>
    <w:rsid w:val="00546203"/>
    <w:rsid w:val="00546460"/>
    <w:rsid w:val="0054681D"/>
    <w:rsid w:val="00546931"/>
    <w:rsid w:val="005469B5"/>
    <w:rsid w:val="005469C7"/>
    <w:rsid w:val="005469E2"/>
    <w:rsid w:val="00546B51"/>
    <w:rsid w:val="00546B9F"/>
    <w:rsid w:val="00546C9B"/>
    <w:rsid w:val="00546CE6"/>
    <w:rsid w:val="00546F96"/>
    <w:rsid w:val="00547067"/>
    <w:rsid w:val="00547153"/>
    <w:rsid w:val="0054721A"/>
    <w:rsid w:val="00547411"/>
    <w:rsid w:val="00547481"/>
    <w:rsid w:val="00547537"/>
    <w:rsid w:val="00547861"/>
    <w:rsid w:val="00547888"/>
    <w:rsid w:val="005478CB"/>
    <w:rsid w:val="0054790B"/>
    <w:rsid w:val="005479EC"/>
    <w:rsid w:val="00547CDC"/>
    <w:rsid w:val="00547F78"/>
    <w:rsid w:val="005502CD"/>
    <w:rsid w:val="005506C9"/>
    <w:rsid w:val="0055073C"/>
    <w:rsid w:val="00550831"/>
    <w:rsid w:val="00550961"/>
    <w:rsid w:val="00550AFD"/>
    <w:rsid w:val="00550B78"/>
    <w:rsid w:val="00550BF0"/>
    <w:rsid w:val="00550C7A"/>
    <w:rsid w:val="00550DE7"/>
    <w:rsid w:val="00550DE8"/>
    <w:rsid w:val="00550FDD"/>
    <w:rsid w:val="00551068"/>
    <w:rsid w:val="0055106E"/>
    <w:rsid w:val="00551284"/>
    <w:rsid w:val="005512F6"/>
    <w:rsid w:val="005515E3"/>
    <w:rsid w:val="005516E9"/>
    <w:rsid w:val="005516EB"/>
    <w:rsid w:val="005517DF"/>
    <w:rsid w:val="0055189E"/>
    <w:rsid w:val="005519D7"/>
    <w:rsid w:val="00551B21"/>
    <w:rsid w:val="00551CBB"/>
    <w:rsid w:val="0055204C"/>
    <w:rsid w:val="0055226B"/>
    <w:rsid w:val="0055226D"/>
    <w:rsid w:val="0055226F"/>
    <w:rsid w:val="005523B0"/>
    <w:rsid w:val="00552533"/>
    <w:rsid w:val="0055258E"/>
    <w:rsid w:val="005528B4"/>
    <w:rsid w:val="0055291B"/>
    <w:rsid w:val="00552980"/>
    <w:rsid w:val="00552985"/>
    <w:rsid w:val="005529AE"/>
    <w:rsid w:val="00552A89"/>
    <w:rsid w:val="00552C8C"/>
    <w:rsid w:val="0055309E"/>
    <w:rsid w:val="005530A1"/>
    <w:rsid w:val="005531F5"/>
    <w:rsid w:val="0055322D"/>
    <w:rsid w:val="005534D2"/>
    <w:rsid w:val="0055362E"/>
    <w:rsid w:val="00553719"/>
    <w:rsid w:val="00553792"/>
    <w:rsid w:val="005537D5"/>
    <w:rsid w:val="00553C3B"/>
    <w:rsid w:val="00553EDD"/>
    <w:rsid w:val="00554089"/>
    <w:rsid w:val="00554249"/>
    <w:rsid w:val="00554265"/>
    <w:rsid w:val="00554425"/>
    <w:rsid w:val="005546D8"/>
    <w:rsid w:val="005546E4"/>
    <w:rsid w:val="005547CC"/>
    <w:rsid w:val="00554A53"/>
    <w:rsid w:val="00554C66"/>
    <w:rsid w:val="00554E89"/>
    <w:rsid w:val="00554F3F"/>
    <w:rsid w:val="0055503F"/>
    <w:rsid w:val="005550A8"/>
    <w:rsid w:val="00555230"/>
    <w:rsid w:val="0055529D"/>
    <w:rsid w:val="005552AA"/>
    <w:rsid w:val="005554DC"/>
    <w:rsid w:val="005556B9"/>
    <w:rsid w:val="00555743"/>
    <w:rsid w:val="005557C8"/>
    <w:rsid w:val="005558D6"/>
    <w:rsid w:val="00555A70"/>
    <w:rsid w:val="00555AC0"/>
    <w:rsid w:val="00555B2B"/>
    <w:rsid w:val="00555B7A"/>
    <w:rsid w:val="00555BD1"/>
    <w:rsid w:val="00555EF9"/>
    <w:rsid w:val="00555F32"/>
    <w:rsid w:val="0055605B"/>
    <w:rsid w:val="0055606F"/>
    <w:rsid w:val="00556389"/>
    <w:rsid w:val="00556712"/>
    <w:rsid w:val="005567A3"/>
    <w:rsid w:val="00556810"/>
    <w:rsid w:val="00556857"/>
    <w:rsid w:val="005568CD"/>
    <w:rsid w:val="0055697E"/>
    <w:rsid w:val="00556985"/>
    <w:rsid w:val="00556A03"/>
    <w:rsid w:val="00556AAD"/>
    <w:rsid w:val="00556D38"/>
    <w:rsid w:val="00556D7A"/>
    <w:rsid w:val="00556D91"/>
    <w:rsid w:val="00556E33"/>
    <w:rsid w:val="00557089"/>
    <w:rsid w:val="0055711A"/>
    <w:rsid w:val="00557298"/>
    <w:rsid w:val="00557449"/>
    <w:rsid w:val="005574CF"/>
    <w:rsid w:val="005575A3"/>
    <w:rsid w:val="005575B2"/>
    <w:rsid w:val="005577AA"/>
    <w:rsid w:val="0055789F"/>
    <w:rsid w:val="00557943"/>
    <w:rsid w:val="00557949"/>
    <w:rsid w:val="005579D0"/>
    <w:rsid w:val="00557AAC"/>
    <w:rsid w:val="00557AD7"/>
    <w:rsid w:val="00557CD4"/>
    <w:rsid w:val="005600A1"/>
    <w:rsid w:val="00560126"/>
    <w:rsid w:val="00560187"/>
    <w:rsid w:val="00560238"/>
    <w:rsid w:val="005603F8"/>
    <w:rsid w:val="005604E2"/>
    <w:rsid w:val="005605F7"/>
    <w:rsid w:val="00560764"/>
    <w:rsid w:val="00560A36"/>
    <w:rsid w:val="00560C04"/>
    <w:rsid w:val="00560CED"/>
    <w:rsid w:val="00560D27"/>
    <w:rsid w:val="00560DAF"/>
    <w:rsid w:val="005615C9"/>
    <w:rsid w:val="00561A58"/>
    <w:rsid w:val="00561A78"/>
    <w:rsid w:val="00561ACA"/>
    <w:rsid w:val="00561B4E"/>
    <w:rsid w:val="00561C44"/>
    <w:rsid w:val="00561C7A"/>
    <w:rsid w:val="00561ED0"/>
    <w:rsid w:val="00561FCF"/>
    <w:rsid w:val="00562078"/>
    <w:rsid w:val="0056215A"/>
    <w:rsid w:val="005621AD"/>
    <w:rsid w:val="005621C3"/>
    <w:rsid w:val="005622F5"/>
    <w:rsid w:val="005624E9"/>
    <w:rsid w:val="00562530"/>
    <w:rsid w:val="005625EB"/>
    <w:rsid w:val="00562770"/>
    <w:rsid w:val="0056286D"/>
    <w:rsid w:val="00562998"/>
    <w:rsid w:val="00562C78"/>
    <w:rsid w:val="00562ED3"/>
    <w:rsid w:val="00562FF7"/>
    <w:rsid w:val="00563004"/>
    <w:rsid w:val="00563127"/>
    <w:rsid w:val="0056369F"/>
    <w:rsid w:val="005636D3"/>
    <w:rsid w:val="005637F6"/>
    <w:rsid w:val="00563B59"/>
    <w:rsid w:val="00563B9A"/>
    <w:rsid w:val="00563BE7"/>
    <w:rsid w:val="00563D5B"/>
    <w:rsid w:val="00563D98"/>
    <w:rsid w:val="00563EB8"/>
    <w:rsid w:val="00564358"/>
    <w:rsid w:val="00564493"/>
    <w:rsid w:val="0056451C"/>
    <w:rsid w:val="0056477F"/>
    <w:rsid w:val="005647B5"/>
    <w:rsid w:val="005648B2"/>
    <w:rsid w:val="00564EF7"/>
    <w:rsid w:val="00565204"/>
    <w:rsid w:val="0056523E"/>
    <w:rsid w:val="005654AC"/>
    <w:rsid w:val="0056555C"/>
    <w:rsid w:val="00565678"/>
    <w:rsid w:val="00565708"/>
    <w:rsid w:val="005657E8"/>
    <w:rsid w:val="00565833"/>
    <w:rsid w:val="0056591A"/>
    <w:rsid w:val="00565A75"/>
    <w:rsid w:val="00565B16"/>
    <w:rsid w:val="00565EF7"/>
    <w:rsid w:val="005660C4"/>
    <w:rsid w:val="00566179"/>
    <w:rsid w:val="005664EB"/>
    <w:rsid w:val="005665CA"/>
    <w:rsid w:val="005665E1"/>
    <w:rsid w:val="0056672D"/>
    <w:rsid w:val="005667A4"/>
    <w:rsid w:val="005669C2"/>
    <w:rsid w:val="005669E0"/>
    <w:rsid w:val="00566AC8"/>
    <w:rsid w:val="00566DA1"/>
    <w:rsid w:val="00566DEC"/>
    <w:rsid w:val="00566E31"/>
    <w:rsid w:val="00566E59"/>
    <w:rsid w:val="00566F5F"/>
    <w:rsid w:val="00567364"/>
    <w:rsid w:val="00567464"/>
    <w:rsid w:val="00567510"/>
    <w:rsid w:val="005676C0"/>
    <w:rsid w:val="00567820"/>
    <w:rsid w:val="0056782D"/>
    <w:rsid w:val="00567A49"/>
    <w:rsid w:val="00567A8B"/>
    <w:rsid w:val="00567B3F"/>
    <w:rsid w:val="00567C9C"/>
    <w:rsid w:val="00567CCA"/>
    <w:rsid w:val="00567E1C"/>
    <w:rsid w:val="005702AC"/>
    <w:rsid w:val="005703A0"/>
    <w:rsid w:val="00570542"/>
    <w:rsid w:val="0057082B"/>
    <w:rsid w:val="005708A0"/>
    <w:rsid w:val="00570A24"/>
    <w:rsid w:val="00570E2D"/>
    <w:rsid w:val="00570F1A"/>
    <w:rsid w:val="00570F64"/>
    <w:rsid w:val="00571027"/>
    <w:rsid w:val="005711AA"/>
    <w:rsid w:val="005711B8"/>
    <w:rsid w:val="005714EF"/>
    <w:rsid w:val="00571599"/>
    <w:rsid w:val="005715A8"/>
    <w:rsid w:val="00571629"/>
    <w:rsid w:val="005716B0"/>
    <w:rsid w:val="0057184E"/>
    <w:rsid w:val="0057188A"/>
    <w:rsid w:val="005718A3"/>
    <w:rsid w:val="00571A06"/>
    <w:rsid w:val="00571A87"/>
    <w:rsid w:val="00571B39"/>
    <w:rsid w:val="00571B6D"/>
    <w:rsid w:val="00571BA8"/>
    <w:rsid w:val="00571BFB"/>
    <w:rsid w:val="00571CC9"/>
    <w:rsid w:val="00571D8A"/>
    <w:rsid w:val="00571E67"/>
    <w:rsid w:val="00571EAC"/>
    <w:rsid w:val="00571EAD"/>
    <w:rsid w:val="00571FCE"/>
    <w:rsid w:val="00572045"/>
    <w:rsid w:val="00572119"/>
    <w:rsid w:val="00572483"/>
    <w:rsid w:val="0057249F"/>
    <w:rsid w:val="00572512"/>
    <w:rsid w:val="0057275F"/>
    <w:rsid w:val="00572926"/>
    <w:rsid w:val="00572955"/>
    <w:rsid w:val="00572956"/>
    <w:rsid w:val="00572A68"/>
    <w:rsid w:val="00572B5C"/>
    <w:rsid w:val="00572B81"/>
    <w:rsid w:val="00572CF9"/>
    <w:rsid w:val="00572DC0"/>
    <w:rsid w:val="00572DCD"/>
    <w:rsid w:val="00573042"/>
    <w:rsid w:val="00573149"/>
    <w:rsid w:val="005731BF"/>
    <w:rsid w:val="00573396"/>
    <w:rsid w:val="005733D5"/>
    <w:rsid w:val="0057357C"/>
    <w:rsid w:val="0057371D"/>
    <w:rsid w:val="00573D16"/>
    <w:rsid w:val="00573F2E"/>
    <w:rsid w:val="00573F83"/>
    <w:rsid w:val="005740AC"/>
    <w:rsid w:val="005741C4"/>
    <w:rsid w:val="00574224"/>
    <w:rsid w:val="0057443E"/>
    <w:rsid w:val="005745C4"/>
    <w:rsid w:val="005745CA"/>
    <w:rsid w:val="005746EE"/>
    <w:rsid w:val="00574726"/>
    <w:rsid w:val="00574953"/>
    <w:rsid w:val="00574998"/>
    <w:rsid w:val="00574CE9"/>
    <w:rsid w:val="00574DA1"/>
    <w:rsid w:val="00574E2B"/>
    <w:rsid w:val="00575086"/>
    <w:rsid w:val="005750E0"/>
    <w:rsid w:val="005750EF"/>
    <w:rsid w:val="005752E6"/>
    <w:rsid w:val="005754EA"/>
    <w:rsid w:val="0057556E"/>
    <w:rsid w:val="00575584"/>
    <w:rsid w:val="00575783"/>
    <w:rsid w:val="005757FA"/>
    <w:rsid w:val="00575B8E"/>
    <w:rsid w:val="00575E3E"/>
    <w:rsid w:val="00575E46"/>
    <w:rsid w:val="00575FA3"/>
    <w:rsid w:val="00575FFA"/>
    <w:rsid w:val="00576152"/>
    <w:rsid w:val="005761D4"/>
    <w:rsid w:val="0057623E"/>
    <w:rsid w:val="0057630D"/>
    <w:rsid w:val="005763F9"/>
    <w:rsid w:val="00576537"/>
    <w:rsid w:val="00576578"/>
    <w:rsid w:val="005765EA"/>
    <w:rsid w:val="0057670E"/>
    <w:rsid w:val="00576925"/>
    <w:rsid w:val="005769D5"/>
    <w:rsid w:val="00576BA9"/>
    <w:rsid w:val="00576EED"/>
    <w:rsid w:val="00576FF8"/>
    <w:rsid w:val="005770E7"/>
    <w:rsid w:val="00577108"/>
    <w:rsid w:val="00577172"/>
    <w:rsid w:val="00577292"/>
    <w:rsid w:val="005773C3"/>
    <w:rsid w:val="00577544"/>
    <w:rsid w:val="005775B0"/>
    <w:rsid w:val="0057763D"/>
    <w:rsid w:val="005776A1"/>
    <w:rsid w:val="005777BC"/>
    <w:rsid w:val="00577ABF"/>
    <w:rsid w:val="00577B21"/>
    <w:rsid w:val="00577D0D"/>
    <w:rsid w:val="00577F1E"/>
    <w:rsid w:val="00577F6A"/>
    <w:rsid w:val="005800EB"/>
    <w:rsid w:val="0058024D"/>
    <w:rsid w:val="00580289"/>
    <w:rsid w:val="00580835"/>
    <w:rsid w:val="005808BF"/>
    <w:rsid w:val="0058092A"/>
    <w:rsid w:val="00580A71"/>
    <w:rsid w:val="00580A7A"/>
    <w:rsid w:val="00580B65"/>
    <w:rsid w:val="00580BF4"/>
    <w:rsid w:val="00580F8B"/>
    <w:rsid w:val="00580FB4"/>
    <w:rsid w:val="00580FB7"/>
    <w:rsid w:val="00581061"/>
    <w:rsid w:val="0058128B"/>
    <w:rsid w:val="0058177C"/>
    <w:rsid w:val="005817FE"/>
    <w:rsid w:val="00581B04"/>
    <w:rsid w:val="00581BF3"/>
    <w:rsid w:val="00581EAF"/>
    <w:rsid w:val="00581EC8"/>
    <w:rsid w:val="00581FE2"/>
    <w:rsid w:val="0058206B"/>
    <w:rsid w:val="0058224E"/>
    <w:rsid w:val="005827B0"/>
    <w:rsid w:val="0058289D"/>
    <w:rsid w:val="005829F0"/>
    <w:rsid w:val="00582ADE"/>
    <w:rsid w:val="00582AE8"/>
    <w:rsid w:val="00582B57"/>
    <w:rsid w:val="00582E06"/>
    <w:rsid w:val="00582E71"/>
    <w:rsid w:val="00582FC7"/>
    <w:rsid w:val="00583147"/>
    <w:rsid w:val="005831E3"/>
    <w:rsid w:val="00583230"/>
    <w:rsid w:val="0058343A"/>
    <w:rsid w:val="005834EE"/>
    <w:rsid w:val="00583518"/>
    <w:rsid w:val="005836F2"/>
    <w:rsid w:val="0058381F"/>
    <w:rsid w:val="005838DD"/>
    <w:rsid w:val="0058390E"/>
    <w:rsid w:val="005839F7"/>
    <w:rsid w:val="00583A8F"/>
    <w:rsid w:val="00583AA4"/>
    <w:rsid w:val="00583AE4"/>
    <w:rsid w:val="0058409E"/>
    <w:rsid w:val="005842D7"/>
    <w:rsid w:val="0058434F"/>
    <w:rsid w:val="0058442D"/>
    <w:rsid w:val="0058455E"/>
    <w:rsid w:val="0058468D"/>
    <w:rsid w:val="005846FD"/>
    <w:rsid w:val="005848D4"/>
    <w:rsid w:val="005849F1"/>
    <w:rsid w:val="00584A19"/>
    <w:rsid w:val="00584C3C"/>
    <w:rsid w:val="00584C55"/>
    <w:rsid w:val="00584F27"/>
    <w:rsid w:val="0058516D"/>
    <w:rsid w:val="00585242"/>
    <w:rsid w:val="00585319"/>
    <w:rsid w:val="00585401"/>
    <w:rsid w:val="0058564C"/>
    <w:rsid w:val="00585844"/>
    <w:rsid w:val="005858D4"/>
    <w:rsid w:val="005859A7"/>
    <w:rsid w:val="00585B89"/>
    <w:rsid w:val="00585BA5"/>
    <w:rsid w:val="00585D0A"/>
    <w:rsid w:val="00585E24"/>
    <w:rsid w:val="00585F3B"/>
    <w:rsid w:val="00586204"/>
    <w:rsid w:val="00586230"/>
    <w:rsid w:val="005862BD"/>
    <w:rsid w:val="005863B1"/>
    <w:rsid w:val="00586568"/>
    <w:rsid w:val="0058671F"/>
    <w:rsid w:val="0058674F"/>
    <w:rsid w:val="0058697E"/>
    <w:rsid w:val="00586A37"/>
    <w:rsid w:val="00586C55"/>
    <w:rsid w:val="00586D5C"/>
    <w:rsid w:val="00586D5F"/>
    <w:rsid w:val="005870D8"/>
    <w:rsid w:val="005870E8"/>
    <w:rsid w:val="005871E6"/>
    <w:rsid w:val="005872DD"/>
    <w:rsid w:val="005873AB"/>
    <w:rsid w:val="00587597"/>
    <w:rsid w:val="00587604"/>
    <w:rsid w:val="005876E9"/>
    <w:rsid w:val="00587725"/>
    <w:rsid w:val="005877F8"/>
    <w:rsid w:val="00587820"/>
    <w:rsid w:val="00587A56"/>
    <w:rsid w:val="00587BA7"/>
    <w:rsid w:val="00587DA4"/>
    <w:rsid w:val="00587F66"/>
    <w:rsid w:val="00590000"/>
    <w:rsid w:val="0059004D"/>
    <w:rsid w:val="00590113"/>
    <w:rsid w:val="00590347"/>
    <w:rsid w:val="00590631"/>
    <w:rsid w:val="00590684"/>
    <w:rsid w:val="00590E63"/>
    <w:rsid w:val="00590ED8"/>
    <w:rsid w:val="00591070"/>
    <w:rsid w:val="005911F5"/>
    <w:rsid w:val="005913E6"/>
    <w:rsid w:val="005917C8"/>
    <w:rsid w:val="005917CB"/>
    <w:rsid w:val="00591934"/>
    <w:rsid w:val="00591944"/>
    <w:rsid w:val="00591C01"/>
    <w:rsid w:val="00591E1E"/>
    <w:rsid w:val="00591E24"/>
    <w:rsid w:val="00591E29"/>
    <w:rsid w:val="00591E80"/>
    <w:rsid w:val="005920F6"/>
    <w:rsid w:val="0059213F"/>
    <w:rsid w:val="005921A2"/>
    <w:rsid w:val="00592218"/>
    <w:rsid w:val="00592371"/>
    <w:rsid w:val="0059244A"/>
    <w:rsid w:val="0059253B"/>
    <w:rsid w:val="005926BB"/>
    <w:rsid w:val="00592869"/>
    <w:rsid w:val="00592929"/>
    <w:rsid w:val="00592B4D"/>
    <w:rsid w:val="00592BA6"/>
    <w:rsid w:val="00592CB8"/>
    <w:rsid w:val="00592FAA"/>
    <w:rsid w:val="00593197"/>
    <w:rsid w:val="00593199"/>
    <w:rsid w:val="005933F3"/>
    <w:rsid w:val="00593421"/>
    <w:rsid w:val="0059348A"/>
    <w:rsid w:val="005934EE"/>
    <w:rsid w:val="005935EC"/>
    <w:rsid w:val="005937A1"/>
    <w:rsid w:val="005938DE"/>
    <w:rsid w:val="00593C9D"/>
    <w:rsid w:val="00593D2F"/>
    <w:rsid w:val="00593EE8"/>
    <w:rsid w:val="00593F6B"/>
    <w:rsid w:val="00593F93"/>
    <w:rsid w:val="0059407A"/>
    <w:rsid w:val="005941E9"/>
    <w:rsid w:val="005942C4"/>
    <w:rsid w:val="005942F4"/>
    <w:rsid w:val="00594569"/>
    <w:rsid w:val="005946D5"/>
    <w:rsid w:val="0059485E"/>
    <w:rsid w:val="00594C6C"/>
    <w:rsid w:val="00594E8F"/>
    <w:rsid w:val="00594E9B"/>
    <w:rsid w:val="00594F32"/>
    <w:rsid w:val="00594F78"/>
    <w:rsid w:val="00595217"/>
    <w:rsid w:val="00595456"/>
    <w:rsid w:val="0059559F"/>
    <w:rsid w:val="005957DF"/>
    <w:rsid w:val="00595834"/>
    <w:rsid w:val="005959BD"/>
    <w:rsid w:val="00595A05"/>
    <w:rsid w:val="0059609A"/>
    <w:rsid w:val="0059613D"/>
    <w:rsid w:val="0059619B"/>
    <w:rsid w:val="005961CB"/>
    <w:rsid w:val="0059638B"/>
    <w:rsid w:val="00596402"/>
    <w:rsid w:val="0059648C"/>
    <w:rsid w:val="00596784"/>
    <w:rsid w:val="00596801"/>
    <w:rsid w:val="00596B4E"/>
    <w:rsid w:val="00596E84"/>
    <w:rsid w:val="00597022"/>
    <w:rsid w:val="0059707F"/>
    <w:rsid w:val="005973F3"/>
    <w:rsid w:val="0059745A"/>
    <w:rsid w:val="0059747A"/>
    <w:rsid w:val="005974DC"/>
    <w:rsid w:val="005975F2"/>
    <w:rsid w:val="0059780D"/>
    <w:rsid w:val="005978C4"/>
    <w:rsid w:val="00597903"/>
    <w:rsid w:val="005979C3"/>
    <w:rsid w:val="00597CAF"/>
    <w:rsid w:val="00597D61"/>
    <w:rsid w:val="00597E44"/>
    <w:rsid w:val="00597E4A"/>
    <w:rsid w:val="005A0290"/>
    <w:rsid w:val="005A0321"/>
    <w:rsid w:val="005A03E1"/>
    <w:rsid w:val="005A04CB"/>
    <w:rsid w:val="005A0565"/>
    <w:rsid w:val="005A08AD"/>
    <w:rsid w:val="005A08CC"/>
    <w:rsid w:val="005A09E4"/>
    <w:rsid w:val="005A09F3"/>
    <w:rsid w:val="005A0ACC"/>
    <w:rsid w:val="005A0B45"/>
    <w:rsid w:val="005A0D72"/>
    <w:rsid w:val="005A0D73"/>
    <w:rsid w:val="005A0DF8"/>
    <w:rsid w:val="005A0F9E"/>
    <w:rsid w:val="005A1038"/>
    <w:rsid w:val="005A1266"/>
    <w:rsid w:val="005A12B5"/>
    <w:rsid w:val="005A12FC"/>
    <w:rsid w:val="005A135E"/>
    <w:rsid w:val="005A14B4"/>
    <w:rsid w:val="005A14BC"/>
    <w:rsid w:val="005A1512"/>
    <w:rsid w:val="005A173A"/>
    <w:rsid w:val="005A18FD"/>
    <w:rsid w:val="005A1AE9"/>
    <w:rsid w:val="005A1B09"/>
    <w:rsid w:val="005A1B66"/>
    <w:rsid w:val="005A1BC7"/>
    <w:rsid w:val="005A1C35"/>
    <w:rsid w:val="005A1D20"/>
    <w:rsid w:val="005A1E17"/>
    <w:rsid w:val="005A1E43"/>
    <w:rsid w:val="005A1EEB"/>
    <w:rsid w:val="005A20CB"/>
    <w:rsid w:val="005A2186"/>
    <w:rsid w:val="005A2245"/>
    <w:rsid w:val="005A23B9"/>
    <w:rsid w:val="005A2409"/>
    <w:rsid w:val="005A2442"/>
    <w:rsid w:val="005A24B8"/>
    <w:rsid w:val="005A24E1"/>
    <w:rsid w:val="005A254D"/>
    <w:rsid w:val="005A28D4"/>
    <w:rsid w:val="005A29D2"/>
    <w:rsid w:val="005A2B1B"/>
    <w:rsid w:val="005A2BA9"/>
    <w:rsid w:val="005A2C17"/>
    <w:rsid w:val="005A2DBC"/>
    <w:rsid w:val="005A3022"/>
    <w:rsid w:val="005A30BC"/>
    <w:rsid w:val="005A319F"/>
    <w:rsid w:val="005A3228"/>
    <w:rsid w:val="005A35AE"/>
    <w:rsid w:val="005A365C"/>
    <w:rsid w:val="005A3760"/>
    <w:rsid w:val="005A37EC"/>
    <w:rsid w:val="005A3907"/>
    <w:rsid w:val="005A3AF4"/>
    <w:rsid w:val="005A3BA0"/>
    <w:rsid w:val="005A3CA6"/>
    <w:rsid w:val="005A3CB9"/>
    <w:rsid w:val="005A3CBA"/>
    <w:rsid w:val="005A3D4F"/>
    <w:rsid w:val="005A3E55"/>
    <w:rsid w:val="005A4155"/>
    <w:rsid w:val="005A417A"/>
    <w:rsid w:val="005A41FE"/>
    <w:rsid w:val="005A4234"/>
    <w:rsid w:val="005A4568"/>
    <w:rsid w:val="005A458C"/>
    <w:rsid w:val="005A45A3"/>
    <w:rsid w:val="005A4A6F"/>
    <w:rsid w:val="005A4CD7"/>
    <w:rsid w:val="005A4CFD"/>
    <w:rsid w:val="005A4DF7"/>
    <w:rsid w:val="005A4F61"/>
    <w:rsid w:val="005A517D"/>
    <w:rsid w:val="005A51C7"/>
    <w:rsid w:val="005A51CB"/>
    <w:rsid w:val="005A53F1"/>
    <w:rsid w:val="005A560C"/>
    <w:rsid w:val="005A56E9"/>
    <w:rsid w:val="005A5735"/>
    <w:rsid w:val="005A5766"/>
    <w:rsid w:val="005A5B9A"/>
    <w:rsid w:val="005A5E21"/>
    <w:rsid w:val="005A5E3E"/>
    <w:rsid w:val="005A5EAA"/>
    <w:rsid w:val="005A60A2"/>
    <w:rsid w:val="005A625A"/>
    <w:rsid w:val="005A634D"/>
    <w:rsid w:val="005A6912"/>
    <w:rsid w:val="005A6987"/>
    <w:rsid w:val="005A69AA"/>
    <w:rsid w:val="005A69DC"/>
    <w:rsid w:val="005A6D1D"/>
    <w:rsid w:val="005A6DD7"/>
    <w:rsid w:val="005A6EB5"/>
    <w:rsid w:val="005A7077"/>
    <w:rsid w:val="005A7170"/>
    <w:rsid w:val="005A72D1"/>
    <w:rsid w:val="005A7555"/>
    <w:rsid w:val="005A7671"/>
    <w:rsid w:val="005A7983"/>
    <w:rsid w:val="005A798A"/>
    <w:rsid w:val="005A7AE8"/>
    <w:rsid w:val="005A7C58"/>
    <w:rsid w:val="005B0083"/>
    <w:rsid w:val="005B0096"/>
    <w:rsid w:val="005B0154"/>
    <w:rsid w:val="005B0322"/>
    <w:rsid w:val="005B0338"/>
    <w:rsid w:val="005B05B9"/>
    <w:rsid w:val="005B05E0"/>
    <w:rsid w:val="005B06C4"/>
    <w:rsid w:val="005B06CE"/>
    <w:rsid w:val="005B07A3"/>
    <w:rsid w:val="005B0836"/>
    <w:rsid w:val="005B0882"/>
    <w:rsid w:val="005B0930"/>
    <w:rsid w:val="005B0A6E"/>
    <w:rsid w:val="005B0B8F"/>
    <w:rsid w:val="005B0D86"/>
    <w:rsid w:val="005B0DAE"/>
    <w:rsid w:val="005B0DDA"/>
    <w:rsid w:val="005B0E1B"/>
    <w:rsid w:val="005B0E91"/>
    <w:rsid w:val="005B0EE7"/>
    <w:rsid w:val="005B106A"/>
    <w:rsid w:val="005B1342"/>
    <w:rsid w:val="005B141E"/>
    <w:rsid w:val="005B1587"/>
    <w:rsid w:val="005B16DB"/>
    <w:rsid w:val="005B177E"/>
    <w:rsid w:val="005B17F1"/>
    <w:rsid w:val="005B17F4"/>
    <w:rsid w:val="005B1AD4"/>
    <w:rsid w:val="005B1BFD"/>
    <w:rsid w:val="005B1D58"/>
    <w:rsid w:val="005B1D76"/>
    <w:rsid w:val="005B1E4F"/>
    <w:rsid w:val="005B1E51"/>
    <w:rsid w:val="005B1FB0"/>
    <w:rsid w:val="005B218A"/>
    <w:rsid w:val="005B22F1"/>
    <w:rsid w:val="005B235D"/>
    <w:rsid w:val="005B24F1"/>
    <w:rsid w:val="005B25C9"/>
    <w:rsid w:val="005B25FB"/>
    <w:rsid w:val="005B288F"/>
    <w:rsid w:val="005B2A25"/>
    <w:rsid w:val="005B2AC7"/>
    <w:rsid w:val="005B2C7B"/>
    <w:rsid w:val="005B2DC6"/>
    <w:rsid w:val="005B2DCC"/>
    <w:rsid w:val="005B2E4A"/>
    <w:rsid w:val="005B2E89"/>
    <w:rsid w:val="005B2FA8"/>
    <w:rsid w:val="005B3062"/>
    <w:rsid w:val="005B30FA"/>
    <w:rsid w:val="005B3101"/>
    <w:rsid w:val="005B34BD"/>
    <w:rsid w:val="005B35E4"/>
    <w:rsid w:val="005B37BC"/>
    <w:rsid w:val="005B380D"/>
    <w:rsid w:val="005B3BBA"/>
    <w:rsid w:val="005B3C2B"/>
    <w:rsid w:val="005B3C6B"/>
    <w:rsid w:val="005B3F64"/>
    <w:rsid w:val="005B41CC"/>
    <w:rsid w:val="005B4537"/>
    <w:rsid w:val="005B460A"/>
    <w:rsid w:val="005B463A"/>
    <w:rsid w:val="005B46DD"/>
    <w:rsid w:val="005B4B12"/>
    <w:rsid w:val="005B4B63"/>
    <w:rsid w:val="005B4B85"/>
    <w:rsid w:val="005B534C"/>
    <w:rsid w:val="005B543C"/>
    <w:rsid w:val="005B54D4"/>
    <w:rsid w:val="005B54EA"/>
    <w:rsid w:val="005B557C"/>
    <w:rsid w:val="005B570D"/>
    <w:rsid w:val="005B5794"/>
    <w:rsid w:val="005B5847"/>
    <w:rsid w:val="005B58EF"/>
    <w:rsid w:val="005B5E9D"/>
    <w:rsid w:val="005B5EDB"/>
    <w:rsid w:val="005B6180"/>
    <w:rsid w:val="005B6437"/>
    <w:rsid w:val="005B65E3"/>
    <w:rsid w:val="005B66CE"/>
    <w:rsid w:val="005B673D"/>
    <w:rsid w:val="005B67CC"/>
    <w:rsid w:val="005B69E9"/>
    <w:rsid w:val="005B6BC0"/>
    <w:rsid w:val="005B6C0F"/>
    <w:rsid w:val="005B6CEC"/>
    <w:rsid w:val="005B6D29"/>
    <w:rsid w:val="005B6DF4"/>
    <w:rsid w:val="005B6F17"/>
    <w:rsid w:val="005B6F9B"/>
    <w:rsid w:val="005B6FC9"/>
    <w:rsid w:val="005B7205"/>
    <w:rsid w:val="005B7429"/>
    <w:rsid w:val="005B751E"/>
    <w:rsid w:val="005B7641"/>
    <w:rsid w:val="005B767B"/>
    <w:rsid w:val="005B76D8"/>
    <w:rsid w:val="005B77B9"/>
    <w:rsid w:val="005B7A75"/>
    <w:rsid w:val="005B7AB6"/>
    <w:rsid w:val="005B7B64"/>
    <w:rsid w:val="005B7C44"/>
    <w:rsid w:val="005B7C57"/>
    <w:rsid w:val="005B7C94"/>
    <w:rsid w:val="005B7CE9"/>
    <w:rsid w:val="005B7D36"/>
    <w:rsid w:val="005B7D43"/>
    <w:rsid w:val="005B7EC9"/>
    <w:rsid w:val="005B7EE4"/>
    <w:rsid w:val="005C0193"/>
    <w:rsid w:val="005C01DD"/>
    <w:rsid w:val="005C0211"/>
    <w:rsid w:val="005C03F1"/>
    <w:rsid w:val="005C0516"/>
    <w:rsid w:val="005C06B9"/>
    <w:rsid w:val="005C07AE"/>
    <w:rsid w:val="005C0801"/>
    <w:rsid w:val="005C0A84"/>
    <w:rsid w:val="005C0EF3"/>
    <w:rsid w:val="005C106A"/>
    <w:rsid w:val="005C10B0"/>
    <w:rsid w:val="005C119C"/>
    <w:rsid w:val="005C1372"/>
    <w:rsid w:val="005C154D"/>
    <w:rsid w:val="005C17EC"/>
    <w:rsid w:val="005C184D"/>
    <w:rsid w:val="005C188F"/>
    <w:rsid w:val="005C1AA8"/>
    <w:rsid w:val="005C1BE1"/>
    <w:rsid w:val="005C1C04"/>
    <w:rsid w:val="005C1F4E"/>
    <w:rsid w:val="005C226D"/>
    <w:rsid w:val="005C2414"/>
    <w:rsid w:val="005C25C1"/>
    <w:rsid w:val="005C2684"/>
    <w:rsid w:val="005C27EA"/>
    <w:rsid w:val="005C2C1F"/>
    <w:rsid w:val="005C2C69"/>
    <w:rsid w:val="005C2E34"/>
    <w:rsid w:val="005C2E45"/>
    <w:rsid w:val="005C3172"/>
    <w:rsid w:val="005C3285"/>
    <w:rsid w:val="005C32FF"/>
    <w:rsid w:val="005C33F7"/>
    <w:rsid w:val="005C3930"/>
    <w:rsid w:val="005C397F"/>
    <w:rsid w:val="005C3AE9"/>
    <w:rsid w:val="005C3CB0"/>
    <w:rsid w:val="005C3D83"/>
    <w:rsid w:val="005C3EC4"/>
    <w:rsid w:val="005C3FFA"/>
    <w:rsid w:val="005C41FB"/>
    <w:rsid w:val="005C4288"/>
    <w:rsid w:val="005C42B0"/>
    <w:rsid w:val="005C43C2"/>
    <w:rsid w:val="005C4636"/>
    <w:rsid w:val="005C4637"/>
    <w:rsid w:val="005C465C"/>
    <w:rsid w:val="005C4701"/>
    <w:rsid w:val="005C47D5"/>
    <w:rsid w:val="005C47E3"/>
    <w:rsid w:val="005C4932"/>
    <w:rsid w:val="005C4A0D"/>
    <w:rsid w:val="005C4ACC"/>
    <w:rsid w:val="005C4B9B"/>
    <w:rsid w:val="005C5135"/>
    <w:rsid w:val="005C515E"/>
    <w:rsid w:val="005C5167"/>
    <w:rsid w:val="005C5175"/>
    <w:rsid w:val="005C52B7"/>
    <w:rsid w:val="005C5466"/>
    <w:rsid w:val="005C5564"/>
    <w:rsid w:val="005C567B"/>
    <w:rsid w:val="005C574D"/>
    <w:rsid w:val="005C5753"/>
    <w:rsid w:val="005C5806"/>
    <w:rsid w:val="005C58D8"/>
    <w:rsid w:val="005C59D3"/>
    <w:rsid w:val="005C59E3"/>
    <w:rsid w:val="005C5DEA"/>
    <w:rsid w:val="005C60A9"/>
    <w:rsid w:val="005C619A"/>
    <w:rsid w:val="005C61DF"/>
    <w:rsid w:val="005C63EF"/>
    <w:rsid w:val="005C6474"/>
    <w:rsid w:val="005C65C3"/>
    <w:rsid w:val="005C6647"/>
    <w:rsid w:val="005C6654"/>
    <w:rsid w:val="005C6673"/>
    <w:rsid w:val="005C67F1"/>
    <w:rsid w:val="005C68B3"/>
    <w:rsid w:val="005C68BC"/>
    <w:rsid w:val="005C6DD0"/>
    <w:rsid w:val="005C70B9"/>
    <w:rsid w:val="005C70C5"/>
    <w:rsid w:val="005C7426"/>
    <w:rsid w:val="005C7447"/>
    <w:rsid w:val="005C7491"/>
    <w:rsid w:val="005C768A"/>
    <w:rsid w:val="005C7773"/>
    <w:rsid w:val="005C77F8"/>
    <w:rsid w:val="005C78C3"/>
    <w:rsid w:val="005C798A"/>
    <w:rsid w:val="005C79EF"/>
    <w:rsid w:val="005C7A06"/>
    <w:rsid w:val="005C7B09"/>
    <w:rsid w:val="005C7BB5"/>
    <w:rsid w:val="005C7C21"/>
    <w:rsid w:val="005C7E3D"/>
    <w:rsid w:val="005C7F0A"/>
    <w:rsid w:val="005D00A5"/>
    <w:rsid w:val="005D00E8"/>
    <w:rsid w:val="005D0151"/>
    <w:rsid w:val="005D01B0"/>
    <w:rsid w:val="005D02EA"/>
    <w:rsid w:val="005D04F9"/>
    <w:rsid w:val="005D0518"/>
    <w:rsid w:val="005D055C"/>
    <w:rsid w:val="005D059F"/>
    <w:rsid w:val="005D061D"/>
    <w:rsid w:val="005D0665"/>
    <w:rsid w:val="005D0B03"/>
    <w:rsid w:val="005D0B1C"/>
    <w:rsid w:val="005D0C54"/>
    <w:rsid w:val="005D0DF4"/>
    <w:rsid w:val="005D0DF7"/>
    <w:rsid w:val="005D0F5F"/>
    <w:rsid w:val="005D124E"/>
    <w:rsid w:val="005D125D"/>
    <w:rsid w:val="005D1277"/>
    <w:rsid w:val="005D1762"/>
    <w:rsid w:val="005D17C1"/>
    <w:rsid w:val="005D17C4"/>
    <w:rsid w:val="005D1A7B"/>
    <w:rsid w:val="005D1AE4"/>
    <w:rsid w:val="005D1B99"/>
    <w:rsid w:val="005D1D32"/>
    <w:rsid w:val="005D2023"/>
    <w:rsid w:val="005D2179"/>
    <w:rsid w:val="005D2241"/>
    <w:rsid w:val="005D23DD"/>
    <w:rsid w:val="005D2508"/>
    <w:rsid w:val="005D26D4"/>
    <w:rsid w:val="005D278A"/>
    <w:rsid w:val="005D27BB"/>
    <w:rsid w:val="005D28D3"/>
    <w:rsid w:val="005D29B9"/>
    <w:rsid w:val="005D2A4D"/>
    <w:rsid w:val="005D2AFB"/>
    <w:rsid w:val="005D2BB2"/>
    <w:rsid w:val="005D2D19"/>
    <w:rsid w:val="005D3013"/>
    <w:rsid w:val="005D3063"/>
    <w:rsid w:val="005D3113"/>
    <w:rsid w:val="005D3175"/>
    <w:rsid w:val="005D358C"/>
    <w:rsid w:val="005D366B"/>
    <w:rsid w:val="005D3707"/>
    <w:rsid w:val="005D3877"/>
    <w:rsid w:val="005D38BD"/>
    <w:rsid w:val="005D3A21"/>
    <w:rsid w:val="005D3B44"/>
    <w:rsid w:val="005D3C2F"/>
    <w:rsid w:val="005D3E03"/>
    <w:rsid w:val="005D3E66"/>
    <w:rsid w:val="005D3F60"/>
    <w:rsid w:val="005D439D"/>
    <w:rsid w:val="005D43AF"/>
    <w:rsid w:val="005D43B6"/>
    <w:rsid w:val="005D4497"/>
    <w:rsid w:val="005D451B"/>
    <w:rsid w:val="005D4585"/>
    <w:rsid w:val="005D4900"/>
    <w:rsid w:val="005D4A52"/>
    <w:rsid w:val="005D4B5A"/>
    <w:rsid w:val="005D4CA4"/>
    <w:rsid w:val="005D4DD3"/>
    <w:rsid w:val="005D4E21"/>
    <w:rsid w:val="005D4E26"/>
    <w:rsid w:val="005D4E49"/>
    <w:rsid w:val="005D4EB9"/>
    <w:rsid w:val="005D4FBC"/>
    <w:rsid w:val="005D50BD"/>
    <w:rsid w:val="005D50DA"/>
    <w:rsid w:val="005D5353"/>
    <w:rsid w:val="005D5398"/>
    <w:rsid w:val="005D5421"/>
    <w:rsid w:val="005D5439"/>
    <w:rsid w:val="005D547D"/>
    <w:rsid w:val="005D5675"/>
    <w:rsid w:val="005D5724"/>
    <w:rsid w:val="005D5929"/>
    <w:rsid w:val="005D5B8A"/>
    <w:rsid w:val="005D5C16"/>
    <w:rsid w:val="005D5ECF"/>
    <w:rsid w:val="005D6170"/>
    <w:rsid w:val="005D620F"/>
    <w:rsid w:val="005D6261"/>
    <w:rsid w:val="005D6327"/>
    <w:rsid w:val="005D63FB"/>
    <w:rsid w:val="005D643C"/>
    <w:rsid w:val="005D652B"/>
    <w:rsid w:val="005D65CE"/>
    <w:rsid w:val="005D65E9"/>
    <w:rsid w:val="005D6616"/>
    <w:rsid w:val="005D6A56"/>
    <w:rsid w:val="005D6B75"/>
    <w:rsid w:val="005D6CC8"/>
    <w:rsid w:val="005D6D54"/>
    <w:rsid w:val="005D6E15"/>
    <w:rsid w:val="005D709F"/>
    <w:rsid w:val="005D711C"/>
    <w:rsid w:val="005D7132"/>
    <w:rsid w:val="005D7198"/>
    <w:rsid w:val="005D72DE"/>
    <w:rsid w:val="005D735E"/>
    <w:rsid w:val="005D74D4"/>
    <w:rsid w:val="005D767C"/>
    <w:rsid w:val="005D7791"/>
    <w:rsid w:val="005D7797"/>
    <w:rsid w:val="005D78DC"/>
    <w:rsid w:val="005D7B77"/>
    <w:rsid w:val="005D7D4A"/>
    <w:rsid w:val="005D7F58"/>
    <w:rsid w:val="005E0466"/>
    <w:rsid w:val="005E058A"/>
    <w:rsid w:val="005E08FF"/>
    <w:rsid w:val="005E0956"/>
    <w:rsid w:val="005E0957"/>
    <w:rsid w:val="005E0976"/>
    <w:rsid w:val="005E09CB"/>
    <w:rsid w:val="005E0AEE"/>
    <w:rsid w:val="005E0B69"/>
    <w:rsid w:val="005E0B77"/>
    <w:rsid w:val="005E0B95"/>
    <w:rsid w:val="005E0CFA"/>
    <w:rsid w:val="005E1005"/>
    <w:rsid w:val="005E1078"/>
    <w:rsid w:val="005E11BB"/>
    <w:rsid w:val="005E1480"/>
    <w:rsid w:val="005E14A9"/>
    <w:rsid w:val="005E14AF"/>
    <w:rsid w:val="005E1624"/>
    <w:rsid w:val="005E1AAE"/>
    <w:rsid w:val="005E1BB3"/>
    <w:rsid w:val="005E1BFF"/>
    <w:rsid w:val="005E1EA2"/>
    <w:rsid w:val="005E20CA"/>
    <w:rsid w:val="005E218C"/>
    <w:rsid w:val="005E22CA"/>
    <w:rsid w:val="005E236E"/>
    <w:rsid w:val="005E27AA"/>
    <w:rsid w:val="005E2827"/>
    <w:rsid w:val="005E296A"/>
    <w:rsid w:val="005E2D2D"/>
    <w:rsid w:val="005E2DF4"/>
    <w:rsid w:val="005E2EB6"/>
    <w:rsid w:val="005E300F"/>
    <w:rsid w:val="005E30EE"/>
    <w:rsid w:val="005E315E"/>
    <w:rsid w:val="005E3422"/>
    <w:rsid w:val="005E34AA"/>
    <w:rsid w:val="005E34AD"/>
    <w:rsid w:val="005E3554"/>
    <w:rsid w:val="005E366D"/>
    <w:rsid w:val="005E36F0"/>
    <w:rsid w:val="005E39E0"/>
    <w:rsid w:val="005E3A06"/>
    <w:rsid w:val="005E3B95"/>
    <w:rsid w:val="005E3E68"/>
    <w:rsid w:val="005E403F"/>
    <w:rsid w:val="005E41B0"/>
    <w:rsid w:val="005E4317"/>
    <w:rsid w:val="005E447E"/>
    <w:rsid w:val="005E45F5"/>
    <w:rsid w:val="005E4686"/>
    <w:rsid w:val="005E4766"/>
    <w:rsid w:val="005E4848"/>
    <w:rsid w:val="005E48CD"/>
    <w:rsid w:val="005E48E3"/>
    <w:rsid w:val="005E4977"/>
    <w:rsid w:val="005E4B17"/>
    <w:rsid w:val="005E4B45"/>
    <w:rsid w:val="005E4B90"/>
    <w:rsid w:val="005E4C4D"/>
    <w:rsid w:val="005E4CBE"/>
    <w:rsid w:val="005E4D3B"/>
    <w:rsid w:val="005E4DF9"/>
    <w:rsid w:val="005E51A2"/>
    <w:rsid w:val="005E5303"/>
    <w:rsid w:val="005E557C"/>
    <w:rsid w:val="005E5585"/>
    <w:rsid w:val="005E576A"/>
    <w:rsid w:val="005E57B9"/>
    <w:rsid w:val="005E59E5"/>
    <w:rsid w:val="005E5A5D"/>
    <w:rsid w:val="005E5B4E"/>
    <w:rsid w:val="005E5C89"/>
    <w:rsid w:val="005E5D4C"/>
    <w:rsid w:val="005E5E2A"/>
    <w:rsid w:val="005E5F4E"/>
    <w:rsid w:val="005E5FAE"/>
    <w:rsid w:val="005E607B"/>
    <w:rsid w:val="005E6132"/>
    <w:rsid w:val="005E6245"/>
    <w:rsid w:val="005E63CE"/>
    <w:rsid w:val="005E68E7"/>
    <w:rsid w:val="005E6C2B"/>
    <w:rsid w:val="005E6F22"/>
    <w:rsid w:val="005E707D"/>
    <w:rsid w:val="005E716F"/>
    <w:rsid w:val="005E71F8"/>
    <w:rsid w:val="005E7268"/>
    <w:rsid w:val="005E749F"/>
    <w:rsid w:val="005E7A88"/>
    <w:rsid w:val="005E7B82"/>
    <w:rsid w:val="005E7BF7"/>
    <w:rsid w:val="005E7E22"/>
    <w:rsid w:val="005E7F11"/>
    <w:rsid w:val="005F0010"/>
    <w:rsid w:val="005F01AC"/>
    <w:rsid w:val="005F044F"/>
    <w:rsid w:val="005F0453"/>
    <w:rsid w:val="005F0716"/>
    <w:rsid w:val="005F0AD9"/>
    <w:rsid w:val="005F0CD4"/>
    <w:rsid w:val="005F0D09"/>
    <w:rsid w:val="005F0E58"/>
    <w:rsid w:val="005F0E76"/>
    <w:rsid w:val="005F0F44"/>
    <w:rsid w:val="005F1067"/>
    <w:rsid w:val="005F1163"/>
    <w:rsid w:val="005F1177"/>
    <w:rsid w:val="005F1341"/>
    <w:rsid w:val="005F1378"/>
    <w:rsid w:val="005F139E"/>
    <w:rsid w:val="005F13F7"/>
    <w:rsid w:val="005F1506"/>
    <w:rsid w:val="005F1580"/>
    <w:rsid w:val="005F15AA"/>
    <w:rsid w:val="005F16E0"/>
    <w:rsid w:val="005F1834"/>
    <w:rsid w:val="005F192F"/>
    <w:rsid w:val="005F1B49"/>
    <w:rsid w:val="005F1CC2"/>
    <w:rsid w:val="005F1D23"/>
    <w:rsid w:val="005F1D61"/>
    <w:rsid w:val="005F1E29"/>
    <w:rsid w:val="005F24B2"/>
    <w:rsid w:val="005F26EC"/>
    <w:rsid w:val="005F29A5"/>
    <w:rsid w:val="005F29E0"/>
    <w:rsid w:val="005F2AC6"/>
    <w:rsid w:val="005F2D19"/>
    <w:rsid w:val="005F2D3E"/>
    <w:rsid w:val="005F2F04"/>
    <w:rsid w:val="005F32F8"/>
    <w:rsid w:val="005F3672"/>
    <w:rsid w:val="005F3825"/>
    <w:rsid w:val="005F38A9"/>
    <w:rsid w:val="005F38F3"/>
    <w:rsid w:val="005F3A4C"/>
    <w:rsid w:val="005F3AD1"/>
    <w:rsid w:val="005F3BBA"/>
    <w:rsid w:val="005F3DF6"/>
    <w:rsid w:val="005F3F76"/>
    <w:rsid w:val="005F40A3"/>
    <w:rsid w:val="005F4156"/>
    <w:rsid w:val="005F44D9"/>
    <w:rsid w:val="005F45EC"/>
    <w:rsid w:val="005F48DB"/>
    <w:rsid w:val="005F4946"/>
    <w:rsid w:val="005F494C"/>
    <w:rsid w:val="005F4A2E"/>
    <w:rsid w:val="005F4BCA"/>
    <w:rsid w:val="005F4CF1"/>
    <w:rsid w:val="005F4D71"/>
    <w:rsid w:val="005F4D76"/>
    <w:rsid w:val="005F4DB9"/>
    <w:rsid w:val="005F4E7B"/>
    <w:rsid w:val="005F5124"/>
    <w:rsid w:val="005F512A"/>
    <w:rsid w:val="005F52C5"/>
    <w:rsid w:val="005F52D0"/>
    <w:rsid w:val="005F5463"/>
    <w:rsid w:val="005F55F5"/>
    <w:rsid w:val="005F5A1C"/>
    <w:rsid w:val="005F5C6B"/>
    <w:rsid w:val="005F5DDF"/>
    <w:rsid w:val="005F5EC3"/>
    <w:rsid w:val="005F6086"/>
    <w:rsid w:val="005F60C0"/>
    <w:rsid w:val="005F634D"/>
    <w:rsid w:val="005F670F"/>
    <w:rsid w:val="005F6728"/>
    <w:rsid w:val="005F6AC4"/>
    <w:rsid w:val="005F6C19"/>
    <w:rsid w:val="005F6C21"/>
    <w:rsid w:val="005F6C7D"/>
    <w:rsid w:val="005F6C96"/>
    <w:rsid w:val="005F6CC4"/>
    <w:rsid w:val="005F6D87"/>
    <w:rsid w:val="005F6D88"/>
    <w:rsid w:val="005F6E12"/>
    <w:rsid w:val="005F6E85"/>
    <w:rsid w:val="005F6F02"/>
    <w:rsid w:val="005F6F92"/>
    <w:rsid w:val="005F6FA6"/>
    <w:rsid w:val="005F6FC0"/>
    <w:rsid w:val="005F7164"/>
    <w:rsid w:val="005F721C"/>
    <w:rsid w:val="005F7229"/>
    <w:rsid w:val="005F7284"/>
    <w:rsid w:val="005F7467"/>
    <w:rsid w:val="005F74C0"/>
    <w:rsid w:val="005F7706"/>
    <w:rsid w:val="005F7748"/>
    <w:rsid w:val="005F78CD"/>
    <w:rsid w:val="005F7A7E"/>
    <w:rsid w:val="005F7AEE"/>
    <w:rsid w:val="005F7BF2"/>
    <w:rsid w:val="005F7C5D"/>
    <w:rsid w:val="005F7CFE"/>
    <w:rsid w:val="005F7FCE"/>
    <w:rsid w:val="00600028"/>
    <w:rsid w:val="0060014E"/>
    <w:rsid w:val="0060037B"/>
    <w:rsid w:val="00600398"/>
    <w:rsid w:val="0060040C"/>
    <w:rsid w:val="006004A9"/>
    <w:rsid w:val="006004AD"/>
    <w:rsid w:val="006004E3"/>
    <w:rsid w:val="006005C7"/>
    <w:rsid w:val="00600838"/>
    <w:rsid w:val="006009A7"/>
    <w:rsid w:val="00600A67"/>
    <w:rsid w:val="00600AC4"/>
    <w:rsid w:val="00600B3C"/>
    <w:rsid w:val="00600BDA"/>
    <w:rsid w:val="00600D10"/>
    <w:rsid w:val="00600D2C"/>
    <w:rsid w:val="00600D38"/>
    <w:rsid w:val="006011A0"/>
    <w:rsid w:val="00601483"/>
    <w:rsid w:val="00601507"/>
    <w:rsid w:val="00601694"/>
    <w:rsid w:val="00601815"/>
    <w:rsid w:val="006018B6"/>
    <w:rsid w:val="00601906"/>
    <w:rsid w:val="00601A60"/>
    <w:rsid w:val="00601A62"/>
    <w:rsid w:val="00601AA6"/>
    <w:rsid w:val="00601BC7"/>
    <w:rsid w:val="00601C76"/>
    <w:rsid w:val="00601D15"/>
    <w:rsid w:val="00601D4C"/>
    <w:rsid w:val="00601DB9"/>
    <w:rsid w:val="00601DF7"/>
    <w:rsid w:val="00601EAF"/>
    <w:rsid w:val="00601EB0"/>
    <w:rsid w:val="00602040"/>
    <w:rsid w:val="006020F2"/>
    <w:rsid w:val="0060224F"/>
    <w:rsid w:val="0060225E"/>
    <w:rsid w:val="00602288"/>
    <w:rsid w:val="006022ED"/>
    <w:rsid w:val="006024E4"/>
    <w:rsid w:val="00602B3F"/>
    <w:rsid w:val="00602E13"/>
    <w:rsid w:val="00602E52"/>
    <w:rsid w:val="00602E80"/>
    <w:rsid w:val="00602EE8"/>
    <w:rsid w:val="00603035"/>
    <w:rsid w:val="0060304C"/>
    <w:rsid w:val="006030B6"/>
    <w:rsid w:val="006033D3"/>
    <w:rsid w:val="00603446"/>
    <w:rsid w:val="0060350F"/>
    <w:rsid w:val="0060360F"/>
    <w:rsid w:val="006036BA"/>
    <w:rsid w:val="006036E6"/>
    <w:rsid w:val="0060381A"/>
    <w:rsid w:val="00603912"/>
    <w:rsid w:val="0060391B"/>
    <w:rsid w:val="00603B10"/>
    <w:rsid w:val="00603C0C"/>
    <w:rsid w:val="00603CC0"/>
    <w:rsid w:val="00603D0A"/>
    <w:rsid w:val="00603E74"/>
    <w:rsid w:val="00603EA1"/>
    <w:rsid w:val="006040DF"/>
    <w:rsid w:val="00604237"/>
    <w:rsid w:val="006042C6"/>
    <w:rsid w:val="00604327"/>
    <w:rsid w:val="006046A5"/>
    <w:rsid w:val="0060476E"/>
    <w:rsid w:val="00604798"/>
    <w:rsid w:val="0060483C"/>
    <w:rsid w:val="00604AE6"/>
    <w:rsid w:val="00604B96"/>
    <w:rsid w:val="00604C20"/>
    <w:rsid w:val="00604C90"/>
    <w:rsid w:val="00604F30"/>
    <w:rsid w:val="00604F73"/>
    <w:rsid w:val="00604FAE"/>
    <w:rsid w:val="006050AD"/>
    <w:rsid w:val="006050D2"/>
    <w:rsid w:val="0060532B"/>
    <w:rsid w:val="0060533F"/>
    <w:rsid w:val="006053A7"/>
    <w:rsid w:val="006053B7"/>
    <w:rsid w:val="0060540D"/>
    <w:rsid w:val="00605601"/>
    <w:rsid w:val="006059EA"/>
    <w:rsid w:val="00605A70"/>
    <w:rsid w:val="00605ACB"/>
    <w:rsid w:val="00605BA5"/>
    <w:rsid w:val="00605D71"/>
    <w:rsid w:val="00605DC1"/>
    <w:rsid w:val="0060605B"/>
    <w:rsid w:val="0060611C"/>
    <w:rsid w:val="00606142"/>
    <w:rsid w:val="00606193"/>
    <w:rsid w:val="006061B0"/>
    <w:rsid w:val="00606234"/>
    <w:rsid w:val="006062C0"/>
    <w:rsid w:val="00606385"/>
    <w:rsid w:val="00606415"/>
    <w:rsid w:val="0060647C"/>
    <w:rsid w:val="006065E7"/>
    <w:rsid w:val="0060668A"/>
    <w:rsid w:val="0060668E"/>
    <w:rsid w:val="0060680C"/>
    <w:rsid w:val="0060686A"/>
    <w:rsid w:val="006068A6"/>
    <w:rsid w:val="006068CD"/>
    <w:rsid w:val="00606E76"/>
    <w:rsid w:val="00606EC8"/>
    <w:rsid w:val="006071C1"/>
    <w:rsid w:val="006071C7"/>
    <w:rsid w:val="0060721D"/>
    <w:rsid w:val="00607254"/>
    <w:rsid w:val="006075B9"/>
    <w:rsid w:val="00607793"/>
    <w:rsid w:val="00607820"/>
    <w:rsid w:val="00607913"/>
    <w:rsid w:val="00607A03"/>
    <w:rsid w:val="00607A1C"/>
    <w:rsid w:val="00607BFB"/>
    <w:rsid w:val="00607C0D"/>
    <w:rsid w:val="00607EB0"/>
    <w:rsid w:val="0061003F"/>
    <w:rsid w:val="00610165"/>
    <w:rsid w:val="0061020D"/>
    <w:rsid w:val="006102D5"/>
    <w:rsid w:val="00610377"/>
    <w:rsid w:val="006104DF"/>
    <w:rsid w:val="0061050B"/>
    <w:rsid w:val="0061062C"/>
    <w:rsid w:val="006108C3"/>
    <w:rsid w:val="00611035"/>
    <w:rsid w:val="0061106A"/>
    <w:rsid w:val="006112BD"/>
    <w:rsid w:val="006113B5"/>
    <w:rsid w:val="0061156E"/>
    <w:rsid w:val="00611589"/>
    <w:rsid w:val="00611863"/>
    <w:rsid w:val="00611959"/>
    <w:rsid w:val="00611D54"/>
    <w:rsid w:val="00611E7E"/>
    <w:rsid w:val="00611EE6"/>
    <w:rsid w:val="00611F2C"/>
    <w:rsid w:val="00612054"/>
    <w:rsid w:val="0061206C"/>
    <w:rsid w:val="006121F8"/>
    <w:rsid w:val="00612328"/>
    <w:rsid w:val="00612432"/>
    <w:rsid w:val="0061249B"/>
    <w:rsid w:val="006124C6"/>
    <w:rsid w:val="00612637"/>
    <w:rsid w:val="0061292C"/>
    <w:rsid w:val="00612B7D"/>
    <w:rsid w:val="00612CB4"/>
    <w:rsid w:val="00612CFC"/>
    <w:rsid w:val="00612D52"/>
    <w:rsid w:val="00612F77"/>
    <w:rsid w:val="006130F6"/>
    <w:rsid w:val="0061313E"/>
    <w:rsid w:val="00613150"/>
    <w:rsid w:val="00613182"/>
    <w:rsid w:val="006132C6"/>
    <w:rsid w:val="00613621"/>
    <w:rsid w:val="00613659"/>
    <w:rsid w:val="00613982"/>
    <w:rsid w:val="00613C18"/>
    <w:rsid w:val="00613CA2"/>
    <w:rsid w:val="00613FD0"/>
    <w:rsid w:val="006140B0"/>
    <w:rsid w:val="006141B1"/>
    <w:rsid w:val="0061425D"/>
    <w:rsid w:val="0061431B"/>
    <w:rsid w:val="00614344"/>
    <w:rsid w:val="00614464"/>
    <w:rsid w:val="00614494"/>
    <w:rsid w:val="0061449F"/>
    <w:rsid w:val="006145D8"/>
    <w:rsid w:val="0061485A"/>
    <w:rsid w:val="00614D90"/>
    <w:rsid w:val="0061502A"/>
    <w:rsid w:val="006151EF"/>
    <w:rsid w:val="00615294"/>
    <w:rsid w:val="0061561E"/>
    <w:rsid w:val="0061571F"/>
    <w:rsid w:val="00615739"/>
    <w:rsid w:val="006158FA"/>
    <w:rsid w:val="00615982"/>
    <w:rsid w:val="00615C1C"/>
    <w:rsid w:val="00615D8E"/>
    <w:rsid w:val="00615F41"/>
    <w:rsid w:val="00616100"/>
    <w:rsid w:val="006161C5"/>
    <w:rsid w:val="00616384"/>
    <w:rsid w:val="006163BB"/>
    <w:rsid w:val="00616501"/>
    <w:rsid w:val="00616671"/>
    <w:rsid w:val="00616872"/>
    <w:rsid w:val="006168CB"/>
    <w:rsid w:val="00616B05"/>
    <w:rsid w:val="00616DA5"/>
    <w:rsid w:val="00616E45"/>
    <w:rsid w:val="00616ECC"/>
    <w:rsid w:val="006174DF"/>
    <w:rsid w:val="00617796"/>
    <w:rsid w:val="006177A7"/>
    <w:rsid w:val="00617826"/>
    <w:rsid w:val="0061783E"/>
    <w:rsid w:val="00617C04"/>
    <w:rsid w:val="00617D27"/>
    <w:rsid w:val="00617E4A"/>
    <w:rsid w:val="00617EBD"/>
    <w:rsid w:val="0062015F"/>
    <w:rsid w:val="00620273"/>
    <w:rsid w:val="00620308"/>
    <w:rsid w:val="006204A5"/>
    <w:rsid w:val="0062056F"/>
    <w:rsid w:val="0062098D"/>
    <w:rsid w:val="00620EEC"/>
    <w:rsid w:val="00620F04"/>
    <w:rsid w:val="00620F90"/>
    <w:rsid w:val="00620FA1"/>
    <w:rsid w:val="006211A7"/>
    <w:rsid w:val="0062127E"/>
    <w:rsid w:val="0062137A"/>
    <w:rsid w:val="0062138E"/>
    <w:rsid w:val="006213D2"/>
    <w:rsid w:val="0062142A"/>
    <w:rsid w:val="006216AB"/>
    <w:rsid w:val="0062173E"/>
    <w:rsid w:val="00621743"/>
    <w:rsid w:val="0062193E"/>
    <w:rsid w:val="00621A25"/>
    <w:rsid w:val="00621A65"/>
    <w:rsid w:val="00621B06"/>
    <w:rsid w:val="00621C7B"/>
    <w:rsid w:val="00621D8E"/>
    <w:rsid w:val="00621EB0"/>
    <w:rsid w:val="006222D8"/>
    <w:rsid w:val="00622451"/>
    <w:rsid w:val="006225C1"/>
    <w:rsid w:val="00622600"/>
    <w:rsid w:val="00622730"/>
    <w:rsid w:val="00622968"/>
    <w:rsid w:val="006229B5"/>
    <w:rsid w:val="00622A78"/>
    <w:rsid w:val="006232AF"/>
    <w:rsid w:val="006234FF"/>
    <w:rsid w:val="00623648"/>
    <w:rsid w:val="006239E7"/>
    <w:rsid w:val="00623A61"/>
    <w:rsid w:val="00623ACB"/>
    <w:rsid w:val="00623DF1"/>
    <w:rsid w:val="00623F59"/>
    <w:rsid w:val="006241A5"/>
    <w:rsid w:val="006245AE"/>
    <w:rsid w:val="006246C9"/>
    <w:rsid w:val="00624788"/>
    <w:rsid w:val="006248E4"/>
    <w:rsid w:val="00624A42"/>
    <w:rsid w:val="00624A75"/>
    <w:rsid w:val="00624B81"/>
    <w:rsid w:val="00624C73"/>
    <w:rsid w:val="00624DF8"/>
    <w:rsid w:val="00624E77"/>
    <w:rsid w:val="00624EBB"/>
    <w:rsid w:val="00624F04"/>
    <w:rsid w:val="00624F59"/>
    <w:rsid w:val="0062503E"/>
    <w:rsid w:val="006250AD"/>
    <w:rsid w:val="00625290"/>
    <w:rsid w:val="006257B5"/>
    <w:rsid w:val="00625CED"/>
    <w:rsid w:val="006260B0"/>
    <w:rsid w:val="006261D8"/>
    <w:rsid w:val="006266F0"/>
    <w:rsid w:val="0062672E"/>
    <w:rsid w:val="00626765"/>
    <w:rsid w:val="00626928"/>
    <w:rsid w:val="00626AC2"/>
    <w:rsid w:val="00626B1D"/>
    <w:rsid w:val="00626C8D"/>
    <w:rsid w:val="00626D0C"/>
    <w:rsid w:val="00626DFC"/>
    <w:rsid w:val="00626E1A"/>
    <w:rsid w:val="00626E63"/>
    <w:rsid w:val="00626EBD"/>
    <w:rsid w:val="00626FE3"/>
    <w:rsid w:val="00626FE6"/>
    <w:rsid w:val="0062735F"/>
    <w:rsid w:val="00627475"/>
    <w:rsid w:val="00627494"/>
    <w:rsid w:val="00627588"/>
    <w:rsid w:val="00627699"/>
    <w:rsid w:val="006277DC"/>
    <w:rsid w:val="006279EF"/>
    <w:rsid w:val="00627A87"/>
    <w:rsid w:val="00627D5C"/>
    <w:rsid w:val="00627D69"/>
    <w:rsid w:val="00627E4D"/>
    <w:rsid w:val="00627F24"/>
    <w:rsid w:val="00627FCA"/>
    <w:rsid w:val="00627FED"/>
    <w:rsid w:val="0063008C"/>
    <w:rsid w:val="006300EC"/>
    <w:rsid w:val="00630109"/>
    <w:rsid w:val="00630318"/>
    <w:rsid w:val="00630339"/>
    <w:rsid w:val="00630388"/>
    <w:rsid w:val="006303D4"/>
    <w:rsid w:val="006303F3"/>
    <w:rsid w:val="00630410"/>
    <w:rsid w:val="00630508"/>
    <w:rsid w:val="00630555"/>
    <w:rsid w:val="00630663"/>
    <w:rsid w:val="0063086B"/>
    <w:rsid w:val="006308EE"/>
    <w:rsid w:val="006308F6"/>
    <w:rsid w:val="00630A07"/>
    <w:rsid w:val="00630CF5"/>
    <w:rsid w:val="00630E0F"/>
    <w:rsid w:val="00630E2C"/>
    <w:rsid w:val="00630E93"/>
    <w:rsid w:val="0063112E"/>
    <w:rsid w:val="006311CF"/>
    <w:rsid w:val="00631854"/>
    <w:rsid w:val="00631A23"/>
    <w:rsid w:val="00631AE8"/>
    <w:rsid w:val="00631D43"/>
    <w:rsid w:val="00632035"/>
    <w:rsid w:val="006321E7"/>
    <w:rsid w:val="00632210"/>
    <w:rsid w:val="0063231B"/>
    <w:rsid w:val="006323A8"/>
    <w:rsid w:val="006323B8"/>
    <w:rsid w:val="0063290C"/>
    <w:rsid w:val="00632A45"/>
    <w:rsid w:val="00632A52"/>
    <w:rsid w:val="00632B96"/>
    <w:rsid w:val="00632BE2"/>
    <w:rsid w:val="00632C9C"/>
    <w:rsid w:val="00632CBB"/>
    <w:rsid w:val="006330DE"/>
    <w:rsid w:val="00633138"/>
    <w:rsid w:val="0063319B"/>
    <w:rsid w:val="00633277"/>
    <w:rsid w:val="006332FA"/>
    <w:rsid w:val="00633577"/>
    <w:rsid w:val="00633A1B"/>
    <w:rsid w:val="00633A8C"/>
    <w:rsid w:val="00633B25"/>
    <w:rsid w:val="00633D95"/>
    <w:rsid w:val="00633ECB"/>
    <w:rsid w:val="00633F7B"/>
    <w:rsid w:val="00633F84"/>
    <w:rsid w:val="0063407D"/>
    <w:rsid w:val="006343F0"/>
    <w:rsid w:val="00634468"/>
    <w:rsid w:val="006344D0"/>
    <w:rsid w:val="00634582"/>
    <w:rsid w:val="00634B7B"/>
    <w:rsid w:val="00634CB9"/>
    <w:rsid w:val="00634CE8"/>
    <w:rsid w:val="00635037"/>
    <w:rsid w:val="006351DA"/>
    <w:rsid w:val="00635331"/>
    <w:rsid w:val="006354F1"/>
    <w:rsid w:val="00635699"/>
    <w:rsid w:val="0063590C"/>
    <w:rsid w:val="0063598A"/>
    <w:rsid w:val="00635A09"/>
    <w:rsid w:val="00635CB0"/>
    <w:rsid w:val="00635FA6"/>
    <w:rsid w:val="006362C8"/>
    <w:rsid w:val="00636355"/>
    <w:rsid w:val="00636358"/>
    <w:rsid w:val="006363E0"/>
    <w:rsid w:val="0063644F"/>
    <w:rsid w:val="00636860"/>
    <w:rsid w:val="006369C5"/>
    <w:rsid w:val="00636BC8"/>
    <w:rsid w:val="00636C03"/>
    <w:rsid w:val="00636D16"/>
    <w:rsid w:val="00636D4A"/>
    <w:rsid w:val="00636E53"/>
    <w:rsid w:val="00636E5C"/>
    <w:rsid w:val="00636E8C"/>
    <w:rsid w:val="00636E99"/>
    <w:rsid w:val="00636F3C"/>
    <w:rsid w:val="006372FB"/>
    <w:rsid w:val="006372FF"/>
    <w:rsid w:val="0063735A"/>
    <w:rsid w:val="0063762A"/>
    <w:rsid w:val="006377B0"/>
    <w:rsid w:val="00637A05"/>
    <w:rsid w:val="00637D91"/>
    <w:rsid w:val="00637DB6"/>
    <w:rsid w:val="00637E39"/>
    <w:rsid w:val="00637EB8"/>
    <w:rsid w:val="00637F0B"/>
    <w:rsid w:val="00637F69"/>
    <w:rsid w:val="006400CD"/>
    <w:rsid w:val="0064011A"/>
    <w:rsid w:val="006402AC"/>
    <w:rsid w:val="0064048A"/>
    <w:rsid w:val="00640561"/>
    <w:rsid w:val="006405FC"/>
    <w:rsid w:val="006408BC"/>
    <w:rsid w:val="00640982"/>
    <w:rsid w:val="00640C03"/>
    <w:rsid w:val="00640C4F"/>
    <w:rsid w:val="00640C66"/>
    <w:rsid w:val="006410A6"/>
    <w:rsid w:val="006410C4"/>
    <w:rsid w:val="006413AD"/>
    <w:rsid w:val="006414A3"/>
    <w:rsid w:val="0064156B"/>
    <w:rsid w:val="0064165D"/>
    <w:rsid w:val="006417B7"/>
    <w:rsid w:val="006417BA"/>
    <w:rsid w:val="006417CE"/>
    <w:rsid w:val="00641935"/>
    <w:rsid w:val="00641A31"/>
    <w:rsid w:val="00641B19"/>
    <w:rsid w:val="00641F55"/>
    <w:rsid w:val="00642061"/>
    <w:rsid w:val="0064238C"/>
    <w:rsid w:val="006423F2"/>
    <w:rsid w:val="0064243E"/>
    <w:rsid w:val="0064253F"/>
    <w:rsid w:val="0064259C"/>
    <w:rsid w:val="0064268C"/>
    <w:rsid w:val="006426A9"/>
    <w:rsid w:val="006426C0"/>
    <w:rsid w:val="006426E4"/>
    <w:rsid w:val="00642748"/>
    <w:rsid w:val="00642870"/>
    <w:rsid w:val="006428EE"/>
    <w:rsid w:val="00642A5C"/>
    <w:rsid w:val="00642A74"/>
    <w:rsid w:val="00642BFD"/>
    <w:rsid w:val="00642C9D"/>
    <w:rsid w:val="00643176"/>
    <w:rsid w:val="006432A1"/>
    <w:rsid w:val="00643361"/>
    <w:rsid w:val="00643387"/>
    <w:rsid w:val="0064350A"/>
    <w:rsid w:val="00643518"/>
    <w:rsid w:val="006435C1"/>
    <w:rsid w:val="006437A8"/>
    <w:rsid w:val="00643812"/>
    <w:rsid w:val="006438E7"/>
    <w:rsid w:val="00643927"/>
    <w:rsid w:val="00643989"/>
    <w:rsid w:val="00643B73"/>
    <w:rsid w:val="00643C60"/>
    <w:rsid w:val="00643C66"/>
    <w:rsid w:val="00643CAE"/>
    <w:rsid w:val="00643DAC"/>
    <w:rsid w:val="00643F3F"/>
    <w:rsid w:val="006440BD"/>
    <w:rsid w:val="00644414"/>
    <w:rsid w:val="006445C1"/>
    <w:rsid w:val="0064461B"/>
    <w:rsid w:val="006446C4"/>
    <w:rsid w:val="00644953"/>
    <w:rsid w:val="00644959"/>
    <w:rsid w:val="00644A0C"/>
    <w:rsid w:val="00644CE1"/>
    <w:rsid w:val="00644D7B"/>
    <w:rsid w:val="00644F32"/>
    <w:rsid w:val="00644F55"/>
    <w:rsid w:val="00645227"/>
    <w:rsid w:val="006452DA"/>
    <w:rsid w:val="00645372"/>
    <w:rsid w:val="006454DC"/>
    <w:rsid w:val="006456EB"/>
    <w:rsid w:val="00645770"/>
    <w:rsid w:val="006459F4"/>
    <w:rsid w:val="00645A55"/>
    <w:rsid w:val="00645C8C"/>
    <w:rsid w:val="0064614D"/>
    <w:rsid w:val="00646235"/>
    <w:rsid w:val="0064623C"/>
    <w:rsid w:val="006462A7"/>
    <w:rsid w:val="006464CA"/>
    <w:rsid w:val="006466F3"/>
    <w:rsid w:val="006467C4"/>
    <w:rsid w:val="0064688F"/>
    <w:rsid w:val="00646C38"/>
    <w:rsid w:val="00646C3D"/>
    <w:rsid w:val="00646F6A"/>
    <w:rsid w:val="00646F7A"/>
    <w:rsid w:val="00646F87"/>
    <w:rsid w:val="00646FDA"/>
    <w:rsid w:val="00647065"/>
    <w:rsid w:val="006470D1"/>
    <w:rsid w:val="00647159"/>
    <w:rsid w:val="006471D1"/>
    <w:rsid w:val="00647326"/>
    <w:rsid w:val="0064738E"/>
    <w:rsid w:val="00647441"/>
    <w:rsid w:val="006474C4"/>
    <w:rsid w:val="006475B2"/>
    <w:rsid w:val="006475EA"/>
    <w:rsid w:val="0064760D"/>
    <w:rsid w:val="00647729"/>
    <w:rsid w:val="0064775F"/>
    <w:rsid w:val="006477AA"/>
    <w:rsid w:val="0064780C"/>
    <w:rsid w:val="0064784F"/>
    <w:rsid w:val="006478B8"/>
    <w:rsid w:val="00647EA0"/>
    <w:rsid w:val="00647ECF"/>
    <w:rsid w:val="00647F14"/>
    <w:rsid w:val="0065005B"/>
    <w:rsid w:val="00650188"/>
    <w:rsid w:val="00650362"/>
    <w:rsid w:val="006503EB"/>
    <w:rsid w:val="0065057B"/>
    <w:rsid w:val="0065064C"/>
    <w:rsid w:val="0065066D"/>
    <w:rsid w:val="00650834"/>
    <w:rsid w:val="00650DB5"/>
    <w:rsid w:val="00650EE4"/>
    <w:rsid w:val="00651214"/>
    <w:rsid w:val="00651316"/>
    <w:rsid w:val="006514D9"/>
    <w:rsid w:val="006514E9"/>
    <w:rsid w:val="00651519"/>
    <w:rsid w:val="00651548"/>
    <w:rsid w:val="00651586"/>
    <w:rsid w:val="00651594"/>
    <w:rsid w:val="00651603"/>
    <w:rsid w:val="0065185A"/>
    <w:rsid w:val="0065190A"/>
    <w:rsid w:val="00651A3D"/>
    <w:rsid w:val="00651A45"/>
    <w:rsid w:val="00651BBB"/>
    <w:rsid w:val="00651CAE"/>
    <w:rsid w:val="00651CF2"/>
    <w:rsid w:val="00651E90"/>
    <w:rsid w:val="00651EF4"/>
    <w:rsid w:val="00651F53"/>
    <w:rsid w:val="006520AF"/>
    <w:rsid w:val="00652587"/>
    <w:rsid w:val="006526A8"/>
    <w:rsid w:val="00652986"/>
    <w:rsid w:val="00652A70"/>
    <w:rsid w:val="00652B7D"/>
    <w:rsid w:val="00652CAA"/>
    <w:rsid w:val="00652D42"/>
    <w:rsid w:val="00652D6F"/>
    <w:rsid w:val="00652D99"/>
    <w:rsid w:val="00652DA4"/>
    <w:rsid w:val="00653011"/>
    <w:rsid w:val="00653042"/>
    <w:rsid w:val="0065304F"/>
    <w:rsid w:val="006530A0"/>
    <w:rsid w:val="006530B4"/>
    <w:rsid w:val="00653626"/>
    <w:rsid w:val="00653717"/>
    <w:rsid w:val="00653871"/>
    <w:rsid w:val="006538A2"/>
    <w:rsid w:val="00653AAF"/>
    <w:rsid w:val="00653BA1"/>
    <w:rsid w:val="00653C55"/>
    <w:rsid w:val="00653EB4"/>
    <w:rsid w:val="00654113"/>
    <w:rsid w:val="00654123"/>
    <w:rsid w:val="006541B4"/>
    <w:rsid w:val="00654258"/>
    <w:rsid w:val="0065427F"/>
    <w:rsid w:val="006547A7"/>
    <w:rsid w:val="006548C0"/>
    <w:rsid w:val="006549E3"/>
    <w:rsid w:val="006549E5"/>
    <w:rsid w:val="00654A14"/>
    <w:rsid w:val="00654A4A"/>
    <w:rsid w:val="00654E55"/>
    <w:rsid w:val="00654E91"/>
    <w:rsid w:val="00655099"/>
    <w:rsid w:val="006552B5"/>
    <w:rsid w:val="00655398"/>
    <w:rsid w:val="0065556E"/>
    <w:rsid w:val="0065565F"/>
    <w:rsid w:val="00655792"/>
    <w:rsid w:val="00655A64"/>
    <w:rsid w:val="00655B40"/>
    <w:rsid w:val="00655B49"/>
    <w:rsid w:val="00655B81"/>
    <w:rsid w:val="00655DB8"/>
    <w:rsid w:val="00655E0B"/>
    <w:rsid w:val="00655F34"/>
    <w:rsid w:val="00655F62"/>
    <w:rsid w:val="006560C3"/>
    <w:rsid w:val="006560C8"/>
    <w:rsid w:val="00656197"/>
    <w:rsid w:val="0065640E"/>
    <w:rsid w:val="00656751"/>
    <w:rsid w:val="0065680B"/>
    <w:rsid w:val="00656899"/>
    <w:rsid w:val="006568B0"/>
    <w:rsid w:val="006569BF"/>
    <w:rsid w:val="00656C7E"/>
    <w:rsid w:val="00656D35"/>
    <w:rsid w:val="00656D88"/>
    <w:rsid w:val="00656FA0"/>
    <w:rsid w:val="00656FBB"/>
    <w:rsid w:val="00657116"/>
    <w:rsid w:val="00657251"/>
    <w:rsid w:val="00657326"/>
    <w:rsid w:val="00657376"/>
    <w:rsid w:val="006573CA"/>
    <w:rsid w:val="006573FF"/>
    <w:rsid w:val="0065780E"/>
    <w:rsid w:val="006578D1"/>
    <w:rsid w:val="00657A30"/>
    <w:rsid w:val="00657AB8"/>
    <w:rsid w:val="00657D0E"/>
    <w:rsid w:val="00657DAC"/>
    <w:rsid w:val="00657E34"/>
    <w:rsid w:val="00657E56"/>
    <w:rsid w:val="00657E75"/>
    <w:rsid w:val="00657ECA"/>
    <w:rsid w:val="006602EA"/>
    <w:rsid w:val="006603A3"/>
    <w:rsid w:val="00660512"/>
    <w:rsid w:val="0066055E"/>
    <w:rsid w:val="00660734"/>
    <w:rsid w:val="0066083D"/>
    <w:rsid w:val="00660A2B"/>
    <w:rsid w:val="00660CA1"/>
    <w:rsid w:val="00660D3E"/>
    <w:rsid w:val="00660F7C"/>
    <w:rsid w:val="006611EA"/>
    <w:rsid w:val="00661281"/>
    <w:rsid w:val="00661351"/>
    <w:rsid w:val="006614AA"/>
    <w:rsid w:val="0066150C"/>
    <w:rsid w:val="006616C6"/>
    <w:rsid w:val="00661805"/>
    <w:rsid w:val="00661CF3"/>
    <w:rsid w:val="00661E70"/>
    <w:rsid w:val="00661FCB"/>
    <w:rsid w:val="00662004"/>
    <w:rsid w:val="00662147"/>
    <w:rsid w:val="00662227"/>
    <w:rsid w:val="0066223C"/>
    <w:rsid w:val="00662679"/>
    <w:rsid w:val="006626FC"/>
    <w:rsid w:val="006627A0"/>
    <w:rsid w:val="0066295D"/>
    <w:rsid w:val="006629AA"/>
    <w:rsid w:val="00662A36"/>
    <w:rsid w:val="00662B44"/>
    <w:rsid w:val="00662B62"/>
    <w:rsid w:val="00662E98"/>
    <w:rsid w:val="00662EDF"/>
    <w:rsid w:val="00662EEF"/>
    <w:rsid w:val="00662F28"/>
    <w:rsid w:val="00662FF6"/>
    <w:rsid w:val="00663012"/>
    <w:rsid w:val="006630CE"/>
    <w:rsid w:val="00663141"/>
    <w:rsid w:val="006631B8"/>
    <w:rsid w:val="006632C7"/>
    <w:rsid w:val="00663333"/>
    <w:rsid w:val="0066342E"/>
    <w:rsid w:val="006636D7"/>
    <w:rsid w:val="006637AF"/>
    <w:rsid w:val="00663929"/>
    <w:rsid w:val="00663C8F"/>
    <w:rsid w:val="00663EC8"/>
    <w:rsid w:val="0066415F"/>
    <w:rsid w:val="0066443D"/>
    <w:rsid w:val="006647EC"/>
    <w:rsid w:val="00664898"/>
    <w:rsid w:val="0066489B"/>
    <w:rsid w:val="006648B3"/>
    <w:rsid w:val="00664941"/>
    <w:rsid w:val="006649B5"/>
    <w:rsid w:val="00664B4C"/>
    <w:rsid w:val="00664CFF"/>
    <w:rsid w:val="00664D2E"/>
    <w:rsid w:val="00664F00"/>
    <w:rsid w:val="00665118"/>
    <w:rsid w:val="006652A9"/>
    <w:rsid w:val="006653DA"/>
    <w:rsid w:val="0066547E"/>
    <w:rsid w:val="0066554D"/>
    <w:rsid w:val="00665553"/>
    <w:rsid w:val="00665583"/>
    <w:rsid w:val="006655E7"/>
    <w:rsid w:val="00665671"/>
    <w:rsid w:val="00665682"/>
    <w:rsid w:val="00665730"/>
    <w:rsid w:val="006657B7"/>
    <w:rsid w:val="006657D2"/>
    <w:rsid w:val="00665B97"/>
    <w:rsid w:val="00665C88"/>
    <w:rsid w:val="00665D66"/>
    <w:rsid w:val="00666127"/>
    <w:rsid w:val="006661C9"/>
    <w:rsid w:val="00666281"/>
    <w:rsid w:val="006662E2"/>
    <w:rsid w:val="006663A0"/>
    <w:rsid w:val="0066665A"/>
    <w:rsid w:val="0066665F"/>
    <w:rsid w:val="00666910"/>
    <w:rsid w:val="0066693F"/>
    <w:rsid w:val="006669B5"/>
    <w:rsid w:val="006669F8"/>
    <w:rsid w:val="00666C4E"/>
    <w:rsid w:val="00666D6A"/>
    <w:rsid w:val="00666E22"/>
    <w:rsid w:val="00666E3A"/>
    <w:rsid w:val="00666E66"/>
    <w:rsid w:val="00666F56"/>
    <w:rsid w:val="00666F57"/>
    <w:rsid w:val="00666FFF"/>
    <w:rsid w:val="0066704E"/>
    <w:rsid w:val="00667179"/>
    <w:rsid w:val="0066731E"/>
    <w:rsid w:val="006673CE"/>
    <w:rsid w:val="006676CD"/>
    <w:rsid w:val="006677CC"/>
    <w:rsid w:val="006678BD"/>
    <w:rsid w:val="006678CA"/>
    <w:rsid w:val="00667977"/>
    <w:rsid w:val="006679A4"/>
    <w:rsid w:val="006679DD"/>
    <w:rsid w:val="00667A0F"/>
    <w:rsid w:val="00667D5F"/>
    <w:rsid w:val="00667E09"/>
    <w:rsid w:val="00667E0D"/>
    <w:rsid w:val="006701C7"/>
    <w:rsid w:val="006701CA"/>
    <w:rsid w:val="006701F8"/>
    <w:rsid w:val="006702CB"/>
    <w:rsid w:val="006704C2"/>
    <w:rsid w:val="006705CC"/>
    <w:rsid w:val="0067061B"/>
    <w:rsid w:val="006706B9"/>
    <w:rsid w:val="006707BA"/>
    <w:rsid w:val="0067081E"/>
    <w:rsid w:val="006708B2"/>
    <w:rsid w:val="00670920"/>
    <w:rsid w:val="00670985"/>
    <w:rsid w:val="006709D7"/>
    <w:rsid w:val="00670AF8"/>
    <w:rsid w:val="00670B77"/>
    <w:rsid w:val="00670D6D"/>
    <w:rsid w:val="00670DE6"/>
    <w:rsid w:val="00670EA9"/>
    <w:rsid w:val="00670ECD"/>
    <w:rsid w:val="006713A7"/>
    <w:rsid w:val="0067142F"/>
    <w:rsid w:val="006714A8"/>
    <w:rsid w:val="00671605"/>
    <w:rsid w:val="00671725"/>
    <w:rsid w:val="00671766"/>
    <w:rsid w:val="00671799"/>
    <w:rsid w:val="0067180E"/>
    <w:rsid w:val="00671991"/>
    <w:rsid w:val="006719D6"/>
    <w:rsid w:val="00671ABD"/>
    <w:rsid w:val="00671ABF"/>
    <w:rsid w:val="00671D55"/>
    <w:rsid w:val="00671E33"/>
    <w:rsid w:val="00671F34"/>
    <w:rsid w:val="0067231D"/>
    <w:rsid w:val="006723F9"/>
    <w:rsid w:val="0067241F"/>
    <w:rsid w:val="00672428"/>
    <w:rsid w:val="006724F0"/>
    <w:rsid w:val="006725F2"/>
    <w:rsid w:val="006726C6"/>
    <w:rsid w:val="00672807"/>
    <w:rsid w:val="00672829"/>
    <w:rsid w:val="00672A44"/>
    <w:rsid w:val="00672A51"/>
    <w:rsid w:val="00672BF2"/>
    <w:rsid w:val="00672CF4"/>
    <w:rsid w:val="00672F86"/>
    <w:rsid w:val="0067308F"/>
    <w:rsid w:val="006730E2"/>
    <w:rsid w:val="006732ED"/>
    <w:rsid w:val="006733C6"/>
    <w:rsid w:val="006733CE"/>
    <w:rsid w:val="00673422"/>
    <w:rsid w:val="00673490"/>
    <w:rsid w:val="00673813"/>
    <w:rsid w:val="006739FF"/>
    <w:rsid w:val="00673A68"/>
    <w:rsid w:val="00673A79"/>
    <w:rsid w:val="00673BA7"/>
    <w:rsid w:val="00673C1E"/>
    <w:rsid w:val="00673CD6"/>
    <w:rsid w:val="00673D74"/>
    <w:rsid w:val="00673E1F"/>
    <w:rsid w:val="00673E38"/>
    <w:rsid w:val="00673E51"/>
    <w:rsid w:val="00673E9B"/>
    <w:rsid w:val="00673F7D"/>
    <w:rsid w:val="00673F85"/>
    <w:rsid w:val="00673FA1"/>
    <w:rsid w:val="00674089"/>
    <w:rsid w:val="00674199"/>
    <w:rsid w:val="006741D5"/>
    <w:rsid w:val="00674208"/>
    <w:rsid w:val="00674300"/>
    <w:rsid w:val="00674322"/>
    <w:rsid w:val="006743CB"/>
    <w:rsid w:val="006743F2"/>
    <w:rsid w:val="0067442C"/>
    <w:rsid w:val="006745CE"/>
    <w:rsid w:val="006745DC"/>
    <w:rsid w:val="006745FF"/>
    <w:rsid w:val="006746DE"/>
    <w:rsid w:val="00674C7B"/>
    <w:rsid w:val="00674C9B"/>
    <w:rsid w:val="00674E07"/>
    <w:rsid w:val="00674E4E"/>
    <w:rsid w:val="00675058"/>
    <w:rsid w:val="006750A3"/>
    <w:rsid w:val="006750FC"/>
    <w:rsid w:val="00675206"/>
    <w:rsid w:val="00675235"/>
    <w:rsid w:val="006752CF"/>
    <w:rsid w:val="006752F9"/>
    <w:rsid w:val="00675550"/>
    <w:rsid w:val="00675577"/>
    <w:rsid w:val="006756C7"/>
    <w:rsid w:val="0067593A"/>
    <w:rsid w:val="0067593E"/>
    <w:rsid w:val="00675D14"/>
    <w:rsid w:val="00675FC6"/>
    <w:rsid w:val="00676141"/>
    <w:rsid w:val="00676242"/>
    <w:rsid w:val="006766AA"/>
    <w:rsid w:val="00676A0C"/>
    <w:rsid w:val="00676C9F"/>
    <w:rsid w:val="00676EAF"/>
    <w:rsid w:val="0067713B"/>
    <w:rsid w:val="006771F8"/>
    <w:rsid w:val="0067735A"/>
    <w:rsid w:val="0067748E"/>
    <w:rsid w:val="00677654"/>
    <w:rsid w:val="00677867"/>
    <w:rsid w:val="006779EE"/>
    <w:rsid w:val="00677BA5"/>
    <w:rsid w:val="00677C0C"/>
    <w:rsid w:val="00677C5C"/>
    <w:rsid w:val="00677E2C"/>
    <w:rsid w:val="00677E9B"/>
    <w:rsid w:val="00677EE0"/>
    <w:rsid w:val="00680282"/>
    <w:rsid w:val="00680291"/>
    <w:rsid w:val="00680583"/>
    <w:rsid w:val="00680638"/>
    <w:rsid w:val="00680742"/>
    <w:rsid w:val="00680801"/>
    <w:rsid w:val="006808AF"/>
    <w:rsid w:val="006808CE"/>
    <w:rsid w:val="00680B8E"/>
    <w:rsid w:val="00680CCE"/>
    <w:rsid w:val="00680D95"/>
    <w:rsid w:val="00680ECC"/>
    <w:rsid w:val="006811A5"/>
    <w:rsid w:val="00681327"/>
    <w:rsid w:val="00681449"/>
    <w:rsid w:val="00681933"/>
    <w:rsid w:val="00681A02"/>
    <w:rsid w:val="00681A6D"/>
    <w:rsid w:val="00681B0C"/>
    <w:rsid w:val="00681BCC"/>
    <w:rsid w:val="00681D2E"/>
    <w:rsid w:val="00681D83"/>
    <w:rsid w:val="00681EB2"/>
    <w:rsid w:val="006821A0"/>
    <w:rsid w:val="006821C8"/>
    <w:rsid w:val="006821DA"/>
    <w:rsid w:val="00682307"/>
    <w:rsid w:val="00682416"/>
    <w:rsid w:val="006824CA"/>
    <w:rsid w:val="006825DC"/>
    <w:rsid w:val="00682617"/>
    <w:rsid w:val="00682653"/>
    <w:rsid w:val="00682768"/>
    <w:rsid w:val="0068284F"/>
    <w:rsid w:val="00682977"/>
    <w:rsid w:val="006829C0"/>
    <w:rsid w:val="00682ADE"/>
    <w:rsid w:val="00682B84"/>
    <w:rsid w:val="00682D02"/>
    <w:rsid w:val="00682D54"/>
    <w:rsid w:val="00682D56"/>
    <w:rsid w:val="00682EB4"/>
    <w:rsid w:val="00682FB1"/>
    <w:rsid w:val="006830B2"/>
    <w:rsid w:val="006831BC"/>
    <w:rsid w:val="006831DD"/>
    <w:rsid w:val="006831E5"/>
    <w:rsid w:val="00683694"/>
    <w:rsid w:val="00683A6E"/>
    <w:rsid w:val="00683E6B"/>
    <w:rsid w:val="00683F36"/>
    <w:rsid w:val="006842ED"/>
    <w:rsid w:val="00684414"/>
    <w:rsid w:val="006845A4"/>
    <w:rsid w:val="00684743"/>
    <w:rsid w:val="00684892"/>
    <w:rsid w:val="006849EE"/>
    <w:rsid w:val="00684AB8"/>
    <w:rsid w:val="00684D07"/>
    <w:rsid w:val="00684D52"/>
    <w:rsid w:val="00684DF6"/>
    <w:rsid w:val="00684FAE"/>
    <w:rsid w:val="006852D8"/>
    <w:rsid w:val="00685686"/>
    <w:rsid w:val="006856BA"/>
    <w:rsid w:val="00685821"/>
    <w:rsid w:val="0068589F"/>
    <w:rsid w:val="006858D4"/>
    <w:rsid w:val="006859A7"/>
    <w:rsid w:val="00685BD5"/>
    <w:rsid w:val="00685BEE"/>
    <w:rsid w:val="00685F00"/>
    <w:rsid w:val="00685F0A"/>
    <w:rsid w:val="006860E5"/>
    <w:rsid w:val="006861B0"/>
    <w:rsid w:val="0068621D"/>
    <w:rsid w:val="006862F4"/>
    <w:rsid w:val="006863C0"/>
    <w:rsid w:val="006863E0"/>
    <w:rsid w:val="006863E4"/>
    <w:rsid w:val="00686457"/>
    <w:rsid w:val="00686569"/>
    <w:rsid w:val="00686858"/>
    <w:rsid w:val="00686CFC"/>
    <w:rsid w:val="00686E8A"/>
    <w:rsid w:val="00686F82"/>
    <w:rsid w:val="006871C4"/>
    <w:rsid w:val="0068722D"/>
    <w:rsid w:val="006872AA"/>
    <w:rsid w:val="00687363"/>
    <w:rsid w:val="00687799"/>
    <w:rsid w:val="00687C03"/>
    <w:rsid w:val="00687CDA"/>
    <w:rsid w:val="00687F85"/>
    <w:rsid w:val="0069035A"/>
    <w:rsid w:val="00690360"/>
    <w:rsid w:val="0069044E"/>
    <w:rsid w:val="0069054E"/>
    <w:rsid w:val="006905C9"/>
    <w:rsid w:val="00690771"/>
    <w:rsid w:val="006907F9"/>
    <w:rsid w:val="00690B84"/>
    <w:rsid w:val="00690BED"/>
    <w:rsid w:val="00690CDC"/>
    <w:rsid w:val="00690E82"/>
    <w:rsid w:val="00690EF1"/>
    <w:rsid w:val="00690F5F"/>
    <w:rsid w:val="00691124"/>
    <w:rsid w:val="0069129A"/>
    <w:rsid w:val="006912F6"/>
    <w:rsid w:val="00691405"/>
    <w:rsid w:val="00691476"/>
    <w:rsid w:val="0069149E"/>
    <w:rsid w:val="00691E92"/>
    <w:rsid w:val="00691F4F"/>
    <w:rsid w:val="006921DF"/>
    <w:rsid w:val="006922EC"/>
    <w:rsid w:val="00692437"/>
    <w:rsid w:val="0069252F"/>
    <w:rsid w:val="00692615"/>
    <w:rsid w:val="0069261F"/>
    <w:rsid w:val="0069288C"/>
    <w:rsid w:val="00692901"/>
    <w:rsid w:val="00692962"/>
    <w:rsid w:val="00692A96"/>
    <w:rsid w:val="00692ADE"/>
    <w:rsid w:val="00692B84"/>
    <w:rsid w:val="00692DBA"/>
    <w:rsid w:val="00692DFD"/>
    <w:rsid w:val="00692EDF"/>
    <w:rsid w:val="0069311F"/>
    <w:rsid w:val="0069320C"/>
    <w:rsid w:val="00693325"/>
    <w:rsid w:val="0069366C"/>
    <w:rsid w:val="006937FC"/>
    <w:rsid w:val="00693841"/>
    <w:rsid w:val="00693847"/>
    <w:rsid w:val="006938C1"/>
    <w:rsid w:val="006938FF"/>
    <w:rsid w:val="00693957"/>
    <w:rsid w:val="00693963"/>
    <w:rsid w:val="00693964"/>
    <w:rsid w:val="00693B33"/>
    <w:rsid w:val="00693B87"/>
    <w:rsid w:val="00693BC6"/>
    <w:rsid w:val="00693D09"/>
    <w:rsid w:val="00693E3A"/>
    <w:rsid w:val="0069442E"/>
    <w:rsid w:val="00694482"/>
    <w:rsid w:val="006944FD"/>
    <w:rsid w:val="00694595"/>
    <w:rsid w:val="006949BE"/>
    <w:rsid w:val="00694C88"/>
    <w:rsid w:val="00694CC6"/>
    <w:rsid w:val="00694D47"/>
    <w:rsid w:val="00694E3E"/>
    <w:rsid w:val="00694F37"/>
    <w:rsid w:val="00695008"/>
    <w:rsid w:val="0069545F"/>
    <w:rsid w:val="006954A7"/>
    <w:rsid w:val="00695536"/>
    <w:rsid w:val="00695546"/>
    <w:rsid w:val="006958BB"/>
    <w:rsid w:val="00695BDF"/>
    <w:rsid w:val="00695CFD"/>
    <w:rsid w:val="00695FC6"/>
    <w:rsid w:val="006960DA"/>
    <w:rsid w:val="006960F1"/>
    <w:rsid w:val="00696205"/>
    <w:rsid w:val="0069627A"/>
    <w:rsid w:val="0069628C"/>
    <w:rsid w:val="006962BD"/>
    <w:rsid w:val="00696541"/>
    <w:rsid w:val="006966AE"/>
    <w:rsid w:val="006969CE"/>
    <w:rsid w:val="006969F1"/>
    <w:rsid w:val="00696A07"/>
    <w:rsid w:val="00696A43"/>
    <w:rsid w:val="00696B98"/>
    <w:rsid w:val="00696CED"/>
    <w:rsid w:val="00696DFF"/>
    <w:rsid w:val="00696E5E"/>
    <w:rsid w:val="00696EC1"/>
    <w:rsid w:val="00696FBA"/>
    <w:rsid w:val="00697167"/>
    <w:rsid w:val="006972FA"/>
    <w:rsid w:val="0069752E"/>
    <w:rsid w:val="0069754B"/>
    <w:rsid w:val="0069791A"/>
    <w:rsid w:val="00697994"/>
    <w:rsid w:val="00697B3C"/>
    <w:rsid w:val="00697B62"/>
    <w:rsid w:val="00697EF6"/>
    <w:rsid w:val="00697FBC"/>
    <w:rsid w:val="006A0060"/>
    <w:rsid w:val="006A00BE"/>
    <w:rsid w:val="006A036D"/>
    <w:rsid w:val="006A037F"/>
    <w:rsid w:val="006A0468"/>
    <w:rsid w:val="006A04BC"/>
    <w:rsid w:val="006A06D1"/>
    <w:rsid w:val="006A0795"/>
    <w:rsid w:val="006A0CFB"/>
    <w:rsid w:val="006A0E4A"/>
    <w:rsid w:val="006A114C"/>
    <w:rsid w:val="006A11B7"/>
    <w:rsid w:val="006A1207"/>
    <w:rsid w:val="006A124A"/>
    <w:rsid w:val="006A12FC"/>
    <w:rsid w:val="006A1315"/>
    <w:rsid w:val="006A135E"/>
    <w:rsid w:val="006A13C0"/>
    <w:rsid w:val="006A14F2"/>
    <w:rsid w:val="006A1511"/>
    <w:rsid w:val="006A15E1"/>
    <w:rsid w:val="006A166A"/>
    <w:rsid w:val="006A186B"/>
    <w:rsid w:val="006A199F"/>
    <w:rsid w:val="006A1A81"/>
    <w:rsid w:val="006A2069"/>
    <w:rsid w:val="006A20AE"/>
    <w:rsid w:val="006A22A2"/>
    <w:rsid w:val="006A23FD"/>
    <w:rsid w:val="006A244F"/>
    <w:rsid w:val="006A249D"/>
    <w:rsid w:val="006A2744"/>
    <w:rsid w:val="006A2974"/>
    <w:rsid w:val="006A2B01"/>
    <w:rsid w:val="006A2D56"/>
    <w:rsid w:val="006A2D92"/>
    <w:rsid w:val="006A2E75"/>
    <w:rsid w:val="006A2E85"/>
    <w:rsid w:val="006A2EC4"/>
    <w:rsid w:val="006A313F"/>
    <w:rsid w:val="006A3192"/>
    <w:rsid w:val="006A327D"/>
    <w:rsid w:val="006A37D3"/>
    <w:rsid w:val="006A399E"/>
    <w:rsid w:val="006A39A2"/>
    <w:rsid w:val="006A39BA"/>
    <w:rsid w:val="006A3A94"/>
    <w:rsid w:val="006A3A99"/>
    <w:rsid w:val="006A3BAB"/>
    <w:rsid w:val="006A3BD3"/>
    <w:rsid w:val="006A3D5A"/>
    <w:rsid w:val="006A3EE3"/>
    <w:rsid w:val="006A40A1"/>
    <w:rsid w:val="006A4370"/>
    <w:rsid w:val="006A441F"/>
    <w:rsid w:val="006A465C"/>
    <w:rsid w:val="006A4945"/>
    <w:rsid w:val="006A4B59"/>
    <w:rsid w:val="006A4BA9"/>
    <w:rsid w:val="006A4D71"/>
    <w:rsid w:val="006A4D73"/>
    <w:rsid w:val="006A516F"/>
    <w:rsid w:val="006A51FF"/>
    <w:rsid w:val="006A5250"/>
    <w:rsid w:val="006A5480"/>
    <w:rsid w:val="006A54DA"/>
    <w:rsid w:val="006A54DB"/>
    <w:rsid w:val="006A5532"/>
    <w:rsid w:val="006A55C4"/>
    <w:rsid w:val="006A56FF"/>
    <w:rsid w:val="006A573E"/>
    <w:rsid w:val="006A57A7"/>
    <w:rsid w:val="006A57EE"/>
    <w:rsid w:val="006A58BE"/>
    <w:rsid w:val="006A58F1"/>
    <w:rsid w:val="006A5A02"/>
    <w:rsid w:val="006A5AE4"/>
    <w:rsid w:val="006A5C92"/>
    <w:rsid w:val="006A5D96"/>
    <w:rsid w:val="006A5FD3"/>
    <w:rsid w:val="006A6054"/>
    <w:rsid w:val="006A621D"/>
    <w:rsid w:val="006A63C9"/>
    <w:rsid w:val="006A654B"/>
    <w:rsid w:val="006A6931"/>
    <w:rsid w:val="006A6AEC"/>
    <w:rsid w:val="006A6D58"/>
    <w:rsid w:val="006A6E09"/>
    <w:rsid w:val="006A6E6F"/>
    <w:rsid w:val="006A6EA9"/>
    <w:rsid w:val="006A6F9F"/>
    <w:rsid w:val="006A704A"/>
    <w:rsid w:val="006A71E2"/>
    <w:rsid w:val="006A7364"/>
    <w:rsid w:val="006A7595"/>
    <w:rsid w:val="006A7841"/>
    <w:rsid w:val="006A7A85"/>
    <w:rsid w:val="006A7C63"/>
    <w:rsid w:val="006A7F18"/>
    <w:rsid w:val="006B019E"/>
    <w:rsid w:val="006B0406"/>
    <w:rsid w:val="006B0499"/>
    <w:rsid w:val="006B04BE"/>
    <w:rsid w:val="006B061E"/>
    <w:rsid w:val="006B069A"/>
    <w:rsid w:val="006B09B4"/>
    <w:rsid w:val="006B0B98"/>
    <w:rsid w:val="006B0BB2"/>
    <w:rsid w:val="006B0C44"/>
    <w:rsid w:val="006B0F1D"/>
    <w:rsid w:val="006B1054"/>
    <w:rsid w:val="006B1680"/>
    <w:rsid w:val="006B1997"/>
    <w:rsid w:val="006B19A2"/>
    <w:rsid w:val="006B1BA2"/>
    <w:rsid w:val="006B1C27"/>
    <w:rsid w:val="006B1C4D"/>
    <w:rsid w:val="006B1E7D"/>
    <w:rsid w:val="006B1FB3"/>
    <w:rsid w:val="006B1FD4"/>
    <w:rsid w:val="006B2044"/>
    <w:rsid w:val="006B20A0"/>
    <w:rsid w:val="006B213C"/>
    <w:rsid w:val="006B214A"/>
    <w:rsid w:val="006B2252"/>
    <w:rsid w:val="006B2494"/>
    <w:rsid w:val="006B25C9"/>
    <w:rsid w:val="006B25F6"/>
    <w:rsid w:val="006B2601"/>
    <w:rsid w:val="006B29BE"/>
    <w:rsid w:val="006B2B4E"/>
    <w:rsid w:val="006B3000"/>
    <w:rsid w:val="006B303C"/>
    <w:rsid w:val="006B30A9"/>
    <w:rsid w:val="006B3254"/>
    <w:rsid w:val="006B3502"/>
    <w:rsid w:val="006B353B"/>
    <w:rsid w:val="006B36EA"/>
    <w:rsid w:val="006B37FE"/>
    <w:rsid w:val="006B389D"/>
    <w:rsid w:val="006B396C"/>
    <w:rsid w:val="006B3AF0"/>
    <w:rsid w:val="006B3D8C"/>
    <w:rsid w:val="006B3E29"/>
    <w:rsid w:val="006B4483"/>
    <w:rsid w:val="006B458E"/>
    <w:rsid w:val="006B465E"/>
    <w:rsid w:val="006B4844"/>
    <w:rsid w:val="006B48D2"/>
    <w:rsid w:val="006B490E"/>
    <w:rsid w:val="006B4C45"/>
    <w:rsid w:val="006B4C8C"/>
    <w:rsid w:val="006B4FAE"/>
    <w:rsid w:val="006B5067"/>
    <w:rsid w:val="006B50B7"/>
    <w:rsid w:val="006B52D1"/>
    <w:rsid w:val="006B531D"/>
    <w:rsid w:val="006B55E8"/>
    <w:rsid w:val="006B5733"/>
    <w:rsid w:val="006B573C"/>
    <w:rsid w:val="006B57B7"/>
    <w:rsid w:val="006B580D"/>
    <w:rsid w:val="006B59B5"/>
    <w:rsid w:val="006B5B6C"/>
    <w:rsid w:val="006B5B8D"/>
    <w:rsid w:val="006B5E2F"/>
    <w:rsid w:val="006B5EF6"/>
    <w:rsid w:val="006B5F2F"/>
    <w:rsid w:val="006B6125"/>
    <w:rsid w:val="006B6428"/>
    <w:rsid w:val="006B6441"/>
    <w:rsid w:val="006B64B3"/>
    <w:rsid w:val="006B66E4"/>
    <w:rsid w:val="006B6DD4"/>
    <w:rsid w:val="006B6ECE"/>
    <w:rsid w:val="006B7153"/>
    <w:rsid w:val="006B717A"/>
    <w:rsid w:val="006B7186"/>
    <w:rsid w:val="006B7357"/>
    <w:rsid w:val="006B761F"/>
    <w:rsid w:val="006B76F1"/>
    <w:rsid w:val="006B77D5"/>
    <w:rsid w:val="006B785B"/>
    <w:rsid w:val="006B79DD"/>
    <w:rsid w:val="006B79DF"/>
    <w:rsid w:val="006B7A26"/>
    <w:rsid w:val="006B7B34"/>
    <w:rsid w:val="006B7C51"/>
    <w:rsid w:val="006B7CCE"/>
    <w:rsid w:val="006B7CDA"/>
    <w:rsid w:val="006B7CF9"/>
    <w:rsid w:val="006B7F8A"/>
    <w:rsid w:val="006C0344"/>
    <w:rsid w:val="006C0396"/>
    <w:rsid w:val="006C03DB"/>
    <w:rsid w:val="006C04AE"/>
    <w:rsid w:val="006C04D2"/>
    <w:rsid w:val="006C05B7"/>
    <w:rsid w:val="006C0720"/>
    <w:rsid w:val="006C0749"/>
    <w:rsid w:val="006C07B1"/>
    <w:rsid w:val="006C0A18"/>
    <w:rsid w:val="006C0AB1"/>
    <w:rsid w:val="006C0B5A"/>
    <w:rsid w:val="006C0BCE"/>
    <w:rsid w:val="006C0DA9"/>
    <w:rsid w:val="006C0E1C"/>
    <w:rsid w:val="006C0F23"/>
    <w:rsid w:val="006C0F4F"/>
    <w:rsid w:val="006C0FD8"/>
    <w:rsid w:val="006C100E"/>
    <w:rsid w:val="006C108A"/>
    <w:rsid w:val="006C1106"/>
    <w:rsid w:val="006C117B"/>
    <w:rsid w:val="006C11F1"/>
    <w:rsid w:val="006C13D8"/>
    <w:rsid w:val="006C1420"/>
    <w:rsid w:val="006C145C"/>
    <w:rsid w:val="006C14EB"/>
    <w:rsid w:val="006C15AB"/>
    <w:rsid w:val="006C1831"/>
    <w:rsid w:val="006C1857"/>
    <w:rsid w:val="006C18B8"/>
    <w:rsid w:val="006C1961"/>
    <w:rsid w:val="006C19C5"/>
    <w:rsid w:val="006C1B4A"/>
    <w:rsid w:val="006C1B50"/>
    <w:rsid w:val="006C1BE1"/>
    <w:rsid w:val="006C1EEC"/>
    <w:rsid w:val="006C22F1"/>
    <w:rsid w:val="006C23C8"/>
    <w:rsid w:val="006C2497"/>
    <w:rsid w:val="006C2738"/>
    <w:rsid w:val="006C28BA"/>
    <w:rsid w:val="006C2961"/>
    <w:rsid w:val="006C2D6B"/>
    <w:rsid w:val="006C2EE0"/>
    <w:rsid w:val="006C2F42"/>
    <w:rsid w:val="006C2F7C"/>
    <w:rsid w:val="006C2F87"/>
    <w:rsid w:val="006C33A3"/>
    <w:rsid w:val="006C354D"/>
    <w:rsid w:val="006C35E0"/>
    <w:rsid w:val="006C375F"/>
    <w:rsid w:val="006C38B0"/>
    <w:rsid w:val="006C3BA4"/>
    <w:rsid w:val="006C3C47"/>
    <w:rsid w:val="006C3CA1"/>
    <w:rsid w:val="006C3FCC"/>
    <w:rsid w:val="006C3FDA"/>
    <w:rsid w:val="006C3FFF"/>
    <w:rsid w:val="006C4131"/>
    <w:rsid w:val="006C4136"/>
    <w:rsid w:val="006C4355"/>
    <w:rsid w:val="006C43A7"/>
    <w:rsid w:val="006C43CB"/>
    <w:rsid w:val="006C491A"/>
    <w:rsid w:val="006C4A8F"/>
    <w:rsid w:val="006C4AEF"/>
    <w:rsid w:val="006C4CDA"/>
    <w:rsid w:val="006C4D81"/>
    <w:rsid w:val="006C4D9B"/>
    <w:rsid w:val="006C4E46"/>
    <w:rsid w:val="006C4F61"/>
    <w:rsid w:val="006C518F"/>
    <w:rsid w:val="006C51E3"/>
    <w:rsid w:val="006C52CA"/>
    <w:rsid w:val="006C555D"/>
    <w:rsid w:val="006C5659"/>
    <w:rsid w:val="006C57EF"/>
    <w:rsid w:val="006C5844"/>
    <w:rsid w:val="006C58E1"/>
    <w:rsid w:val="006C594D"/>
    <w:rsid w:val="006C5A28"/>
    <w:rsid w:val="006C5A8C"/>
    <w:rsid w:val="006C60C0"/>
    <w:rsid w:val="006C6157"/>
    <w:rsid w:val="006C6186"/>
    <w:rsid w:val="006C6363"/>
    <w:rsid w:val="006C63A0"/>
    <w:rsid w:val="006C63B1"/>
    <w:rsid w:val="006C63C7"/>
    <w:rsid w:val="006C63D5"/>
    <w:rsid w:val="006C63F5"/>
    <w:rsid w:val="006C6483"/>
    <w:rsid w:val="006C64FB"/>
    <w:rsid w:val="006C6536"/>
    <w:rsid w:val="006C66D0"/>
    <w:rsid w:val="006C680B"/>
    <w:rsid w:val="006C6C7F"/>
    <w:rsid w:val="006C6D56"/>
    <w:rsid w:val="006C6E3D"/>
    <w:rsid w:val="006C6EFD"/>
    <w:rsid w:val="006C73E0"/>
    <w:rsid w:val="006C73E5"/>
    <w:rsid w:val="006C7688"/>
    <w:rsid w:val="006C77AC"/>
    <w:rsid w:val="006C79DD"/>
    <w:rsid w:val="006C7AD9"/>
    <w:rsid w:val="006C7C1E"/>
    <w:rsid w:val="006C7C67"/>
    <w:rsid w:val="006C7DF6"/>
    <w:rsid w:val="006D001A"/>
    <w:rsid w:val="006D019F"/>
    <w:rsid w:val="006D026B"/>
    <w:rsid w:val="006D02DF"/>
    <w:rsid w:val="006D03DA"/>
    <w:rsid w:val="006D07A3"/>
    <w:rsid w:val="006D07C0"/>
    <w:rsid w:val="006D0AC2"/>
    <w:rsid w:val="006D0BF7"/>
    <w:rsid w:val="006D0D2D"/>
    <w:rsid w:val="006D1042"/>
    <w:rsid w:val="006D1139"/>
    <w:rsid w:val="006D134D"/>
    <w:rsid w:val="006D135F"/>
    <w:rsid w:val="006D1A0D"/>
    <w:rsid w:val="006D1AAE"/>
    <w:rsid w:val="006D1C7F"/>
    <w:rsid w:val="006D1FBD"/>
    <w:rsid w:val="006D20AD"/>
    <w:rsid w:val="006D22C9"/>
    <w:rsid w:val="006D24DE"/>
    <w:rsid w:val="006D2553"/>
    <w:rsid w:val="006D265C"/>
    <w:rsid w:val="006D26A1"/>
    <w:rsid w:val="006D28AC"/>
    <w:rsid w:val="006D2925"/>
    <w:rsid w:val="006D293A"/>
    <w:rsid w:val="006D29AB"/>
    <w:rsid w:val="006D2A9F"/>
    <w:rsid w:val="006D2D8D"/>
    <w:rsid w:val="006D2DBF"/>
    <w:rsid w:val="006D2E31"/>
    <w:rsid w:val="006D31DD"/>
    <w:rsid w:val="006D31EF"/>
    <w:rsid w:val="006D32C5"/>
    <w:rsid w:val="006D3491"/>
    <w:rsid w:val="006D349B"/>
    <w:rsid w:val="006D3501"/>
    <w:rsid w:val="006D3895"/>
    <w:rsid w:val="006D39CB"/>
    <w:rsid w:val="006D3A59"/>
    <w:rsid w:val="006D3B40"/>
    <w:rsid w:val="006D3CBF"/>
    <w:rsid w:val="006D3E77"/>
    <w:rsid w:val="006D3E92"/>
    <w:rsid w:val="006D3ED5"/>
    <w:rsid w:val="006D3F31"/>
    <w:rsid w:val="006D3FA0"/>
    <w:rsid w:val="006D46DA"/>
    <w:rsid w:val="006D48F0"/>
    <w:rsid w:val="006D49D6"/>
    <w:rsid w:val="006D4C11"/>
    <w:rsid w:val="006D4CE9"/>
    <w:rsid w:val="006D4D19"/>
    <w:rsid w:val="006D4DE6"/>
    <w:rsid w:val="006D4FBC"/>
    <w:rsid w:val="006D4FF9"/>
    <w:rsid w:val="006D500C"/>
    <w:rsid w:val="006D5312"/>
    <w:rsid w:val="006D5646"/>
    <w:rsid w:val="006D58B5"/>
    <w:rsid w:val="006D5AB6"/>
    <w:rsid w:val="006D5BCD"/>
    <w:rsid w:val="006D5C09"/>
    <w:rsid w:val="006D5CFC"/>
    <w:rsid w:val="006D5EA6"/>
    <w:rsid w:val="006D6075"/>
    <w:rsid w:val="006D60C4"/>
    <w:rsid w:val="006D6109"/>
    <w:rsid w:val="006D6115"/>
    <w:rsid w:val="006D673D"/>
    <w:rsid w:val="006D6BC3"/>
    <w:rsid w:val="006D6C93"/>
    <w:rsid w:val="006D6D0A"/>
    <w:rsid w:val="006D6DBE"/>
    <w:rsid w:val="006D709F"/>
    <w:rsid w:val="006D7294"/>
    <w:rsid w:val="006D7368"/>
    <w:rsid w:val="006D7456"/>
    <w:rsid w:val="006D74C2"/>
    <w:rsid w:val="006D74C3"/>
    <w:rsid w:val="006D7514"/>
    <w:rsid w:val="006D7524"/>
    <w:rsid w:val="006D792E"/>
    <w:rsid w:val="006D7B0B"/>
    <w:rsid w:val="006D7B38"/>
    <w:rsid w:val="006D7BF3"/>
    <w:rsid w:val="006D7D18"/>
    <w:rsid w:val="006E0103"/>
    <w:rsid w:val="006E0300"/>
    <w:rsid w:val="006E0496"/>
    <w:rsid w:val="006E04FC"/>
    <w:rsid w:val="006E0B40"/>
    <w:rsid w:val="006E0C8B"/>
    <w:rsid w:val="006E0CC1"/>
    <w:rsid w:val="006E0CF0"/>
    <w:rsid w:val="006E0CFE"/>
    <w:rsid w:val="006E0DA1"/>
    <w:rsid w:val="006E1388"/>
    <w:rsid w:val="006E17FA"/>
    <w:rsid w:val="006E1A34"/>
    <w:rsid w:val="006E1B19"/>
    <w:rsid w:val="006E1B54"/>
    <w:rsid w:val="006E1B81"/>
    <w:rsid w:val="006E1B98"/>
    <w:rsid w:val="006E1EF0"/>
    <w:rsid w:val="006E20B2"/>
    <w:rsid w:val="006E2106"/>
    <w:rsid w:val="006E22B3"/>
    <w:rsid w:val="006E23E8"/>
    <w:rsid w:val="006E25EE"/>
    <w:rsid w:val="006E260B"/>
    <w:rsid w:val="006E263E"/>
    <w:rsid w:val="006E2710"/>
    <w:rsid w:val="006E27E4"/>
    <w:rsid w:val="006E29D0"/>
    <w:rsid w:val="006E2B25"/>
    <w:rsid w:val="006E2C7E"/>
    <w:rsid w:val="006E2CEF"/>
    <w:rsid w:val="006E317E"/>
    <w:rsid w:val="006E330C"/>
    <w:rsid w:val="006E3437"/>
    <w:rsid w:val="006E352D"/>
    <w:rsid w:val="006E3599"/>
    <w:rsid w:val="006E3727"/>
    <w:rsid w:val="006E375D"/>
    <w:rsid w:val="006E388C"/>
    <w:rsid w:val="006E3A32"/>
    <w:rsid w:val="006E3BB5"/>
    <w:rsid w:val="006E3BD0"/>
    <w:rsid w:val="006E3BFB"/>
    <w:rsid w:val="006E3C57"/>
    <w:rsid w:val="006E3CF1"/>
    <w:rsid w:val="006E3EF3"/>
    <w:rsid w:val="006E4121"/>
    <w:rsid w:val="006E4297"/>
    <w:rsid w:val="006E433E"/>
    <w:rsid w:val="006E4411"/>
    <w:rsid w:val="006E4552"/>
    <w:rsid w:val="006E4627"/>
    <w:rsid w:val="006E4759"/>
    <w:rsid w:val="006E47CA"/>
    <w:rsid w:val="006E492B"/>
    <w:rsid w:val="006E4A50"/>
    <w:rsid w:val="006E4AF1"/>
    <w:rsid w:val="006E4CAA"/>
    <w:rsid w:val="006E4D9E"/>
    <w:rsid w:val="006E4ED1"/>
    <w:rsid w:val="006E4F90"/>
    <w:rsid w:val="006E500C"/>
    <w:rsid w:val="006E5217"/>
    <w:rsid w:val="006E52DB"/>
    <w:rsid w:val="006E5368"/>
    <w:rsid w:val="006E543C"/>
    <w:rsid w:val="006E5480"/>
    <w:rsid w:val="006E5500"/>
    <w:rsid w:val="006E582C"/>
    <w:rsid w:val="006E58B0"/>
    <w:rsid w:val="006E5A22"/>
    <w:rsid w:val="006E5A98"/>
    <w:rsid w:val="006E5C2B"/>
    <w:rsid w:val="006E5CA6"/>
    <w:rsid w:val="006E5CDA"/>
    <w:rsid w:val="006E5D54"/>
    <w:rsid w:val="006E5F0A"/>
    <w:rsid w:val="006E5F99"/>
    <w:rsid w:val="006E6142"/>
    <w:rsid w:val="006E615C"/>
    <w:rsid w:val="006E6164"/>
    <w:rsid w:val="006E62B8"/>
    <w:rsid w:val="006E68D3"/>
    <w:rsid w:val="006E6959"/>
    <w:rsid w:val="006E6A76"/>
    <w:rsid w:val="006E6B49"/>
    <w:rsid w:val="006E6B54"/>
    <w:rsid w:val="006E6C53"/>
    <w:rsid w:val="006E6E39"/>
    <w:rsid w:val="006E6F0A"/>
    <w:rsid w:val="006E73F7"/>
    <w:rsid w:val="006E76F1"/>
    <w:rsid w:val="006E77D2"/>
    <w:rsid w:val="006E789F"/>
    <w:rsid w:val="006E7940"/>
    <w:rsid w:val="006E7C8C"/>
    <w:rsid w:val="006E7E69"/>
    <w:rsid w:val="006F0037"/>
    <w:rsid w:val="006F00B8"/>
    <w:rsid w:val="006F015F"/>
    <w:rsid w:val="006F039E"/>
    <w:rsid w:val="006F0594"/>
    <w:rsid w:val="006F068B"/>
    <w:rsid w:val="006F07F9"/>
    <w:rsid w:val="006F0A5E"/>
    <w:rsid w:val="006F0C2D"/>
    <w:rsid w:val="006F0CAB"/>
    <w:rsid w:val="006F0CB0"/>
    <w:rsid w:val="006F0D29"/>
    <w:rsid w:val="006F0E9C"/>
    <w:rsid w:val="006F1028"/>
    <w:rsid w:val="006F10D6"/>
    <w:rsid w:val="006F112B"/>
    <w:rsid w:val="006F1308"/>
    <w:rsid w:val="006F1497"/>
    <w:rsid w:val="006F14BA"/>
    <w:rsid w:val="006F1627"/>
    <w:rsid w:val="006F1801"/>
    <w:rsid w:val="006F1C81"/>
    <w:rsid w:val="006F1DC7"/>
    <w:rsid w:val="006F1E25"/>
    <w:rsid w:val="006F1EC1"/>
    <w:rsid w:val="006F1F4C"/>
    <w:rsid w:val="006F22A0"/>
    <w:rsid w:val="006F22F1"/>
    <w:rsid w:val="006F2533"/>
    <w:rsid w:val="006F253E"/>
    <w:rsid w:val="006F25B2"/>
    <w:rsid w:val="006F26CE"/>
    <w:rsid w:val="006F274F"/>
    <w:rsid w:val="006F28F4"/>
    <w:rsid w:val="006F2986"/>
    <w:rsid w:val="006F2996"/>
    <w:rsid w:val="006F29D6"/>
    <w:rsid w:val="006F2B4C"/>
    <w:rsid w:val="006F2C7C"/>
    <w:rsid w:val="006F2C8F"/>
    <w:rsid w:val="006F2D0A"/>
    <w:rsid w:val="006F2DE7"/>
    <w:rsid w:val="006F2EC0"/>
    <w:rsid w:val="006F2F54"/>
    <w:rsid w:val="006F2FCF"/>
    <w:rsid w:val="006F2FD3"/>
    <w:rsid w:val="006F307F"/>
    <w:rsid w:val="006F3083"/>
    <w:rsid w:val="006F323E"/>
    <w:rsid w:val="006F33B5"/>
    <w:rsid w:val="006F3442"/>
    <w:rsid w:val="006F34BB"/>
    <w:rsid w:val="006F35AE"/>
    <w:rsid w:val="006F3696"/>
    <w:rsid w:val="006F3928"/>
    <w:rsid w:val="006F3B1F"/>
    <w:rsid w:val="006F3BDF"/>
    <w:rsid w:val="006F3E96"/>
    <w:rsid w:val="006F4101"/>
    <w:rsid w:val="006F4154"/>
    <w:rsid w:val="006F41DA"/>
    <w:rsid w:val="006F4258"/>
    <w:rsid w:val="006F427E"/>
    <w:rsid w:val="006F42D0"/>
    <w:rsid w:val="006F4399"/>
    <w:rsid w:val="006F456F"/>
    <w:rsid w:val="006F45DD"/>
    <w:rsid w:val="006F4772"/>
    <w:rsid w:val="006F4A06"/>
    <w:rsid w:val="006F4B26"/>
    <w:rsid w:val="006F4C84"/>
    <w:rsid w:val="006F4D90"/>
    <w:rsid w:val="006F4E26"/>
    <w:rsid w:val="006F4E2F"/>
    <w:rsid w:val="006F4E68"/>
    <w:rsid w:val="006F4FA6"/>
    <w:rsid w:val="006F5287"/>
    <w:rsid w:val="006F5381"/>
    <w:rsid w:val="006F54B8"/>
    <w:rsid w:val="006F5CA3"/>
    <w:rsid w:val="006F5F93"/>
    <w:rsid w:val="006F5FE9"/>
    <w:rsid w:val="006F606B"/>
    <w:rsid w:val="006F6165"/>
    <w:rsid w:val="006F631F"/>
    <w:rsid w:val="006F63F4"/>
    <w:rsid w:val="006F64FF"/>
    <w:rsid w:val="006F65E3"/>
    <w:rsid w:val="006F667B"/>
    <w:rsid w:val="006F673B"/>
    <w:rsid w:val="006F6784"/>
    <w:rsid w:val="006F679D"/>
    <w:rsid w:val="006F6A74"/>
    <w:rsid w:val="006F6E02"/>
    <w:rsid w:val="006F6E04"/>
    <w:rsid w:val="006F7055"/>
    <w:rsid w:val="006F7294"/>
    <w:rsid w:val="006F73B6"/>
    <w:rsid w:val="006F7425"/>
    <w:rsid w:val="006F7483"/>
    <w:rsid w:val="006F7532"/>
    <w:rsid w:val="006F7A34"/>
    <w:rsid w:val="006F7A9B"/>
    <w:rsid w:val="006F7EF6"/>
    <w:rsid w:val="006F7F32"/>
    <w:rsid w:val="007000B1"/>
    <w:rsid w:val="00700220"/>
    <w:rsid w:val="00700300"/>
    <w:rsid w:val="00700370"/>
    <w:rsid w:val="0070054E"/>
    <w:rsid w:val="007008E6"/>
    <w:rsid w:val="007009A4"/>
    <w:rsid w:val="00700ABE"/>
    <w:rsid w:val="00700C64"/>
    <w:rsid w:val="00700D52"/>
    <w:rsid w:val="00700DBF"/>
    <w:rsid w:val="00701122"/>
    <w:rsid w:val="00701331"/>
    <w:rsid w:val="007013DF"/>
    <w:rsid w:val="007018A9"/>
    <w:rsid w:val="007019FD"/>
    <w:rsid w:val="00701AA5"/>
    <w:rsid w:val="00701CB7"/>
    <w:rsid w:val="00701CF7"/>
    <w:rsid w:val="00701CFD"/>
    <w:rsid w:val="00701E21"/>
    <w:rsid w:val="007021CE"/>
    <w:rsid w:val="0070234F"/>
    <w:rsid w:val="007024B1"/>
    <w:rsid w:val="007024DE"/>
    <w:rsid w:val="0070267E"/>
    <w:rsid w:val="00702B19"/>
    <w:rsid w:val="00702B5B"/>
    <w:rsid w:val="00702B98"/>
    <w:rsid w:val="00702C4C"/>
    <w:rsid w:val="00702CFD"/>
    <w:rsid w:val="00702F3D"/>
    <w:rsid w:val="00703067"/>
    <w:rsid w:val="00703150"/>
    <w:rsid w:val="007033F2"/>
    <w:rsid w:val="00703433"/>
    <w:rsid w:val="007034F7"/>
    <w:rsid w:val="00703587"/>
    <w:rsid w:val="007035BA"/>
    <w:rsid w:val="00703775"/>
    <w:rsid w:val="007037DE"/>
    <w:rsid w:val="00703896"/>
    <w:rsid w:val="007038C2"/>
    <w:rsid w:val="00703938"/>
    <w:rsid w:val="00703BBF"/>
    <w:rsid w:val="00703BFF"/>
    <w:rsid w:val="00703EB5"/>
    <w:rsid w:val="00703F3F"/>
    <w:rsid w:val="00703F73"/>
    <w:rsid w:val="0070409D"/>
    <w:rsid w:val="00704225"/>
    <w:rsid w:val="00704230"/>
    <w:rsid w:val="0070429A"/>
    <w:rsid w:val="007042DA"/>
    <w:rsid w:val="00704308"/>
    <w:rsid w:val="0070439F"/>
    <w:rsid w:val="0070444D"/>
    <w:rsid w:val="00704637"/>
    <w:rsid w:val="00704738"/>
    <w:rsid w:val="007047FF"/>
    <w:rsid w:val="007048C5"/>
    <w:rsid w:val="00704A90"/>
    <w:rsid w:val="00704B98"/>
    <w:rsid w:val="00704C1A"/>
    <w:rsid w:val="00704C31"/>
    <w:rsid w:val="00704D18"/>
    <w:rsid w:val="00704D54"/>
    <w:rsid w:val="00704DBD"/>
    <w:rsid w:val="007050A5"/>
    <w:rsid w:val="00705316"/>
    <w:rsid w:val="00705549"/>
    <w:rsid w:val="00705771"/>
    <w:rsid w:val="00705A97"/>
    <w:rsid w:val="00705CFE"/>
    <w:rsid w:val="00705DB1"/>
    <w:rsid w:val="00705E21"/>
    <w:rsid w:val="00705FF5"/>
    <w:rsid w:val="0070609F"/>
    <w:rsid w:val="007060C6"/>
    <w:rsid w:val="00706280"/>
    <w:rsid w:val="0070628D"/>
    <w:rsid w:val="007062FC"/>
    <w:rsid w:val="007064CB"/>
    <w:rsid w:val="0070652B"/>
    <w:rsid w:val="0070669E"/>
    <w:rsid w:val="00706742"/>
    <w:rsid w:val="007067A2"/>
    <w:rsid w:val="00706B71"/>
    <w:rsid w:val="00706BDC"/>
    <w:rsid w:val="00706CCD"/>
    <w:rsid w:val="00706DE8"/>
    <w:rsid w:val="00706E1F"/>
    <w:rsid w:val="0070713B"/>
    <w:rsid w:val="00707188"/>
    <w:rsid w:val="00707386"/>
    <w:rsid w:val="00707492"/>
    <w:rsid w:val="00707498"/>
    <w:rsid w:val="00707693"/>
    <w:rsid w:val="007076B1"/>
    <w:rsid w:val="00707712"/>
    <w:rsid w:val="007077BC"/>
    <w:rsid w:val="007079A2"/>
    <w:rsid w:val="00707ABD"/>
    <w:rsid w:val="00707B30"/>
    <w:rsid w:val="00707B3E"/>
    <w:rsid w:val="00707CD8"/>
    <w:rsid w:val="00707D34"/>
    <w:rsid w:val="00707F37"/>
    <w:rsid w:val="00707FE4"/>
    <w:rsid w:val="007101A8"/>
    <w:rsid w:val="00710200"/>
    <w:rsid w:val="0071026F"/>
    <w:rsid w:val="007105F2"/>
    <w:rsid w:val="00710B5D"/>
    <w:rsid w:val="00710C89"/>
    <w:rsid w:val="00710D3D"/>
    <w:rsid w:val="00710D6C"/>
    <w:rsid w:val="00710EE9"/>
    <w:rsid w:val="00711034"/>
    <w:rsid w:val="0071109B"/>
    <w:rsid w:val="00711302"/>
    <w:rsid w:val="007113AA"/>
    <w:rsid w:val="0071144E"/>
    <w:rsid w:val="00711456"/>
    <w:rsid w:val="007114F2"/>
    <w:rsid w:val="0071150D"/>
    <w:rsid w:val="007115D5"/>
    <w:rsid w:val="00711707"/>
    <w:rsid w:val="007117BF"/>
    <w:rsid w:val="00711919"/>
    <w:rsid w:val="00711AB4"/>
    <w:rsid w:val="00711B06"/>
    <w:rsid w:val="00711B85"/>
    <w:rsid w:val="00711C09"/>
    <w:rsid w:val="00711C6E"/>
    <w:rsid w:val="00711CDD"/>
    <w:rsid w:val="00711EF1"/>
    <w:rsid w:val="00711F02"/>
    <w:rsid w:val="00711FDB"/>
    <w:rsid w:val="00712058"/>
    <w:rsid w:val="007121E4"/>
    <w:rsid w:val="00712248"/>
    <w:rsid w:val="00712271"/>
    <w:rsid w:val="0071228F"/>
    <w:rsid w:val="00712419"/>
    <w:rsid w:val="0071246A"/>
    <w:rsid w:val="00712505"/>
    <w:rsid w:val="00712847"/>
    <w:rsid w:val="00712B84"/>
    <w:rsid w:val="00712CB5"/>
    <w:rsid w:val="00712E17"/>
    <w:rsid w:val="007132DF"/>
    <w:rsid w:val="00713344"/>
    <w:rsid w:val="007135F2"/>
    <w:rsid w:val="00713683"/>
    <w:rsid w:val="00713773"/>
    <w:rsid w:val="007137C0"/>
    <w:rsid w:val="00713925"/>
    <w:rsid w:val="0071415F"/>
    <w:rsid w:val="00714194"/>
    <w:rsid w:val="0071427E"/>
    <w:rsid w:val="007142A3"/>
    <w:rsid w:val="00714442"/>
    <w:rsid w:val="007144D5"/>
    <w:rsid w:val="00714AC1"/>
    <w:rsid w:val="00714AED"/>
    <w:rsid w:val="00714DB4"/>
    <w:rsid w:val="00714EB6"/>
    <w:rsid w:val="00714F3B"/>
    <w:rsid w:val="00715211"/>
    <w:rsid w:val="0071532E"/>
    <w:rsid w:val="0071579D"/>
    <w:rsid w:val="00715807"/>
    <w:rsid w:val="00715B5B"/>
    <w:rsid w:val="00715BBC"/>
    <w:rsid w:val="00715CA8"/>
    <w:rsid w:val="00715CB8"/>
    <w:rsid w:val="00715DC5"/>
    <w:rsid w:val="007161CA"/>
    <w:rsid w:val="007161E2"/>
    <w:rsid w:val="00716247"/>
    <w:rsid w:val="007162E1"/>
    <w:rsid w:val="007164CC"/>
    <w:rsid w:val="00716690"/>
    <w:rsid w:val="0071683C"/>
    <w:rsid w:val="007168CD"/>
    <w:rsid w:val="00716983"/>
    <w:rsid w:val="00716A27"/>
    <w:rsid w:val="00716A52"/>
    <w:rsid w:val="00716AF4"/>
    <w:rsid w:val="00716BEA"/>
    <w:rsid w:val="00716EF8"/>
    <w:rsid w:val="00717025"/>
    <w:rsid w:val="00717167"/>
    <w:rsid w:val="00717212"/>
    <w:rsid w:val="0071729C"/>
    <w:rsid w:val="00717320"/>
    <w:rsid w:val="00717389"/>
    <w:rsid w:val="00717711"/>
    <w:rsid w:val="007178DE"/>
    <w:rsid w:val="0071795C"/>
    <w:rsid w:val="00717CC1"/>
    <w:rsid w:val="00717D7B"/>
    <w:rsid w:val="00717D82"/>
    <w:rsid w:val="00717DF2"/>
    <w:rsid w:val="00717F08"/>
    <w:rsid w:val="007200FE"/>
    <w:rsid w:val="00720109"/>
    <w:rsid w:val="007202D8"/>
    <w:rsid w:val="0072054C"/>
    <w:rsid w:val="00720682"/>
    <w:rsid w:val="00720780"/>
    <w:rsid w:val="00720842"/>
    <w:rsid w:val="0072089A"/>
    <w:rsid w:val="007208F2"/>
    <w:rsid w:val="00720944"/>
    <w:rsid w:val="00720945"/>
    <w:rsid w:val="007209EF"/>
    <w:rsid w:val="00720BE0"/>
    <w:rsid w:val="00720D64"/>
    <w:rsid w:val="00720D75"/>
    <w:rsid w:val="00720EE5"/>
    <w:rsid w:val="00720FAF"/>
    <w:rsid w:val="007210FC"/>
    <w:rsid w:val="00721148"/>
    <w:rsid w:val="00721186"/>
    <w:rsid w:val="00721227"/>
    <w:rsid w:val="007212D8"/>
    <w:rsid w:val="00721315"/>
    <w:rsid w:val="0072131C"/>
    <w:rsid w:val="00721382"/>
    <w:rsid w:val="007213E3"/>
    <w:rsid w:val="00721495"/>
    <w:rsid w:val="007214AC"/>
    <w:rsid w:val="00721669"/>
    <w:rsid w:val="00721821"/>
    <w:rsid w:val="007219BC"/>
    <w:rsid w:val="00721CCB"/>
    <w:rsid w:val="00721DA0"/>
    <w:rsid w:val="00721E46"/>
    <w:rsid w:val="00721EC4"/>
    <w:rsid w:val="00721FAB"/>
    <w:rsid w:val="00721FFF"/>
    <w:rsid w:val="007220F6"/>
    <w:rsid w:val="00722124"/>
    <w:rsid w:val="00722150"/>
    <w:rsid w:val="00722254"/>
    <w:rsid w:val="007223BB"/>
    <w:rsid w:val="00722454"/>
    <w:rsid w:val="007225F4"/>
    <w:rsid w:val="007226A5"/>
    <w:rsid w:val="00722740"/>
    <w:rsid w:val="00722771"/>
    <w:rsid w:val="0072277E"/>
    <w:rsid w:val="00722858"/>
    <w:rsid w:val="00722A08"/>
    <w:rsid w:val="00722A21"/>
    <w:rsid w:val="00722AF0"/>
    <w:rsid w:val="00722C64"/>
    <w:rsid w:val="00722DC3"/>
    <w:rsid w:val="00722E3F"/>
    <w:rsid w:val="00723023"/>
    <w:rsid w:val="00723434"/>
    <w:rsid w:val="00723861"/>
    <w:rsid w:val="00723874"/>
    <w:rsid w:val="0072390E"/>
    <w:rsid w:val="00723920"/>
    <w:rsid w:val="00723AAD"/>
    <w:rsid w:val="00723C31"/>
    <w:rsid w:val="00723D7A"/>
    <w:rsid w:val="00723E24"/>
    <w:rsid w:val="00723E29"/>
    <w:rsid w:val="00723FF5"/>
    <w:rsid w:val="0072433A"/>
    <w:rsid w:val="00724347"/>
    <w:rsid w:val="00724402"/>
    <w:rsid w:val="0072459B"/>
    <w:rsid w:val="007245DD"/>
    <w:rsid w:val="007246BD"/>
    <w:rsid w:val="007249A9"/>
    <w:rsid w:val="00724A9A"/>
    <w:rsid w:val="00724C0D"/>
    <w:rsid w:val="00724C1A"/>
    <w:rsid w:val="00724C94"/>
    <w:rsid w:val="00724EDA"/>
    <w:rsid w:val="00724F2E"/>
    <w:rsid w:val="00725078"/>
    <w:rsid w:val="007250AF"/>
    <w:rsid w:val="00725149"/>
    <w:rsid w:val="0072520D"/>
    <w:rsid w:val="0072524B"/>
    <w:rsid w:val="007252F2"/>
    <w:rsid w:val="00725585"/>
    <w:rsid w:val="0072583F"/>
    <w:rsid w:val="00725A82"/>
    <w:rsid w:val="00725AC6"/>
    <w:rsid w:val="00725C17"/>
    <w:rsid w:val="00725D7B"/>
    <w:rsid w:val="00725ECD"/>
    <w:rsid w:val="0072609C"/>
    <w:rsid w:val="007260CC"/>
    <w:rsid w:val="007260FD"/>
    <w:rsid w:val="0072628F"/>
    <w:rsid w:val="00726291"/>
    <w:rsid w:val="007264A0"/>
    <w:rsid w:val="00726538"/>
    <w:rsid w:val="0072654C"/>
    <w:rsid w:val="0072694A"/>
    <w:rsid w:val="00726B8B"/>
    <w:rsid w:val="00726BAC"/>
    <w:rsid w:val="00726D47"/>
    <w:rsid w:val="00726E0E"/>
    <w:rsid w:val="00726F01"/>
    <w:rsid w:val="00726FB0"/>
    <w:rsid w:val="0072713D"/>
    <w:rsid w:val="00727199"/>
    <w:rsid w:val="007273BC"/>
    <w:rsid w:val="007273EF"/>
    <w:rsid w:val="007274AD"/>
    <w:rsid w:val="007274B6"/>
    <w:rsid w:val="007275F6"/>
    <w:rsid w:val="007279D8"/>
    <w:rsid w:val="00727DC6"/>
    <w:rsid w:val="00727DF7"/>
    <w:rsid w:val="00727FE9"/>
    <w:rsid w:val="00730091"/>
    <w:rsid w:val="0073012E"/>
    <w:rsid w:val="007303FD"/>
    <w:rsid w:val="00730475"/>
    <w:rsid w:val="0073078C"/>
    <w:rsid w:val="0073080C"/>
    <w:rsid w:val="00730842"/>
    <w:rsid w:val="007309A1"/>
    <w:rsid w:val="00730BC6"/>
    <w:rsid w:val="00730C8A"/>
    <w:rsid w:val="00730FDD"/>
    <w:rsid w:val="00731459"/>
    <w:rsid w:val="007314DF"/>
    <w:rsid w:val="007314E2"/>
    <w:rsid w:val="00731578"/>
    <w:rsid w:val="00731634"/>
    <w:rsid w:val="007316EF"/>
    <w:rsid w:val="00731A0D"/>
    <w:rsid w:val="00731D72"/>
    <w:rsid w:val="00731EAE"/>
    <w:rsid w:val="00731F9B"/>
    <w:rsid w:val="00731FD7"/>
    <w:rsid w:val="0073204B"/>
    <w:rsid w:val="00732063"/>
    <w:rsid w:val="00732270"/>
    <w:rsid w:val="007325A2"/>
    <w:rsid w:val="007326E6"/>
    <w:rsid w:val="007327EC"/>
    <w:rsid w:val="00732811"/>
    <w:rsid w:val="007328FE"/>
    <w:rsid w:val="00732A2F"/>
    <w:rsid w:val="00732AAC"/>
    <w:rsid w:val="00732AD9"/>
    <w:rsid w:val="00732D3B"/>
    <w:rsid w:val="00732DA9"/>
    <w:rsid w:val="00732DFB"/>
    <w:rsid w:val="00732ED9"/>
    <w:rsid w:val="007330DA"/>
    <w:rsid w:val="007333A4"/>
    <w:rsid w:val="007333D5"/>
    <w:rsid w:val="0073353B"/>
    <w:rsid w:val="007338B0"/>
    <w:rsid w:val="00733A5A"/>
    <w:rsid w:val="00733AAF"/>
    <w:rsid w:val="00733AC8"/>
    <w:rsid w:val="00733C51"/>
    <w:rsid w:val="00733C78"/>
    <w:rsid w:val="00733DBE"/>
    <w:rsid w:val="00734051"/>
    <w:rsid w:val="0073420C"/>
    <w:rsid w:val="00734296"/>
    <w:rsid w:val="007342B7"/>
    <w:rsid w:val="007342FE"/>
    <w:rsid w:val="00734544"/>
    <w:rsid w:val="007345D4"/>
    <w:rsid w:val="0073463E"/>
    <w:rsid w:val="00734661"/>
    <w:rsid w:val="0073467F"/>
    <w:rsid w:val="00734872"/>
    <w:rsid w:val="00734A6F"/>
    <w:rsid w:val="00734AE5"/>
    <w:rsid w:val="00734C23"/>
    <w:rsid w:val="00734D4D"/>
    <w:rsid w:val="00734E2A"/>
    <w:rsid w:val="00734E4E"/>
    <w:rsid w:val="00734E60"/>
    <w:rsid w:val="00734EB8"/>
    <w:rsid w:val="007350AF"/>
    <w:rsid w:val="00735283"/>
    <w:rsid w:val="00735335"/>
    <w:rsid w:val="007354CD"/>
    <w:rsid w:val="0073558D"/>
    <w:rsid w:val="007355D5"/>
    <w:rsid w:val="007356CD"/>
    <w:rsid w:val="00735738"/>
    <w:rsid w:val="007357BC"/>
    <w:rsid w:val="00735853"/>
    <w:rsid w:val="00735A88"/>
    <w:rsid w:val="00735B55"/>
    <w:rsid w:val="00735D43"/>
    <w:rsid w:val="00735DE4"/>
    <w:rsid w:val="00735E64"/>
    <w:rsid w:val="00735F5B"/>
    <w:rsid w:val="0073600E"/>
    <w:rsid w:val="00736184"/>
    <w:rsid w:val="00736206"/>
    <w:rsid w:val="00736220"/>
    <w:rsid w:val="0073623B"/>
    <w:rsid w:val="00736567"/>
    <w:rsid w:val="00736594"/>
    <w:rsid w:val="00736672"/>
    <w:rsid w:val="00736686"/>
    <w:rsid w:val="007367D1"/>
    <w:rsid w:val="007368BE"/>
    <w:rsid w:val="007368CB"/>
    <w:rsid w:val="00736A2E"/>
    <w:rsid w:val="00736C6C"/>
    <w:rsid w:val="00736C9F"/>
    <w:rsid w:val="00736DA3"/>
    <w:rsid w:val="007372E8"/>
    <w:rsid w:val="00737332"/>
    <w:rsid w:val="00737546"/>
    <w:rsid w:val="0073763E"/>
    <w:rsid w:val="007377CB"/>
    <w:rsid w:val="007379E4"/>
    <w:rsid w:val="00737ABF"/>
    <w:rsid w:val="00740526"/>
    <w:rsid w:val="00740570"/>
    <w:rsid w:val="00740754"/>
    <w:rsid w:val="007408F2"/>
    <w:rsid w:val="00740BF6"/>
    <w:rsid w:val="00740E28"/>
    <w:rsid w:val="00740E73"/>
    <w:rsid w:val="00740EAE"/>
    <w:rsid w:val="00740EF3"/>
    <w:rsid w:val="007410BF"/>
    <w:rsid w:val="00741142"/>
    <w:rsid w:val="00741236"/>
    <w:rsid w:val="0074123F"/>
    <w:rsid w:val="007412F6"/>
    <w:rsid w:val="00741306"/>
    <w:rsid w:val="00741567"/>
    <w:rsid w:val="007415BD"/>
    <w:rsid w:val="007415C4"/>
    <w:rsid w:val="007415C8"/>
    <w:rsid w:val="00741746"/>
    <w:rsid w:val="00741790"/>
    <w:rsid w:val="007417C3"/>
    <w:rsid w:val="00741C21"/>
    <w:rsid w:val="00741C26"/>
    <w:rsid w:val="00741C34"/>
    <w:rsid w:val="00741F54"/>
    <w:rsid w:val="00741FE6"/>
    <w:rsid w:val="00742076"/>
    <w:rsid w:val="007423AE"/>
    <w:rsid w:val="00742426"/>
    <w:rsid w:val="007427B5"/>
    <w:rsid w:val="007427DA"/>
    <w:rsid w:val="007427DD"/>
    <w:rsid w:val="0074282F"/>
    <w:rsid w:val="00742905"/>
    <w:rsid w:val="0074292E"/>
    <w:rsid w:val="00742934"/>
    <w:rsid w:val="00742BA1"/>
    <w:rsid w:val="00742C56"/>
    <w:rsid w:val="00742D8B"/>
    <w:rsid w:val="00742DE4"/>
    <w:rsid w:val="00742E97"/>
    <w:rsid w:val="00742F64"/>
    <w:rsid w:val="00742FAE"/>
    <w:rsid w:val="0074307A"/>
    <w:rsid w:val="007432D8"/>
    <w:rsid w:val="0074336A"/>
    <w:rsid w:val="00743525"/>
    <w:rsid w:val="0074376A"/>
    <w:rsid w:val="00743B81"/>
    <w:rsid w:val="00743CD1"/>
    <w:rsid w:val="00743DA4"/>
    <w:rsid w:val="00743E17"/>
    <w:rsid w:val="00743FA7"/>
    <w:rsid w:val="0074402A"/>
    <w:rsid w:val="007440BF"/>
    <w:rsid w:val="007442D1"/>
    <w:rsid w:val="007444F5"/>
    <w:rsid w:val="00744666"/>
    <w:rsid w:val="007446E7"/>
    <w:rsid w:val="00744712"/>
    <w:rsid w:val="00744763"/>
    <w:rsid w:val="0074482F"/>
    <w:rsid w:val="00744831"/>
    <w:rsid w:val="0074488C"/>
    <w:rsid w:val="0074492D"/>
    <w:rsid w:val="0074496A"/>
    <w:rsid w:val="00744AC9"/>
    <w:rsid w:val="00744DE4"/>
    <w:rsid w:val="00744E81"/>
    <w:rsid w:val="0074504A"/>
    <w:rsid w:val="007451A8"/>
    <w:rsid w:val="00745205"/>
    <w:rsid w:val="0074529B"/>
    <w:rsid w:val="00745437"/>
    <w:rsid w:val="007454D3"/>
    <w:rsid w:val="00745533"/>
    <w:rsid w:val="0074572E"/>
    <w:rsid w:val="0074583C"/>
    <w:rsid w:val="007459BD"/>
    <w:rsid w:val="007459C9"/>
    <w:rsid w:val="00745CC3"/>
    <w:rsid w:val="00745DE5"/>
    <w:rsid w:val="00745E50"/>
    <w:rsid w:val="00745F76"/>
    <w:rsid w:val="0074616D"/>
    <w:rsid w:val="00746197"/>
    <w:rsid w:val="007461FE"/>
    <w:rsid w:val="007463E8"/>
    <w:rsid w:val="00746465"/>
    <w:rsid w:val="00746514"/>
    <w:rsid w:val="0074660D"/>
    <w:rsid w:val="0074672A"/>
    <w:rsid w:val="00746785"/>
    <w:rsid w:val="00746919"/>
    <w:rsid w:val="0074693F"/>
    <w:rsid w:val="00746A35"/>
    <w:rsid w:val="00746B75"/>
    <w:rsid w:val="00746B89"/>
    <w:rsid w:val="00746E6E"/>
    <w:rsid w:val="00746E91"/>
    <w:rsid w:val="00746F46"/>
    <w:rsid w:val="007470E7"/>
    <w:rsid w:val="007470EF"/>
    <w:rsid w:val="00747169"/>
    <w:rsid w:val="007471D5"/>
    <w:rsid w:val="00747209"/>
    <w:rsid w:val="00747250"/>
    <w:rsid w:val="00747294"/>
    <w:rsid w:val="00747486"/>
    <w:rsid w:val="00747584"/>
    <w:rsid w:val="007477FC"/>
    <w:rsid w:val="00747946"/>
    <w:rsid w:val="00747B6A"/>
    <w:rsid w:val="00747C04"/>
    <w:rsid w:val="00747C82"/>
    <w:rsid w:val="00747D2F"/>
    <w:rsid w:val="00747E8D"/>
    <w:rsid w:val="00747EB4"/>
    <w:rsid w:val="00747F35"/>
    <w:rsid w:val="0075024F"/>
    <w:rsid w:val="00750305"/>
    <w:rsid w:val="00750365"/>
    <w:rsid w:val="00750394"/>
    <w:rsid w:val="007503D2"/>
    <w:rsid w:val="0075045C"/>
    <w:rsid w:val="007506FC"/>
    <w:rsid w:val="007507C2"/>
    <w:rsid w:val="00750926"/>
    <w:rsid w:val="00750A83"/>
    <w:rsid w:val="00750DCE"/>
    <w:rsid w:val="00750DE7"/>
    <w:rsid w:val="00750ED1"/>
    <w:rsid w:val="007510D9"/>
    <w:rsid w:val="00751283"/>
    <w:rsid w:val="0075139B"/>
    <w:rsid w:val="00751406"/>
    <w:rsid w:val="00751465"/>
    <w:rsid w:val="00751467"/>
    <w:rsid w:val="007515D8"/>
    <w:rsid w:val="00751C39"/>
    <w:rsid w:val="00752088"/>
    <w:rsid w:val="0075210D"/>
    <w:rsid w:val="007521C2"/>
    <w:rsid w:val="0075222D"/>
    <w:rsid w:val="00752342"/>
    <w:rsid w:val="00752395"/>
    <w:rsid w:val="0075239D"/>
    <w:rsid w:val="00752454"/>
    <w:rsid w:val="00752760"/>
    <w:rsid w:val="00752765"/>
    <w:rsid w:val="00752950"/>
    <w:rsid w:val="007529A6"/>
    <w:rsid w:val="007529C7"/>
    <w:rsid w:val="00752A74"/>
    <w:rsid w:val="00752BDE"/>
    <w:rsid w:val="00752CE1"/>
    <w:rsid w:val="00752D4D"/>
    <w:rsid w:val="00752DA9"/>
    <w:rsid w:val="00752E19"/>
    <w:rsid w:val="00752EB1"/>
    <w:rsid w:val="00752EB6"/>
    <w:rsid w:val="00753278"/>
    <w:rsid w:val="007534E6"/>
    <w:rsid w:val="007536CD"/>
    <w:rsid w:val="007536DA"/>
    <w:rsid w:val="007539A7"/>
    <w:rsid w:val="00753DA4"/>
    <w:rsid w:val="00753FA3"/>
    <w:rsid w:val="00754173"/>
    <w:rsid w:val="007541C3"/>
    <w:rsid w:val="0075420C"/>
    <w:rsid w:val="007545B1"/>
    <w:rsid w:val="0075466F"/>
    <w:rsid w:val="007546AF"/>
    <w:rsid w:val="00754B30"/>
    <w:rsid w:val="00754B95"/>
    <w:rsid w:val="00754C6F"/>
    <w:rsid w:val="00754DC7"/>
    <w:rsid w:val="00754E25"/>
    <w:rsid w:val="00754E2D"/>
    <w:rsid w:val="00755028"/>
    <w:rsid w:val="00755162"/>
    <w:rsid w:val="00755181"/>
    <w:rsid w:val="007556A0"/>
    <w:rsid w:val="007556C4"/>
    <w:rsid w:val="007556E0"/>
    <w:rsid w:val="00755741"/>
    <w:rsid w:val="0075574B"/>
    <w:rsid w:val="00755790"/>
    <w:rsid w:val="007558D0"/>
    <w:rsid w:val="00755A28"/>
    <w:rsid w:val="00755B63"/>
    <w:rsid w:val="00755BDC"/>
    <w:rsid w:val="00755C90"/>
    <w:rsid w:val="00755EBC"/>
    <w:rsid w:val="00756031"/>
    <w:rsid w:val="0075615A"/>
    <w:rsid w:val="0075624D"/>
    <w:rsid w:val="007562AA"/>
    <w:rsid w:val="00756757"/>
    <w:rsid w:val="007569AA"/>
    <w:rsid w:val="00757181"/>
    <w:rsid w:val="007571F6"/>
    <w:rsid w:val="007573BB"/>
    <w:rsid w:val="0075752B"/>
    <w:rsid w:val="0075769B"/>
    <w:rsid w:val="00757758"/>
    <w:rsid w:val="0075776E"/>
    <w:rsid w:val="007577D6"/>
    <w:rsid w:val="00757982"/>
    <w:rsid w:val="007579EF"/>
    <w:rsid w:val="00757A8F"/>
    <w:rsid w:val="00757CB7"/>
    <w:rsid w:val="00757D49"/>
    <w:rsid w:val="00757F6C"/>
    <w:rsid w:val="007600DA"/>
    <w:rsid w:val="00760108"/>
    <w:rsid w:val="007601F4"/>
    <w:rsid w:val="007603A2"/>
    <w:rsid w:val="00760564"/>
    <w:rsid w:val="0076075E"/>
    <w:rsid w:val="007607A1"/>
    <w:rsid w:val="007609F2"/>
    <w:rsid w:val="00760ABB"/>
    <w:rsid w:val="00760B2A"/>
    <w:rsid w:val="00760D34"/>
    <w:rsid w:val="00760F3C"/>
    <w:rsid w:val="0076106A"/>
    <w:rsid w:val="007610BF"/>
    <w:rsid w:val="007612F6"/>
    <w:rsid w:val="0076144E"/>
    <w:rsid w:val="007616A9"/>
    <w:rsid w:val="0076172B"/>
    <w:rsid w:val="00761731"/>
    <w:rsid w:val="0076177D"/>
    <w:rsid w:val="007617F8"/>
    <w:rsid w:val="00761A87"/>
    <w:rsid w:val="00761B19"/>
    <w:rsid w:val="00761E24"/>
    <w:rsid w:val="0076204B"/>
    <w:rsid w:val="007620B1"/>
    <w:rsid w:val="0076210C"/>
    <w:rsid w:val="00762206"/>
    <w:rsid w:val="007622CC"/>
    <w:rsid w:val="00762321"/>
    <w:rsid w:val="00762448"/>
    <w:rsid w:val="007625AC"/>
    <w:rsid w:val="00762989"/>
    <w:rsid w:val="00762C0F"/>
    <w:rsid w:val="00762C27"/>
    <w:rsid w:val="00762CC0"/>
    <w:rsid w:val="00762DEE"/>
    <w:rsid w:val="00762E5C"/>
    <w:rsid w:val="0076305C"/>
    <w:rsid w:val="00763102"/>
    <w:rsid w:val="00763169"/>
    <w:rsid w:val="00763302"/>
    <w:rsid w:val="00763424"/>
    <w:rsid w:val="00763435"/>
    <w:rsid w:val="00763519"/>
    <w:rsid w:val="007635D5"/>
    <w:rsid w:val="007636D3"/>
    <w:rsid w:val="007636E9"/>
    <w:rsid w:val="007638E9"/>
    <w:rsid w:val="0076395D"/>
    <w:rsid w:val="007639D4"/>
    <w:rsid w:val="00763A4A"/>
    <w:rsid w:val="00763A4F"/>
    <w:rsid w:val="00763AEB"/>
    <w:rsid w:val="00763F7B"/>
    <w:rsid w:val="00763FF6"/>
    <w:rsid w:val="007640B9"/>
    <w:rsid w:val="007642E3"/>
    <w:rsid w:val="00764351"/>
    <w:rsid w:val="0076436B"/>
    <w:rsid w:val="00764405"/>
    <w:rsid w:val="00764433"/>
    <w:rsid w:val="00764468"/>
    <w:rsid w:val="007644BF"/>
    <w:rsid w:val="0076450C"/>
    <w:rsid w:val="007646AA"/>
    <w:rsid w:val="007646BD"/>
    <w:rsid w:val="00764A1D"/>
    <w:rsid w:val="00764AA8"/>
    <w:rsid w:val="00764B62"/>
    <w:rsid w:val="00764BF4"/>
    <w:rsid w:val="00764DFA"/>
    <w:rsid w:val="00764E69"/>
    <w:rsid w:val="00765036"/>
    <w:rsid w:val="007650C6"/>
    <w:rsid w:val="007650DC"/>
    <w:rsid w:val="0076525D"/>
    <w:rsid w:val="007654C1"/>
    <w:rsid w:val="00765769"/>
    <w:rsid w:val="007657B4"/>
    <w:rsid w:val="007658B8"/>
    <w:rsid w:val="00765934"/>
    <w:rsid w:val="00765937"/>
    <w:rsid w:val="007662FC"/>
    <w:rsid w:val="00766317"/>
    <w:rsid w:val="007664AE"/>
    <w:rsid w:val="00766527"/>
    <w:rsid w:val="0076659A"/>
    <w:rsid w:val="007666C7"/>
    <w:rsid w:val="0076671E"/>
    <w:rsid w:val="007667A4"/>
    <w:rsid w:val="007667DA"/>
    <w:rsid w:val="00766AEF"/>
    <w:rsid w:val="00766B86"/>
    <w:rsid w:val="00766CCC"/>
    <w:rsid w:val="00766D52"/>
    <w:rsid w:val="00766D90"/>
    <w:rsid w:val="00766E2C"/>
    <w:rsid w:val="00766FAD"/>
    <w:rsid w:val="00766FBC"/>
    <w:rsid w:val="00766FEF"/>
    <w:rsid w:val="007671C7"/>
    <w:rsid w:val="007674B0"/>
    <w:rsid w:val="00767935"/>
    <w:rsid w:val="0076799E"/>
    <w:rsid w:val="00767AAB"/>
    <w:rsid w:val="00767E18"/>
    <w:rsid w:val="00767FC4"/>
    <w:rsid w:val="007701F7"/>
    <w:rsid w:val="0077027C"/>
    <w:rsid w:val="007702C5"/>
    <w:rsid w:val="00770549"/>
    <w:rsid w:val="00770676"/>
    <w:rsid w:val="00770709"/>
    <w:rsid w:val="00770753"/>
    <w:rsid w:val="007707B9"/>
    <w:rsid w:val="00770838"/>
    <w:rsid w:val="00770891"/>
    <w:rsid w:val="007709AD"/>
    <w:rsid w:val="00770B5D"/>
    <w:rsid w:val="00770BFD"/>
    <w:rsid w:val="00771102"/>
    <w:rsid w:val="00771274"/>
    <w:rsid w:val="00771371"/>
    <w:rsid w:val="00771484"/>
    <w:rsid w:val="00771684"/>
    <w:rsid w:val="007716C0"/>
    <w:rsid w:val="0077172A"/>
    <w:rsid w:val="007718F7"/>
    <w:rsid w:val="0077198F"/>
    <w:rsid w:val="00771A94"/>
    <w:rsid w:val="00771C61"/>
    <w:rsid w:val="00771C91"/>
    <w:rsid w:val="00771CA3"/>
    <w:rsid w:val="00771D6D"/>
    <w:rsid w:val="00771D9D"/>
    <w:rsid w:val="00771E58"/>
    <w:rsid w:val="007721C9"/>
    <w:rsid w:val="007722E1"/>
    <w:rsid w:val="00772382"/>
    <w:rsid w:val="00772411"/>
    <w:rsid w:val="007725AF"/>
    <w:rsid w:val="007725F6"/>
    <w:rsid w:val="007727DD"/>
    <w:rsid w:val="00772944"/>
    <w:rsid w:val="00772A31"/>
    <w:rsid w:val="00772AEE"/>
    <w:rsid w:val="00772CF3"/>
    <w:rsid w:val="00772D59"/>
    <w:rsid w:val="00772D61"/>
    <w:rsid w:val="00772DA7"/>
    <w:rsid w:val="007730BA"/>
    <w:rsid w:val="007730E9"/>
    <w:rsid w:val="007731BE"/>
    <w:rsid w:val="00773AAE"/>
    <w:rsid w:val="00773B31"/>
    <w:rsid w:val="00773B5E"/>
    <w:rsid w:val="00773C5A"/>
    <w:rsid w:val="00773D0B"/>
    <w:rsid w:val="00773E10"/>
    <w:rsid w:val="00773ECB"/>
    <w:rsid w:val="00774124"/>
    <w:rsid w:val="007742D5"/>
    <w:rsid w:val="007742D6"/>
    <w:rsid w:val="00774619"/>
    <w:rsid w:val="007746FF"/>
    <w:rsid w:val="00774829"/>
    <w:rsid w:val="00774894"/>
    <w:rsid w:val="00774931"/>
    <w:rsid w:val="00774AB8"/>
    <w:rsid w:val="00774CA2"/>
    <w:rsid w:val="00774CBE"/>
    <w:rsid w:val="00774F86"/>
    <w:rsid w:val="00774FB8"/>
    <w:rsid w:val="00775075"/>
    <w:rsid w:val="00775076"/>
    <w:rsid w:val="007750FB"/>
    <w:rsid w:val="0077547F"/>
    <w:rsid w:val="00775687"/>
    <w:rsid w:val="0077611E"/>
    <w:rsid w:val="00776124"/>
    <w:rsid w:val="00776161"/>
    <w:rsid w:val="00776235"/>
    <w:rsid w:val="00776260"/>
    <w:rsid w:val="007762A8"/>
    <w:rsid w:val="0077635E"/>
    <w:rsid w:val="00776371"/>
    <w:rsid w:val="0077637D"/>
    <w:rsid w:val="007763B1"/>
    <w:rsid w:val="00776448"/>
    <w:rsid w:val="007765B9"/>
    <w:rsid w:val="007766FB"/>
    <w:rsid w:val="00776741"/>
    <w:rsid w:val="0077685D"/>
    <w:rsid w:val="007768A0"/>
    <w:rsid w:val="00776975"/>
    <w:rsid w:val="00776CEF"/>
    <w:rsid w:val="00776D74"/>
    <w:rsid w:val="00776E13"/>
    <w:rsid w:val="00776ECD"/>
    <w:rsid w:val="00776F09"/>
    <w:rsid w:val="00776F0F"/>
    <w:rsid w:val="0077709D"/>
    <w:rsid w:val="007771A1"/>
    <w:rsid w:val="007771A9"/>
    <w:rsid w:val="0077725E"/>
    <w:rsid w:val="007772CB"/>
    <w:rsid w:val="0077735A"/>
    <w:rsid w:val="00777376"/>
    <w:rsid w:val="007774BB"/>
    <w:rsid w:val="007774E1"/>
    <w:rsid w:val="0077764D"/>
    <w:rsid w:val="00777732"/>
    <w:rsid w:val="007777C2"/>
    <w:rsid w:val="007778AC"/>
    <w:rsid w:val="007778F1"/>
    <w:rsid w:val="00777969"/>
    <w:rsid w:val="00777979"/>
    <w:rsid w:val="00777ADF"/>
    <w:rsid w:val="00777B31"/>
    <w:rsid w:val="00777C00"/>
    <w:rsid w:val="00777C11"/>
    <w:rsid w:val="00777D43"/>
    <w:rsid w:val="00777D50"/>
    <w:rsid w:val="00777F92"/>
    <w:rsid w:val="00780035"/>
    <w:rsid w:val="0078023B"/>
    <w:rsid w:val="00780432"/>
    <w:rsid w:val="00780534"/>
    <w:rsid w:val="00780800"/>
    <w:rsid w:val="0078082D"/>
    <w:rsid w:val="007808C9"/>
    <w:rsid w:val="00780916"/>
    <w:rsid w:val="00780B18"/>
    <w:rsid w:val="00780BB0"/>
    <w:rsid w:val="00780BC1"/>
    <w:rsid w:val="00780C2E"/>
    <w:rsid w:val="00780CB1"/>
    <w:rsid w:val="00780FFA"/>
    <w:rsid w:val="0078108C"/>
    <w:rsid w:val="007812F7"/>
    <w:rsid w:val="00781574"/>
    <w:rsid w:val="007818AA"/>
    <w:rsid w:val="007818D4"/>
    <w:rsid w:val="007818E4"/>
    <w:rsid w:val="007818FF"/>
    <w:rsid w:val="00781908"/>
    <w:rsid w:val="00781C9A"/>
    <w:rsid w:val="00781CC6"/>
    <w:rsid w:val="00781DAB"/>
    <w:rsid w:val="00781E9D"/>
    <w:rsid w:val="00781EE2"/>
    <w:rsid w:val="0078232E"/>
    <w:rsid w:val="007823BB"/>
    <w:rsid w:val="0078241C"/>
    <w:rsid w:val="00782469"/>
    <w:rsid w:val="0078254B"/>
    <w:rsid w:val="007825FB"/>
    <w:rsid w:val="007827EF"/>
    <w:rsid w:val="00782AD7"/>
    <w:rsid w:val="00782B2D"/>
    <w:rsid w:val="00782B58"/>
    <w:rsid w:val="00782C70"/>
    <w:rsid w:val="00782D33"/>
    <w:rsid w:val="00782D5D"/>
    <w:rsid w:val="00782D9B"/>
    <w:rsid w:val="0078307D"/>
    <w:rsid w:val="00783131"/>
    <w:rsid w:val="0078327D"/>
    <w:rsid w:val="0078343B"/>
    <w:rsid w:val="00783B8F"/>
    <w:rsid w:val="00783E6F"/>
    <w:rsid w:val="00783FDB"/>
    <w:rsid w:val="00784036"/>
    <w:rsid w:val="00784477"/>
    <w:rsid w:val="00784497"/>
    <w:rsid w:val="00784667"/>
    <w:rsid w:val="00784A01"/>
    <w:rsid w:val="00784A3C"/>
    <w:rsid w:val="00784A9D"/>
    <w:rsid w:val="00784CC6"/>
    <w:rsid w:val="00784DB1"/>
    <w:rsid w:val="00784DBB"/>
    <w:rsid w:val="00784E0E"/>
    <w:rsid w:val="0078505F"/>
    <w:rsid w:val="0078509A"/>
    <w:rsid w:val="0078520D"/>
    <w:rsid w:val="0078529C"/>
    <w:rsid w:val="0078541F"/>
    <w:rsid w:val="007856A6"/>
    <w:rsid w:val="007857EC"/>
    <w:rsid w:val="00785873"/>
    <w:rsid w:val="0078593A"/>
    <w:rsid w:val="007859E5"/>
    <w:rsid w:val="00785B99"/>
    <w:rsid w:val="00785BC8"/>
    <w:rsid w:val="00785C42"/>
    <w:rsid w:val="00785EA5"/>
    <w:rsid w:val="00785FD0"/>
    <w:rsid w:val="00786251"/>
    <w:rsid w:val="007862B7"/>
    <w:rsid w:val="00786442"/>
    <w:rsid w:val="007865F6"/>
    <w:rsid w:val="00786764"/>
    <w:rsid w:val="00786995"/>
    <w:rsid w:val="00786A14"/>
    <w:rsid w:val="00786AB6"/>
    <w:rsid w:val="00786B0D"/>
    <w:rsid w:val="00786B3A"/>
    <w:rsid w:val="00786B73"/>
    <w:rsid w:val="00786CE6"/>
    <w:rsid w:val="00786D39"/>
    <w:rsid w:val="00786EE6"/>
    <w:rsid w:val="00786F68"/>
    <w:rsid w:val="00786FF9"/>
    <w:rsid w:val="00787008"/>
    <w:rsid w:val="00787190"/>
    <w:rsid w:val="007871F6"/>
    <w:rsid w:val="0078756C"/>
    <w:rsid w:val="0078757A"/>
    <w:rsid w:val="007879D4"/>
    <w:rsid w:val="007879DF"/>
    <w:rsid w:val="00787A6B"/>
    <w:rsid w:val="00787B4B"/>
    <w:rsid w:val="00787C42"/>
    <w:rsid w:val="00787DD1"/>
    <w:rsid w:val="00787EC2"/>
    <w:rsid w:val="00787F40"/>
    <w:rsid w:val="00787F7B"/>
    <w:rsid w:val="00790359"/>
    <w:rsid w:val="00790458"/>
    <w:rsid w:val="00790591"/>
    <w:rsid w:val="007909BC"/>
    <w:rsid w:val="00790DCD"/>
    <w:rsid w:val="00790EEE"/>
    <w:rsid w:val="00790F41"/>
    <w:rsid w:val="00791261"/>
    <w:rsid w:val="00791312"/>
    <w:rsid w:val="00791322"/>
    <w:rsid w:val="0079136A"/>
    <w:rsid w:val="007915F7"/>
    <w:rsid w:val="00791B1C"/>
    <w:rsid w:val="00791B21"/>
    <w:rsid w:val="00791D02"/>
    <w:rsid w:val="00791D89"/>
    <w:rsid w:val="00791EA5"/>
    <w:rsid w:val="0079218C"/>
    <w:rsid w:val="00792206"/>
    <w:rsid w:val="00792554"/>
    <w:rsid w:val="00792B88"/>
    <w:rsid w:val="00792C28"/>
    <w:rsid w:val="00792E2C"/>
    <w:rsid w:val="00792EC3"/>
    <w:rsid w:val="0079305F"/>
    <w:rsid w:val="007930C1"/>
    <w:rsid w:val="0079320D"/>
    <w:rsid w:val="00793312"/>
    <w:rsid w:val="00793356"/>
    <w:rsid w:val="00793629"/>
    <w:rsid w:val="00793719"/>
    <w:rsid w:val="00793854"/>
    <w:rsid w:val="00793926"/>
    <w:rsid w:val="00793BBC"/>
    <w:rsid w:val="00793C35"/>
    <w:rsid w:val="00793D56"/>
    <w:rsid w:val="00793DFC"/>
    <w:rsid w:val="00793E22"/>
    <w:rsid w:val="00793E29"/>
    <w:rsid w:val="00794108"/>
    <w:rsid w:val="00794301"/>
    <w:rsid w:val="0079442A"/>
    <w:rsid w:val="0079446D"/>
    <w:rsid w:val="007944B9"/>
    <w:rsid w:val="00794597"/>
    <w:rsid w:val="007949B2"/>
    <w:rsid w:val="00794B15"/>
    <w:rsid w:val="00794B3C"/>
    <w:rsid w:val="00794C59"/>
    <w:rsid w:val="00794C60"/>
    <w:rsid w:val="00794C6C"/>
    <w:rsid w:val="00794F3B"/>
    <w:rsid w:val="007950E3"/>
    <w:rsid w:val="00795132"/>
    <w:rsid w:val="00795269"/>
    <w:rsid w:val="00795809"/>
    <w:rsid w:val="007958E0"/>
    <w:rsid w:val="00795908"/>
    <w:rsid w:val="007959C7"/>
    <w:rsid w:val="00795DFE"/>
    <w:rsid w:val="00795F58"/>
    <w:rsid w:val="00795F6F"/>
    <w:rsid w:val="00795F7C"/>
    <w:rsid w:val="00795F9F"/>
    <w:rsid w:val="00795FB6"/>
    <w:rsid w:val="00795FB8"/>
    <w:rsid w:val="00795FC1"/>
    <w:rsid w:val="00796248"/>
    <w:rsid w:val="00796677"/>
    <w:rsid w:val="00796720"/>
    <w:rsid w:val="0079687A"/>
    <w:rsid w:val="0079691C"/>
    <w:rsid w:val="00796CB0"/>
    <w:rsid w:val="00797020"/>
    <w:rsid w:val="007970C7"/>
    <w:rsid w:val="00797138"/>
    <w:rsid w:val="007972A1"/>
    <w:rsid w:val="0079737F"/>
    <w:rsid w:val="007973A6"/>
    <w:rsid w:val="00797775"/>
    <w:rsid w:val="007977EF"/>
    <w:rsid w:val="00797811"/>
    <w:rsid w:val="00797965"/>
    <w:rsid w:val="007979F4"/>
    <w:rsid w:val="00797A29"/>
    <w:rsid w:val="00797B16"/>
    <w:rsid w:val="00797EC5"/>
    <w:rsid w:val="00797F9A"/>
    <w:rsid w:val="00797FB0"/>
    <w:rsid w:val="007A00C8"/>
    <w:rsid w:val="007A01D5"/>
    <w:rsid w:val="007A01E2"/>
    <w:rsid w:val="007A0234"/>
    <w:rsid w:val="007A027A"/>
    <w:rsid w:val="007A041A"/>
    <w:rsid w:val="007A0475"/>
    <w:rsid w:val="007A05DB"/>
    <w:rsid w:val="007A06CA"/>
    <w:rsid w:val="007A0712"/>
    <w:rsid w:val="007A0719"/>
    <w:rsid w:val="007A0810"/>
    <w:rsid w:val="007A0B0F"/>
    <w:rsid w:val="007A0B71"/>
    <w:rsid w:val="007A0B90"/>
    <w:rsid w:val="007A0D5A"/>
    <w:rsid w:val="007A0DBB"/>
    <w:rsid w:val="007A0F56"/>
    <w:rsid w:val="007A0F81"/>
    <w:rsid w:val="007A100B"/>
    <w:rsid w:val="007A1283"/>
    <w:rsid w:val="007A128C"/>
    <w:rsid w:val="007A13D5"/>
    <w:rsid w:val="007A14F0"/>
    <w:rsid w:val="007A153F"/>
    <w:rsid w:val="007A15ED"/>
    <w:rsid w:val="007A1739"/>
    <w:rsid w:val="007A180C"/>
    <w:rsid w:val="007A19DC"/>
    <w:rsid w:val="007A1A55"/>
    <w:rsid w:val="007A1AEB"/>
    <w:rsid w:val="007A1B5B"/>
    <w:rsid w:val="007A1D24"/>
    <w:rsid w:val="007A1D97"/>
    <w:rsid w:val="007A2014"/>
    <w:rsid w:val="007A2180"/>
    <w:rsid w:val="007A226C"/>
    <w:rsid w:val="007A2341"/>
    <w:rsid w:val="007A2462"/>
    <w:rsid w:val="007A2539"/>
    <w:rsid w:val="007A2767"/>
    <w:rsid w:val="007A28F9"/>
    <w:rsid w:val="007A29A6"/>
    <w:rsid w:val="007A2D30"/>
    <w:rsid w:val="007A2E30"/>
    <w:rsid w:val="007A2F74"/>
    <w:rsid w:val="007A3286"/>
    <w:rsid w:val="007A3541"/>
    <w:rsid w:val="007A3551"/>
    <w:rsid w:val="007A3605"/>
    <w:rsid w:val="007A3633"/>
    <w:rsid w:val="007A3862"/>
    <w:rsid w:val="007A38B1"/>
    <w:rsid w:val="007A3CFB"/>
    <w:rsid w:val="007A3D47"/>
    <w:rsid w:val="007A3DAD"/>
    <w:rsid w:val="007A3DE6"/>
    <w:rsid w:val="007A431D"/>
    <w:rsid w:val="007A434C"/>
    <w:rsid w:val="007A4354"/>
    <w:rsid w:val="007A44C4"/>
    <w:rsid w:val="007A4537"/>
    <w:rsid w:val="007A45A3"/>
    <w:rsid w:val="007A47A7"/>
    <w:rsid w:val="007A48A2"/>
    <w:rsid w:val="007A4BCE"/>
    <w:rsid w:val="007A4CAD"/>
    <w:rsid w:val="007A4DE0"/>
    <w:rsid w:val="007A4EB4"/>
    <w:rsid w:val="007A4F08"/>
    <w:rsid w:val="007A4F1E"/>
    <w:rsid w:val="007A5151"/>
    <w:rsid w:val="007A51D3"/>
    <w:rsid w:val="007A51EE"/>
    <w:rsid w:val="007A5228"/>
    <w:rsid w:val="007A5717"/>
    <w:rsid w:val="007A5818"/>
    <w:rsid w:val="007A58C5"/>
    <w:rsid w:val="007A58D2"/>
    <w:rsid w:val="007A591E"/>
    <w:rsid w:val="007A5B19"/>
    <w:rsid w:val="007A5C7B"/>
    <w:rsid w:val="007A5CE9"/>
    <w:rsid w:val="007A5D3B"/>
    <w:rsid w:val="007A5DB8"/>
    <w:rsid w:val="007A5F38"/>
    <w:rsid w:val="007A605C"/>
    <w:rsid w:val="007A61AD"/>
    <w:rsid w:val="007A61CF"/>
    <w:rsid w:val="007A6491"/>
    <w:rsid w:val="007A6571"/>
    <w:rsid w:val="007A6796"/>
    <w:rsid w:val="007A681C"/>
    <w:rsid w:val="007A6D70"/>
    <w:rsid w:val="007A6E20"/>
    <w:rsid w:val="007A6E81"/>
    <w:rsid w:val="007A6F37"/>
    <w:rsid w:val="007A702A"/>
    <w:rsid w:val="007A728A"/>
    <w:rsid w:val="007A731C"/>
    <w:rsid w:val="007A739A"/>
    <w:rsid w:val="007A7416"/>
    <w:rsid w:val="007A74A7"/>
    <w:rsid w:val="007A74E2"/>
    <w:rsid w:val="007A7585"/>
    <w:rsid w:val="007A77C1"/>
    <w:rsid w:val="007A7858"/>
    <w:rsid w:val="007A7869"/>
    <w:rsid w:val="007A7888"/>
    <w:rsid w:val="007A7BA2"/>
    <w:rsid w:val="007A7BE0"/>
    <w:rsid w:val="007A7EF6"/>
    <w:rsid w:val="007A7FA3"/>
    <w:rsid w:val="007B01C4"/>
    <w:rsid w:val="007B035D"/>
    <w:rsid w:val="007B041B"/>
    <w:rsid w:val="007B0495"/>
    <w:rsid w:val="007B05C6"/>
    <w:rsid w:val="007B06A4"/>
    <w:rsid w:val="007B06AA"/>
    <w:rsid w:val="007B075E"/>
    <w:rsid w:val="007B0801"/>
    <w:rsid w:val="007B09B8"/>
    <w:rsid w:val="007B09D5"/>
    <w:rsid w:val="007B0B77"/>
    <w:rsid w:val="007B0CA8"/>
    <w:rsid w:val="007B0D13"/>
    <w:rsid w:val="007B0EC5"/>
    <w:rsid w:val="007B0F13"/>
    <w:rsid w:val="007B111B"/>
    <w:rsid w:val="007B129A"/>
    <w:rsid w:val="007B1538"/>
    <w:rsid w:val="007B1575"/>
    <w:rsid w:val="007B17DE"/>
    <w:rsid w:val="007B1CCB"/>
    <w:rsid w:val="007B1FFB"/>
    <w:rsid w:val="007B23C0"/>
    <w:rsid w:val="007B262B"/>
    <w:rsid w:val="007B26D9"/>
    <w:rsid w:val="007B2885"/>
    <w:rsid w:val="007B296C"/>
    <w:rsid w:val="007B2A58"/>
    <w:rsid w:val="007B2C13"/>
    <w:rsid w:val="007B2C61"/>
    <w:rsid w:val="007B2CA8"/>
    <w:rsid w:val="007B2D0D"/>
    <w:rsid w:val="007B33AC"/>
    <w:rsid w:val="007B3676"/>
    <w:rsid w:val="007B398A"/>
    <w:rsid w:val="007B3B07"/>
    <w:rsid w:val="007B3D5E"/>
    <w:rsid w:val="007B40F1"/>
    <w:rsid w:val="007B4148"/>
    <w:rsid w:val="007B4328"/>
    <w:rsid w:val="007B4705"/>
    <w:rsid w:val="007B4B00"/>
    <w:rsid w:val="007B4D3A"/>
    <w:rsid w:val="007B50A6"/>
    <w:rsid w:val="007B5154"/>
    <w:rsid w:val="007B5309"/>
    <w:rsid w:val="007B53EE"/>
    <w:rsid w:val="007B5453"/>
    <w:rsid w:val="007B557C"/>
    <w:rsid w:val="007B570A"/>
    <w:rsid w:val="007B58BC"/>
    <w:rsid w:val="007B5923"/>
    <w:rsid w:val="007B59F3"/>
    <w:rsid w:val="007B5BAC"/>
    <w:rsid w:val="007B5E72"/>
    <w:rsid w:val="007B5EB5"/>
    <w:rsid w:val="007B5F08"/>
    <w:rsid w:val="007B625A"/>
    <w:rsid w:val="007B6416"/>
    <w:rsid w:val="007B6608"/>
    <w:rsid w:val="007B686E"/>
    <w:rsid w:val="007B689C"/>
    <w:rsid w:val="007B68EC"/>
    <w:rsid w:val="007B68F2"/>
    <w:rsid w:val="007B6BDC"/>
    <w:rsid w:val="007B6C5A"/>
    <w:rsid w:val="007B6D43"/>
    <w:rsid w:val="007B6E0D"/>
    <w:rsid w:val="007B6EEA"/>
    <w:rsid w:val="007B701F"/>
    <w:rsid w:val="007B72EC"/>
    <w:rsid w:val="007B7455"/>
    <w:rsid w:val="007B75E5"/>
    <w:rsid w:val="007B7963"/>
    <w:rsid w:val="007C0096"/>
    <w:rsid w:val="007C01E8"/>
    <w:rsid w:val="007C0433"/>
    <w:rsid w:val="007C04C0"/>
    <w:rsid w:val="007C0526"/>
    <w:rsid w:val="007C0653"/>
    <w:rsid w:val="007C093D"/>
    <w:rsid w:val="007C0C7C"/>
    <w:rsid w:val="007C0E3B"/>
    <w:rsid w:val="007C1019"/>
    <w:rsid w:val="007C104C"/>
    <w:rsid w:val="007C12F7"/>
    <w:rsid w:val="007C135B"/>
    <w:rsid w:val="007C1380"/>
    <w:rsid w:val="007C158E"/>
    <w:rsid w:val="007C162A"/>
    <w:rsid w:val="007C17C4"/>
    <w:rsid w:val="007C17EB"/>
    <w:rsid w:val="007C1AC9"/>
    <w:rsid w:val="007C1B17"/>
    <w:rsid w:val="007C1CE2"/>
    <w:rsid w:val="007C1D4A"/>
    <w:rsid w:val="007C1F00"/>
    <w:rsid w:val="007C1F18"/>
    <w:rsid w:val="007C1FE0"/>
    <w:rsid w:val="007C200D"/>
    <w:rsid w:val="007C2024"/>
    <w:rsid w:val="007C2080"/>
    <w:rsid w:val="007C20F0"/>
    <w:rsid w:val="007C21F8"/>
    <w:rsid w:val="007C236B"/>
    <w:rsid w:val="007C23BB"/>
    <w:rsid w:val="007C23BE"/>
    <w:rsid w:val="007C25B3"/>
    <w:rsid w:val="007C25DB"/>
    <w:rsid w:val="007C2668"/>
    <w:rsid w:val="007C275E"/>
    <w:rsid w:val="007C287C"/>
    <w:rsid w:val="007C28C0"/>
    <w:rsid w:val="007C29BA"/>
    <w:rsid w:val="007C2A2A"/>
    <w:rsid w:val="007C2A59"/>
    <w:rsid w:val="007C2B0B"/>
    <w:rsid w:val="007C2C79"/>
    <w:rsid w:val="007C2CCE"/>
    <w:rsid w:val="007C2CFA"/>
    <w:rsid w:val="007C3160"/>
    <w:rsid w:val="007C3319"/>
    <w:rsid w:val="007C350C"/>
    <w:rsid w:val="007C3858"/>
    <w:rsid w:val="007C3A2E"/>
    <w:rsid w:val="007C3AAF"/>
    <w:rsid w:val="007C3EA2"/>
    <w:rsid w:val="007C3F45"/>
    <w:rsid w:val="007C402F"/>
    <w:rsid w:val="007C4211"/>
    <w:rsid w:val="007C423B"/>
    <w:rsid w:val="007C435A"/>
    <w:rsid w:val="007C4799"/>
    <w:rsid w:val="007C48CE"/>
    <w:rsid w:val="007C49A7"/>
    <w:rsid w:val="007C4A79"/>
    <w:rsid w:val="007C4ABC"/>
    <w:rsid w:val="007C4AFE"/>
    <w:rsid w:val="007C4C4B"/>
    <w:rsid w:val="007C4C7E"/>
    <w:rsid w:val="007C4D12"/>
    <w:rsid w:val="007C4D72"/>
    <w:rsid w:val="007C4E0D"/>
    <w:rsid w:val="007C4FD2"/>
    <w:rsid w:val="007C500C"/>
    <w:rsid w:val="007C537B"/>
    <w:rsid w:val="007C53E3"/>
    <w:rsid w:val="007C5470"/>
    <w:rsid w:val="007C5589"/>
    <w:rsid w:val="007C55FA"/>
    <w:rsid w:val="007C56BD"/>
    <w:rsid w:val="007C571F"/>
    <w:rsid w:val="007C5765"/>
    <w:rsid w:val="007C5805"/>
    <w:rsid w:val="007C5919"/>
    <w:rsid w:val="007C5A05"/>
    <w:rsid w:val="007C5A7C"/>
    <w:rsid w:val="007C5C02"/>
    <w:rsid w:val="007C5C6C"/>
    <w:rsid w:val="007C5CEE"/>
    <w:rsid w:val="007C5FD7"/>
    <w:rsid w:val="007C60C1"/>
    <w:rsid w:val="007C6151"/>
    <w:rsid w:val="007C6366"/>
    <w:rsid w:val="007C64BE"/>
    <w:rsid w:val="007C658F"/>
    <w:rsid w:val="007C65C5"/>
    <w:rsid w:val="007C685C"/>
    <w:rsid w:val="007C6B09"/>
    <w:rsid w:val="007C6B0E"/>
    <w:rsid w:val="007C6CFC"/>
    <w:rsid w:val="007C6DFF"/>
    <w:rsid w:val="007C7073"/>
    <w:rsid w:val="007C71C2"/>
    <w:rsid w:val="007C71F9"/>
    <w:rsid w:val="007C7302"/>
    <w:rsid w:val="007C7396"/>
    <w:rsid w:val="007C7418"/>
    <w:rsid w:val="007C74C7"/>
    <w:rsid w:val="007C757E"/>
    <w:rsid w:val="007C76FE"/>
    <w:rsid w:val="007C7A2E"/>
    <w:rsid w:val="007C7C5C"/>
    <w:rsid w:val="007C7C8B"/>
    <w:rsid w:val="007C7CF3"/>
    <w:rsid w:val="007C7D01"/>
    <w:rsid w:val="007C7E42"/>
    <w:rsid w:val="007C7F42"/>
    <w:rsid w:val="007C7F68"/>
    <w:rsid w:val="007D0024"/>
    <w:rsid w:val="007D0120"/>
    <w:rsid w:val="007D037D"/>
    <w:rsid w:val="007D049B"/>
    <w:rsid w:val="007D04C8"/>
    <w:rsid w:val="007D0735"/>
    <w:rsid w:val="007D08F1"/>
    <w:rsid w:val="007D0A53"/>
    <w:rsid w:val="007D0AB4"/>
    <w:rsid w:val="007D0AF2"/>
    <w:rsid w:val="007D0BB2"/>
    <w:rsid w:val="007D0CB6"/>
    <w:rsid w:val="007D0CE9"/>
    <w:rsid w:val="007D0EFE"/>
    <w:rsid w:val="007D1091"/>
    <w:rsid w:val="007D10E4"/>
    <w:rsid w:val="007D1170"/>
    <w:rsid w:val="007D1353"/>
    <w:rsid w:val="007D13A5"/>
    <w:rsid w:val="007D1428"/>
    <w:rsid w:val="007D1455"/>
    <w:rsid w:val="007D14FE"/>
    <w:rsid w:val="007D15DD"/>
    <w:rsid w:val="007D19BD"/>
    <w:rsid w:val="007D1B65"/>
    <w:rsid w:val="007D1CCE"/>
    <w:rsid w:val="007D1CD9"/>
    <w:rsid w:val="007D1D8D"/>
    <w:rsid w:val="007D1EF1"/>
    <w:rsid w:val="007D20C9"/>
    <w:rsid w:val="007D212B"/>
    <w:rsid w:val="007D2134"/>
    <w:rsid w:val="007D22E5"/>
    <w:rsid w:val="007D23A3"/>
    <w:rsid w:val="007D23DA"/>
    <w:rsid w:val="007D2401"/>
    <w:rsid w:val="007D26AA"/>
    <w:rsid w:val="007D2905"/>
    <w:rsid w:val="007D2955"/>
    <w:rsid w:val="007D2965"/>
    <w:rsid w:val="007D2C51"/>
    <w:rsid w:val="007D2EBD"/>
    <w:rsid w:val="007D2F67"/>
    <w:rsid w:val="007D2FAE"/>
    <w:rsid w:val="007D30BA"/>
    <w:rsid w:val="007D30BE"/>
    <w:rsid w:val="007D30C2"/>
    <w:rsid w:val="007D3147"/>
    <w:rsid w:val="007D323C"/>
    <w:rsid w:val="007D36CD"/>
    <w:rsid w:val="007D3849"/>
    <w:rsid w:val="007D3964"/>
    <w:rsid w:val="007D3AB1"/>
    <w:rsid w:val="007D3ABE"/>
    <w:rsid w:val="007D3B31"/>
    <w:rsid w:val="007D3DEF"/>
    <w:rsid w:val="007D4134"/>
    <w:rsid w:val="007D4441"/>
    <w:rsid w:val="007D46CE"/>
    <w:rsid w:val="007D4842"/>
    <w:rsid w:val="007D48A6"/>
    <w:rsid w:val="007D4909"/>
    <w:rsid w:val="007D4A01"/>
    <w:rsid w:val="007D4B43"/>
    <w:rsid w:val="007D4CAD"/>
    <w:rsid w:val="007D4D81"/>
    <w:rsid w:val="007D4EB8"/>
    <w:rsid w:val="007D4F0B"/>
    <w:rsid w:val="007D51F9"/>
    <w:rsid w:val="007D541D"/>
    <w:rsid w:val="007D54AA"/>
    <w:rsid w:val="007D54FD"/>
    <w:rsid w:val="007D550A"/>
    <w:rsid w:val="007D55A2"/>
    <w:rsid w:val="007D5699"/>
    <w:rsid w:val="007D5743"/>
    <w:rsid w:val="007D594B"/>
    <w:rsid w:val="007D59A4"/>
    <w:rsid w:val="007D59F3"/>
    <w:rsid w:val="007D5A1A"/>
    <w:rsid w:val="007D5B00"/>
    <w:rsid w:val="007D5DDD"/>
    <w:rsid w:val="007D5F64"/>
    <w:rsid w:val="007D5FBA"/>
    <w:rsid w:val="007D6193"/>
    <w:rsid w:val="007D6224"/>
    <w:rsid w:val="007D62E0"/>
    <w:rsid w:val="007D6617"/>
    <w:rsid w:val="007D67AA"/>
    <w:rsid w:val="007D6A25"/>
    <w:rsid w:val="007D6AFE"/>
    <w:rsid w:val="007D6EBD"/>
    <w:rsid w:val="007D6F90"/>
    <w:rsid w:val="007D70EC"/>
    <w:rsid w:val="007D7152"/>
    <w:rsid w:val="007D72FF"/>
    <w:rsid w:val="007D731C"/>
    <w:rsid w:val="007D7341"/>
    <w:rsid w:val="007D74D1"/>
    <w:rsid w:val="007D750D"/>
    <w:rsid w:val="007D7513"/>
    <w:rsid w:val="007D7592"/>
    <w:rsid w:val="007D75F2"/>
    <w:rsid w:val="007D764E"/>
    <w:rsid w:val="007D76B1"/>
    <w:rsid w:val="007D785E"/>
    <w:rsid w:val="007D78C1"/>
    <w:rsid w:val="007D792B"/>
    <w:rsid w:val="007D7B79"/>
    <w:rsid w:val="007D7B96"/>
    <w:rsid w:val="007D7BA7"/>
    <w:rsid w:val="007D7BF9"/>
    <w:rsid w:val="007D7D4A"/>
    <w:rsid w:val="007D7FC6"/>
    <w:rsid w:val="007E005C"/>
    <w:rsid w:val="007E00DA"/>
    <w:rsid w:val="007E023A"/>
    <w:rsid w:val="007E069F"/>
    <w:rsid w:val="007E06E4"/>
    <w:rsid w:val="007E09C4"/>
    <w:rsid w:val="007E09F2"/>
    <w:rsid w:val="007E0B9F"/>
    <w:rsid w:val="007E0BF8"/>
    <w:rsid w:val="007E0C79"/>
    <w:rsid w:val="007E0EC1"/>
    <w:rsid w:val="007E103E"/>
    <w:rsid w:val="007E1159"/>
    <w:rsid w:val="007E11F4"/>
    <w:rsid w:val="007E12C0"/>
    <w:rsid w:val="007E13EB"/>
    <w:rsid w:val="007E1438"/>
    <w:rsid w:val="007E14B5"/>
    <w:rsid w:val="007E1777"/>
    <w:rsid w:val="007E17A3"/>
    <w:rsid w:val="007E1866"/>
    <w:rsid w:val="007E18FD"/>
    <w:rsid w:val="007E192F"/>
    <w:rsid w:val="007E1A3B"/>
    <w:rsid w:val="007E1A84"/>
    <w:rsid w:val="007E1AB5"/>
    <w:rsid w:val="007E1B16"/>
    <w:rsid w:val="007E1B25"/>
    <w:rsid w:val="007E1E95"/>
    <w:rsid w:val="007E21BC"/>
    <w:rsid w:val="007E231A"/>
    <w:rsid w:val="007E2336"/>
    <w:rsid w:val="007E250F"/>
    <w:rsid w:val="007E2599"/>
    <w:rsid w:val="007E26F6"/>
    <w:rsid w:val="007E2722"/>
    <w:rsid w:val="007E2DD6"/>
    <w:rsid w:val="007E2E86"/>
    <w:rsid w:val="007E2F78"/>
    <w:rsid w:val="007E3007"/>
    <w:rsid w:val="007E3016"/>
    <w:rsid w:val="007E3273"/>
    <w:rsid w:val="007E32DF"/>
    <w:rsid w:val="007E339E"/>
    <w:rsid w:val="007E34FE"/>
    <w:rsid w:val="007E359E"/>
    <w:rsid w:val="007E373C"/>
    <w:rsid w:val="007E3754"/>
    <w:rsid w:val="007E37EE"/>
    <w:rsid w:val="007E39B6"/>
    <w:rsid w:val="007E3A81"/>
    <w:rsid w:val="007E3E91"/>
    <w:rsid w:val="007E3F51"/>
    <w:rsid w:val="007E4162"/>
    <w:rsid w:val="007E41E6"/>
    <w:rsid w:val="007E4305"/>
    <w:rsid w:val="007E43E8"/>
    <w:rsid w:val="007E48B6"/>
    <w:rsid w:val="007E4A99"/>
    <w:rsid w:val="007E4C1F"/>
    <w:rsid w:val="007E4EE8"/>
    <w:rsid w:val="007E4FC0"/>
    <w:rsid w:val="007E50DD"/>
    <w:rsid w:val="007E5101"/>
    <w:rsid w:val="007E516C"/>
    <w:rsid w:val="007E5172"/>
    <w:rsid w:val="007E524A"/>
    <w:rsid w:val="007E53CF"/>
    <w:rsid w:val="007E546B"/>
    <w:rsid w:val="007E55DD"/>
    <w:rsid w:val="007E5696"/>
    <w:rsid w:val="007E577B"/>
    <w:rsid w:val="007E578C"/>
    <w:rsid w:val="007E58C1"/>
    <w:rsid w:val="007E5B35"/>
    <w:rsid w:val="007E5C38"/>
    <w:rsid w:val="007E5CCC"/>
    <w:rsid w:val="007E5DAE"/>
    <w:rsid w:val="007E5E68"/>
    <w:rsid w:val="007E5F28"/>
    <w:rsid w:val="007E5F7C"/>
    <w:rsid w:val="007E62D6"/>
    <w:rsid w:val="007E63C7"/>
    <w:rsid w:val="007E6496"/>
    <w:rsid w:val="007E64AE"/>
    <w:rsid w:val="007E652B"/>
    <w:rsid w:val="007E658C"/>
    <w:rsid w:val="007E65AD"/>
    <w:rsid w:val="007E6707"/>
    <w:rsid w:val="007E6801"/>
    <w:rsid w:val="007E684D"/>
    <w:rsid w:val="007E685E"/>
    <w:rsid w:val="007E69E2"/>
    <w:rsid w:val="007E6B9C"/>
    <w:rsid w:val="007E6DB4"/>
    <w:rsid w:val="007E6E89"/>
    <w:rsid w:val="007E6E8D"/>
    <w:rsid w:val="007E71E3"/>
    <w:rsid w:val="007E7214"/>
    <w:rsid w:val="007E734A"/>
    <w:rsid w:val="007E737B"/>
    <w:rsid w:val="007E739E"/>
    <w:rsid w:val="007E73AB"/>
    <w:rsid w:val="007E76F9"/>
    <w:rsid w:val="007E7786"/>
    <w:rsid w:val="007E7CDA"/>
    <w:rsid w:val="007E7D00"/>
    <w:rsid w:val="007E7D76"/>
    <w:rsid w:val="007E7D84"/>
    <w:rsid w:val="007F0289"/>
    <w:rsid w:val="007F02D8"/>
    <w:rsid w:val="007F032F"/>
    <w:rsid w:val="007F03E3"/>
    <w:rsid w:val="007F046A"/>
    <w:rsid w:val="007F0572"/>
    <w:rsid w:val="007F05C1"/>
    <w:rsid w:val="007F05E4"/>
    <w:rsid w:val="007F05FB"/>
    <w:rsid w:val="007F0740"/>
    <w:rsid w:val="007F0749"/>
    <w:rsid w:val="007F09B1"/>
    <w:rsid w:val="007F0B3E"/>
    <w:rsid w:val="007F0BB1"/>
    <w:rsid w:val="007F0C4A"/>
    <w:rsid w:val="007F0D07"/>
    <w:rsid w:val="007F0FF6"/>
    <w:rsid w:val="007F112E"/>
    <w:rsid w:val="007F12EA"/>
    <w:rsid w:val="007F131E"/>
    <w:rsid w:val="007F1381"/>
    <w:rsid w:val="007F14B8"/>
    <w:rsid w:val="007F1540"/>
    <w:rsid w:val="007F15D6"/>
    <w:rsid w:val="007F1638"/>
    <w:rsid w:val="007F166D"/>
    <w:rsid w:val="007F16C1"/>
    <w:rsid w:val="007F18AB"/>
    <w:rsid w:val="007F1DCD"/>
    <w:rsid w:val="007F1DEF"/>
    <w:rsid w:val="007F1DFE"/>
    <w:rsid w:val="007F206D"/>
    <w:rsid w:val="007F217D"/>
    <w:rsid w:val="007F234C"/>
    <w:rsid w:val="007F24C8"/>
    <w:rsid w:val="007F25C0"/>
    <w:rsid w:val="007F26D6"/>
    <w:rsid w:val="007F2796"/>
    <w:rsid w:val="007F279D"/>
    <w:rsid w:val="007F27B0"/>
    <w:rsid w:val="007F29E8"/>
    <w:rsid w:val="007F2AA9"/>
    <w:rsid w:val="007F2BA1"/>
    <w:rsid w:val="007F2BE6"/>
    <w:rsid w:val="007F2D9F"/>
    <w:rsid w:val="007F2E6A"/>
    <w:rsid w:val="007F2EE3"/>
    <w:rsid w:val="007F30D1"/>
    <w:rsid w:val="007F31A4"/>
    <w:rsid w:val="007F326A"/>
    <w:rsid w:val="007F334E"/>
    <w:rsid w:val="007F338B"/>
    <w:rsid w:val="007F339D"/>
    <w:rsid w:val="007F3421"/>
    <w:rsid w:val="007F344A"/>
    <w:rsid w:val="007F3491"/>
    <w:rsid w:val="007F3764"/>
    <w:rsid w:val="007F37F8"/>
    <w:rsid w:val="007F3893"/>
    <w:rsid w:val="007F397B"/>
    <w:rsid w:val="007F397D"/>
    <w:rsid w:val="007F3EB0"/>
    <w:rsid w:val="007F3F99"/>
    <w:rsid w:val="007F3FD8"/>
    <w:rsid w:val="007F40F3"/>
    <w:rsid w:val="007F4111"/>
    <w:rsid w:val="007F41FB"/>
    <w:rsid w:val="007F4260"/>
    <w:rsid w:val="007F46F6"/>
    <w:rsid w:val="007F47CC"/>
    <w:rsid w:val="007F4994"/>
    <w:rsid w:val="007F49F3"/>
    <w:rsid w:val="007F4B99"/>
    <w:rsid w:val="007F53C0"/>
    <w:rsid w:val="007F55C8"/>
    <w:rsid w:val="007F55E0"/>
    <w:rsid w:val="007F5643"/>
    <w:rsid w:val="007F564F"/>
    <w:rsid w:val="007F56C2"/>
    <w:rsid w:val="007F580B"/>
    <w:rsid w:val="007F583A"/>
    <w:rsid w:val="007F58B5"/>
    <w:rsid w:val="007F59E4"/>
    <w:rsid w:val="007F5A76"/>
    <w:rsid w:val="007F5C70"/>
    <w:rsid w:val="007F5C9F"/>
    <w:rsid w:val="007F5D11"/>
    <w:rsid w:val="007F654D"/>
    <w:rsid w:val="007F68A8"/>
    <w:rsid w:val="007F6CAF"/>
    <w:rsid w:val="007F6CD0"/>
    <w:rsid w:val="007F6E6A"/>
    <w:rsid w:val="007F6E73"/>
    <w:rsid w:val="007F6ED1"/>
    <w:rsid w:val="007F6FED"/>
    <w:rsid w:val="007F70A4"/>
    <w:rsid w:val="007F7144"/>
    <w:rsid w:val="007F7397"/>
    <w:rsid w:val="007F75A2"/>
    <w:rsid w:val="007F7656"/>
    <w:rsid w:val="007F7758"/>
    <w:rsid w:val="007F783A"/>
    <w:rsid w:val="007F7ABF"/>
    <w:rsid w:val="007F7AD6"/>
    <w:rsid w:val="007F7ADC"/>
    <w:rsid w:val="007F7BF5"/>
    <w:rsid w:val="007F7D9E"/>
    <w:rsid w:val="00800046"/>
    <w:rsid w:val="00800064"/>
    <w:rsid w:val="008000C0"/>
    <w:rsid w:val="00800223"/>
    <w:rsid w:val="008002A7"/>
    <w:rsid w:val="008002CB"/>
    <w:rsid w:val="008002DD"/>
    <w:rsid w:val="0080061C"/>
    <w:rsid w:val="00800637"/>
    <w:rsid w:val="0080081C"/>
    <w:rsid w:val="00800AB7"/>
    <w:rsid w:val="00800AD7"/>
    <w:rsid w:val="00800B92"/>
    <w:rsid w:val="00800C0F"/>
    <w:rsid w:val="00800DDA"/>
    <w:rsid w:val="00800FDC"/>
    <w:rsid w:val="0080122E"/>
    <w:rsid w:val="0080125E"/>
    <w:rsid w:val="00801307"/>
    <w:rsid w:val="0080160E"/>
    <w:rsid w:val="00801631"/>
    <w:rsid w:val="008016F9"/>
    <w:rsid w:val="00801A00"/>
    <w:rsid w:val="00801A8C"/>
    <w:rsid w:val="00801B37"/>
    <w:rsid w:val="00801C5E"/>
    <w:rsid w:val="00801C8B"/>
    <w:rsid w:val="00801DAA"/>
    <w:rsid w:val="00801EBB"/>
    <w:rsid w:val="00801F21"/>
    <w:rsid w:val="00801F4E"/>
    <w:rsid w:val="00801F65"/>
    <w:rsid w:val="00801F8D"/>
    <w:rsid w:val="00802089"/>
    <w:rsid w:val="008022A7"/>
    <w:rsid w:val="008022F4"/>
    <w:rsid w:val="00802910"/>
    <w:rsid w:val="00802A0F"/>
    <w:rsid w:val="00802A24"/>
    <w:rsid w:val="00802B36"/>
    <w:rsid w:val="00802D44"/>
    <w:rsid w:val="00802DC6"/>
    <w:rsid w:val="00802EDE"/>
    <w:rsid w:val="00803088"/>
    <w:rsid w:val="00803386"/>
    <w:rsid w:val="008035BE"/>
    <w:rsid w:val="00803600"/>
    <w:rsid w:val="00803605"/>
    <w:rsid w:val="00803644"/>
    <w:rsid w:val="00803728"/>
    <w:rsid w:val="00803785"/>
    <w:rsid w:val="00803792"/>
    <w:rsid w:val="008037A4"/>
    <w:rsid w:val="008038BF"/>
    <w:rsid w:val="00803926"/>
    <w:rsid w:val="00803959"/>
    <w:rsid w:val="00803B7D"/>
    <w:rsid w:val="00803E09"/>
    <w:rsid w:val="008040EA"/>
    <w:rsid w:val="008043FC"/>
    <w:rsid w:val="008045D4"/>
    <w:rsid w:val="00804730"/>
    <w:rsid w:val="008047DD"/>
    <w:rsid w:val="00804853"/>
    <w:rsid w:val="00804987"/>
    <w:rsid w:val="00804A1C"/>
    <w:rsid w:val="00804C08"/>
    <w:rsid w:val="00804C8D"/>
    <w:rsid w:val="00804CF8"/>
    <w:rsid w:val="00804D83"/>
    <w:rsid w:val="00804DEA"/>
    <w:rsid w:val="00804E5A"/>
    <w:rsid w:val="00804ED8"/>
    <w:rsid w:val="00804FC3"/>
    <w:rsid w:val="008052A5"/>
    <w:rsid w:val="0080530F"/>
    <w:rsid w:val="00805404"/>
    <w:rsid w:val="0080553D"/>
    <w:rsid w:val="008058D7"/>
    <w:rsid w:val="0080598D"/>
    <w:rsid w:val="00805C59"/>
    <w:rsid w:val="00805DAF"/>
    <w:rsid w:val="00805E8F"/>
    <w:rsid w:val="00806166"/>
    <w:rsid w:val="008062F0"/>
    <w:rsid w:val="0080640F"/>
    <w:rsid w:val="00806542"/>
    <w:rsid w:val="0080662C"/>
    <w:rsid w:val="00806686"/>
    <w:rsid w:val="008066F5"/>
    <w:rsid w:val="0080684A"/>
    <w:rsid w:val="00806B1A"/>
    <w:rsid w:val="00806CDA"/>
    <w:rsid w:val="00806D12"/>
    <w:rsid w:val="00806D30"/>
    <w:rsid w:val="00806D83"/>
    <w:rsid w:val="00806E09"/>
    <w:rsid w:val="0080759C"/>
    <w:rsid w:val="0080769D"/>
    <w:rsid w:val="00807733"/>
    <w:rsid w:val="00807830"/>
    <w:rsid w:val="00807959"/>
    <w:rsid w:val="00807AB4"/>
    <w:rsid w:val="00807B99"/>
    <w:rsid w:val="00810080"/>
    <w:rsid w:val="00810084"/>
    <w:rsid w:val="00810193"/>
    <w:rsid w:val="008103BD"/>
    <w:rsid w:val="008103DD"/>
    <w:rsid w:val="008105A0"/>
    <w:rsid w:val="0081088A"/>
    <w:rsid w:val="0081097A"/>
    <w:rsid w:val="00810A19"/>
    <w:rsid w:val="00810BD5"/>
    <w:rsid w:val="00810F00"/>
    <w:rsid w:val="0081102A"/>
    <w:rsid w:val="00811092"/>
    <w:rsid w:val="0081116C"/>
    <w:rsid w:val="0081131C"/>
    <w:rsid w:val="008113DF"/>
    <w:rsid w:val="008115AE"/>
    <w:rsid w:val="008116F8"/>
    <w:rsid w:val="0081171D"/>
    <w:rsid w:val="008118F0"/>
    <w:rsid w:val="008119D9"/>
    <w:rsid w:val="00811C0D"/>
    <w:rsid w:val="00811E4E"/>
    <w:rsid w:val="008125AF"/>
    <w:rsid w:val="0081269A"/>
    <w:rsid w:val="008126FA"/>
    <w:rsid w:val="00812721"/>
    <w:rsid w:val="00812A75"/>
    <w:rsid w:val="00812FF0"/>
    <w:rsid w:val="00813030"/>
    <w:rsid w:val="0081307C"/>
    <w:rsid w:val="008132F8"/>
    <w:rsid w:val="0081331A"/>
    <w:rsid w:val="00813352"/>
    <w:rsid w:val="008134D7"/>
    <w:rsid w:val="008135CF"/>
    <w:rsid w:val="00813607"/>
    <w:rsid w:val="00813637"/>
    <w:rsid w:val="0081366E"/>
    <w:rsid w:val="008136D9"/>
    <w:rsid w:val="008138F7"/>
    <w:rsid w:val="00813963"/>
    <w:rsid w:val="00813ECA"/>
    <w:rsid w:val="00813F3E"/>
    <w:rsid w:val="00814163"/>
    <w:rsid w:val="0081451A"/>
    <w:rsid w:val="008145B1"/>
    <w:rsid w:val="0081468B"/>
    <w:rsid w:val="00814B6A"/>
    <w:rsid w:val="00814BAA"/>
    <w:rsid w:val="00814CC4"/>
    <w:rsid w:val="00814D79"/>
    <w:rsid w:val="00814E59"/>
    <w:rsid w:val="00814E79"/>
    <w:rsid w:val="00814F01"/>
    <w:rsid w:val="00814FE4"/>
    <w:rsid w:val="00815025"/>
    <w:rsid w:val="0081505E"/>
    <w:rsid w:val="00815126"/>
    <w:rsid w:val="008152A9"/>
    <w:rsid w:val="008152B9"/>
    <w:rsid w:val="008152C7"/>
    <w:rsid w:val="008152DC"/>
    <w:rsid w:val="008152EF"/>
    <w:rsid w:val="00815532"/>
    <w:rsid w:val="00815682"/>
    <w:rsid w:val="008158CB"/>
    <w:rsid w:val="00815907"/>
    <w:rsid w:val="008159A5"/>
    <w:rsid w:val="00815A1E"/>
    <w:rsid w:val="00815A46"/>
    <w:rsid w:val="00815B21"/>
    <w:rsid w:val="00815CAE"/>
    <w:rsid w:val="00815DBD"/>
    <w:rsid w:val="00815DF9"/>
    <w:rsid w:val="00815FE0"/>
    <w:rsid w:val="0081602F"/>
    <w:rsid w:val="00816045"/>
    <w:rsid w:val="008163A9"/>
    <w:rsid w:val="008164AC"/>
    <w:rsid w:val="0081652D"/>
    <w:rsid w:val="00816570"/>
    <w:rsid w:val="008168DE"/>
    <w:rsid w:val="008169E2"/>
    <w:rsid w:val="00816BCE"/>
    <w:rsid w:val="00816BEA"/>
    <w:rsid w:val="00816BFE"/>
    <w:rsid w:val="00816C4F"/>
    <w:rsid w:val="00816D2D"/>
    <w:rsid w:val="00816D3D"/>
    <w:rsid w:val="00817044"/>
    <w:rsid w:val="0081725B"/>
    <w:rsid w:val="0081727B"/>
    <w:rsid w:val="0081729A"/>
    <w:rsid w:val="008176CB"/>
    <w:rsid w:val="00817B28"/>
    <w:rsid w:val="00817C30"/>
    <w:rsid w:val="00817E07"/>
    <w:rsid w:val="00817F48"/>
    <w:rsid w:val="008202CC"/>
    <w:rsid w:val="0082038F"/>
    <w:rsid w:val="008203BD"/>
    <w:rsid w:val="0082043F"/>
    <w:rsid w:val="0082048F"/>
    <w:rsid w:val="00820579"/>
    <w:rsid w:val="008206AB"/>
    <w:rsid w:val="008207BC"/>
    <w:rsid w:val="00820925"/>
    <w:rsid w:val="00820980"/>
    <w:rsid w:val="00820BC5"/>
    <w:rsid w:val="00820BC9"/>
    <w:rsid w:val="00820BD4"/>
    <w:rsid w:val="00820BF1"/>
    <w:rsid w:val="0082101C"/>
    <w:rsid w:val="00821024"/>
    <w:rsid w:val="00821033"/>
    <w:rsid w:val="00821152"/>
    <w:rsid w:val="008211DD"/>
    <w:rsid w:val="00821280"/>
    <w:rsid w:val="0082151E"/>
    <w:rsid w:val="008215ED"/>
    <w:rsid w:val="00821C07"/>
    <w:rsid w:val="00821D2A"/>
    <w:rsid w:val="00821EA3"/>
    <w:rsid w:val="00821F76"/>
    <w:rsid w:val="0082202F"/>
    <w:rsid w:val="00822115"/>
    <w:rsid w:val="00822245"/>
    <w:rsid w:val="008224D4"/>
    <w:rsid w:val="00822524"/>
    <w:rsid w:val="00822525"/>
    <w:rsid w:val="008225F7"/>
    <w:rsid w:val="0082263D"/>
    <w:rsid w:val="00822648"/>
    <w:rsid w:val="008229C0"/>
    <w:rsid w:val="00822A8A"/>
    <w:rsid w:val="00822B45"/>
    <w:rsid w:val="00822C73"/>
    <w:rsid w:val="00822D08"/>
    <w:rsid w:val="00822E77"/>
    <w:rsid w:val="00822E82"/>
    <w:rsid w:val="0082343D"/>
    <w:rsid w:val="008234EA"/>
    <w:rsid w:val="00823ADC"/>
    <w:rsid w:val="00823B1D"/>
    <w:rsid w:val="00823B3B"/>
    <w:rsid w:val="00823C76"/>
    <w:rsid w:val="00823CE8"/>
    <w:rsid w:val="00823E4A"/>
    <w:rsid w:val="00823F57"/>
    <w:rsid w:val="00824492"/>
    <w:rsid w:val="008247C7"/>
    <w:rsid w:val="00824B75"/>
    <w:rsid w:val="00824E7D"/>
    <w:rsid w:val="00824ECF"/>
    <w:rsid w:val="00825036"/>
    <w:rsid w:val="00825350"/>
    <w:rsid w:val="0082536A"/>
    <w:rsid w:val="0082547C"/>
    <w:rsid w:val="00825537"/>
    <w:rsid w:val="00825538"/>
    <w:rsid w:val="008256C1"/>
    <w:rsid w:val="008259DD"/>
    <w:rsid w:val="008259EE"/>
    <w:rsid w:val="00825AF3"/>
    <w:rsid w:val="00825C00"/>
    <w:rsid w:val="00825C44"/>
    <w:rsid w:val="00825C75"/>
    <w:rsid w:val="00825DB9"/>
    <w:rsid w:val="00825EE2"/>
    <w:rsid w:val="00825F3F"/>
    <w:rsid w:val="00825F6D"/>
    <w:rsid w:val="00826022"/>
    <w:rsid w:val="0082613E"/>
    <w:rsid w:val="008261A7"/>
    <w:rsid w:val="008261F4"/>
    <w:rsid w:val="00826272"/>
    <w:rsid w:val="008262B3"/>
    <w:rsid w:val="008264A9"/>
    <w:rsid w:val="00826773"/>
    <w:rsid w:val="00826922"/>
    <w:rsid w:val="00826A3D"/>
    <w:rsid w:val="00826C53"/>
    <w:rsid w:val="00826C7A"/>
    <w:rsid w:val="00826D1B"/>
    <w:rsid w:val="00826DFB"/>
    <w:rsid w:val="00826EB5"/>
    <w:rsid w:val="00826EC2"/>
    <w:rsid w:val="00826F0F"/>
    <w:rsid w:val="00826FBE"/>
    <w:rsid w:val="00827023"/>
    <w:rsid w:val="00827051"/>
    <w:rsid w:val="00827510"/>
    <w:rsid w:val="00827569"/>
    <w:rsid w:val="00827589"/>
    <w:rsid w:val="008277BB"/>
    <w:rsid w:val="0082785A"/>
    <w:rsid w:val="00827AEF"/>
    <w:rsid w:val="00827BDC"/>
    <w:rsid w:val="00827D8F"/>
    <w:rsid w:val="00827E17"/>
    <w:rsid w:val="00830012"/>
    <w:rsid w:val="00830136"/>
    <w:rsid w:val="00830277"/>
    <w:rsid w:val="00830433"/>
    <w:rsid w:val="00830A04"/>
    <w:rsid w:val="00830AFA"/>
    <w:rsid w:val="00830B8A"/>
    <w:rsid w:val="00830C55"/>
    <w:rsid w:val="00830CDA"/>
    <w:rsid w:val="00831032"/>
    <w:rsid w:val="008310D7"/>
    <w:rsid w:val="0083111D"/>
    <w:rsid w:val="008311A3"/>
    <w:rsid w:val="008312B0"/>
    <w:rsid w:val="008313C9"/>
    <w:rsid w:val="00831468"/>
    <w:rsid w:val="008314C7"/>
    <w:rsid w:val="008314E2"/>
    <w:rsid w:val="008315D9"/>
    <w:rsid w:val="0083165B"/>
    <w:rsid w:val="00831810"/>
    <w:rsid w:val="00831839"/>
    <w:rsid w:val="0083190E"/>
    <w:rsid w:val="00831A7A"/>
    <w:rsid w:val="00831A91"/>
    <w:rsid w:val="00831BDA"/>
    <w:rsid w:val="00831BDE"/>
    <w:rsid w:val="00831D00"/>
    <w:rsid w:val="00831E5E"/>
    <w:rsid w:val="0083203D"/>
    <w:rsid w:val="00832112"/>
    <w:rsid w:val="0083219B"/>
    <w:rsid w:val="0083220A"/>
    <w:rsid w:val="008322BE"/>
    <w:rsid w:val="008322E8"/>
    <w:rsid w:val="00832428"/>
    <w:rsid w:val="00832549"/>
    <w:rsid w:val="00832556"/>
    <w:rsid w:val="0083258F"/>
    <w:rsid w:val="008325C0"/>
    <w:rsid w:val="00832637"/>
    <w:rsid w:val="00832773"/>
    <w:rsid w:val="008328C7"/>
    <w:rsid w:val="008328ED"/>
    <w:rsid w:val="00832C24"/>
    <w:rsid w:val="00832D50"/>
    <w:rsid w:val="00832F29"/>
    <w:rsid w:val="0083316F"/>
    <w:rsid w:val="00833201"/>
    <w:rsid w:val="00833207"/>
    <w:rsid w:val="00833217"/>
    <w:rsid w:val="00833335"/>
    <w:rsid w:val="008333A8"/>
    <w:rsid w:val="008333FB"/>
    <w:rsid w:val="008334C3"/>
    <w:rsid w:val="008334D1"/>
    <w:rsid w:val="0083356C"/>
    <w:rsid w:val="0083356F"/>
    <w:rsid w:val="008336B6"/>
    <w:rsid w:val="00833709"/>
    <w:rsid w:val="00833767"/>
    <w:rsid w:val="0083383F"/>
    <w:rsid w:val="00833850"/>
    <w:rsid w:val="00833880"/>
    <w:rsid w:val="00833A7E"/>
    <w:rsid w:val="00833B08"/>
    <w:rsid w:val="00833B21"/>
    <w:rsid w:val="00834025"/>
    <w:rsid w:val="00834109"/>
    <w:rsid w:val="00834128"/>
    <w:rsid w:val="0083418D"/>
    <w:rsid w:val="0083431D"/>
    <w:rsid w:val="00834402"/>
    <w:rsid w:val="00834428"/>
    <w:rsid w:val="0083442E"/>
    <w:rsid w:val="0083487E"/>
    <w:rsid w:val="008348F7"/>
    <w:rsid w:val="00834D3A"/>
    <w:rsid w:val="00834DC5"/>
    <w:rsid w:val="00834FD1"/>
    <w:rsid w:val="0083500E"/>
    <w:rsid w:val="00835073"/>
    <w:rsid w:val="0083514F"/>
    <w:rsid w:val="0083518B"/>
    <w:rsid w:val="008351F1"/>
    <w:rsid w:val="008354A7"/>
    <w:rsid w:val="008355A9"/>
    <w:rsid w:val="0083584B"/>
    <w:rsid w:val="0083585B"/>
    <w:rsid w:val="0083589A"/>
    <w:rsid w:val="00835A3A"/>
    <w:rsid w:val="00835AE7"/>
    <w:rsid w:val="00835AEE"/>
    <w:rsid w:val="00835B19"/>
    <w:rsid w:val="00835B76"/>
    <w:rsid w:val="00835BBA"/>
    <w:rsid w:val="00835DAC"/>
    <w:rsid w:val="00835E0A"/>
    <w:rsid w:val="00835E29"/>
    <w:rsid w:val="00836090"/>
    <w:rsid w:val="008362F0"/>
    <w:rsid w:val="008363E3"/>
    <w:rsid w:val="008365E4"/>
    <w:rsid w:val="0083663F"/>
    <w:rsid w:val="008367BB"/>
    <w:rsid w:val="008369B1"/>
    <w:rsid w:val="00836A5A"/>
    <w:rsid w:val="00836AF7"/>
    <w:rsid w:val="00836BF0"/>
    <w:rsid w:val="00836C76"/>
    <w:rsid w:val="00836F60"/>
    <w:rsid w:val="008371AB"/>
    <w:rsid w:val="0083721B"/>
    <w:rsid w:val="00837291"/>
    <w:rsid w:val="008372CB"/>
    <w:rsid w:val="0083755C"/>
    <w:rsid w:val="0083774F"/>
    <w:rsid w:val="008378FF"/>
    <w:rsid w:val="00837B8E"/>
    <w:rsid w:val="00837D1F"/>
    <w:rsid w:val="00837DBA"/>
    <w:rsid w:val="00840181"/>
    <w:rsid w:val="008405C3"/>
    <w:rsid w:val="00840A00"/>
    <w:rsid w:val="00840A80"/>
    <w:rsid w:val="00840AAE"/>
    <w:rsid w:val="00840C0D"/>
    <w:rsid w:val="00840C1F"/>
    <w:rsid w:val="00840C9F"/>
    <w:rsid w:val="00840CDD"/>
    <w:rsid w:val="00840CFD"/>
    <w:rsid w:val="00840EF7"/>
    <w:rsid w:val="00840F0F"/>
    <w:rsid w:val="00840F76"/>
    <w:rsid w:val="008412A6"/>
    <w:rsid w:val="008414F3"/>
    <w:rsid w:val="008416E2"/>
    <w:rsid w:val="00841764"/>
    <w:rsid w:val="00841800"/>
    <w:rsid w:val="008419F2"/>
    <w:rsid w:val="00841B2C"/>
    <w:rsid w:val="00841DA4"/>
    <w:rsid w:val="00841E70"/>
    <w:rsid w:val="00841F9C"/>
    <w:rsid w:val="0084210C"/>
    <w:rsid w:val="00842189"/>
    <w:rsid w:val="00842216"/>
    <w:rsid w:val="008425C1"/>
    <w:rsid w:val="00842937"/>
    <w:rsid w:val="00842CB7"/>
    <w:rsid w:val="00842CDD"/>
    <w:rsid w:val="00842DA0"/>
    <w:rsid w:val="00842FC4"/>
    <w:rsid w:val="008430E4"/>
    <w:rsid w:val="0084319B"/>
    <w:rsid w:val="008431EB"/>
    <w:rsid w:val="00843679"/>
    <w:rsid w:val="0084374C"/>
    <w:rsid w:val="00843958"/>
    <w:rsid w:val="00843B9A"/>
    <w:rsid w:val="00843CA1"/>
    <w:rsid w:val="00843CB0"/>
    <w:rsid w:val="00843DC7"/>
    <w:rsid w:val="00843EC3"/>
    <w:rsid w:val="0084415E"/>
    <w:rsid w:val="0084416F"/>
    <w:rsid w:val="0084450C"/>
    <w:rsid w:val="0084483A"/>
    <w:rsid w:val="0084492B"/>
    <w:rsid w:val="00844949"/>
    <w:rsid w:val="00844C5D"/>
    <w:rsid w:val="00844EFD"/>
    <w:rsid w:val="00844FC7"/>
    <w:rsid w:val="0084501D"/>
    <w:rsid w:val="008450F6"/>
    <w:rsid w:val="00845218"/>
    <w:rsid w:val="008452D0"/>
    <w:rsid w:val="0084538E"/>
    <w:rsid w:val="00845468"/>
    <w:rsid w:val="00845529"/>
    <w:rsid w:val="00845878"/>
    <w:rsid w:val="00845A5D"/>
    <w:rsid w:val="00845E22"/>
    <w:rsid w:val="00845E29"/>
    <w:rsid w:val="00845EAB"/>
    <w:rsid w:val="00845ECF"/>
    <w:rsid w:val="00845F86"/>
    <w:rsid w:val="0084601D"/>
    <w:rsid w:val="0084669B"/>
    <w:rsid w:val="008468C1"/>
    <w:rsid w:val="00846A0A"/>
    <w:rsid w:val="00846AFC"/>
    <w:rsid w:val="00846B92"/>
    <w:rsid w:val="00846C5F"/>
    <w:rsid w:val="00846CA9"/>
    <w:rsid w:val="00846D65"/>
    <w:rsid w:val="00846DCA"/>
    <w:rsid w:val="00846E5A"/>
    <w:rsid w:val="00846EDC"/>
    <w:rsid w:val="00846F5E"/>
    <w:rsid w:val="00847132"/>
    <w:rsid w:val="00847159"/>
    <w:rsid w:val="00847388"/>
    <w:rsid w:val="0084796B"/>
    <w:rsid w:val="00847A5B"/>
    <w:rsid w:val="00847AAF"/>
    <w:rsid w:val="00847B32"/>
    <w:rsid w:val="00847C44"/>
    <w:rsid w:val="00847C65"/>
    <w:rsid w:val="00847E44"/>
    <w:rsid w:val="00847F03"/>
    <w:rsid w:val="00847F22"/>
    <w:rsid w:val="00847FDE"/>
    <w:rsid w:val="008501EA"/>
    <w:rsid w:val="00850206"/>
    <w:rsid w:val="008504E7"/>
    <w:rsid w:val="00850551"/>
    <w:rsid w:val="008505BA"/>
    <w:rsid w:val="0085077F"/>
    <w:rsid w:val="0085078D"/>
    <w:rsid w:val="00850969"/>
    <w:rsid w:val="00850ADD"/>
    <w:rsid w:val="00850BFC"/>
    <w:rsid w:val="00850CAF"/>
    <w:rsid w:val="00850D48"/>
    <w:rsid w:val="00850EE7"/>
    <w:rsid w:val="00850F83"/>
    <w:rsid w:val="00851107"/>
    <w:rsid w:val="0085114C"/>
    <w:rsid w:val="00851318"/>
    <w:rsid w:val="008514FE"/>
    <w:rsid w:val="00851671"/>
    <w:rsid w:val="00851768"/>
    <w:rsid w:val="00851790"/>
    <w:rsid w:val="00851823"/>
    <w:rsid w:val="00851873"/>
    <w:rsid w:val="00851C1F"/>
    <w:rsid w:val="00851C7A"/>
    <w:rsid w:val="00851DA5"/>
    <w:rsid w:val="00851DB0"/>
    <w:rsid w:val="00851ED3"/>
    <w:rsid w:val="00851F91"/>
    <w:rsid w:val="00852154"/>
    <w:rsid w:val="008522A8"/>
    <w:rsid w:val="008522DC"/>
    <w:rsid w:val="00852308"/>
    <w:rsid w:val="00852376"/>
    <w:rsid w:val="008523A3"/>
    <w:rsid w:val="0085244B"/>
    <w:rsid w:val="008524B1"/>
    <w:rsid w:val="00852530"/>
    <w:rsid w:val="0085256C"/>
    <w:rsid w:val="008525D1"/>
    <w:rsid w:val="00852A23"/>
    <w:rsid w:val="00852A46"/>
    <w:rsid w:val="00852BC9"/>
    <w:rsid w:val="00853008"/>
    <w:rsid w:val="0085310A"/>
    <w:rsid w:val="0085324E"/>
    <w:rsid w:val="00853325"/>
    <w:rsid w:val="0085341B"/>
    <w:rsid w:val="00853440"/>
    <w:rsid w:val="00853517"/>
    <w:rsid w:val="00853690"/>
    <w:rsid w:val="008536EA"/>
    <w:rsid w:val="008537F5"/>
    <w:rsid w:val="00853868"/>
    <w:rsid w:val="00853B47"/>
    <w:rsid w:val="00853B49"/>
    <w:rsid w:val="00853BC3"/>
    <w:rsid w:val="00853D81"/>
    <w:rsid w:val="00853DC0"/>
    <w:rsid w:val="00853EB3"/>
    <w:rsid w:val="008540B1"/>
    <w:rsid w:val="0085428F"/>
    <w:rsid w:val="00854306"/>
    <w:rsid w:val="00854809"/>
    <w:rsid w:val="00854837"/>
    <w:rsid w:val="00854889"/>
    <w:rsid w:val="00854D9C"/>
    <w:rsid w:val="00854F38"/>
    <w:rsid w:val="00854F5B"/>
    <w:rsid w:val="00855135"/>
    <w:rsid w:val="008551BB"/>
    <w:rsid w:val="008555E5"/>
    <w:rsid w:val="008558AA"/>
    <w:rsid w:val="00855972"/>
    <w:rsid w:val="008559F3"/>
    <w:rsid w:val="00855CFB"/>
    <w:rsid w:val="00855D88"/>
    <w:rsid w:val="00855EAA"/>
    <w:rsid w:val="0085607D"/>
    <w:rsid w:val="008560E6"/>
    <w:rsid w:val="0085637C"/>
    <w:rsid w:val="00856399"/>
    <w:rsid w:val="00856421"/>
    <w:rsid w:val="00856811"/>
    <w:rsid w:val="008568F3"/>
    <w:rsid w:val="00856984"/>
    <w:rsid w:val="00856A00"/>
    <w:rsid w:val="00856A28"/>
    <w:rsid w:val="00856CBD"/>
    <w:rsid w:val="00856CC8"/>
    <w:rsid w:val="00856E32"/>
    <w:rsid w:val="00856F52"/>
    <w:rsid w:val="00857036"/>
    <w:rsid w:val="00857155"/>
    <w:rsid w:val="008579B0"/>
    <w:rsid w:val="00857CE4"/>
    <w:rsid w:val="00857F23"/>
    <w:rsid w:val="00857FC6"/>
    <w:rsid w:val="0086009D"/>
    <w:rsid w:val="008600A4"/>
    <w:rsid w:val="0086038A"/>
    <w:rsid w:val="0086040E"/>
    <w:rsid w:val="00860423"/>
    <w:rsid w:val="008604E9"/>
    <w:rsid w:val="00860860"/>
    <w:rsid w:val="00860997"/>
    <w:rsid w:val="00860AF4"/>
    <w:rsid w:val="00860DE4"/>
    <w:rsid w:val="008613D8"/>
    <w:rsid w:val="008613DC"/>
    <w:rsid w:val="0086164C"/>
    <w:rsid w:val="008618C8"/>
    <w:rsid w:val="00861903"/>
    <w:rsid w:val="00861B56"/>
    <w:rsid w:val="00861B6E"/>
    <w:rsid w:val="00861BC5"/>
    <w:rsid w:val="00861BFE"/>
    <w:rsid w:val="00861DC4"/>
    <w:rsid w:val="00861E18"/>
    <w:rsid w:val="00862014"/>
    <w:rsid w:val="008621BA"/>
    <w:rsid w:val="00862242"/>
    <w:rsid w:val="008625E6"/>
    <w:rsid w:val="008626DC"/>
    <w:rsid w:val="00862718"/>
    <w:rsid w:val="008627E5"/>
    <w:rsid w:val="00862896"/>
    <w:rsid w:val="0086290A"/>
    <w:rsid w:val="00862A9E"/>
    <w:rsid w:val="00862B27"/>
    <w:rsid w:val="00862C3F"/>
    <w:rsid w:val="00862FAC"/>
    <w:rsid w:val="008630DE"/>
    <w:rsid w:val="008630EF"/>
    <w:rsid w:val="0086324F"/>
    <w:rsid w:val="008633D4"/>
    <w:rsid w:val="008633FB"/>
    <w:rsid w:val="0086350F"/>
    <w:rsid w:val="0086368D"/>
    <w:rsid w:val="00863753"/>
    <w:rsid w:val="0086393E"/>
    <w:rsid w:val="00863A54"/>
    <w:rsid w:val="00863C0D"/>
    <w:rsid w:val="00863C65"/>
    <w:rsid w:val="00863CCE"/>
    <w:rsid w:val="00863DBA"/>
    <w:rsid w:val="008640F8"/>
    <w:rsid w:val="008642E6"/>
    <w:rsid w:val="008643AD"/>
    <w:rsid w:val="00864D53"/>
    <w:rsid w:val="00864D58"/>
    <w:rsid w:val="00864F79"/>
    <w:rsid w:val="00864F84"/>
    <w:rsid w:val="0086504B"/>
    <w:rsid w:val="00865309"/>
    <w:rsid w:val="008653BD"/>
    <w:rsid w:val="00865442"/>
    <w:rsid w:val="0086585B"/>
    <w:rsid w:val="00865870"/>
    <w:rsid w:val="00865962"/>
    <w:rsid w:val="008659D0"/>
    <w:rsid w:val="00865D64"/>
    <w:rsid w:val="00865E12"/>
    <w:rsid w:val="00865F3C"/>
    <w:rsid w:val="008660B7"/>
    <w:rsid w:val="0086639A"/>
    <w:rsid w:val="00866467"/>
    <w:rsid w:val="00866562"/>
    <w:rsid w:val="008666A8"/>
    <w:rsid w:val="0086674F"/>
    <w:rsid w:val="00866799"/>
    <w:rsid w:val="008667B4"/>
    <w:rsid w:val="00866877"/>
    <w:rsid w:val="00866A69"/>
    <w:rsid w:val="00866AF0"/>
    <w:rsid w:val="00866BE9"/>
    <w:rsid w:val="00866CEA"/>
    <w:rsid w:val="0086710D"/>
    <w:rsid w:val="00867144"/>
    <w:rsid w:val="008673CE"/>
    <w:rsid w:val="008675A8"/>
    <w:rsid w:val="00867630"/>
    <w:rsid w:val="00867B16"/>
    <w:rsid w:val="00867D29"/>
    <w:rsid w:val="00867D91"/>
    <w:rsid w:val="0087003C"/>
    <w:rsid w:val="008700FB"/>
    <w:rsid w:val="008701BA"/>
    <w:rsid w:val="008702FB"/>
    <w:rsid w:val="00870326"/>
    <w:rsid w:val="00870390"/>
    <w:rsid w:val="00870482"/>
    <w:rsid w:val="008704B5"/>
    <w:rsid w:val="008704DE"/>
    <w:rsid w:val="008704F1"/>
    <w:rsid w:val="00870653"/>
    <w:rsid w:val="008708C6"/>
    <w:rsid w:val="00870AC0"/>
    <w:rsid w:val="00870D9B"/>
    <w:rsid w:val="00870EE1"/>
    <w:rsid w:val="008710E9"/>
    <w:rsid w:val="0087131B"/>
    <w:rsid w:val="008715E3"/>
    <w:rsid w:val="008716F0"/>
    <w:rsid w:val="00871780"/>
    <w:rsid w:val="0087180C"/>
    <w:rsid w:val="008718BC"/>
    <w:rsid w:val="00871914"/>
    <w:rsid w:val="008719C5"/>
    <w:rsid w:val="00871ACE"/>
    <w:rsid w:val="00871C30"/>
    <w:rsid w:val="00871C5F"/>
    <w:rsid w:val="00871C92"/>
    <w:rsid w:val="00871D82"/>
    <w:rsid w:val="00871DEC"/>
    <w:rsid w:val="00871E71"/>
    <w:rsid w:val="00871F90"/>
    <w:rsid w:val="00871FA5"/>
    <w:rsid w:val="008720D3"/>
    <w:rsid w:val="0087210A"/>
    <w:rsid w:val="0087212F"/>
    <w:rsid w:val="0087222E"/>
    <w:rsid w:val="00872240"/>
    <w:rsid w:val="0087230A"/>
    <w:rsid w:val="0087232F"/>
    <w:rsid w:val="00872484"/>
    <w:rsid w:val="0087258C"/>
    <w:rsid w:val="0087261A"/>
    <w:rsid w:val="00872955"/>
    <w:rsid w:val="00872960"/>
    <w:rsid w:val="008729B7"/>
    <w:rsid w:val="00872A85"/>
    <w:rsid w:val="00872BD3"/>
    <w:rsid w:val="00872C68"/>
    <w:rsid w:val="00872D4F"/>
    <w:rsid w:val="00872D90"/>
    <w:rsid w:val="00872E8D"/>
    <w:rsid w:val="00873318"/>
    <w:rsid w:val="00873603"/>
    <w:rsid w:val="0087365B"/>
    <w:rsid w:val="0087370C"/>
    <w:rsid w:val="00873C77"/>
    <w:rsid w:val="00873CFB"/>
    <w:rsid w:val="00873DDF"/>
    <w:rsid w:val="00873E4C"/>
    <w:rsid w:val="00873F56"/>
    <w:rsid w:val="008740AE"/>
    <w:rsid w:val="008740E2"/>
    <w:rsid w:val="008741D3"/>
    <w:rsid w:val="00874217"/>
    <w:rsid w:val="00874279"/>
    <w:rsid w:val="0087428A"/>
    <w:rsid w:val="008742D7"/>
    <w:rsid w:val="008746D5"/>
    <w:rsid w:val="0087472B"/>
    <w:rsid w:val="00874918"/>
    <w:rsid w:val="00874AD1"/>
    <w:rsid w:val="00874CD4"/>
    <w:rsid w:val="00874CFB"/>
    <w:rsid w:val="00875005"/>
    <w:rsid w:val="00875036"/>
    <w:rsid w:val="0087510A"/>
    <w:rsid w:val="00875234"/>
    <w:rsid w:val="008752D2"/>
    <w:rsid w:val="008755C7"/>
    <w:rsid w:val="00875631"/>
    <w:rsid w:val="0087575F"/>
    <w:rsid w:val="0087589B"/>
    <w:rsid w:val="00875979"/>
    <w:rsid w:val="00875C65"/>
    <w:rsid w:val="00875E92"/>
    <w:rsid w:val="00875F97"/>
    <w:rsid w:val="00876120"/>
    <w:rsid w:val="0087621B"/>
    <w:rsid w:val="00876263"/>
    <w:rsid w:val="00876321"/>
    <w:rsid w:val="00876464"/>
    <w:rsid w:val="00876465"/>
    <w:rsid w:val="0087694C"/>
    <w:rsid w:val="00876954"/>
    <w:rsid w:val="00876ABF"/>
    <w:rsid w:val="00876D18"/>
    <w:rsid w:val="00876E34"/>
    <w:rsid w:val="00876E39"/>
    <w:rsid w:val="00876EB0"/>
    <w:rsid w:val="00876F15"/>
    <w:rsid w:val="0087701C"/>
    <w:rsid w:val="00877061"/>
    <w:rsid w:val="008770F4"/>
    <w:rsid w:val="008772C7"/>
    <w:rsid w:val="0087737E"/>
    <w:rsid w:val="008773BC"/>
    <w:rsid w:val="00877552"/>
    <w:rsid w:val="00877775"/>
    <w:rsid w:val="00877836"/>
    <w:rsid w:val="00877888"/>
    <w:rsid w:val="008779CF"/>
    <w:rsid w:val="00877B06"/>
    <w:rsid w:val="00877CD4"/>
    <w:rsid w:val="00877D6F"/>
    <w:rsid w:val="00877DAD"/>
    <w:rsid w:val="00877DD9"/>
    <w:rsid w:val="00877E3D"/>
    <w:rsid w:val="00877EED"/>
    <w:rsid w:val="00877F9A"/>
    <w:rsid w:val="008802C8"/>
    <w:rsid w:val="0088037C"/>
    <w:rsid w:val="008806A3"/>
    <w:rsid w:val="008807DF"/>
    <w:rsid w:val="00880974"/>
    <w:rsid w:val="00880A16"/>
    <w:rsid w:val="00880A38"/>
    <w:rsid w:val="00880B1F"/>
    <w:rsid w:val="00880C50"/>
    <w:rsid w:val="00880CFA"/>
    <w:rsid w:val="00881188"/>
    <w:rsid w:val="00881380"/>
    <w:rsid w:val="008814D6"/>
    <w:rsid w:val="008814F0"/>
    <w:rsid w:val="00881617"/>
    <w:rsid w:val="008818A1"/>
    <w:rsid w:val="00881942"/>
    <w:rsid w:val="00881965"/>
    <w:rsid w:val="00881BAD"/>
    <w:rsid w:val="00881E77"/>
    <w:rsid w:val="00881E96"/>
    <w:rsid w:val="00881F34"/>
    <w:rsid w:val="0088217D"/>
    <w:rsid w:val="008821BE"/>
    <w:rsid w:val="00882203"/>
    <w:rsid w:val="008822B2"/>
    <w:rsid w:val="00882498"/>
    <w:rsid w:val="00882A7C"/>
    <w:rsid w:val="00882B6B"/>
    <w:rsid w:val="00882BF6"/>
    <w:rsid w:val="00882C7A"/>
    <w:rsid w:val="00882CC9"/>
    <w:rsid w:val="00883301"/>
    <w:rsid w:val="00883443"/>
    <w:rsid w:val="008834B5"/>
    <w:rsid w:val="008834B8"/>
    <w:rsid w:val="008835D1"/>
    <w:rsid w:val="00883B79"/>
    <w:rsid w:val="00883C7E"/>
    <w:rsid w:val="00883D21"/>
    <w:rsid w:val="00883E6F"/>
    <w:rsid w:val="00883E73"/>
    <w:rsid w:val="00883E99"/>
    <w:rsid w:val="008841E5"/>
    <w:rsid w:val="00884309"/>
    <w:rsid w:val="00884660"/>
    <w:rsid w:val="00884881"/>
    <w:rsid w:val="00884AD6"/>
    <w:rsid w:val="00884BC2"/>
    <w:rsid w:val="00884CF7"/>
    <w:rsid w:val="00884D43"/>
    <w:rsid w:val="00885052"/>
    <w:rsid w:val="0088506D"/>
    <w:rsid w:val="00885155"/>
    <w:rsid w:val="008854B0"/>
    <w:rsid w:val="008855FC"/>
    <w:rsid w:val="00885893"/>
    <w:rsid w:val="00885928"/>
    <w:rsid w:val="00885A07"/>
    <w:rsid w:val="00885A90"/>
    <w:rsid w:val="00885B5D"/>
    <w:rsid w:val="00885D67"/>
    <w:rsid w:val="00885DA2"/>
    <w:rsid w:val="00885EFB"/>
    <w:rsid w:val="00886124"/>
    <w:rsid w:val="00886250"/>
    <w:rsid w:val="008863D7"/>
    <w:rsid w:val="0088640A"/>
    <w:rsid w:val="008864D0"/>
    <w:rsid w:val="00886569"/>
    <w:rsid w:val="00886615"/>
    <w:rsid w:val="0088663B"/>
    <w:rsid w:val="00886777"/>
    <w:rsid w:val="0088677E"/>
    <w:rsid w:val="00886931"/>
    <w:rsid w:val="008869FA"/>
    <w:rsid w:val="00886A57"/>
    <w:rsid w:val="00886ACE"/>
    <w:rsid w:val="00886AF6"/>
    <w:rsid w:val="00886C5E"/>
    <w:rsid w:val="00886C91"/>
    <w:rsid w:val="00886CC0"/>
    <w:rsid w:val="00886D8D"/>
    <w:rsid w:val="00886D95"/>
    <w:rsid w:val="00886F95"/>
    <w:rsid w:val="00886FBD"/>
    <w:rsid w:val="00887046"/>
    <w:rsid w:val="00887AB1"/>
    <w:rsid w:val="00887B61"/>
    <w:rsid w:val="00887C96"/>
    <w:rsid w:val="00887EF1"/>
    <w:rsid w:val="0089026D"/>
    <w:rsid w:val="0089028F"/>
    <w:rsid w:val="008903B5"/>
    <w:rsid w:val="0089043D"/>
    <w:rsid w:val="00890559"/>
    <w:rsid w:val="008907A2"/>
    <w:rsid w:val="008907A7"/>
    <w:rsid w:val="008907CA"/>
    <w:rsid w:val="00890932"/>
    <w:rsid w:val="0089095A"/>
    <w:rsid w:val="0089095D"/>
    <w:rsid w:val="00890994"/>
    <w:rsid w:val="00890995"/>
    <w:rsid w:val="008909E2"/>
    <w:rsid w:val="00890A64"/>
    <w:rsid w:val="00890B48"/>
    <w:rsid w:val="00890CF0"/>
    <w:rsid w:val="00890CF3"/>
    <w:rsid w:val="00890D8E"/>
    <w:rsid w:val="00890F6A"/>
    <w:rsid w:val="0089114B"/>
    <w:rsid w:val="008912BD"/>
    <w:rsid w:val="008912DD"/>
    <w:rsid w:val="008913BA"/>
    <w:rsid w:val="008915FF"/>
    <w:rsid w:val="0089169B"/>
    <w:rsid w:val="0089174E"/>
    <w:rsid w:val="00891768"/>
    <w:rsid w:val="008917E2"/>
    <w:rsid w:val="00891826"/>
    <w:rsid w:val="0089192A"/>
    <w:rsid w:val="00891ABE"/>
    <w:rsid w:val="00891B80"/>
    <w:rsid w:val="00891BBA"/>
    <w:rsid w:val="00891D87"/>
    <w:rsid w:val="00891E0F"/>
    <w:rsid w:val="0089203B"/>
    <w:rsid w:val="0089203F"/>
    <w:rsid w:val="0089214F"/>
    <w:rsid w:val="0089218E"/>
    <w:rsid w:val="008921FD"/>
    <w:rsid w:val="00892274"/>
    <w:rsid w:val="008922C3"/>
    <w:rsid w:val="00892312"/>
    <w:rsid w:val="0089231F"/>
    <w:rsid w:val="008925EC"/>
    <w:rsid w:val="0089268C"/>
    <w:rsid w:val="008928C2"/>
    <w:rsid w:val="00892A77"/>
    <w:rsid w:val="00892B46"/>
    <w:rsid w:val="00892C4F"/>
    <w:rsid w:val="00892D08"/>
    <w:rsid w:val="00892D65"/>
    <w:rsid w:val="00892E51"/>
    <w:rsid w:val="0089304A"/>
    <w:rsid w:val="0089316B"/>
    <w:rsid w:val="0089378A"/>
    <w:rsid w:val="008938D8"/>
    <w:rsid w:val="008938EE"/>
    <w:rsid w:val="0089391D"/>
    <w:rsid w:val="00893C4B"/>
    <w:rsid w:val="00893DB7"/>
    <w:rsid w:val="00893E31"/>
    <w:rsid w:val="00893F18"/>
    <w:rsid w:val="00893F66"/>
    <w:rsid w:val="00893F89"/>
    <w:rsid w:val="008940F1"/>
    <w:rsid w:val="00894220"/>
    <w:rsid w:val="00894235"/>
    <w:rsid w:val="008943A8"/>
    <w:rsid w:val="008944EA"/>
    <w:rsid w:val="00894551"/>
    <w:rsid w:val="008947B1"/>
    <w:rsid w:val="00894908"/>
    <w:rsid w:val="00894CF9"/>
    <w:rsid w:val="00894DCF"/>
    <w:rsid w:val="00894E90"/>
    <w:rsid w:val="00894F04"/>
    <w:rsid w:val="0089515E"/>
    <w:rsid w:val="00895173"/>
    <w:rsid w:val="00895327"/>
    <w:rsid w:val="008953C0"/>
    <w:rsid w:val="008953E4"/>
    <w:rsid w:val="0089555D"/>
    <w:rsid w:val="00895769"/>
    <w:rsid w:val="008959A7"/>
    <w:rsid w:val="00895E5C"/>
    <w:rsid w:val="00895EC9"/>
    <w:rsid w:val="00895F3C"/>
    <w:rsid w:val="00895F60"/>
    <w:rsid w:val="00896136"/>
    <w:rsid w:val="008963BE"/>
    <w:rsid w:val="0089667D"/>
    <w:rsid w:val="00896B0A"/>
    <w:rsid w:val="00896C03"/>
    <w:rsid w:val="00896EB6"/>
    <w:rsid w:val="00896FE6"/>
    <w:rsid w:val="00896FEF"/>
    <w:rsid w:val="008970B5"/>
    <w:rsid w:val="0089717F"/>
    <w:rsid w:val="00897231"/>
    <w:rsid w:val="00897579"/>
    <w:rsid w:val="00897583"/>
    <w:rsid w:val="0089758D"/>
    <w:rsid w:val="008976F9"/>
    <w:rsid w:val="00897970"/>
    <w:rsid w:val="008979E3"/>
    <w:rsid w:val="00897AF5"/>
    <w:rsid w:val="00897B60"/>
    <w:rsid w:val="00897C44"/>
    <w:rsid w:val="00897C5A"/>
    <w:rsid w:val="00897D03"/>
    <w:rsid w:val="00897E75"/>
    <w:rsid w:val="00897EDF"/>
    <w:rsid w:val="008A005A"/>
    <w:rsid w:val="008A00DD"/>
    <w:rsid w:val="008A0190"/>
    <w:rsid w:val="008A0359"/>
    <w:rsid w:val="008A0584"/>
    <w:rsid w:val="008A0633"/>
    <w:rsid w:val="008A0740"/>
    <w:rsid w:val="008A07DC"/>
    <w:rsid w:val="008A0A98"/>
    <w:rsid w:val="008A0A9E"/>
    <w:rsid w:val="008A0B0A"/>
    <w:rsid w:val="008A0BB6"/>
    <w:rsid w:val="008A0C6F"/>
    <w:rsid w:val="008A0E5F"/>
    <w:rsid w:val="008A0EB8"/>
    <w:rsid w:val="008A0F86"/>
    <w:rsid w:val="008A0F9A"/>
    <w:rsid w:val="008A10C6"/>
    <w:rsid w:val="008A112D"/>
    <w:rsid w:val="008A116B"/>
    <w:rsid w:val="008A11B7"/>
    <w:rsid w:val="008A11E4"/>
    <w:rsid w:val="008A1213"/>
    <w:rsid w:val="008A1293"/>
    <w:rsid w:val="008A12E3"/>
    <w:rsid w:val="008A12F2"/>
    <w:rsid w:val="008A1371"/>
    <w:rsid w:val="008A1521"/>
    <w:rsid w:val="008A17D0"/>
    <w:rsid w:val="008A1972"/>
    <w:rsid w:val="008A1A9F"/>
    <w:rsid w:val="008A1BDD"/>
    <w:rsid w:val="008A1D47"/>
    <w:rsid w:val="008A1DA2"/>
    <w:rsid w:val="008A1F96"/>
    <w:rsid w:val="008A208E"/>
    <w:rsid w:val="008A220F"/>
    <w:rsid w:val="008A248E"/>
    <w:rsid w:val="008A24CE"/>
    <w:rsid w:val="008A24F9"/>
    <w:rsid w:val="008A266A"/>
    <w:rsid w:val="008A2679"/>
    <w:rsid w:val="008A2789"/>
    <w:rsid w:val="008A29CA"/>
    <w:rsid w:val="008A3420"/>
    <w:rsid w:val="008A3486"/>
    <w:rsid w:val="008A34B6"/>
    <w:rsid w:val="008A35F7"/>
    <w:rsid w:val="008A38B8"/>
    <w:rsid w:val="008A3BB9"/>
    <w:rsid w:val="008A3E44"/>
    <w:rsid w:val="008A3EEB"/>
    <w:rsid w:val="008A3FD5"/>
    <w:rsid w:val="008A428A"/>
    <w:rsid w:val="008A4325"/>
    <w:rsid w:val="008A447A"/>
    <w:rsid w:val="008A447F"/>
    <w:rsid w:val="008A45AD"/>
    <w:rsid w:val="008A4622"/>
    <w:rsid w:val="008A46B1"/>
    <w:rsid w:val="008A474C"/>
    <w:rsid w:val="008A495C"/>
    <w:rsid w:val="008A49AC"/>
    <w:rsid w:val="008A49BF"/>
    <w:rsid w:val="008A49D6"/>
    <w:rsid w:val="008A4AA7"/>
    <w:rsid w:val="008A4D1E"/>
    <w:rsid w:val="008A4F0E"/>
    <w:rsid w:val="008A4FA1"/>
    <w:rsid w:val="008A4FE5"/>
    <w:rsid w:val="008A4FF1"/>
    <w:rsid w:val="008A5001"/>
    <w:rsid w:val="008A518B"/>
    <w:rsid w:val="008A52C5"/>
    <w:rsid w:val="008A54A7"/>
    <w:rsid w:val="008A564C"/>
    <w:rsid w:val="008A56EA"/>
    <w:rsid w:val="008A58EB"/>
    <w:rsid w:val="008A590C"/>
    <w:rsid w:val="008A5A88"/>
    <w:rsid w:val="008A5BB1"/>
    <w:rsid w:val="008A5C3F"/>
    <w:rsid w:val="008A5C54"/>
    <w:rsid w:val="008A5C91"/>
    <w:rsid w:val="008A5D64"/>
    <w:rsid w:val="008A6051"/>
    <w:rsid w:val="008A6227"/>
    <w:rsid w:val="008A6265"/>
    <w:rsid w:val="008A63FB"/>
    <w:rsid w:val="008A64B4"/>
    <w:rsid w:val="008A6528"/>
    <w:rsid w:val="008A68B0"/>
    <w:rsid w:val="008A6CF2"/>
    <w:rsid w:val="008A6DDA"/>
    <w:rsid w:val="008A6E96"/>
    <w:rsid w:val="008A6F01"/>
    <w:rsid w:val="008A70AC"/>
    <w:rsid w:val="008A70F5"/>
    <w:rsid w:val="008A716C"/>
    <w:rsid w:val="008A7191"/>
    <w:rsid w:val="008A7281"/>
    <w:rsid w:val="008A72F3"/>
    <w:rsid w:val="008A754B"/>
    <w:rsid w:val="008A75CE"/>
    <w:rsid w:val="008A7A8B"/>
    <w:rsid w:val="008A7B05"/>
    <w:rsid w:val="008A7FB7"/>
    <w:rsid w:val="008B0226"/>
    <w:rsid w:val="008B02A3"/>
    <w:rsid w:val="008B031C"/>
    <w:rsid w:val="008B0354"/>
    <w:rsid w:val="008B045F"/>
    <w:rsid w:val="008B0820"/>
    <w:rsid w:val="008B0958"/>
    <w:rsid w:val="008B09FB"/>
    <w:rsid w:val="008B0A12"/>
    <w:rsid w:val="008B0A6C"/>
    <w:rsid w:val="008B0A78"/>
    <w:rsid w:val="008B0ABB"/>
    <w:rsid w:val="008B0C7E"/>
    <w:rsid w:val="008B0D02"/>
    <w:rsid w:val="008B1096"/>
    <w:rsid w:val="008B11D9"/>
    <w:rsid w:val="008B121C"/>
    <w:rsid w:val="008B133E"/>
    <w:rsid w:val="008B1544"/>
    <w:rsid w:val="008B1605"/>
    <w:rsid w:val="008B1669"/>
    <w:rsid w:val="008B185C"/>
    <w:rsid w:val="008B1A93"/>
    <w:rsid w:val="008B1C0F"/>
    <w:rsid w:val="008B1C18"/>
    <w:rsid w:val="008B1F1B"/>
    <w:rsid w:val="008B1F75"/>
    <w:rsid w:val="008B2092"/>
    <w:rsid w:val="008B20DC"/>
    <w:rsid w:val="008B2580"/>
    <w:rsid w:val="008B2593"/>
    <w:rsid w:val="008B25B6"/>
    <w:rsid w:val="008B2704"/>
    <w:rsid w:val="008B271F"/>
    <w:rsid w:val="008B2726"/>
    <w:rsid w:val="008B2C65"/>
    <w:rsid w:val="008B2DEA"/>
    <w:rsid w:val="008B2EB3"/>
    <w:rsid w:val="008B2EF2"/>
    <w:rsid w:val="008B2F9C"/>
    <w:rsid w:val="008B319B"/>
    <w:rsid w:val="008B31AC"/>
    <w:rsid w:val="008B31AE"/>
    <w:rsid w:val="008B343F"/>
    <w:rsid w:val="008B35C7"/>
    <w:rsid w:val="008B35F9"/>
    <w:rsid w:val="008B37F4"/>
    <w:rsid w:val="008B3848"/>
    <w:rsid w:val="008B39AD"/>
    <w:rsid w:val="008B3A2E"/>
    <w:rsid w:val="008B3CA1"/>
    <w:rsid w:val="008B3D09"/>
    <w:rsid w:val="008B3D66"/>
    <w:rsid w:val="008B3F20"/>
    <w:rsid w:val="008B3F46"/>
    <w:rsid w:val="008B4028"/>
    <w:rsid w:val="008B40E7"/>
    <w:rsid w:val="008B4328"/>
    <w:rsid w:val="008B43E1"/>
    <w:rsid w:val="008B43EE"/>
    <w:rsid w:val="008B451C"/>
    <w:rsid w:val="008B473F"/>
    <w:rsid w:val="008B479E"/>
    <w:rsid w:val="008B4878"/>
    <w:rsid w:val="008B48D7"/>
    <w:rsid w:val="008B4C7D"/>
    <w:rsid w:val="008B4DA9"/>
    <w:rsid w:val="008B5140"/>
    <w:rsid w:val="008B5164"/>
    <w:rsid w:val="008B5182"/>
    <w:rsid w:val="008B51F8"/>
    <w:rsid w:val="008B52F0"/>
    <w:rsid w:val="008B5429"/>
    <w:rsid w:val="008B55E6"/>
    <w:rsid w:val="008B5663"/>
    <w:rsid w:val="008B574A"/>
    <w:rsid w:val="008B59C8"/>
    <w:rsid w:val="008B5BC9"/>
    <w:rsid w:val="008B5E00"/>
    <w:rsid w:val="008B5FF1"/>
    <w:rsid w:val="008B6062"/>
    <w:rsid w:val="008B610F"/>
    <w:rsid w:val="008B64BA"/>
    <w:rsid w:val="008B6513"/>
    <w:rsid w:val="008B67CF"/>
    <w:rsid w:val="008B6800"/>
    <w:rsid w:val="008B6A0D"/>
    <w:rsid w:val="008B6EF6"/>
    <w:rsid w:val="008B7314"/>
    <w:rsid w:val="008B7684"/>
    <w:rsid w:val="008B770F"/>
    <w:rsid w:val="008B771B"/>
    <w:rsid w:val="008B77A8"/>
    <w:rsid w:val="008B7833"/>
    <w:rsid w:val="008B78FA"/>
    <w:rsid w:val="008B7927"/>
    <w:rsid w:val="008B792B"/>
    <w:rsid w:val="008B793B"/>
    <w:rsid w:val="008B79EF"/>
    <w:rsid w:val="008B7AB4"/>
    <w:rsid w:val="008B7B72"/>
    <w:rsid w:val="008B7BF9"/>
    <w:rsid w:val="008B7E08"/>
    <w:rsid w:val="008B7EC7"/>
    <w:rsid w:val="008B7EFF"/>
    <w:rsid w:val="008B7F43"/>
    <w:rsid w:val="008B7FED"/>
    <w:rsid w:val="008C0112"/>
    <w:rsid w:val="008C018E"/>
    <w:rsid w:val="008C0354"/>
    <w:rsid w:val="008C03B0"/>
    <w:rsid w:val="008C049E"/>
    <w:rsid w:val="008C0524"/>
    <w:rsid w:val="008C056C"/>
    <w:rsid w:val="008C05DF"/>
    <w:rsid w:val="008C070F"/>
    <w:rsid w:val="008C0838"/>
    <w:rsid w:val="008C08B7"/>
    <w:rsid w:val="008C0B04"/>
    <w:rsid w:val="008C0B46"/>
    <w:rsid w:val="008C0B4F"/>
    <w:rsid w:val="008C0CFC"/>
    <w:rsid w:val="008C0E89"/>
    <w:rsid w:val="008C0FFE"/>
    <w:rsid w:val="008C1002"/>
    <w:rsid w:val="008C10D1"/>
    <w:rsid w:val="008C1164"/>
    <w:rsid w:val="008C11CB"/>
    <w:rsid w:val="008C13A6"/>
    <w:rsid w:val="008C14A1"/>
    <w:rsid w:val="008C1802"/>
    <w:rsid w:val="008C1809"/>
    <w:rsid w:val="008C1A89"/>
    <w:rsid w:val="008C1AD9"/>
    <w:rsid w:val="008C1C81"/>
    <w:rsid w:val="008C1E13"/>
    <w:rsid w:val="008C1E6A"/>
    <w:rsid w:val="008C1EFF"/>
    <w:rsid w:val="008C1F01"/>
    <w:rsid w:val="008C2029"/>
    <w:rsid w:val="008C2259"/>
    <w:rsid w:val="008C227C"/>
    <w:rsid w:val="008C23EA"/>
    <w:rsid w:val="008C24A6"/>
    <w:rsid w:val="008C254A"/>
    <w:rsid w:val="008C2589"/>
    <w:rsid w:val="008C2592"/>
    <w:rsid w:val="008C2645"/>
    <w:rsid w:val="008C2720"/>
    <w:rsid w:val="008C272B"/>
    <w:rsid w:val="008C27F0"/>
    <w:rsid w:val="008C28BF"/>
    <w:rsid w:val="008C2ACC"/>
    <w:rsid w:val="008C2B73"/>
    <w:rsid w:val="008C2EE1"/>
    <w:rsid w:val="008C2FB5"/>
    <w:rsid w:val="008C3078"/>
    <w:rsid w:val="008C3185"/>
    <w:rsid w:val="008C3238"/>
    <w:rsid w:val="008C3277"/>
    <w:rsid w:val="008C32E3"/>
    <w:rsid w:val="008C32F1"/>
    <w:rsid w:val="008C3396"/>
    <w:rsid w:val="008C36D3"/>
    <w:rsid w:val="008C37A3"/>
    <w:rsid w:val="008C3A4A"/>
    <w:rsid w:val="008C3B56"/>
    <w:rsid w:val="008C3D94"/>
    <w:rsid w:val="008C3DA3"/>
    <w:rsid w:val="008C3E62"/>
    <w:rsid w:val="008C403A"/>
    <w:rsid w:val="008C415F"/>
    <w:rsid w:val="008C41FE"/>
    <w:rsid w:val="008C4265"/>
    <w:rsid w:val="008C42C2"/>
    <w:rsid w:val="008C44D7"/>
    <w:rsid w:val="008C4598"/>
    <w:rsid w:val="008C466C"/>
    <w:rsid w:val="008C46CE"/>
    <w:rsid w:val="008C4792"/>
    <w:rsid w:val="008C47D6"/>
    <w:rsid w:val="008C4946"/>
    <w:rsid w:val="008C4BAB"/>
    <w:rsid w:val="008C4BB7"/>
    <w:rsid w:val="008C4C08"/>
    <w:rsid w:val="008C4C2A"/>
    <w:rsid w:val="008C4E6E"/>
    <w:rsid w:val="008C4F7A"/>
    <w:rsid w:val="008C507B"/>
    <w:rsid w:val="008C50C2"/>
    <w:rsid w:val="008C52EF"/>
    <w:rsid w:val="008C53C9"/>
    <w:rsid w:val="008C5476"/>
    <w:rsid w:val="008C55F2"/>
    <w:rsid w:val="008C58A1"/>
    <w:rsid w:val="008C5937"/>
    <w:rsid w:val="008C5BF6"/>
    <w:rsid w:val="008C5D20"/>
    <w:rsid w:val="008C5D25"/>
    <w:rsid w:val="008C5D4E"/>
    <w:rsid w:val="008C5DAC"/>
    <w:rsid w:val="008C5FF7"/>
    <w:rsid w:val="008C618B"/>
    <w:rsid w:val="008C63A3"/>
    <w:rsid w:val="008C63E2"/>
    <w:rsid w:val="008C6447"/>
    <w:rsid w:val="008C64A3"/>
    <w:rsid w:val="008C66A8"/>
    <w:rsid w:val="008C6724"/>
    <w:rsid w:val="008C67AF"/>
    <w:rsid w:val="008C67B1"/>
    <w:rsid w:val="008C685B"/>
    <w:rsid w:val="008C692F"/>
    <w:rsid w:val="008C6AD8"/>
    <w:rsid w:val="008C6C2C"/>
    <w:rsid w:val="008C6CCF"/>
    <w:rsid w:val="008C700F"/>
    <w:rsid w:val="008C70C3"/>
    <w:rsid w:val="008C70F4"/>
    <w:rsid w:val="008C7215"/>
    <w:rsid w:val="008C747C"/>
    <w:rsid w:val="008C7541"/>
    <w:rsid w:val="008C767E"/>
    <w:rsid w:val="008C76B1"/>
    <w:rsid w:val="008C7815"/>
    <w:rsid w:val="008C78FB"/>
    <w:rsid w:val="008C791E"/>
    <w:rsid w:val="008C794B"/>
    <w:rsid w:val="008C7967"/>
    <w:rsid w:val="008C7BF7"/>
    <w:rsid w:val="008C7D32"/>
    <w:rsid w:val="008C7D88"/>
    <w:rsid w:val="008C7E4B"/>
    <w:rsid w:val="008D00EF"/>
    <w:rsid w:val="008D0100"/>
    <w:rsid w:val="008D0122"/>
    <w:rsid w:val="008D0201"/>
    <w:rsid w:val="008D044C"/>
    <w:rsid w:val="008D049D"/>
    <w:rsid w:val="008D0684"/>
    <w:rsid w:val="008D0760"/>
    <w:rsid w:val="008D09BC"/>
    <w:rsid w:val="008D0AE4"/>
    <w:rsid w:val="008D0C38"/>
    <w:rsid w:val="008D0C43"/>
    <w:rsid w:val="008D0DEB"/>
    <w:rsid w:val="008D0DFD"/>
    <w:rsid w:val="008D104E"/>
    <w:rsid w:val="008D12BB"/>
    <w:rsid w:val="008D1415"/>
    <w:rsid w:val="008D14C2"/>
    <w:rsid w:val="008D17B0"/>
    <w:rsid w:val="008D1841"/>
    <w:rsid w:val="008D1914"/>
    <w:rsid w:val="008D1A34"/>
    <w:rsid w:val="008D1C3E"/>
    <w:rsid w:val="008D1CBC"/>
    <w:rsid w:val="008D1CFD"/>
    <w:rsid w:val="008D1EE0"/>
    <w:rsid w:val="008D1F16"/>
    <w:rsid w:val="008D1F97"/>
    <w:rsid w:val="008D1FAF"/>
    <w:rsid w:val="008D1FCB"/>
    <w:rsid w:val="008D212D"/>
    <w:rsid w:val="008D222D"/>
    <w:rsid w:val="008D2279"/>
    <w:rsid w:val="008D231A"/>
    <w:rsid w:val="008D290D"/>
    <w:rsid w:val="008D2949"/>
    <w:rsid w:val="008D2A37"/>
    <w:rsid w:val="008D2DC7"/>
    <w:rsid w:val="008D3090"/>
    <w:rsid w:val="008D30AE"/>
    <w:rsid w:val="008D30F1"/>
    <w:rsid w:val="008D3112"/>
    <w:rsid w:val="008D31EE"/>
    <w:rsid w:val="008D32E8"/>
    <w:rsid w:val="008D337A"/>
    <w:rsid w:val="008D34FF"/>
    <w:rsid w:val="008D3530"/>
    <w:rsid w:val="008D35D0"/>
    <w:rsid w:val="008D36A4"/>
    <w:rsid w:val="008D38CC"/>
    <w:rsid w:val="008D38D8"/>
    <w:rsid w:val="008D3B88"/>
    <w:rsid w:val="008D3CC1"/>
    <w:rsid w:val="008D3D0E"/>
    <w:rsid w:val="008D3E65"/>
    <w:rsid w:val="008D3FFD"/>
    <w:rsid w:val="008D402B"/>
    <w:rsid w:val="008D4139"/>
    <w:rsid w:val="008D419D"/>
    <w:rsid w:val="008D44CA"/>
    <w:rsid w:val="008D467B"/>
    <w:rsid w:val="008D479D"/>
    <w:rsid w:val="008D47C0"/>
    <w:rsid w:val="008D49D5"/>
    <w:rsid w:val="008D49EF"/>
    <w:rsid w:val="008D4B10"/>
    <w:rsid w:val="008D4BBE"/>
    <w:rsid w:val="008D4DE8"/>
    <w:rsid w:val="008D4FDC"/>
    <w:rsid w:val="008D50F3"/>
    <w:rsid w:val="008D510C"/>
    <w:rsid w:val="008D51C0"/>
    <w:rsid w:val="008D53EA"/>
    <w:rsid w:val="008D54E6"/>
    <w:rsid w:val="008D5690"/>
    <w:rsid w:val="008D57FD"/>
    <w:rsid w:val="008D591D"/>
    <w:rsid w:val="008D5BE4"/>
    <w:rsid w:val="008D5D00"/>
    <w:rsid w:val="008D613A"/>
    <w:rsid w:val="008D62B6"/>
    <w:rsid w:val="008D6383"/>
    <w:rsid w:val="008D646E"/>
    <w:rsid w:val="008D64B8"/>
    <w:rsid w:val="008D650D"/>
    <w:rsid w:val="008D651F"/>
    <w:rsid w:val="008D65DE"/>
    <w:rsid w:val="008D6699"/>
    <w:rsid w:val="008D681C"/>
    <w:rsid w:val="008D6AA2"/>
    <w:rsid w:val="008D6C84"/>
    <w:rsid w:val="008D6D35"/>
    <w:rsid w:val="008D6DEF"/>
    <w:rsid w:val="008D6E4B"/>
    <w:rsid w:val="008D6E6E"/>
    <w:rsid w:val="008D7251"/>
    <w:rsid w:val="008D73A2"/>
    <w:rsid w:val="008D73E9"/>
    <w:rsid w:val="008D78D0"/>
    <w:rsid w:val="008D7987"/>
    <w:rsid w:val="008D7A28"/>
    <w:rsid w:val="008D7C7D"/>
    <w:rsid w:val="008D7C8F"/>
    <w:rsid w:val="008D7D7B"/>
    <w:rsid w:val="008D7EB4"/>
    <w:rsid w:val="008D7FE7"/>
    <w:rsid w:val="008D7FEB"/>
    <w:rsid w:val="008E01BB"/>
    <w:rsid w:val="008E020A"/>
    <w:rsid w:val="008E03AE"/>
    <w:rsid w:val="008E04C4"/>
    <w:rsid w:val="008E0985"/>
    <w:rsid w:val="008E0B47"/>
    <w:rsid w:val="008E0BC4"/>
    <w:rsid w:val="008E0C7E"/>
    <w:rsid w:val="008E0D68"/>
    <w:rsid w:val="008E0DA7"/>
    <w:rsid w:val="008E0F5D"/>
    <w:rsid w:val="008E112E"/>
    <w:rsid w:val="008E12BB"/>
    <w:rsid w:val="008E1308"/>
    <w:rsid w:val="008E148A"/>
    <w:rsid w:val="008E15DC"/>
    <w:rsid w:val="008E16A0"/>
    <w:rsid w:val="008E18D7"/>
    <w:rsid w:val="008E19A2"/>
    <w:rsid w:val="008E1AF3"/>
    <w:rsid w:val="008E1D34"/>
    <w:rsid w:val="008E1D3E"/>
    <w:rsid w:val="008E1EF7"/>
    <w:rsid w:val="008E1F04"/>
    <w:rsid w:val="008E1F79"/>
    <w:rsid w:val="008E1FFA"/>
    <w:rsid w:val="008E2364"/>
    <w:rsid w:val="008E2366"/>
    <w:rsid w:val="008E24B4"/>
    <w:rsid w:val="008E27E3"/>
    <w:rsid w:val="008E2CBA"/>
    <w:rsid w:val="008E2E0A"/>
    <w:rsid w:val="008E2E9C"/>
    <w:rsid w:val="008E2F15"/>
    <w:rsid w:val="008E3007"/>
    <w:rsid w:val="008E3080"/>
    <w:rsid w:val="008E30E8"/>
    <w:rsid w:val="008E3382"/>
    <w:rsid w:val="008E343C"/>
    <w:rsid w:val="008E3574"/>
    <w:rsid w:val="008E35EE"/>
    <w:rsid w:val="008E37C8"/>
    <w:rsid w:val="008E3919"/>
    <w:rsid w:val="008E3A9C"/>
    <w:rsid w:val="008E3B06"/>
    <w:rsid w:val="008E3BD2"/>
    <w:rsid w:val="008E415C"/>
    <w:rsid w:val="008E428D"/>
    <w:rsid w:val="008E4309"/>
    <w:rsid w:val="008E4377"/>
    <w:rsid w:val="008E43AA"/>
    <w:rsid w:val="008E4482"/>
    <w:rsid w:val="008E44A8"/>
    <w:rsid w:val="008E4838"/>
    <w:rsid w:val="008E4BC2"/>
    <w:rsid w:val="008E4CD2"/>
    <w:rsid w:val="008E4E7E"/>
    <w:rsid w:val="008E5190"/>
    <w:rsid w:val="008E527D"/>
    <w:rsid w:val="008E5664"/>
    <w:rsid w:val="008E57FD"/>
    <w:rsid w:val="008E58C1"/>
    <w:rsid w:val="008E5A6D"/>
    <w:rsid w:val="008E5D45"/>
    <w:rsid w:val="008E5E96"/>
    <w:rsid w:val="008E5F40"/>
    <w:rsid w:val="008E6051"/>
    <w:rsid w:val="008E612E"/>
    <w:rsid w:val="008E62A8"/>
    <w:rsid w:val="008E62D2"/>
    <w:rsid w:val="008E6504"/>
    <w:rsid w:val="008E6539"/>
    <w:rsid w:val="008E6566"/>
    <w:rsid w:val="008E66DC"/>
    <w:rsid w:val="008E6AEF"/>
    <w:rsid w:val="008E6CE2"/>
    <w:rsid w:val="008E6DD8"/>
    <w:rsid w:val="008E70D9"/>
    <w:rsid w:val="008E72C8"/>
    <w:rsid w:val="008E72FE"/>
    <w:rsid w:val="008E74B8"/>
    <w:rsid w:val="008E77B1"/>
    <w:rsid w:val="008E77BB"/>
    <w:rsid w:val="008E7B59"/>
    <w:rsid w:val="008E7E8A"/>
    <w:rsid w:val="008E7F76"/>
    <w:rsid w:val="008E7FB8"/>
    <w:rsid w:val="008F046C"/>
    <w:rsid w:val="008F067D"/>
    <w:rsid w:val="008F088F"/>
    <w:rsid w:val="008F0A3D"/>
    <w:rsid w:val="008F0A4A"/>
    <w:rsid w:val="008F0BBF"/>
    <w:rsid w:val="008F0E23"/>
    <w:rsid w:val="008F125F"/>
    <w:rsid w:val="008F1362"/>
    <w:rsid w:val="008F143D"/>
    <w:rsid w:val="008F16D6"/>
    <w:rsid w:val="008F1AAF"/>
    <w:rsid w:val="008F1CD8"/>
    <w:rsid w:val="008F1D7D"/>
    <w:rsid w:val="008F1E33"/>
    <w:rsid w:val="008F2458"/>
    <w:rsid w:val="008F2482"/>
    <w:rsid w:val="008F2780"/>
    <w:rsid w:val="008F2922"/>
    <w:rsid w:val="008F29DF"/>
    <w:rsid w:val="008F2A86"/>
    <w:rsid w:val="008F2B33"/>
    <w:rsid w:val="008F2CF9"/>
    <w:rsid w:val="008F2DDE"/>
    <w:rsid w:val="008F3076"/>
    <w:rsid w:val="008F326A"/>
    <w:rsid w:val="008F32DF"/>
    <w:rsid w:val="008F333E"/>
    <w:rsid w:val="008F33A3"/>
    <w:rsid w:val="008F3450"/>
    <w:rsid w:val="008F3743"/>
    <w:rsid w:val="008F3758"/>
    <w:rsid w:val="008F37BD"/>
    <w:rsid w:val="008F3916"/>
    <w:rsid w:val="008F3924"/>
    <w:rsid w:val="008F3A57"/>
    <w:rsid w:val="008F3B46"/>
    <w:rsid w:val="008F3D37"/>
    <w:rsid w:val="008F3E8D"/>
    <w:rsid w:val="008F3F40"/>
    <w:rsid w:val="008F4137"/>
    <w:rsid w:val="008F416F"/>
    <w:rsid w:val="008F4905"/>
    <w:rsid w:val="008F4916"/>
    <w:rsid w:val="008F4B7A"/>
    <w:rsid w:val="008F4BD9"/>
    <w:rsid w:val="008F4C73"/>
    <w:rsid w:val="008F4D20"/>
    <w:rsid w:val="008F4D92"/>
    <w:rsid w:val="008F4E3E"/>
    <w:rsid w:val="008F4E4A"/>
    <w:rsid w:val="008F4E89"/>
    <w:rsid w:val="008F4EF1"/>
    <w:rsid w:val="008F50B3"/>
    <w:rsid w:val="008F514D"/>
    <w:rsid w:val="008F5167"/>
    <w:rsid w:val="008F56DF"/>
    <w:rsid w:val="008F57A8"/>
    <w:rsid w:val="008F599F"/>
    <w:rsid w:val="008F5A71"/>
    <w:rsid w:val="008F5AFF"/>
    <w:rsid w:val="008F5B25"/>
    <w:rsid w:val="008F5BD1"/>
    <w:rsid w:val="008F5C00"/>
    <w:rsid w:val="008F5C58"/>
    <w:rsid w:val="008F5C5F"/>
    <w:rsid w:val="008F5D0D"/>
    <w:rsid w:val="008F5D78"/>
    <w:rsid w:val="008F5EA4"/>
    <w:rsid w:val="008F5F21"/>
    <w:rsid w:val="008F5FA9"/>
    <w:rsid w:val="008F61FA"/>
    <w:rsid w:val="008F6399"/>
    <w:rsid w:val="008F64D8"/>
    <w:rsid w:val="008F6562"/>
    <w:rsid w:val="008F66DD"/>
    <w:rsid w:val="008F6C7E"/>
    <w:rsid w:val="008F6CC3"/>
    <w:rsid w:val="008F6D3B"/>
    <w:rsid w:val="008F6FC9"/>
    <w:rsid w:val="008F70AA"/>
    <w:rsid w:val="008F721A"/>
    <w:rsid w:val="008F754D"/>
    <w:rsid w:val="008F76CC"/>
    <w:rsid w:val="008F7855"/>
    <w:rsid w:val="008F7901"/>
    <w:rsid w:val="008F7A1D"/>
    <w:rsid w:val="008F7A37"/>
    <w:rsid w:val="008F7A61"/>
    <w:rsid w:val="008F7B92"/>
    <w:rsid w:val="008F7BAC"/>
    <w:rsid w:val="008F7C9E"/>
    <w:rsid w:val="008F7DD5"/>
    <w:rsid w:val="008F7ECB"/>
    <w:rsid w:val="008F7F63"/>
    <w:rsid w:val="00900069"/>
    <w:rsid w:val="009001ED"/>
    <w:rsid w:val="0090057C"/>
    <w:rsid w:val="00900679"/>
    <w:rsid w:val="0090077C"/>
    <w:rsid w:val="00900840"/>
    <w:rsid w:val="009009AB"/>
    <w:rsid w:val="00900A29"/>
    <w:rsid w:val="00900CAE"/>
    <w:rsid w:val="00901190"/>
    <w:rsid w:val="009011BE"/>
    <w:rsid w:val="0090121F"/>
    <w:rsid w:val="00901255"/>
    <w:rsid w:val="009012FA"/>
    <w:rsid w:val="00901345"/>
    <w:rsid w:val="0090140F"/>
    <w:rsid w:val="00901433"/>
    <w:rsid w:val="0090166D"/>
    <w:rsid w:val="009016EB"/>
    <w:rsid w:val="00901837"/>
    <w:rsid w:val="0090189C"/>
    <w:rsid w:val="009018C7"/>
    <w:rsid w:val="00901A4B"/>
    <w:rsid w:val="00901B08"/>
    <w:rsid w:val="00901B5D"/>
    <w:rsid w:val="00901C5B"/>
    <w:rsid w:val="00901D03"/>
    <w:rsid w:val="00901D3E"/>
    <w:rsid w:val="00901D87"/>
    <w:rsid w:val="00901DD6"/>
    <w:rsid w:val="00902021"/>
    <w:rsid w:val="009020A9"/>
    <w:rsid w:val="009020C8"/>
    <w:rsid w:val="009020E6"/>
    <w:rsid w:val="0090212D"/>
    <w:rsid w:val="009022F0"/>
    <w:rsid w:val="009024CE"/>
    <w:rsid w:val="009024DF"/>
    <w:rsid w:val="00902989"/>
    <w:rsid w:val="009029A6"/>
    <w:rsid w:val="00902AC8"/>
    <w:rsid w:val="00902B86"/>
    <w:rsid w:val="00902C3B"/>
    <w:rsid w:val="00902F1E"/>
    <w:rsid w:val="00902F49"/>
    <w:rsid w:val="00902F88"/>
    <w:rsid w:val="009030D5"/>
    <w:rsid w:val="00903165"/>
    <w:rsid w:val="0090316F"/>
    <w:rsid w:val="009031AF"/>
    <w:rsid w:val="009031CD"/>
    <w:rsid w:val="009034BC"/>
    <w:rsid w:val="009034D2"/>
    <w:rsid w:val="00903664"/>
    <w:rsid w:val="009036DF"/>
    <w:rsid w:val="0090374D"/>
    <w:rsid w:val="009038A1"/>
    <w:rsid w:val="00903936"/>
    <w:rsid w:val="00903AA0"/>
    <w:rsid w:val="00903C2D"/>
    <w:rsid w:val="00903C6F"/>
    <w:rsid w:val="00903C96"/>
    <w:rsid w:val="00904081"/>
    <w:rsid w:val="00904183"/>
    <w:rsid w:val="0090453B"/>
    <w:rsid w:val="0090473D"/>
    <w:rsid w:val="00904972"/>
    <w:rsid w:val="00904A2B"/>
    <w:rsid w:val="00904BEA"/>
    <w:rsid w:val="00904C85"/>
    <w:rsid w:val="00904CDF"/>
    <w:rsid w:val="00904FC5"/>
    <w:rsid w:val="00905144"/>
    <w:rsid w:val="009051B5"/>
    <w:rsid w:val="00905379"/>
    <w:rsid w:val="00905538"/>
    <w:rsid w:val="0090564A"/>
    <w:rsid w:val="00905ACD"/>
    <w:rsid w:val="00905C73"/>
    <w:rsid w:val="00905EC1"/>
    <w:rsid w:val="00905F52"/>
    <w:rsid w:val="0090608A"/>
    <w:rsid w:val="00906361"/>
    <w:rsid w:val="00906383"/>
    <w:rsid w:val="00906427"/>
    <w:rsid w:val="0090642C"/>
    <w:rsid w:val="009064E5"/>
    <w:rsid w:val="00906558"/>
    <w:rsid w:val="0090660D"/>
    <w:rsid w:val="0090692E"/>
    <w:rsid w:val="009069ED"/>
    <w:rsid w:val="00906B9A"/>
    <w:rsid w:val="00906E0E"/>
    <w:rsid w:val="00906EAC"/>
    <w:rsid w:val="00907051"/>
    <w:rsid w:val="009070A4"/>
    <w:rsid w:val="009070D6"/>
    <w:rsid w:val="00907122"/>
    <w:rsid w:val="0090730D"/>
    <w:rsid w:val="00907492"/>
    <w:rsid w:val="0090766C"/>
    <w:rsid w:val="0090767E"/>
    <w:rsid w:val="00907732"/>
    <w:rsid w:val="00907782"/>
    <w:rsid w:val="00907856"/>
    <w:rsid w:val="00907ABD"/>
    <w:rsid w:val="00907BBA"/>
    <w:rsid w:val="00907BEE"/>
    <w:rsid w:val="00907C1C"/>
    <w:rsid w:val="00907C6B"/>
    <w:rsid w:val="00907E44"/>
    <w:rsid w:val="00907F98"/>
    <w:rsid w:val="00910014"/>
    <w:rsid w:val="00910285"/>
    <w:rsid w:val="00910485"/>
    <w:rsid w:val="00910A78"/>
    <w:rsid w:val="00910AA4"/>
    <w:rsid w:val="00910AA8"/>
    <w:rsid w:val="00910B3E"/>
    <w:rsid w:val="00910B4A"/>
    <w:rsid w:val="00910B56"/>
    <w:rsid w:val="00910D46"/>
    <w:rsid w:val="00910EA2"/>
    <w:rsid w:val="00910F8D"/>
    <w:rsid w:val="00910FE0"/>
    <w:rsid w:val="00911368"/>
    <w:rsid w:val="00911557"/>
    <w:rsid w:val="009115AC"/>
    <w:rsid w:val="009115B7"/>
    <w:rsid w:val="00911749"/>
    <w:rsid w:val="0091198F"/>
    <w:rsid w:val="00911B08"/>
    <w:rsid w:val="00911BC5"/>
    <w:rsid w:val="00911C71"/>
    <w:rsid w:val="00911E24"/>
    <w:rsid w:val="00911E27"/>
    <w:rsid w:val="00911EEF"/>
    <w:rsid w:val="00911FB6"/>
    <w:rsid w:val="00912314"/>
    <w:rsid w:val="00912445"/>
    <w:rsid w:val="00912496"/>
    <w:rsid w:val="00912545"/>
    <w:rsid w:val="009126DD"/>
    <w:rsid w:val="00912A38"/>
    <w:rsid w:val="00912B08"/>
    <w:rsid w:val="00912E6D"/>
    <w:rsid w:val="00912EEE"/>
    <w:rsid w:val="00912FC3"/>
    <w:rsid w:val="009130D7"/>
    <w:rsid w:val="00913189"/>
    <w:rsid w:val="00913272"/>
    <w:rsid w:val="00913593"/>
    <w:rsid w:val="009135E5"/>
    <w:rsid w:val="00913AFB"/>
    <w:rsid w:val="00913B5F"/>
    <w:rsid w:val="00913BBA"/>
    <w:rsid w:val="00913C8A"/>
    <w:rsid w:val="00913F0B"/>
    <w:rsid w:val="00913F73"/>
    <w:rsid w:val="009140A0"/>
    <w:rsid w:val="0091410B"/>
    <w:rsid w:val="00914198"/>
    <w:rsid w:val="009142B6"/>
    <w:rsid w:val="00914431"/>
    <w:rsid w:val="009144F6"/>
    <w:rsid w:val="00914500"/>
    <w:rsid w:val="00914568"/>
    <w:rsid w:val="0091471E"/>
    <w:rsid w:val="0091479F"/>
    <w:rsid w:val="009148B8"/>
    <w:rsid w:val="00914A0C"/>
    <w:rsid w:val="00914A3C"/>
    <w:rsid w:val="00914A57"/>
    <w:rsid w:val="00914C5B"/>
    <w:rsid w:val="00914C95"/>
    <w:rsid w:val="00914CD6"/>
    <w:rsid w:val="00914CF3"/>
    <w:rsid w:val="00914ED2"/>
    <w:rsid w:val="00914F34"/>
    <w:rsid w:val="0091500C"/>
    <w:rsid w:val="00915047"/>
    <w:rsid w:val="00915165"/>
    <w:rsid w:val="0091517E"/>
    <w:rsid w:val="009153B3"/>
    <w:rsid w:val="0091552E"/>
    <w:rsid w:val="0091554B"/>
    <w:rsid w:val="009155F6"/>
    <w:rsid w:val="0091582F"/>
    <w:rsid w:val="00915A2E"/>
    <w:rsid w:val="00915A36"/>
    <w:rsid w:val="00915A7D"/>
    <w:rsid w:val="00915AF6"/>
    <w:rsid w:val="00915BDB"/>
    <w:rsid w:val="00915D20"/>
    <w:rsid w:val="00915E26"/>
    <w:rsid w:val="00915FB3"/>
    <w:rsid w:val="0091614C"/>
    <w:rsid w:val="0091617E"/>
    <w:rsid w:val="00916190"/>
    <w:rsid w:val="00916299"/>
    <w:rsid w:val="00916392"/>
    <w:rsid w:val="009166C0"/>
    <w:rsid w:val="00916969"/>
    <w:rsid w:val="009169BE"/>
    <w:rsid w:val="00916ACE"/>
    <w:rsid w:val="00916C1A"/>
    <w:rsid w:val="00916E28"/>
    <w:rsid w:val="00916F67"/>
    <w:rsid w:val="009172AC"/>
    <w:rsid w:val="00917786"/>
    <w:rsid w:val="009179A5"/>
    <w:rsid w:val="00917C94"/>
    <w:rsid w:val="00917EA2"/>
    <w:rsid w:val="00917FEB"/>
    <w:rsid w:val="009200BA"/>
    <w:rsid w:val="009201A1"/>
    <w:rsid w:val="009203A2"/>
    <w:rsid w:val="00920596"/>
    <w:rsid w:val="00920712"/>
    <w:rsid w:val="0092071E"/>
    <w:rsid w:val="00920A10"/>
    <w:rsid w:val="00920CFE"/>
    <w:rsid w:val="00920E7C"/>
    <w:rsid w:val="00920F7D"/>
    <w:rsid w:val="00921031"/>
    <w:rsid w:val="00921214"/>
    <w:rsid w:val="009212E5"/>
    <w:rsid w:val="00921322"/>
    <w:rsid w:val="00921363"/>
    <w:rsid w:val="00921476"/>
    <w:rsid w:val="0092175D"/>
    <w:rsid w:val="0092178F"/>
    <w:rsid w:val="009219D7"/>
    <w:rsid w:val="00921C17"/>
    <w:rsid w:val="00921C3F"/>
    <w:rsid w:val="009220F6"/>
    <w:rsid w:val="00922105"/>
    <w:rsid w:val="009221A5"/>
    <w:rsid w:val="00922647"/>
    <w:rsid w:val="00922B66"/>
    <w:rsid w:val="00922C99"/>
    <w:rsid w:val="00922F7B"/>
    <w:rsid w:val="00923002"/>
    <w:rsid w:val="0092303A"/>
    <w:rsid w:val="009230F4"/>
    <w:rsid w:val="009231AE"/>
    <w:rsid w:val="00923258"/>
    <w:rsid w:val="009232A7"/>
    <w:rsid w:val="0092367C"/>
    <w:rsid w:val="009236F1"/>
    <w:rsid w:val="00923CC2"/>
    <w:rsid w:val="00923E3D"/>
    <w:rsid w:val="00923E98"/>
    <w:rsid w:val="00923F0C"/>
    <w:rsid w:val="00923FBE"/>
    <w:rsid w:val="0092412D"/>
    <w:rsid w:val="009241AE"/>
    <w:rsid w:val="009241AF"/>
    <w:rsid w:val="0092420C"/>
    <w:rsid w:val="009243D2"/>
    <w:rsid w:val="009244CD"/>
    <w:rsid w:val="009245D5"/>
    <w:rsid w:val="009245FB"/>
    <w:rsid w:val="00924859"/>
    <w:rsid w:val="00924C2E"/>
    <w:rsid w:val="00924DF0"/>
    <w:rsid w:val="00924F0B"/>
    <w:rsid w:val="00925149"/>
    <w:rsid w:val="0092531D"/>
    <w:rsid w:val="009253C1"/>
    <w:rsid w:val="00925407"/>
    <w:rsid w:val="0092565A"/>
    <w:rsid w:val="0092572A"/>
    <w:rsid w:val="0092573A"/>
    <w:rsid w:val="00925796"/>
    <w:rsid w:val="0092581A"/>
    <w:rsid w:val="00925838"/>
    <w:rsid w:val="00925880"/>
    <w:rsid w:val="00925928"/>
    <w:rsid w:val="00925A34"/>
    <w:rsid w:val="00925AB6"/>
    <w:rsid w:val="00925B2A"/>
    <w:rsid w:val="00925B9E"/>
    <w:rsid w:val="00925DA7"/>
    <w:rsid w:val="00925E6B"/>
    <w:rsid w:val="00925F05"/>
    <w:rsid w:val="00926296"/>
    <w:rsid w:val="009262E4"/>
    <w:rsid w:val="00926470"/>
    <w:rsid w:val="00926511"/>
    <w:rsid w:val="0092654E"/>
    <w:rsid w:val="0092669A"/>
    <w:rsid w:val="0092669E"/>
    <w:rsid w:val="009266D5"/>
    <w:rsid w:val="009266EF"/>
    <w:rsid w:val="00926741"/>
    <w:rsid w:val="009267D6"/>
    <w:rsid w:val="00926A57"/>
    <w:rsid w:val="00926B14"/>
    <w:rsid w:val="00926B55"/>
    <w:rsid w:val="00926B60"/>
    <w:rsid w:val="00926C6C"/>
    <w:rsid w:val="00926D4C"/>
    <w:rsid w:val="00926EAF"/>
    <w:rsid w:val="00927198"/>
    <w:rsid w:val="00927254"/>
    <w:rsid w:val="009273FB"/>
    <w:rsid w:val="00927485"/>
    <w:rsid w:val="009275D9"/>
    <w:rsid w:val="0092778E"/>
    <w:rsid w:val="009278B0"/>
    <w:rsid w:val="009278D7"/>
    <w:rsid w:val="009279B4"/>
    <w:rsid w:val="009279BD"/>
    <w:rsid w:val="00927C2B"/>
    <w:rsid w:val="00927CE8"/>
    <w:rsid w:val="00927D38"/>
    <w:rsid w:val="00927D59"/>
    <w:rsid w:val="00927F70"/>
    <w:rsid w:val="00927F85"/>
    <w:rsid w:val="0093011E"/>
    <w:rsid w:val="009301C3"/>
    <w:rsid w:val="009303D9"/>
    <w:rsid w:val="0093050C"/>
    <w:rsid w:val="00930549"/>
    <w:rsid w:val="009305A4"/>
    <w:rsid w:val="009305D1"/>
    <w:rsid w:val="00930758"/>
    <w:rsid w:val="0093075A"/>
    <w:rsid w:val="009307BD"/>
    <w:rsid w:val="009307D3"/>
    <w:rsid w:val="0093082A"/>
    <w:rsid w:val="00930B0E"/>
    <w:rsid w:val="00930C8D"/>
    <w:rsid w:val="00930CA5"/>
    <w:rsid w:val="00930CDA"/>
    <w:rsid w:val="00930E55"/>
    <w:rsid w:val="00930EFE"/>
    <w:rsid w:val="00931005"/>
    <w:rsid w:val="00931309"/>
    <w:rsid w:val="009313C8"/>
    <w:rsid w:val="009313F4"/>
    <w:rsid w:val="009314C9"/>
    <w:rsid w:val="0093160E"/>
    <w:rsid w:val="009317DD"/>
    <w:rsid w:val="009318C4"/>
    <w:rsid w:val="00931AE1"/>
    <w:rsid w:val="00931CDC"/>
    <w:rsid w:val="00931CEF"/>
    <w:rsid w:val="00931E0F"/>
    <w:rsid w:val="00931E6C"/>
    <w:rsid w:val="00931FA8"/>
    <w:rsid w:val="00932176"/>
    <w:rsid w:val="009321FF"/>
    <w:rsid w:val="00932361"/>
    <w:rsid w:val="009324DB"/>
    <w:rsid w:val="009325C4"/>
    <w:rsid w:val="00932600"/>
    <w:rsid w:val="00932712"/>
    <w:rsid w:val="00932810"/>
    <w:rsid w:val="00932A1F"/>
    <w:rsid w:val="00932A27"/>
    <w:rsid w:val="00932B71"/>
    <w:rsid w:val="00932B7B"/>
    <w:rsid w:val="00932B95"/>
    <w:rsid w:val="00932C21"/>
    <w:rsid w:val="00932CCB"/>
    <w:rsid w:val="00933195"/>
    <w:rsid w:val="009331D5"/>
    <w:rsid w:val="00933314"/>
    <w:rsid w:val="00933322"/>
    <w:rsid w:val="009335F3"/>
    <w:rsid w:val="0093367A"/>
    <w:rsid w:val="00933714"/>
    <w:rsid w:val="00933B87"/>
    <w:rsid w:val="00933C07"/>
    <w:rsid w:val="00933C76"/>
    <w:rsid w:val="00933DFA"/>
    <w:rsid w:val="00933E19"/>
    <w:rsid w:val="00933E49"/>
    <w:rsid w:val="00933F09"/>
    <w:rsid w:val="00933F6E"/>
    <w:rsid w:val="00934012"/>
    <w:rsid w:val="00934359"/>
    <w:rsid w:val="009344AC"/>
    <w:rsid w:val="00934698"/>
    <w:rsid w:val="00934701"/>
    <w:rsid w:val="00934748"/>
    <w:rsid w:val="009349CC"/>
    <w:rsid w:val="00934AB7"/>
    <w:rsid w:val="00934B37"/>
    <w:rsid w:val="00934C0D"/>
    <w:rsid w:val="00934C40"/>
    <w:rsid w:val="00934D6E"/>
    <w:rsid w:val="00934DA4"/>
    <w:rsid w:val="00934E5A"/>
    <w:rsid w:val="00934F70"/>
    <w:rsid w:val="00934F99"/>
    <w:rsid w:val="0093506C"/>
    <w:rsid w:val="00935089"/>
    <w:rsid w:val="0093514F"/>
    <w:rsid w:val="00935194"/>
    <w:rsid w:val="009351DE"/>
    <w:rsid w:val="009352BE"/>
    <w:rsid w:val="0093536A"/>
    <w:rsid w:val="009357C5"/>
    <w:rsid w:val="009358DB"/>
    <w:rsid w:val="0093599A"/>
    <w:rsid w:val="00935AE9"/>
    <w:rsid w:val="00935E7F"/>
    <w:rsid w:val="00935E93"/>
    <w:rsid w:val="009361EA"/>
    <w:rsid w:val="0093654E"/>
    <w:rsid w:val="009366C5"/>
    <w:rsid w:val="00936741"/>
    <w:rsid w:val="00936889"/>
    <w:rsid w:val="00936B7D"/>
    <w:rsid w:val="00936C01"/>
    <w:rsid w:val="00936C78"/>
    <w:rsid w:val="00936D9A"/>
    <w:rsid w:val="00936DE5"/>
    <w:rsid w:val="00936E40"/>
    <w:rsid w:val="00936E42"/>
    <w:rsid w:val="00936E71"/>
    <w:rsid w:val="00936FFF"/>
    <w:rsid w:val="00937014"/>
    <w:rsid w:val="009371A8"/>
    <w:rsid w:val="00937209"/>
    <w:rsid w:val="00937492"/>
    <w:rsid w:val="0093755F"/>
    <w:rsid w:val="0093758F"/>
    <w:rsid w:val="00937958"/>
    <w:rsid w:val="009379DD"/>
    <w:rsid w:val="00937A38"/>
    <w:rsid w:val="00937B31"/>
    <w:rsid w:val="00937B45"/>
    <w:rsid w:val="00937F2B"/>
    <w:rsid w:val="0094007B"/>
    <w:rsid w:val="00940475"/>
    <w:rsid w:val="00940479"/>
    <w:rsid w:val="009404CB"/>
    <w:rsid w:val="009406D9"/>
    <w:rsid w:val="00940A6D"/>
    <w:rsid w:val="00940AF1"/>
    <w:rsid w:val="00940D9B"/>
    <w:rsid w:val="00940DAB"/>
    <w:rsid w:val="00940F0C"/>
    <w:rsid w:val="00940F56"/>
    <w:rsid w:val="00941285"/>
    <w:rsid w:val="009412AC"/>
    <w:rsid w:val="00941414"/>
    <w:rsid w:val="00941430"/>
    <w:rsid w:val="009414DB"/>
    <w:rsid w:val="00941590"/>
    <w:rsid w:val="00941602"/>
    <w:rsid w:val="00941775"/>
    <w:rsid w:val="009417D7"/>
    <w:rsid w:val="009418A9"/>
    <w:rsid w:val="00941A6B"/>
    <w:rsid w:val="00941ABF"/>
    <w:rsid w:val="00941E29"/>
    <w:rsid w:val="00941EA5"/>
    <w:rsid w:val="00941F1A"/>
    <w:rsid w:val="00941F56"/>
    <w:rsid w:val="00941FB4"/>
    <w:rsid w:val="00942129"/>
    <w:rsid w:val="009421EA"/>
    <w:rsid w:val="009422AD"/>
    <w:rsid w:val="00942323"/>
    <w:rsid w:val="009423F3"/>
    <w:rsid w:val="009425E2"/>
    <w:rsid w:val="00942663"/>
    <w:rsid w:val="00942739"/>
    <w:rsid w:val="0094276E"/>
    <w:rsid w:val="009427C5"/>
    <w:rsid w:val="00942AF7"/>
    <w:rsid w:val="00942CD2"/>
    <w:rsid w:val="00942CF0"/>
    <w:rsid w:val="00942CF4"/>
    <w:rsid w:val="00942ED6"/>
    <w:rsid w:val="009430CE"/>
    <w:rsid w:val="00943282"/>
    <w:rsid w:val="009433F3"/>
    <w:rsid w:val="0094340E"/>
    <w:rsid w:val="00943738"/>
    <w:rsid w:val="00943852"/>
    <w:rsid w:val="009439DB"/>
    <w:rsid w:val="00943A22"/>
    <w:rsid w:val="00943B1F"/>
    <w:rsid w:val="00943C38"/>
    <w:rsid w:val="00943F9D"/>
    <w:rsid w:val="009441BA"/>
    <w:rsid w:val="0094459B"/>
    <w:rsid w:val="0094474D"/>
    <w:rsid w:val="00944798"/>
    <w:rsid w:val="009447BE"/>
    <w:rsid w:val="009448E4"/>
    <w:rsid w:val="0094495F"/>
    <w:rsid w:val="00944A19"/>
    <w:rsid w:val="00944C2A"/>
    <w:rsid w:val="00944C3F"/>
    <w:rsid w:val="00944DA3"/>
    <w:rsid w:val="00944F76"/>
    <w:rsid w:val="00945066"/>
    <w:rsid w:val="009452BF"/>
    <w:rsid w:val="0094548F"/>
    <w:rsid w:val="0094560B"/>
    <w:rsid w:val="0094567E"/>
    <w:rsid w:val="009458B9"/>
    <w:rsid w:val="00945B22"/>
    <w:rsid w:val="00945B8A"/>
    <w:rsid w:val="00945C72"/>
    <w:rsid w:val="00945F44"/>
    <w:rsid w:val="00946066"/>
    <w:rsid w:val="009460B2"/>
    <w:rsid w:val="00946177"/>
    <w:rsid w:val="009462B4"/>
    <w:rsid w:val="00946312"/>
    <w:rsid w:val="009463FD"/>
    <w:rsid w:val="0094642A"/>
    <w:rsid w:val="00946837"/>
    <w:rsid w:val="009469BA"/>
    <w:rsid w:val="00946AF6"/>
    <w:rsid w:val="00946BB2"/>
    <w:rsid w:val="00946E5A"/>
    <w:rsid w:val="00946F4C"/>
    <w:rsid w:val="00946F4D"/>
    <w:rsid w:val="00947298"/>
    <w:rsid w:val="009472D3"/>
    <w:rsid w:val="009473FC"/>
    <w:rsid w:val="0094756C"/>
    <w:rsid w:val="009475C3"/>
    <w:rsid w:val="00947633"/>
    <w:rsid w:val="0094766B"/>
    <w:rsid w:val="0094767E"/>
    <w:rsid w:val="00947744"/>
    <w:rsid w:val="0094778B"/>
    <w:rsid w:val="0094778F"/>
    <w:rsid w:val="00947E4E"/>
    <w:rsid w:val="00947F95"/>
    <w:rsid w:val="00950015"/>
    <w:rsid w:val="009500CE"/>
    <w:rsid w:val="009503B1"/>
    <w:rsid w:val="009503D5"/>
    <w:rsid w:val="0095053C"/>
    <w:rsid w:val="00950540"/>
    <w:rsid w:val="009508E7"/>
    <w:rsid w:val="00950977"/>
    <w:rsid w:val="00950CDF"/>
    <w:rsid w:val="00950EE5"/>
    <w:rsid w:val="00950F28"/>
    <w:rsid w:val="00950F62"/>
    <w:rsid w:val="00951106"/>
    <w:rsid w:val="00951144"/>
    <w:rsid w:val="00951226"/>
    <w:rsid w:val="0095125A"/>
    <w:rsid w:val="009512D7"/>
    <w:rsid w:val="0095146C"/>
    <w:rsid w:val="0095162F"/>
    <w:rsid w:val="00951630"/>
    <w:rsid w:val="00951738"/>
    <w:rsid w:val="0095175C"/>
    <w:rsid w:val="00951936"/>
    <w:rsid w:val="009519AF"/>
    <w:rsid w:val="00951C0A"/>
    <w:rsid w:val="00951C59"/>
    <w:rsid w:val="009522E6"/>
    <w:rsid w:val="0095237D"/>
    <w:rsid w:val="009523B4"/>
    <w:rsid w:val="0095243B"/>
    <w:rsid w:val="009525CE"/>
    <w:rsid w:val="0095264E"/>
    <w:rsid w:val="00952808"/>
    <w:rsid w:val="00952A0E"/>
    <w:rsid w:val="00952AB0"/>
    <w:rsid w:val="00952AED"/>
    <w:rsid w:val="00952D7A"/>
    <w:rsid w:val="009530A9"/>
    <w:rsid w:val="0095318A"/>
    <w:rsid w:val="00953491"/>
    <w:rsid w:val="009534B9"/>
    <w:rsid w:val="00953723"/>
    <w:rsid w:val="0095392B"/>
    <w:rsid w:val="0095393C"/>
    <w:rsid w:val="00953A00"/>
    <w:rsid w:val="00953A5C"/>
    <w:rsid w:val="00953A64"/>
    <w:rsid w:val="00953AE2"/>
    <w:rsid w:val="00953B84"/>
    <w:rsid w:val="00953BD5"/>
    <w:rsid w:val="00953C7B"/>
    <w:rsid w:val="00953C7C"/>
    <w:rsid w:val="00953C7D"/>
    <w:rsid w:val="00953D95"/>
    <w:rsid w:val="00953D9A"/>
    <w:rsid w:val="00953E58"/>
    <w:rsid w:val="00953EA7"/>
    <w:rsid w:val="00953F06"/>
    <w:rsid w:val="00953FEE"/>
    <w:rsid w:val="00954123"/>
    <w:rsid w:val="00954241"/>
    <w:rsid w:val="0095433C"/>
    <w:rsid w:val="009543E5"/>
    <w:rsid w:val="009544CF"/>
    <w:rsid w:val="00954501"/>
    <w:rsid w:val="00954682"/>
    <w:rsid w:val="009546D8"/>
    <w:rsid w:val="009547DE"/>
    <w:rsid w:val="00954922"/>
    <w:rsid w:val="00954B2B"/>
    <w:rsid w:val="00954C08"/>
    <w:rsid w:val="00954DAF"/>
    <w:rsid w:val="00954E1D"/>
    <w:rsid w:val="00954EBE"/>
    <w:rsid w:val="00954F68"/>
    <w:rsid w:val="00955008"/>
    <w:rsid w:val="009555EE"/>
    <w:rsid w:val="009558C3"/>
    <w:rsid w:val="009559C5"/>
    <w:rsid w:val="00955A97"/>
    <w:rsid w:val="00955AEA"/>
    <w:rsid w:val="00955AED"/>
    <w:rsid w:val="00955B84"/>
    <w:rsid w:val="00955C6E"/>
    <w:rsid w:val="00955CC4"/>
    <w:rsid w:val="00955D88"/>
    <w:rsid w:val="00955D8D"/>
    <w:rsid w:val="00955EAB"/>
    <w:rsid w:val="0095600E"/>
    <w:rsid w:val="009562A3"/>
    <w:rsid w:val="00956434"/>
    <w:rsid w:val="00956589"/>
    <w:rsid w:val="00956637"/>
    <w:rsid w:val="00956936"/>
    <w:rsid w:val="009569F4"/>
    <w:rsid w:val="00956B93"/>
    <w:rsid w:val="00956BCD"/>
    <w:rsid w:val="00956E2D"/>
    <w:rsid w:val="00956EE1"/>
    <w:rsid w:val="00956FF2"/>
    <w:rsid w:val="00957180"/>
    <w:rsid w:val="00957185"/>
    <w:rsid w:val="009571C8"/>
    <w:rsid w:val="009571EF"/>
    <w:rsid w:val="009573A8"/>
    <w:rsid w:val="00957A86"/>
    <w:rsid w:val="00957FB7"/>
    <w:rsid w:val="00957FBB"/>
    <w:rsid w:val="00957FEC"/>
    <w:rsid w:val="009600A2"/>
    <w:rsid w:val="00960165"/>
    <w:rsid w:val="009601A6"/>
    <w:rsid w:val="0096020C"/>
    <w:rsid w:val="009603F4"/>
    <w:rsid w:val="0096050E"/>
    <w:rsid w:val="00960682"/>
    <w:rsid w:val="009606AB"/>
    <w:rsid w:val="00960751"/>
    <w:rsid w:val="00960849"/>
    <w:rsid w:val="00960907"/>
    <w:rsid w:val="00960A67"/>
    <w:rsid w:val="00960A94"/>
    <w:rsid w:val="00960B89"/>
    <w:rsid w:val="00960BA3"/>
    <w:rsid w:val="00960D7D"/>
    <w:rsid w:val="00960E1A"/>
    <w:rsid w:val="00960EE6"/>
    <w:rsid w:val="00960F83"/>
    <w:rsid w:val="00961091"/>
    <w:rsid w:val="0096112B"/>
    <w:rsid w:val="00961136"/>
    <w:rsid w:val="00961171"/>
    <w:rsid w:val="009612D0"/>
    <w:rsid w:val="00961319"/>
    <w:rsid w:val="00961343"/>
    <w:rsid w:val="0096142B"/>
    <w:rsid w:val="00961441"/>
    <w:rsid w:val="009615A5"/>
    <w:rsid w:val="0096167A"/>
    <w:rsid w:val="009618C9"/>
    <w:rsid w:val="00961951"/>
    <w:rsid w:val="00961A07"/>
    <w:rsid w:val="00961A8C"/>
    <w:rsid w:val="00961EB9"/>
    <w:rsid w:val="00961F21"/>
    <w:rsid w:val="00961F42"/>
    <w:rsid w:val="00961FDB"/>
    <w:rsid w:val="0096204E"/>
    <w:rsid w:val="0096206E"/>
    <w:rsid w:val="009620EE"/>
    <w:rsid w:val="0096218C"/>
    <w:rsid w:val="0096220C"/>
    <w:rsid w:val="009622CF"/>
    <w:rsid w:val="00962329"/>
    <w:rsid w:val="009625E6"/>
    <w:rsid w:val="009629A8"/>
    <w:rsid w:val="009629C9"/>
    <w:rsid w:val="00962C41"/>
    <w:rsid w:val="00962CBE"/>
    <w:rsid w:val="00962E7E"/>
    <w:rsid w:val="00962EBE"/>
    <w:rsid w:val="00963037"/>
    <w:rsid w:val="009630C5"/>
    <w:rsid w:val="0096316B"/>
    <w:rsid w:val="0096322A"/>
    <w:rsid w:val="009632D0"/>
    <w:rsid w:val="00963392"/>
    <w:rsid w:val="00963499"/>
    <w:rsid w:val="0096355D"/>
    <w:rsid w:val="00963571"/>
    <w:rsid w:val="009635CF"/>
    <w:rsid w:val="0096362A"/>
    <w:rsid w:val="0096367B"/>
    <w:rsid w:val="0096386B"/>
    <w:rsid w:val="009638EE"/>
    <w:rsid w:val="00963AC4"/>
    <w:rsid w:val="00963AE7"/>
    <w:rsid w:val="00963BAA"/>
    <w:rsid w:val="00963BC3"/>
    <w:rsid w:val="00963E33"/>
    <w:rsid w:val="00964052"/>
    <w:rsid w:val="0096453B"/>
    <w:rsid w:val="009648FF"/>
    <w:rsid w:val="00964E8F"/>
    <w:rsid w:val="00964F08"/>
    <w:rsid w:val="00964F2E"/>
    <w:rsid w:val="0096500A"/>
    <w:rsid w:val="009650EC"/>
    <w:rsid w:val="00965266"/>
    <w:rsid w:val="009653E1"/>
    <w:rsid w:val="0096551C"/>
    <w:rsid w:val="009655E9"/>
    <w:rsid w:val="0096560C"/>
    <w:rsid w:val="0096568D"/>
    <w:rsid w:val="00965908"/>
    <w:rsid w:val="00965A7A"/>
    <w:rsid w:val="00965DA5"/>
    <w:rsid w:val="00965DD3"/>
    <w:rsid w:val="00965DF8"/>
    <w:rsid w:val="00965EEE"/>
    <w:rsid w:val="00965FA3"/>
    <w:rsid w:val="009660C1"/>
    <w:rsid w:val="00966121"/>
    <w:rsid w:val="0096616C"/>
    <w:rsid w:val="009662E3"/>
    <w:rsid w:val="00966393"/>
    <w:rsid w:val="00966404"/>
    <w:rsid w:val="009664D5"/>
    <w:rsid w:val="0096654E"/>
    <w:rsid w:val="00966591"/>
    <w:rsid w:val="00966B40"/>
    <w:rsid w:val="00966BCA"/>
    <w:rsid w:val="00966DA8"/>
    <w:rsid w:val="00966F19"/>
    <w:rsid w:val="00966FDE"/>
    <w:rsid w:val="00966FEC"/>
    <w:rsid w:val="00967021"/>
    <w:rsid w:val="00967036"/>
    <w:rsid w:val="0096722A"/>
    <w:rsid w:val="009673AD"/>
    <w:rsid w:val="00967634"/>
    <w:rsid w:val="0096775A"/>
    <w:rsid w:val="00967A14"/>
    <w:rsid w:val="00967BAB"/>
    <w:rsid w:val="00967C52"/>
    <w:rsid w:val="00967C9F"/>
    <w:rsid w:val="00967CA4"/>
    <w:rsid w:val="00967E12"/>
    <w:rsid w:val="00967FF6"/>
    <w:rsid w:val="0097020B"/>
    <w:rsid w:val="009706D6"/>
    <w:rsid w:val="00970828"/>
    <w:rsid w:val="00970871"/>
    <w:rsid w:val="0097088C"/>
    <w:rsid w:val="009708E4"/>
    <w:rsid w:val="00970D21"/>
    <w:rsid w:val="00970D87"/>
    <w:rsid w:val="00970F92"/>
    <w:rsid w:val="009710AB"/>
    <w:rsid w:val="009712DE"/>
    <w:rsid w:val="00971348"/>
    <w:rsid w:val="009714FB"/>
    <w:rsid w:val="009715DE"/>
    <w:rsid w:val="00971756"/>
    <w:rsid w:val="0097192E"/>
    <w:rsid w:val="009719A0"/>
    <w:rsid w:val="00971B1D"/>
    <w:rsid w:val="00971B39"/>
    <w:rsid w:val="00971B72"/>
    <w:rsid w:val="00971B88"/>
    <w:rsid w:val="00971C61"/>
    <w:rsid w:val="00972268"/>
    <w:rsid w:val="009722CF"/>
    <w:rsid w:val="0097246D"/>
    <w:rsid w:val="009724A5"/>
    <w:rsid w:val="00972678"/>
    <w:rsid w:val="009726C8"/>
    <w:rsid w:val="00972713"/>
    <w:rsid w:val="00972899"/>
    <w:rsid w:val="00972A9F"/>
    <w:rsid w:val="00972AEC"/>
    <w:rsid w:val="00972AF2"/>
    <w:rsid w:val="00972C46"/>
    <w:rsid w:val="00972C61"/>
    <w:rsid w:val="00972CE7"/>
    <w:rsid w:val="0097327A"/>
    <w:rsid w:val="0097328D"/>
    <w:rsid w:val="009732EE"/>
    <w:rsid w:val="0097367C"/>
    <w:rsid w:val="00973754"/>
    <w:rsid w:val="0097375D"/>
    <w:rsid w:val="0097376C"/>
    <w:rsid w:val="009737B3"/>
    <w:rsid w:val="0097382D"/>
    <w:rsid w:val="009738C9"/>
    <w:rsid w:val="00973F18"/>
    <w:rsid w:val="00973F30"/>
    <w:rsid w:val="009741C0"/>
    <w:rsid w:val="009742AF"/>
    <w:rsid w:val="00974362"/>
    <w:rsid w:val="009743D2"/>
    <w:rsid w:val="00974487"/>
    <w:rsid w:val="00974510"/>
    <w:rsid w:val="00974586"/>
    <w:rsid w:val="009749FC"/>
    <w:rsid w:val="00974C07"/>
    <w:rsid w:val="00974CBA"/>
    <w:rsid w:val="00974E3C"/>
    <w:rsid w:val="00974F10"/>
    <w:rsid w:val="00974F82"/>
    <w:rsid w:val="00975013"/>
    <w:rsid w:val="00975357"/>
    <w:rsid w:val="00975363"/>
    <w:rsid w:val="009753E5"/>
    <w:rsid w:val="00975479"/>
    <w:rsid w:val="0097570C"/>
    <w:rsid w:val="00975806"/>
    <w:rsid w:val="00975B61"/>
    <w:rsid w:val="0097622E"/>
    <w:rsid w:val="009763AF"/>
    <w:rsid w:val="009763B9"/>
    <w:rsid w:val="00976435"/>
    <w:rsid w:val="0097643B"/>
    <w:rsid w:val="0097657B"/>
    <w:rsid w:val="009765FA"/>
    <w:rsid w:val="0097677B"/>
    <w:rsid w:val="009767D8"/>
    <w:rsid w:val="00976825"/>
    <w:rsid w:val="009768B2"/>
    <w:rsid w:val="00976972"/>
    <w:rsid w:val="00976A57"/>
    <w:rsid w:val="00976B35"/>
    <w:rsid w:val="00976BAD"/>
    <w:rsid w:val="00976C09"/>
    <w:rsid w:val="00976CD6"/>
    <w:rsid w:val="00976DFD"/>
    <w:rsid w:val="00976E20"/>
    <w:rsid w:val="00976E36"/>
    <w:rsid w:val="00976F3B"/>
    <w:rsid w:val="00977050"/>
    <w:rsid w:val="0097708F"/>
    <w:rsid w:val="00977209"/>
    <w:rsid w:val="009773E2"/>
    <w:rsid w:val="00977474"/>
    <w:rsid w:val="0097757B"/>
    <w:rsid w:val="0097782A"/>
    <w:rsid w:val="00977A48"/>
    <w:rsid w:val="00977B15"/>
    <w:rsid w:val="00977D0C"/>
    <w:rsid w:val="00977E22"/>
    <w:rsid w:val="00977F83"/>
    <w:rsid w:val="009802F6"/>
    <w:rsid w:val="0098036F"/>
    <w:rsid w:val="0098071D"/>
    <w:rsid w:val="00980829"/>
    <w:rsid w:val="009808C6"/>
    <w:rsid w:val="00980A01"/>
    <w:rsid w:val="00980A35"/>
    <w:rsid w:val="00980A65"/>
    <w:rsid w:val="00980A95"/>
    <w:rsid w:val="00980B7F"/>
    <w:rsid w:val="00980DE1"/>
    <w:rsid w:val="00980F1F"/>
    <w:rsid w:val="009811C0"/>
    <w:rsid w:val="009812E5"/>
    <w:rsid w:val="0098133B"/>
    <w:rsid w:val="00981362"/>
    <w:rsid w:val="00981402"/>
    <w:rsid w:val="0098150A"/>
    <w:rsid w:val="00981615"/>
    <w:rsid w:val="009816DC"/>
    <w:rsid w:val="009818CB"/>
    <w:rsid w:val="00981945"/>
    <w:rsid w:val="0098195A"/>
    <w:rsid w:val="009819D2"/>
    <w:rsid w:val="00981BDE"/>
    <w:rsid w:val="00981C4E"/>
    <w:rsid w:val="00981E63"/>
    <w:rsid w:val="00981F22"/>
    <w:rsid w:val="00982268"/>
    <w:rsid w:val="00982439"/>
    <w:rsid w:val="00982482"/>
    <w:rsid w:val="00982783"/>
    <w:rsid w:val="00982A21"/>
    <w:rsid w:val="00982A84"/>
    <w:rsid w:val="00982CAD"/>
    <w:rsid w:val="00983019"/>
    <w:rsid w:val="0098301A"/>
    <w:rsid w:val="00983030"/>
    <w:rsid w:val="009830E9"/>
    <w:rsid w:val="0098315F"/>
    <w:rsid w:val="0098334A"/>
    <w:rsid w:val="0098338F"/>
    <w:rsid w:val="009834B4"/>
    <w:rsid w:val="009834F8"/>
    <w:rsid w:val="009834FD"/>
    <w:rsid w:val="009836C8"/>
    <w:rsid w:val="00983814"/>
    <w:rsid w:val="00983917"/>
    <w:rsid w:val="009839F4"/>
    <w:rsid w:val="00983ACA"/>
    <w:rsid w:val="00983B80"/>
    <w:rsid w:val="00983B93"/>
    <w:rsid w:val="00983C09"/>
    <w:rsid w:val="00983CB2"/>
    <w:rsid w:val="00983F2A"/>
    <w:rsid w:val="00984024"/>
    <w:rsid w:val="0098404C"/>
    <w:rsid w:val="009842C8"/>
    <w:rsid w:val="009842EA"/>
    <w:rsid w:val="009843B0"/>
    <w:rsid w:val="0098459A"/>
    <w:rsid w:val="009848E7"/>
    <w:rsid w:val="00984929"/>
    <w:rsid w:val="00984982"/>
    <w:rsid w:val="00984A83"/>
    <w:rsid w:val="00984AAA"/>
    <w:rsid w:val="00984B1B"/>
    <w:rsid w:val="00984BAE"/>
    <w:rsid w:val="00984D21"/>
    <w:rsid w:val="00984DC7"/>
    <w:rsid w:val="00984DF6"/>
    <w:rsid w:val="00984F26"/>
    <w:rsid w:val="00985142"/>
    <w:rsid w:val="0098518E"/>
    <w:rsid w:val="009852D7"/>
    <w:rsid w:val="0098540B"/>
    <w:rsid w:val="009855BB"/>
    <w:rsid w:val="009857B3"/>
    <w:rsid w:val="009857BE"/>
    <w:rsid w:val="00985A56"/>
    <w:rsid w:val="00985BF8"/>
    <w:rsid w:val="00985CE9"/>
    <w:rsid w:val="00985ED0"/>
    <w:rsid w:val="00985FAF"/>
    <w:rsid w:val="0098638E"/>
    <w:rsid w:val="009863BC"/>
    <w:rsid w:val="009863CF"/>
    <w:rsid w:val="009863EF"/>
    <w:rsid w:val="00986647"/>
    <w:rsid w:val="0098670C"/>
    <w:rsid w:val="00986875"/>
    <w:rsid w:val="00986A25"/>
    <w:rsid w:val="00986A70"/>
    <w:rsid w:val="00986AFB"/>
    <w:rsid w:val="00986C54"/>
    <w:rsid w:val="00986F5B"/>
    <w:rsid w:val="0098727D"/>
    <w:rsid w:val="0098764C"/>
    <w:rsid w:val="00987A4E"/>
    <w:rsid w:val="00987A56"/>
    <w:rsid w:val="00987BDD"/>
    <w:rsid w:val="00987BF9"/>
    <w:rsid w:val="00987E6F"/>
    <w:rsid w:val="009901F4"/>
    <w:rsid w:val="009904BB"/>
    <w:rsid w:val="0099058D"/>
    <w:rsid w:val="009905B6"/>
    <w:rsid w:val="00990623"/>
    <w:rsid w:val="00990791"/>
    <w:rsid w:val="009907AB"/>
    <w:rsid w:val="00990975"/>
    <w:rsid w:val="00990A91"/>
    <w:rsid w:val="00990BB9"/>
    <w:rsid w:val="00990CC8"/>
    <w:rsid w:val="00990D39"/>
    <w:rsid w:val="00990F29"/>
    <w:rsid w:val="0099116A"/>
    <w:rsid w:val="00991316"/>
    <w:rsid w:val="00991334"/>
    <w:rsid w:val="0099189B"/>
    <w:rsid w:val="00991987"/>
    <w:rsid w:val="00991D9A"/>
    <w:rsid w:val="00991E4B"/>
    <w:rsid w:val="00991E9B"/>
    <w:rsid w:val="00991EAA"/>
    <w:rsid w:val="00991ED8"/>
    <w:rsid w:val="009920B5"/>
    <w:rsid w:val="009923AB"/>
    <w:rsid w:val="009923AD"/>
    <w:rsid w:val="009923DA"/>
    <w:rsid w:val="009923F0"/>
    <w:rsid w:val="00992402"/>
    <w:rsid w:val="0099268D"/>
    <w:rsid w:val="009927F4"/>
    <w:rsid w:val="0099286B"/>
    <w:rsid w:val="00992CEA"/>
    <w:rsid w:val="00992D91"/>
    <w:rsid w:val="00992DC7"/>
    <w:rsid w:val="00992E3E"/>
    <w:rsid w:val="00992F2E"/>
    <w:rsid w:val="00992F3C"/>
    <w:rsid w:val="0099309E"/>
    <w:rsid w:val="00993326"/>
    <w:rsid w:val="009933A1"/>
    <w:rsid w:val="009933B1"/>
    <w:rsid w:val="00993515"/>
    <w:rsid w:val="0099358D"/>
    <w:rsid w:val="009936F9"/>
    <w:rsid w:val="009939C0"/>
    <w:rsid w:val="00993A2F"/>
    <w:rsid w:val="00993A5D"/>
    <w:rsid w:val="00993C8E"/>
    <w:rsid w:val="00993EE2"/>
    <w:rsid w:val="00993EF9"/>
    <w:rsid w:val="00993FC9"/>
    <w:rsid w:val="0099403F"/>
    <w:rsid w:val="009947AE"/>
    <w:rsid w:val="009948F3"/>
    <w:rsid w:val="0099496F"/>
    <w:rsid w:val="009949F7"/>
    <w:rsid w:val="00994A32"/>
    <w:rsid w:val="00994AFF"/>
    <w:rsid w:val="00994B0E"/>
    <w:rsid w:val="00994C8F"/>
    <w:rsid w:val="00994E4A"/>
    <w:rsid w:val="00994EC1"/>
    <w:rsid w:val="00994FFF"/>
    <w:rsid w:val="009950AF"/>
    <w:rsid w:val="009953B9"/>
    <w:rsid w:val="0099565B"/>
    <w:rsid w:val="00995755"/>
    <w:rsid w:val="00995961"/>
    <w:rsid w:val="00995A90"/>
    <w:rsid w:val="00995BDC"/>
    <w:rsid w:val="00995CEC"/>
    <w:rsid w:val="00995D5D"/>
    <w:rsid w:val="00995D85"/>
    <w:rsid w:val="00995DDE"/>
    <w:rsid w:val="00995F00"/>
    <w:rsid w:val="00995F1B"/>
    <w:rsid w:val="00996060"/>
    <w:rsid w:val="00996278"/>
    <w:rsid w:val="009964C8"/>
    <w:rsid w:val="0099677B"/>
    <w:rsid w:val="00996A81"/>
    <w:rsid w:val="00996AE7"/>
    <w:rsid w:val="00996CA0"/>
    <w:rsid w:val="00996CF5"/>
    <w:rsid w:val="00996D94"/>
    <w:rsid w:val="00996EB2"/>
    <w:rsid w:val="00997021"/>
    <w:rsid w:val="009971DD"/>
    <w:rsid w:val="00997313"/>
    <w:rsid w:val="00997343"/>
    <w:rsid w:val="0099773D"/>
    <w:rsid w:val="0099791B"/>
    <w:rsid w:val="009979D5"/>
    <w:rsid w:val="00997D27"/>
    <w:rsid w:val="009A0051"/>
    <w:rsid w:val="009A00BE"/>
    <w:rsid w:val="009A00FC"/>
    <w:rsid w:val="009A0120"/>
    <w:rsid w:val="009A0169"/>
    <w:rsid w:val="009A01A1"/>
    <w:rsid w:val="009A02CB"/>
    <w:rsid w:val="009A02DE"/>
    <w:rsid w:val="009A0475"/>
    <w:rsid w:val="009A04EA"/>
    <w:rsid w:val="009A06F0"/>
    <w:rsid w:val="009A07E2"/>
    <w:rsid w:val="009A0877"/>
    <w:rsid w:val="009A091B"/>
    <w:rsid w:val="009A092F"/>
    <w:rsid w:val="009A097E"/>
    <w:rsid w:val="009A099E"/>
    <w:rsid w:val="009A0BCB"/>
    <w:rsid w:val="009A0C04"/>
    <w:rsid w:val="009A100E"/>
    <w:rsid w:val="009A11D8"/>
    <w:rsid w:val="009A13A7"/>
    <w:rsid w:val="009A144D"/>
    <w:rsid w:val="009A14FD"/>
    <w:rsid w:val="009A1512"/>
    <w:rsid w:val="009A1545"/>
    <w:rsid w:val="009A15E7"/>
    <w:rsid w:val="009A16DA"/>
    <w:rsid w:val="009A170E"/>
    <w:rsid w:val="009A1976"/>
    <w:rsid w:val="009A1A54"/>
    <w:rsid w:val="009A1C1E"/>
    <w:rsid w:val="009A1C91"/>
    <w:rsid w:val="009A1DC6"/>
    <w:rsid w:val="009A1FB4"/>
    <w:rsid w:val="009A204E"/>
    <w:rsid w:val="009A2329"/>
    <w:rsid w:val="009A23B6"/>
    <w:rsid w:val="009A243F"/>
    <w:rsid w:val="009A2461"/>
    <w:rsid w:val="009A2516"/>
    <w:rsid w:val="009A267D"/>
    <w:rsid w:val="009A28AA"/>
    <w:rsid w:val="009A2CE8"/>
    <w:rsid w:val="009A3029"/>
    <w:rsid w:val="009A3038"/>
    <w:rsid w:val="009A316E"/>
    <w:rsid w:val="009A3459"/>
    <w:rsid w:val="009A36AF"/>
    <w:rsid w:val="009A36E6"/>
    <w:rsid w:val="009A36F2"/>
    <w:rsid w:val="009A36FC"/>
    <w:rsid w:val="009A382F"/>
    <w:rsid w:val="009A3B2B"/>
    <w:rsid w:val="009A3CB6"/>
    <w:rsid w:val="009A3D1A"/>
    <w:rsid w:val="009A3E1F"/>
    <w:rsid w:val="009A3F41"/>
    <w:rsid w:val="009A3FE9"/>
    <w:rsid w:val="009A41FA"/>
    <w:rsid w:val="009A424D"/>
    <w:rsid w:val="009A4290"/>
    <w:rsid w:val="009A4461"/>
    <w:rsid w:val="009A450C"/>
    <w:rsid w:val="009A466D"/>
    <w:rsid w:val="009A46A7"/>
    <w:rsid w:val="009A46DA"/>
    <w:rsid w:val="009A4733"/>
    <w:rsid w:val="009A4759"/>
    <w:rsid w:val="009A488C"/>
    <w:rsid w:val="009A4A21"/>
    <w:rsid w:val="009A4F16"/>
    <w:rsid w:val="009A4F2F"/>
    <w:rsid w:val="009A500C"/>
    <w:rsid w:val="009A51ED"/>
    <w:rsid w:val="009A539C"/>
    <w:rsid w:val="009A5436"/>
    <w:rsid w:val="009A5450"/>
    <w:rsid w:val="009A5525"/>
    <w:rsid w:val="009A560D"/>
    <w:rsid w:val="009A58AE"/>
    <w:rsid w:val="009A5AE6"/>
    <w:rsid w:val="009A5B1C"/>
    <w:rsid w:val="009A5BC3"/>
    <w:rsid w:val="009A5BD5"/>
    <w:rsid w:val="009A5BFB"/>
    <w:rsid w:val="009A5C68"/>
    <w:rsid w:val="009A5E19"/>
    <w:rsid w:val="009A5F0B"/>
    <w:rsid w:val="009A5F71"/>
    <w:rsid w:val="009A605C"/>
    <w:rsid w:val="009A6100"/>
    <w:rsid w:val="009A61D6"/>
    <w:rsid w:val="009A6283"/>
    <w:rsid w:val="009A637C"/>
    <w:rsid w:val="009A639D"/>
    <w:rsid w:val="009A65B7"/>
    <w:rsid w:val="009A6735"/>
    <w:rsid w:val="009A69EE"/>
    <w:rsid w:val="009A6A31"/>
    <w:rsid w:val="009A6AF7"/>
    <w:rsid w:val="009A6B04"/>
    <w:rsid w:val="009A6BA8"/>
    <w:rsid w:val="009A6BB0"/>
    <w:rsid w:val="009A6C3B"/>
    <w:rsid w:val="009A6C92"/>
    <w:rsid w:val="009A6C95"/>
    <w:rsid w:val="009A6DF5"/>
    <w:rsid w:val="009A6E26"/>
    <w:rsid w:val="009A6E8F"/>
    <w:rsid w:val="009A6FFA"/>
    <w:rsid w:val="009A710C"/>
    <w:rsid w:val="009A7261"/>
    <w:rsid w:val="009A7316"/>
    <w:rsid w:val="009A733B"/>
    <w:rsid w:val="009A736A"/>
    <w:rsid w:val="009A73CB"/>
    <w:rsid w:val="009A750F"/>
    <w:rsid w:val="009A7546"/>
    <w:rsid w:val="009A75C2"/>
    <w:rsid w:val="009A761D"/>
    <w:rsid w:val="009A7631"/>
    <w:rsid w:val="009A774B"/>
    <w:rsid w:val="009A78A8"/>
    <w:rsid w:val="009A7AEF"/>
    <w:rsid w:val="009A7B65"/>
    <w:rsid w:val="009A7D4D"/>
    <w:rsid w:val="009A7E17"/>
    <w:rsid w:val="009B01C5"/>
    <w:rsid w:val="009B0285"/>
    <w:rsid w:val="009B0367"/>
    <w:rsid w:val="009B0380"/>
    <w:rsid w:val="009B075D"/>
    <w:rsid w:val="009B08FC"/>
    <w:rsid w:val="009B09DD"/>
    <w:rsid w:val="009B0F4D"/>
    <w:rsid w:val="009B103B"/>
    <w:rsid w:val="009B108D"/>
    <w:rsid w:val="009B130D"/>
    <w:rsid w:val="009B1782"/>
    <w:rsid w:val="009B1909"/>
    <w:rsid w:val="009B19DA"/>
    <w:rsid w:val="009B19DB"/>
    <w:rsid w:val="009B1A5A"/>
    <w:rsid w:val="009B1B89"/>
    <w:rsid w:val="009B1E6A"/>
    <w:rsid w:val="009B1FA3"/>
    <w:rsid w:val="009B206D"/>
    <w:rsid w:val="009B209B"/>
    <w:rsid w:val="009B2162"/>
    <w:rsid w:val="009B21B1"/>
    <w:rsid w:val="009B2360"/>
    <w:rsid w:val="009B23B7"/>
    <w:rsid w:val="009B2601"/>
    <w:rsid w:val="009B272B"/>
    <w:rsid w:val="009B27A0"/>
    <w:rsid w:val="009B288B"/>
    <w:rsid w:val="009B2B40"/>
    <w:rsid w:val="009B2C31"/>
    <w:rsid w:val="009B3074"/>
    <w:rsid w:val="009B3362"/>
    <w:rsid w:val="009B3588"/>
    <w:rsid w:val="009B36EF"/>
    <w:rsid w:val="009B37DE"/>
    <w:rsid w:val="009B37F4"/>
    <w:rsid w:val="009B3969"/>
    <w:rsid w:val="009B3ABA"/>
    <w:rsid w:val="009B3BEB"/>
    <w:rsid w:val="009B3D1F"/>
    <w:rsid w:val="009B4026"/>
    <w:rsid w:val="009B410B"/>
    <w:rsid w:val="009B42CB"/>
    <w:rsid w:val="009B434E"/>
    <w:rsid w:val="009B4487"/>
    <w:rsid w:val="009B449F"/>
    <w:rsid w:val="009B46C4"/>
    <w:rsid w:val="009B46DD"/>
    <w:rsid w:val="009B48F4"/>
    <w:rsid w:val="009B4C4A"/>
    <w:rsid w:val="009B4D9D"/>
    <w:rsid w:val="009B4E18"/>
    <w:rsid w:val="009B4EAC"/>
    <w:rsid w:val="009B4F34"/>
    <w:rsid w:val="009B50B1"/>
    <w:rsid w:val="009B50BE"/>
    <w:rsid w:val="009B533D"/>
    <w:rsid w:val="009B54E7"/>
    <w:rsid w:val="009B574B"/>
    <w:rsid w:val="009B57EB"/>
    <w:rsid w:val="009B58A8"/>
    <w:rsid w:val="009B5964"/>
    <w:rsid w:val="009B5A1F"/>
    <w:rsid w:val="009B5DCA"/>
    <w:rsid w:val="009B5ECD"/>
    <w:rsid w:val="009B5F6D"/>
    <w:rsid w:val="009B6240"/>
    <w:rsid w:val="009B635F"/>
    <w:rsid w:val="009B63FB"/>
    <w:rsid w:val="009B654F"/>
    <w:rsid w:val="009B6625"/>
    <w:rsid w:val="009B67C6"/>
    <w:rsid w:val="009B68FD"/>
    <w:rsid w:val="009B6AA8"/>
    <w:rsid w:val="009B6AD3"/>
    <w:rsid w:val="009B6B18"/>
    <w:rsid w:val="009B6B44"/>
    <w:rsid w:val="009B6C52"/>
    <w:rsid w:val="009B6CA1"/>
    <w:rsid w:val="009B6F55"/>
    <w:rsid w:val="009B707D"/>
    <w:rsid w:val="009B7319"/>
    <w:rsid w:val="009B737A"/>
    <w:rsid w:val="009B73E4"/>
    <w:rsid w:val="009B7534"/>
    <w:rsid w:val="009B7A3D"/>
    <w:rsid w:val="009B7AEF"/>
    <w:rsid w:val="009B7BC1"/>
    <w:rsid w:val="009B7D6C"/>
    <w:rsid w:val="009B7FDA"/>
    <w:rsid w:val="009C0291"/>
    <w:rsid w:val="009C02AB"/>
    <w:rsid w:val="009C02E5"/>
    <w:rsid w:val="009C02F3"/>
    <w:rsid w:val="009C06C0"/>
    <w:rsid w:val="009C0799"/>
    <w:rsid w:val="009C08BD"/>
    <w:rsid w:val="009C0915"/>
    <w:rsid w:val="009C09D4"/>
    <w:rsid w:val="009C0A78"/>
    <w:rsid w:val="009C0BC2"/>
    <w:rsid w:val="009C0BF5"/>
    <w:rsid w:val="009C0C17"/>
    <w:rsid w:val="009C0D1C"/>
    <w:rsid w:val="009C0F7D"/>
    <w:rsid w:val="009C0FC8"/>
    <w:rsid w:val="009C11D4"/>
    <w:rsid w:val="009C1231"/>
    <w:rsid w:val="009C12D0"/>
    <w:rsid w:val="009C1342"/>
    <w:rsid w:val="009C13C4"/>
    <w:rsid w:val="009C1439"/>
    <w:rsid w:val="009C147D"/>
    <w:rsid w:val="009C1590"/>
    <w:rsid w:val="009C183D"/>
    <w:rsid w:val="009C18F2"/>
    <w:rsid w:val="009C1986"/>
    <w:rsid w:val="009C1BBD"/>
    <w:rsid w:val="009C1C98"/>
    <w:rsid w:val="009C1D02"/>
    <w:rsid w:val="009C1E35"/>
    <w:rsid w:val="009C1FDA"/>
    <w:rsid w:val="009C2134"/>
    <w:rsid w:val="009C2222"/>
    <w:rsid w:val="009C23D7"/>
    <w:rsid w:val="009C23E5"/>
    <w:rsid w:val="009C2809"/>
    <w:rsid w:val="009C2B5D"/>
    <w:rsid w:val="009C2BE3"/>
    <w:rsid w:val="009C2C30"/>
    <w:rsid w:val="009C2C33"/>
    <w:rsid w:val="009C31CB"/>
    <w:rsid w:val="009C320D"/>
    <w:rsid w:val="009C32FE"/>
    <w:rsid w:val="009C3374"/>
    <w:rsid w:val="009C3516"/>
    <w:rsid w:val="009C3701"/>
    <w:rsid w:val="009C38F8"/>
    <w:rsid w:val="009C395E"/>
    <w:rsid w:val="009C3BC0"/>
    <w:rsid w:val="009C3C8C"/>
    <w:rsid w:val="009C3DF6"/>
    <w:rsid w:val="009C3E59"/>
    <w:rsid w:val="009C4094"/>
    <w:rsid w:val="009C440B"/>
    <w:rsid w:val="009C444B"/>
    <w:rsid w:val="009C465B"/>
    <w:rsid w:val="009C46EA"/>
    <w:rsid w:val="009C47D3"/>
    <w:rsid w:val="009C4806"/>
    <w:rsid w:val="009C4873"/>
    <w:rsid w:val="009C4D23"/>
    <w:rsid w:val="009C4EAA"/>
    <w:rsid w:val="009C519D"/>
    <w:rsid w:val="009C5240"/>
    <w:rsid w:val="009C5316"/>
    <w:rsid w:val="009C5372"/>
    <w:rsid w:val="009C537A"/>
    <w:rsid w:val="009C5459"/>
    <w:rsid w:val="009C546B"/>
    <w:rsid w:val="009C5622"/>
    <w:rsid w:val="009C5C46"/>
    <w:rsid w:val="009C5CD5"/>
    <w:rsid w:val="009C5DCA"/>
    <w:rsid w:val="009C5DE3"/>
    <w:rsid w:val="009C5E65"/>
    <w:rsid w:val="009C5E8A"/>
    <w:rsid w:val="009C5F9C"/>
    <w:rsid w:val="009C6216"/>
    <w:rsid w:val="009C631A"/>
    <w:rsid w:val="009C6326"/>
    <w:rsid w:val="009C63AC"/>
    <w:rsid w:val="009C63B2"/>
    <w:rsid w:val="009C63FB"/>
    <w:rsid w:val="009C6506"/>
    <w:rsid w:val="009C6687"/>
    <w:rsid w:val="009C6688"/>
    <w:rsid w:val="009C66F7"/>
    <w:rsid w:val="009C67F9"/>
    <w:rsid w:val="009C69C3"/>
    <w:rsid w:val="009C6A39"/>
    <w:rsid w:val="009C6AF0"/>
    <w:rsid w:val="009C6B51"/>
    <w:rsid w:val="009C6B7E"/>
    <w:rsid w:val="009C6BA0"/>
    <w:rsid w:val="009C6C09"/>
    <w:rsid w:val="009C6CC3"/>
    <w:rsid w:val="009C6CC9"/>
    <w:rsid w:val="009C6CF4"/>
    <w:rsid w:val="009C6D21"/>
    <w:rsid w:val="009C6FFF"/>
    <w:rsid w:val="009C7049"/>
    <w:rsid w:val="009C7080"/>
    <w:rsid w:val="009C7198"/>
    <w:rsid w:val="009C72BD"/>
    <w:rsid w:val="009C72D6"/>
    <w:rsid w:val="009C7321"/>
    <w:rsid w:val="009C7563"/>
    <w:rsid w:val="009C75D2"/>
    <w:rsid w:val="009C76AD"/>
    <w:rsid w:val="009C7776"/>
    <w:rsid w:val="009C7973"/>
    <w:rsid w:val="009C799A"/>
    <w:rsid w:val="009C79AA"/>
    <w:rsid w:val="009C7C58"/>
    <w:rsid w:val="009C7E1C"/>
    <w:rsid w:val="009C7FA9"/>
    <w:rsid w:val="009D02A8"/>
    <w:rsid w:val="009D036E"/>
    <w:rsid w:val="009D04FF"/>
    <w:rsid w:val="009D050A"/>
    <w:rsid w:val="009D05DC"/>
    <w:rsid w:val="009D0956"/>
    <w:rsid w:val="009D0A63"/>
    <w:rsid w:val="009D0BB6"/>
    <w:rsid w:val="009D0CBD"/>
    <w:rsid w:val="009D0DF6"/>
    <w:rsid w:val="009D0F5C"/>
    <w:rsid w:val="009D0F92"/>
    <w:rsid w:val="009D124D"/>
    <w:rsid w:val="009D12FB"/>
    <w:rsid w:val="009D1345"/>
    <w:rsid w:val="009D1349"/>
    <w:rsid w:val="009D1613"/>
    <w:rsid w:val="009D182A"/>
    <w:rsid w:val="009D1A1A"/>
    <w:rsid w:val="009D1A67"/>
    <w:rsid w:val="009D1C95"/>
    <w:rsid w:val="009D1E8F"/>
    <w:rsid w:val="009D1F2B"/>
    <w:rsid w:val="009D1F48"/>
    <w:rsid w:val="009D2027"/>
    <w:rsid w:val="009D20AB"/>
    <w:rsid w:val="009D20F7"/>
    <w:rsid w:val="009D2171"/>
    <w:rsid w:val="009D21AC"/>
    <w:rsid w:val="009D21C9"/>
    <w:rsid w:val="009D23E6"/>
    <w:rsid w:val="009D2472"/>
    <w:rsid w:val="009D24AE"/>
    <w:rsid w:val="009D2582"/>
    <w:rsid w:val="009D26B0"/>
    <w:rsid w:val="009D280D"/>
    <w:rsid w:val="009D2985"/>
    <w:rsid w:val="009D29B4"/>
    <w:rsid w:val="009D2AFB"/>
    <w:rsid w:val="009D2E8F"/>
    <w:rsid w:val="009D2EAA"/>
    <w:rsid w:val="009D3001"/>
    <w:rsid w:val="009D31FA"/>
    <w:rsid w:val="009D32D7"/>
    <w:rsid w:val="009D3699"/>
    <w:rsid w:val="009D3776"/>
    <w:rsid w:val="009D37CC"/>
    <w:rsid w:val="009D39B7"/>
    <w:rsid w:val="009D39F2"/>
    <w:rsid w:val="009D4031"/>
    <w:rsid w:val="009D41D9"/>
    <w:rsid w:val="009D427A"/>
    <w:rsid w:val="009D44DA"/>
    <w:rsid w:val="009D48D8"/>
    <w:rsid w:val="009D499A"/>
    <w:rsid w:val="009D4A1C"/>
    <w:rsid w:val="009D4A92"/>
    <w:rsid w:val="009D4AC9"/>
    <w:rsid w:val="009D4D87"/>
    <w:rsid w:val="009D4EDE"/>
    <w:rsid w:val="009D4F05"/>
    <w:rsid w:val="009D4F6B"/>
    <w:rsid w:val="009D501D"/>
    <w:rsid w:val="009D510C"/>
    <w:rsid w:val="009D519A"/>
    <w:rsid w:val="009D5298"/>
    <w:rsid w:val="009D53EB"/>
    <w:rsid w:val="009D5427"/>
    <w:rsid w:val="009D554E"/>
    <w:rsid w:val="009D56F3"/>
    <w:rsid w:val="009D57BB"/>
    <w:rsid w:val="009D5914"/>
    <w:rsid w:val="009D5A1E"/>
    <w:rsid w:val="009D5A38"/>
    <w:rsid w:val="009D5D0A"/>
    <w:rsid w:val="009D5E31"/>
    <w:rsid w:val="009D5EB8"/>
    <w:rsid w:val="009D64FC"/>
    <w:rsid w:val="009D6512"/>
    <w:rsid w:val="009D659D"/>
    <w:rsid w:val="009D65A0"/>
    <w:rsid w:val="009D6C35"/>
    <w:rsid w:val="009D6DA6"/>
    <w:rsid w:val="009D6E9F"/>
    <w:rsid w:val="009D6EA7"/>
    <w:rsid w:val="009D6F1A"/>
    <w:rsid w:val="009D70F7"/>
    <w:rsid w:val="009D74BB"/>
    <w:rsid w:val="009D77CF"/>
    <w:rsid w:val="009D786E"/>
    <w:rsid w:val="009D7B58"/>
    <w:rsid w:val="009D7BA0"/>
    <w:rsid w:val="009D7F73"/>
    <w:rsid w:val="009E0059"/>
    <w:rsid w:val="009E0088"/>
    <w:rsid w:val="009E00B7"/>
    <w:rsid w:val="009E0109"/>
    <w:rsid w:val="009E0324"/>
    <w:rsid w:val="009E04D6"/>
    <w:rsid w:val="009E0511"/>
    <w:rsid w:val="009E077C"/>
    <w:rsid w:val="009E091A"/>
    <w:rsid w:val="009E094B"/>
    <w:rsid w:val="009E0B90"/>
    <w:rsid w:val="009E0C0F"/>
    <w:rsid w:val="009E1511"/>
    <w:rsid w:val="009E1772"/>
    <w:rsid w:val="009E1832"/>
    <w:rsid w:val="009E18CB"/>
    <w:rsid w:val="009E1B51"/>
    <w:rsid w:val="009E1BAC"/>
    <w:rsid w:val="009E1DB0"/>
    <w:rsid w:val="009E20C8"/>
    <w:rsid w:val="009E20EB"/>
    <w:rsid w:val="009E2188"/>
    <w:rsid w:val="009E218A"/>
    <w:rsid w:val="009E21ED"/>
    <w:rsid w:val="009E21FE"/>
    <w:rsid w:val="009E2418"/>
    <w:rsid w:val="009E24F9"/>
    <w:rsid w:val="009E29B0"/>
    <w:rsid w:val="009E2B39"/>
    <w:rsid w:val="009E2BA4"/>
    <w:rsid w:val="009E2CD5"/>
    <w:rsid w:val="009E2D0D"/>
    <w:rsid w:val="009E2D35"/>
    <w:rsid w:val="009E2D48"/>
    <w:rsid w:val="009E2F17"/>
    <w:rsid w:val="009E2F29"/>
    <w:rsid w:val="009E30A7"/>
    <w:rsid w:val="009E30AC"/>
    <w:rsid w:val="009E3179"/>
    <w:rsid w:val="009E31B0"/>
    <w:rsid w:val="009E31F9"/>
    <w:rsid w:val="009E328B"/>
    <w:rsid w:val="009E32BA"/>
    <w:rsid w:val="009E33D5"/>
    <w:rsid w:val="009E3500"/>
    <w:rsid w:val="009E36FF"/>
    <w:rsid w:val="009E378C"/>
    <w:rsid w:val="009E378E"/>
    <w:rsid w:val="009E3846"/>
    <w:rsid w:val="009E3C0C"/>
    <w:rsid w:val="009E3CAB"/>
    <w:rsid w:val="009E3D36"/>
    <w:rsid w:val="009E3F92"/>
    <w:rsid w:val="009E3FE4"/>
    <w:rsid w:val="009E40F9"/>
    <w:rsid w:val="009E40FF"/>
    <w:rsid w:val="009E4175"/>
    <w:rsid w:val="009E42BC"/>
    <w:rsid w:val="009E442F"/>
    <w:rsid w:val="009E4519"/>
    <w:rsid w:val="009E456C"/>
    <w:rsid w:val="009E458E"/>
    <w:rsid w:val="009E45C2"/>
    <w:rsid w:val="009E4709"/>
    <w:rsid w:val="009E477F"/>
    <w:rsid w:val="009E4809"/>
    <w:rsid w:val="009E480C"/>
    <w:rsid w:val="009E4979"/>
    <w:rsid w:val="009E4B15"/>
    <w:rsid w:val="009E4B94"/>
    <w:rsid w:val="009E4C1B"/>
    <w:rsid w:val="009E4D20"/>
    <w:rsid w:val="009E4F03"/>
    <w:rsid w:val="009E4F0E"/>
    <w:rsid w:val="009E4FEB"/>
    <w:rsid w:val="009E54F7"/>
    <w:rsid w:val="009E55F1"/>
    <w:rsid w:val="009E5702"/>
    <w:rsid w:val="009E57A6"/>
    <w:rsid w:val="009E5B27"/>
    <w:rsid w:val="009E5CBF"/>
    <w:rsid w:val="009E5CF7"/>
    <w:rsid w:val="009E5D1B"/>
    <w:rsid w:val="009E5DBC"/>
    <w:rsid w:val="009E5FA0"/>
    <w:rsid w:val="009E62F2"/>
    <w:rsid w:val="009E64EA"/>
    <w:rsid w:val="009E6768"/>
    <w:rsid w:val="009E6797"/>
    <w:rsid w:val="009E67EE"/>
    <w:rsid w:val="009E68E9"/>
    <w:rsid w:val="009E692B"/>
    <w:rsid w:val="009E69BA"/>
    <w:rsid w:val="009E6AC4"/>
    <w:rsid w:val="009E6AD2"/>
    <w:rsid w:val="009E6BAC"/>
    <w:rsid w:val="009E6D8F"/>
    <w:rsid w:val="009E6F93"/>
    <w:rsid w:val="009E6FA8"/>
    <w:rsid w:val="009E6FD8"/>
    <w:rsid w:val="009E7016"/>
    <w:rsid w:val="009E7107"/>
    <w:rsid w:val="009E7110"/>
    <w:rsid w:val="009E722D"/>
    <w:rsid w:val="009E7264"/>
    <w:rsid w:val="009E72BD"/>
    <w:rsid w:val="009E72CC"/>
    <w:rsid w:val="009E73FE"/>
    <w:rsid w:val="009E76B0"/>
    <w:rsid w:val="009E77AE"/>
    <w:rsid w:val="009E7D2D"/>
    <w:rsid w:val="009E7D3C"/>
    <w:rsid w:val="009E7D84"/>
    <w:rsid w:val="009F0110"/>
    <w:rsid w:val="009F013A"/>
    <w:rsid w:val="009F028C"/>
    <w:rsid w:val="009F03A8"/>
    <w:rsid w:val="009F044D"/>
    <w:rsid w:val="009F05FD"/>
    <w:rsid w:val="009F0731"/>
    <w:rsid w:val="009F098D"/>
    <w:rsid w:val="009F0D5E"/>
    <w:rsid w:val="009F0E10"/>
    <w:rsid w:val="009F0E30"/>
    <w:rsid w:val="009F0EC5"/>
    <w:rsid w:val="009F10A8"/>
    <w:rsid w:val="009F11CC"/>
    <w:rsid w:val="009F13B4"/>
    <w:rsid w:val="009F1462"/>
    <w:rsid w:val="009F16A1"/>
    <w:rsid w:val="009F17C1"/>
    <w:rsid w:val="009F186E"/>
    <w:rsid w:val="009F1A03"/>
    <w:rsid w:val="009F1AD2"/>
    <w:rsid w:val="009F1C22"/>
    <w:rsid w:val="009F1CBC"/>
    <w:rsid w:val="009F1F48"/>
    <w:rsid w:val="009F20D8"/>
    <w:rsid w:val="009F2106"/>
    <w:rsid w:val="009F2202"/>
    <w:rsid w:val="009F23CD"/>
    <w:rsid w:val="009F2440"/>
    <w:rsid w:val="009F25E0"/>
    <w:rsid w:val="009F26EF"/>
    <w:rsid w:val="009F2735"/>
    <w:rsid w:val="009F27C0"/>
    <w:rsid w:val="009F284E"/>
    <w:rsid w:val="009F287D"/>
    <w:rsid w:val="009F2984"/>
    <w:rsid w:val="009F29FB"/>
    <w:rsid w:val="009F2A26"/>
    <w:rsid w:val="009F2A88"/>
    <w:rsid w:val="009F2AAD"/>
    <w:rsid w:val="009F2ADE"/>
    <w:rsid w:val="009F2B4E"/>
    <w:rsid w:val="009F2D4B"/>
    <w:rsid w:val="009F2D7C"/>
    <w:rsid w:val="009F2EB2"/>
    <w:rsid w:val="009F2F1D"/>
    <w:rsid w:val="009F3213"/>
    <w:rsid w:val="009F3301"/>
    <w:rsid w:val="009F33F9"/>
    <w:rsid w:val="009F34A9"/>
    <w:rsid w:val="009F35CB"/>
    <w:rsid w:val="009F3743"/>
    <w:rsid w:val="009F3959"/>
    <w:rsid w:val="009F39A0"/>
    <w:rsid w:val="009F3ACD"/>
    <w:rsid w:val="009F3B1F"/>
    <w:rsid w:val="009F4076"/>
    <w:rsid w:val="009F4126"/>
    <w:rsid w:val="009F4184"/>
    <w:rsid w:val="009F42E3"/>
    <w:rsid w:val="009F4411"/>
    <w:rsid w:val="009F4424"/>
    <w:rsid w:val="009F4476"/>
    <w:rsid w:val="009F4501"/>
    <w:rsid w:val="009F4685"/>
    <w:rsid w:val="009F46A1"/>
    <w:rsid w:val="009F46DC"/>
    <w:rsid w:val="009F4754"/>
    <w:rsid w:val="009F489D"/>
    <w:rsid w:val="009F49FB"/>
    <w:rsid w:val="009F4B29"/>
    <w:rsid w:val="009F4C6F"/>
    <w:rsid w:val="009F4C79"/>
    <w:rsid w:val="009F4C92"/>
    <w:rsid w:val="009F4DDE"/>
    <w:rsid w:val="009F518F"/>
    <w:rsid w:val="009F51B5"/>
    <w:rsid w:val="009F51BB"/>
    <w:rsid w:val="009F52CB"/>
    <w:rsid w:val="009F5300"/>
    <w:rsid w:val="009F534E"/>
    <w:rsid w:val="009F5375"/>
    <w:rsid w:val="009F53B5"/>
    <w:rsid w:val="009F5596"/>
    <w:rsid w:val="009F5624"/>
    <w:rsid w:val="009F56D5"/>
    <w:rsid w:val="009F5710"/>
    <w:rsid w:val="009F5970"/>
    <w:rsid w:val="009F59B1"/>
    <w:rsid w:val="009F59EE"/>
    <w:rsid w:val="009F5C20"/>
    <w:rsid w:val="009F5F57"/>
    <w:rsid w:val="009F601D"/>
    <w:rsid w:val="009F62D0"/>
    <w:rsid w:val="009F6366"/>
    <w:rsid w:val="009F64FF"/>
    <w:rsid w:val="009F655E"/>
    <w:rsid w:val="009F65FF"/>
    <w:rsid w:val="009F6B5C"/>
    <w:rsid w:val="009F6C69"/>
    <w:rsid w:val="009F6D22"/>
    <w:rsid w:val="009F6DFA"/>
    <w:rsid w:val="009F6F04"/>
    <w:rsid w:val="009F7069"/>
    <w:rsid w:val="009F711C"/>
    <w:rsid w:val="009F718E"/>
    <w:rsid w:val="009F71C6"/>
    <w:rsid w:val="009F7200"/>
    <w:rsid w:val="009F721C"/>
    <w:rsid w:val="009F7478"/>
    <w:rsid w:val="009F760B"/>
    <w:rsid w:val="009F78D8"/>
    <w:rsid w:val="009F7A39"/>
    <w:rsid w:val="009F7C1C"/>
    <w:rsid w:val="009F7D0C"/>
    <w:rsid w:val="009F7E40"/>
    <w:rsid w:val="009F7E5D"/>
    <w:rsid w:val="009F7EAA"/>
    <w:rsid w:val="00A00035"/>
    <w:rsid w:val="00A001A5"/>
    <w:rsid w:val="00A001D0"/>
    <w:rsid w:val="00A0023E"/>
    <w:rsid w:val="00A003AD"/>
    <w:rsid w:val="00A00646"/>
    <w:rsid w:val="00A006F0"/>
    <w:rsid w:val="00A009C7"/>
    <w:rsid w:val="00A009C9"/>
    <w:rsid w:val="00A00B50"/>
    <w:rsid w:val="00A00BD2"/>
    <w:rsid w:val="00A00D1E"/>
    <w:rsid w:val="00A00EB1"/>
    <w:rsid w:val="00A00F48"/>
    <w:rsid w:val="00A01428"/>
    <w:rsid w:val="00A01449"/>
    <w:rsid w:val="00A01591"/>
    <w:rsid w:val="00A01666"/>
    <w:rsid w:val="00A0173B"/>
    <w:rsid w:val="00A01BDD"/>
    <w:rsid w:val="00A01F38"/>
    <w:rsid w:val="00A02003"/>
    <w:rsid w:val="00A02217"/>
    <w:rsid w:val="00A02288"/>
    <w:rsid w:val="00A022BE"/>
    <w:rsid w:val="00A02426"/>
    <w:rsid w:val="00A0248C"/>
    <w:rsid w:val="00A0248F"/>
    <w:rsid w:val="00A02542"/>
    <w:rsid w:val="00A02594"/>
    <w:rsid w:val="00A02671"/>
    <w:rsid w:val="00A0286D"/>
    <w:rsid w:val="00A02959"/>
    <w:rsid w:val="00A02C75"/>
    <w:rsid w:val="00A02D57"/>
    <w:rsid w:val="00A030A0"/>
    <w:rsid w:val="00A030F7"/>
    <w:rsid w:val="00A0313E"/>
    <w:rsid w:val="00A03242"/>
    <w:rsid w:val="00A0351D"/>
    <w:rsid w:val="00A036C6"/>
    <w:rsid w:val="00A03909"/>
    <w:rsid w:val="00A0398F"/>
    <w:rsid w:val="00A03C21"/>
    <w:rsid w:val="00A03C38"/>
    <w:rsid w:val="00A03DCE"/>
    <w:rsid w:val="00A03EAA"/>
    <w:rsid w:val="00A04067"/>
    <w:rsid w:val="00A0414C"/>
    <w:rsid w:val="00A0461C"/>
    <w:rsid w:val="00A046EB"/>
    <w:rsid w:val="00A046F2"/>
    <w:rsid w:val="00A047A5"/>
    <w:rsid w:val="00A04FF0"/>
    <w:rsid w:val="00A05103"/>
    <w:rsid w:val="00A0537B"/>
    <w:rsid w:val="00A054A2"/>
    <w:rsid w:val="00A05789"/>
    <w:rsid w:val="00A059CF"/>
    <w:rsid w:val="00A05D73"/>
    <w:rsid w:val="00A061BF"/>
    <w:rsid w:val="00A0624A"/>
    <w:rsid w:val="00A062AB"/>
    <w:rsid w:val="00A06364"/>
    <w:rsid w:val="00A063E8"/>
    <w:rsid w:val="00A06419"/>
    <w:rsid w:val="00A06444"/>
    <w:rsid w:val="00A064BC"/>
    <w:rsid w:val="00A06656"/>
    <w:rsid w:val="00A0688B"/>
    <w:rsid w:val="00A068AF"/>
    <w:rsid w:val="00A069F2"/>
    <w:rsid w:val="00A06A95"/>
    <w:rsid w:val="00A06AC5"/>
    <w:rsid w:val="00A06BFF"/>
    <w:rsid w:val="00A06C1E"/>
    <w:rsid w:val="00A06C7E"/>
    <w:rsid w:val="00A0707F"/>
    <w:rsid w:val="00A071C0"/>
    <w:rsid w:val="00A07362"/>
    <w:rsid w:val="00A073AD"/>
    <w:rsid w:val="00A074AF"/>
    <w:rsid w:val="00A074EA"/>
    <w:rsid w:val="00A0767E"/>
    <w:rsid w:val="00A076B9"/>
    <w:rsid w:val="00A0774B"/>
    <w:rsid w:val="00A07798"/>
    <w:rsid w:val="00A079A8"/>
    <w:rsid w:val="00A07A92"/>
    <w:rsid w:val="00A07C61"/>
    <w:rsid w:val="00A07CEF"/>
    <w:rsid w:val="00A07DA2"/>
    <w:rsid w:val="00A10667"/>
    <w:rsid w:val="00A10684"/>
    <w:rsid w:val="00A1072E"/>
    <w:rsid w:val="00A10A35"/>
    <w:rsid w:val="00A10B63"/>
    <w:rsid w:val="00A10C40"/>
    <w:rsid w:val="00A10D4B"/>
    <w:rsid w:val="00A10E44"/>
    <w:rsid w:val="00A10E67"/>
    <w:rsid w:val="00A10F2B"/>
    <w:rsid w:val="00A10F38"/>
    <w:rsid w:val="00A112E2"/>
    <w:rsid w:val="00A11494"/>
    <w:rsid w:val="00A11513"/>
    <w:rsid w:val="00A117B2"/>
    <w:rsid w:val="00A11926"/>
    <w:rsid w:val="00A11CAF"/>
    <w:rsid w:val="00A11DD8"/>
    <w:rsid w:val="00A11FFB"/>
    <w:rsid w:val="00A123C8"/>
    <w:rsid w:val="00A1247B"/>
    <w:rsid w:val="00A12515"/>
    <w:rsid w:val="00A126DB"/>
    <w:rsid w:val="00A12845"/>
    <w:rsid w:val="00A12A1D"/>
    <w:rsid w:val="00A12B7E"/>
    <w:rsid w:val="00A12CDF"/>
    <w:rsid w:val="00A12DC6"/>
    <w:rsid w:val="00A12DFC"/>
    <w:rsid w:val="00A12E93"/>
    <w:rsid w:val="00A13129"/>
    <w:rsid w:val="00A131B5"/>
    <w:rsid w:val="00A13633"/>
    <w:rsid w:val="00A139C3"/>
    <w:rsid w:val="00A13A06"/>
    <w:rsid w:val="00A13ADE"/>
    <w:rsid w:val="00A13BE6"/>
    <w:rsid w:val="00A13EC2"/>
    <w:rsid w:val="00A13FF6"/>
    <w:rsid w:val="00A14050"/>
    <w:rsid w:val="00A1412C"/>
    <w:rsid w:val="00A1413A"/>
    <w:rsid w:val="00A14176"/>
    <w:rsid w:val="00A14188"/>
    <w:rsid w:val="00A141E8"/>
    <w:rsid w:val="00A14447"/>
    <w:rsid w:val="00A14480"/>
    <w:rsid w:val="00A1462D"/>
    <w:rsid w:val="00A14654"/>
    <w:rsid w:val="00A14680"/>
    <w:rsid w:val="00A147A7"/>
    <w:rsid w:val="00A14837"/>
    <w:rsid w:val="00A14A66"/>
    <w:rsid w:val="00A14BF9"/>
    <w:rsid w:val="00A14D72"/>
    <w:rsid w:val="00A14F2C"/>
    <w:rsid w:val="00A151CB"/>
    <w:rsid w:val="00A1523E"/>
    <w:rsid w:val="00A152ED"/>
    <w:rsid w:val="00A15377"/>
    <w:rsid w:val="00A154D1"/>
    <w:rsid w:val="00A15586"/>
    <w:rsid w:val="00A156B8"/>
    <w:rsid w:val="00A1570F"/>
    <w:rsid w:val="00A1579D"/>
    <w:rsid w:val="00A15CA7"/>
    <w:rsid w:val="00A15DBF"/>
    <w:rsid w:val="00A15F8F"/>
    <w:rsid w:val="00A162E4"/>
    <w:rsid w:val="00A1664C"/>
    <w:rsid w:val="00A1668A"/>
    <w:rsid w:val="00A16BD6"/>
    <w:rsid w:val="00A16C63"/>
    <w:rsid w:val="00A16D9D"/>
    <w:rsid w:val="00A16E6E"/>
    <w:rsid w:val="00A16E84"/>
    <w:rsid w:val="00A16F76"/>
    <w:rsid w:val="00A16FA4"/>
    <w:rsid w:val="00A170F2"/>
    <w:rsid w:val="00A17144"/>
    <w:rsid w:val="00A17219"/>
    <w:rsid w:val="00A173BB"/>
    <w:rsid w:val="00A17583"/>
    <w:rsid w:val="00A175D5"/>
    <w:rsid w:val="00A17658"/>
    <w:rsid w:val="00A17995"/>
    <w:rsid w:val="00A17A87"/>
    <w:rsid w:val="00A17B96"/>
    <w:rsid w:val="00A17C9C"/>
    <w:rsid w:val="00A17D7B"/>
    <w:rsid w:val="00A17D83"/>
    <w:rsid w:val="00A201D5"/>
    <w:rsid w:val="00A202C0"/>
    <w:rsid w:val="00A20356"/>
    <w:rsid w:val="00A2071F"/>
    <w:rsid w:val="00A2082B"/>
    <w:rsid w:val="00A20945"/>
    <w:rsid w:val="00A20955"/>
    <w:rsid w:val="00A20A9C"/>
    <w:rsid w:val="00A20CA5"/>
    <w:rsid w:val="00A20D60"/>
    <w:rsid w:val="00A20DA6"/>
    <w:rsid w:val="00A20EDF"/>
    <w:rsid w:val="00A20F64"/>
    <w:rsid w:val="00A21200"/>
    <w:rsid w:val="00A21301"/>
    <w:rsid w:val="00A2132A"/>
    <w:rsid w:val="00A2132D"/>
    <w:rsid w:val="00A21574"/>
    <w:rsid w:val="00A2165C"/>
    <w:rsid w:val="00A216F0"/>
    <w:rsid w:val="00A21711"/>
    <w:rsid w:val="00A21C6E"/>
    <w:rsid w:val="00A2203A"/>
    <w:rsid w:val="00A22202"/>
    <w:rsid w:val="00A22281"/>
    <w:rsid w:val="00A22283"/>
    <w:rsid w:val="00A22374"/>
    <w:rsid w:val="00A2243B"/>
    <w:rsid w:val="00A2271C"/>
    <w:rsid w:val="00A2289C"/>
    <w:rsid w:val="00A228DD"/>
    <w:rsid w:val="00A228DE"/>
    <w:rsid w:val="00A2293B"/>
    <w:rsid w:val="00A2299E"/>
    <w:rsid w:val="00A22AFA"/>
    <w:rsid w:val="00A22B02"/>
    <w:rsid w:val="00A22F2B"/>
    <w:rsid w:val="00A230A3"/>
    <w:rsid w:val="00A232D0"/>
    <w:rsid w:val="00A23347"/>
    <w:rsid w:val="00A23406"/>
    <w:rsid w:val="00A23527"/>
    <w:rsid w:val="00A2359A"/>
    <w:rsid w:val="00A23679"/>
    <w:rsid w:val="00A23813"/>
    <w:rsid w:val="00A23856"/>
    <w:rsid w:val="00A238CB"/>
    <w:rsid w:val="00A238E9"/>
    <w:rsid w:val="00A23A25"/>
    <w:rsid w:val="00A23A3C"/>
    <w:rsid w:val="00A23A5D"/>
    <w:rsid w:val="00A23B37"/>
    <w:rsid w:val="00A23B58"/>
    <w:rsid w:val="00A23BB5"/>
    <w:rsid w:val="00A23BCB"/>
    <w:rsid w:val="00A23BF8"/>
    <w:rsid w:val="00A23DCC"/>
    <w:rsid w:val="00A2417B"/>
    <w:rsid w:val="00A24257"/>
    <w:rsid w:val="00A24685"/>
    <w:rsid w:val="00A246EC"/>
    <w:rsid w:val="00A24753"/>
    <w:rsid w:val="00A24800"/>
    <w:rsid w:val="00A248ED"/>
    <w:rsid w:val="00A24915"/>
    <w:rsid w:val="00A24B25"/>
    <w:rsid w:val="00A24BCF"/>
    <w:rsid w:val="00A24D2A"/>
    <w:rsid w:val="00A24E63"/>
    <w:rsid w:val="00A25067"/>
    <w:rsid w:val="00A2524C"/>
    <w:rsid w:val="00A25611"/>
    <w:rsid w:val="00A25756"/>
    <w:rsid w:val="00A25837"/>
    <w:rsid w:val="00A258F0"/>
    <w:rsid w:val="00A259B6"/>
    <w:rsid w:val="00A259C1"/>
    <w:rsid w:val="00A259D4"/>
    <w:rsid w:val="00A259F3"/>
    <w:rsid w:val="00A25BBC"/>
    <w:rsid w:val="00A25E3E"/>
    <w:rsid w:val="00A25EA4"/>
    <w:rsid w:val="00A261D7"/>
    <w:rsid w:val="00A261F5"/>
    <w:rsid w:val="00A26402"/>
    <w:rsid w:val="00A2645C"/>
    <w:rsid w:val="00A264B8"/>
    <w:rsid w:val="00A2695E"/>
    <w:rsid w:val="00A26BF2"/>
    <w:rsid w:val="00A2705E"/>
    <w:rsid w:val="00A271BD"/>
    <w:rsid w:val="00A2728E"/>
    <w:rsid w:val="00A2730A"/>
    <w:rsid w:val="00A27395"/>
    <w:rsid w:val="00A273BC"/>
    <w:rsid w:val="00A274D2"/>
    <w:rsid w:val="00A274ED"/>
    <w:rsid w:val="00A275C4"/>
    <w:rsid w:val="00A27639"/>
    <w:rsid w:val="00A27649"/>
    <w:rsid w:val="00A279D1"/>
    <w:rsid w:val="00A27B07"/>
    <w:rsid w:val="00A27B36"/>
    <w:rsid w:val="00A27B83"/>
    <w:rsid w:val="00A300F6"/>
    <w:rsid w:val="00A302D0"/>
    <w:rsid w:val="00A3032A"/>
    <w:rsid w:val="00A303E5"/>
    <w:rsid w:val="00A3045F"/>
    <w:rsid w:val="00A304D4"/>
    <w:rsid w:val="00A307D0"/>
    <w:rsid w:val="00A309E3"/>
    <w:rsid w:val="00A30A00"/>
    <w:rsid w:val="00A30A71"/>
    <w:rsid w:val="00A30B10"/>
    <w:rsid w:val="00A30BEA"/>
    <w:rsid w:val="00A30E0D"/>
    <w:rsid w:val="00A30E8B"/>
    <w:rsid w:val="00A30EFD"/>
    <w:rsid w:val="00A31064"/>
    <w:rsid w:val="00A311EB"/>
    <w:rsid w:val="00A31294"/>
    <w:rsid w:val="00A31319"/>
    <w:rsid w:val="00A3148A"/>
    <w:rsid w:val="00A315B3"/>
    <w:rsid w:val="00A315D9"/>
    <w:rsid w:val="00A31809"/>
    <w:rsid w:val="00A31909"/>
    <w:rsid w:val="00A31A21"/>
    <w:rsid w:val="00A31CE4"/>
    <w:rsid w:val="00A31EB1"/>
    <w:rsid w:val="00A321FB"/>
    <w:rsid w:val="00A32379"/>
    <w:rsid w:val="00A323F6"/>
    <w:rsid w:val="00A32468"/>
    <w:rsid w:val="00A324DA"/>
    <w:rsid w:val="00A324FE"/>
    <w:rsid w:val="00A325A0"/>
    <w:rsid w:val="00A3261D"/>
    <w:rsid w:val="00A32727"/>
    <w:rsid w:val="00A32806"/>
    <w:rsid w:val="00A328AC"/>
    <w:rsid w:val="00A329FF"/>
    <w:rsid w:val="00A32BD7"/>
    <w:rsid w:val="00A32FC2"/>
    <w:rsid w:val="00A3304A"/>
    <w:rsid w:val="00A3310D"/>
    <w:rsid w:val="00A332D6"/>
    <w:rsid w:val="00A33318"/>
    <w:rsid w:val="00A33338"/>
    <w:rsid w:val="00A333E3"/>
    <w:rsid w:val="00A33434"/>
    <w:rsid w:val="00A33649"/>
    <w:rsid w:val="00A336BD"/>
    <w:rsid w:val="00A339FC"/>
    <w:rsid w:val="00A33C12"/>
    <w:rsid w:val="00A33C3D"/>
    <w:rsid w:val="00A341FA"/>
    <w:rsid w:val="00A3425B"/>
    <w:rsid w:val="00A3490D"/>
    <w:rsid w:val="00A34CBC"/>
    <w:rsid w:val="00A34CDA"/>
    <w:rsid w:val="00A34DE9"/>
    <w:rsid w:val="00A34FB8"/>
    <w:rsid w:val="00A3508C"/>
    <w:rsid w:val="00A350C1"/>
    <w:rsid w:val="00A35268"/>
    <w:rsid w:val="00A3530B"/>
    <w:rsid w:val="00A35589"/>
    <w:rsid w:val="00A3564E"/>
    <w:rsid w:val="00A357C3"/>
    <w:rsid w:val="00A35878"/>
    <w:rsid w:val="00A358ED"/>
    <w:rsid w:val="00A35AA9"/>
    <w:rsid w:val="00A35B81"/>
    <w:rsid w:val="00A35BEB"/>
    <w:rsid w:val="00A35E7C"/>
    <w:rsid w:val="00A35FC6"/>
    <w:rsid w:val="00A35FCC"/>
    <w:rsid w:val="00A36052"/>
    <w:rsid w:val="00A360D3"/>
    <w:rsid w:val="00A36460"/>
    <w:rsid w:val="00A364F8"/>
    <w:rsid w:val="00A36586"/>
    <w:rsid w:val="00A365F5"/>
    <w:rsid w:val="00A36691"/>
    <w:rsid w:val="00A366B2"/>
    <w:rsid w:val="00A36735"/>
    <w:rsid w:val="00A367B6"/>
    <w:rsid w:val="00A368D1"/>
    <w:rsid w:val="00A368F1"/>
    <w:rsid w:val="00A36A2B"/>
    <w:rsid w:val="00A36A55"/>
    <w:rsid w:val="00A36AAF"/>
    <w:rsid w:val="00A36B3D"/>
    <w:rsid w:val="00A370BD"/>
    <w:rsid w:val="00A371A0"/>
    <w:rsid w:val="00A372AE"/>
    <w:rsid w:val="00A372E2"/>
    <w:rsid w:val="00A37337"/>
    <w:rsid w:val="00A3735B"/>
    <w:rsid w:val="00A37476"/>
    <w:rsid w:val="00A3779E"/>
    <w:rsid w:val="00A37A79"/>
    <w:rsid w:val="00A37A82"/>
    <w:rsid w:val="00A37AD6"/>
    <w:rsid w:val="00A37B48"/>
    <w:rsid w:val="00A37B81"/>
    <w:rsid w:val="00A37C2B"/>
    <w:rsid w:val="00A37E6F"/>
    <w:rsid w:val="00A40177"/>
    <w:rsid w:val="00A40186"/>
    <w:rsid w:val="00A404B1"/>
    <w:rsid w:val="00A404E3"/>
    <w:rsid w:val="00A405BB"/>
    <w:rsid w:val="00A4063C"/>
    <w:rsid w:val="00A408FB"/>
    <w:rsid w:val="00A4096B"/>
    <w:rsid w:val="00A409CF"/>
    <w:rsid w:val="00A40BC8"/>
    <w:rsid w:val="00A40D0D"/>
    <w:rsid w:val="00A40D9B"/>
    <w:rsid w:val="00A40EEA"/>
    <w:rsid w:val="00A410C3"/>
    <w:rsid w:val="00A41197"/>
    <w:rsid w:val="00A413DC"/>
    <w:rsid w:val="00A41578"/>
    <w:rsid w:val="00A419D5"/>
    <w:rsid w:val="00A41AFC"/>
    <w:rsid w:val="00A41B24"/>
    <w:rsid w:val="00A41C72"/>
    <w:rsid w:val="00A41D70"/>
    <w:rsid w:val="00A4211B"/>
    <w:rsid w:val="00A42150"/>
    <w:rsid w:val="00A421F6"/>
    <w:rsid w:val="00A4220C"/>
    <w:rsid w:val="00A42645"/>
    <w:rsid w:val="00A42675"/>
    <w:rsid w:val="00A427C4"/>
    <w:rsid w:val="00A42864"/>
    <w:rsid w:val="00A4296D"/>
    <w:rsid w:val="00A42A3F"/>
    <w:rsid w:val="00A42A7D"/>
    <w:rsid w:val="00A42BD2"/>
    <w:rsid w:val="00A42EB2"/>
    <w:rsid w:val="00A42EC8"/>
    <w:rsid w:val="00A4319A"/>
    <w:rsid w:val="00A43416"/>
    <w:rsid w:val="00A43428"/>
    <w:rsid w:val="00A4343C"/>
    <w:rsid w:val="00A434E9"/>
    <w:rsid w:val="00A43574"/>
    <w:rsid w:val="00A4375F"/>
    <w:rsid w:val="00A4387E"/>
    <w:rsid w:val="00A43995"/>
    <w:rsid w:val="00A43A49"/>
    <w:rsid w:val="00A43A53"/>
    <w:rsid w:val="00A43B99"/>
    <w:rsid w:val="00A43BA7"/>
    <w:rsid w:val="00A43C54"/>
    <w:rsid w:val="00A43CBD"/>
    <w:rsid w:val="00A43E64"/>
    <w:rsid w:val="00A43E7E"/>
    <w:rsid w:val="00A44267"/>
    <w:rsid w:val="00A442DF"/>
    <w:rsid w:val="00A44413"/>
    <w:rsid w:val="00A44616"/>
    <w:rsid w:val="00A4473B"/>
    <w:rsid w:val="00A447FD"/>
    <w:rsid w:val="00A44B6B"/>
    <w:rsid w:val="00A44BEE"/>
    <w:rsid w:val="00A44CF4"/>
    <w:rsid w:val="00A45229"/>
    <w:rsid w:val="00A4528F"/>
    <w:rsid w:val="00A452FF"/>
    <w:rsid w:val="00A45318"/>
    <w:rsid w:val="00A45370"/>
    <w:rsid w:val="00A45576"/>
    <w:rsid w:val="00A45815"/>
    <w:rsid w:val="00A45A4D"/>
    <w:rsid w:val="00A45A82"/>
    <w:rsid w:val="00A45B52"/>
    <w:rsid w:val="00A45C26"/>
    <w:rsid w:val="00A45CF7"/>
    <w:rsid w:val="00A45E4B"/>
    <w:rsid w:val="00A45E62"/>
    <w:rsid w:val="00A45F8D"/>
    <w:rsid w:val="00A45FE1"/>
    <w:rsid w:val="00A462C6"/>
    <w:rsid w:val="00A462E8"/>
    <w:rsid w:val="00A46358"/>
    <w:rsid w:val="00A4655A"/>
    <w:rsid w:val="00A465A6"/>
    <w:rsid w:val="00A46756"/>
    <w:rsid w:val="00A468EC"/>
    <w:rsid w:val="00A46946"/>
    <w:rsid w:val="00A469BF"/>
    <w:rsid w:val="00A46DCC"/>
    <w:rsid w:val="00A46EFE"/>
    <w:rsid w:val="00A4718C"/>
    <w:rsid w:val="00A473A7"/>
    <w:rsid w:val="00A47530"/>
    <w:rsid w:val="00A477AB"/>
    <w:rsid w:val="00A47845"/>
    <w:rsid w:val="00A47904"/>
    <w:rsid w:val="00A47B88"/>
    <w:rsid w:val="00A47C7F"/>
    <w:rsid w:val="00A47C84"/>
    <w:rsid w:val="00A47E5A"/>
    <w:rsid w:val="00A47E87"/>
    <w:rsid w:val="00A47F32"/>
    <w:rsid w:val="00A49D2F"/>
    <w:rsid w:val="00A5015A"/>
    <w:rsid w:val="00A50209"/>
    <w:rsid w:val="00A5028B"/>
    <w:rsid w:val="00A50589"/>
    <w:rsid w:val="00A507E8"/>
    <w:rsid w:val="00A50803"/>
    <w:rsid w:val="00A5091B"/>
    <w:rsid w:val="00A50D2E"/>
    <w:rsid w:val="00A50D40"/>
    <w:rsid w:val="00A50D8F"/>
    <w:rsid w:val="00A50E4E"/>
    <w:rsid w:val="00A51267"/>
    <w:rsid w:val="00A51321"/>
    <w:rsid w:val="00A51342"/>
    <w:rsid w:val="00A51343"/>
    <w:rsid w:val="00A51500"/>
    <w:rsid w:val="00A51591"/>
    <w:rsid w:val="00A518B4"/>
    <w:rsid w:val="00A5191C"/>
    <w:rsid w:val="00A5198A"/>
    <w:rsid w:val="00A51EFB"/>
    <w:rsid w:val="00A51F12"/>
    <w:rsid w:val="00A52233"/>
    <w:rsid w:val="00A52424"/>
    <w:rsid w:val="00A52661"/>
    <w:rsid w:val="00A526D0"/>
    <w:rsid w:val="00A52733"/>
    <w:rsid w:val="00A527BD"/>
    <w:rsid w:val="00A52B03"/>
    <w:rsid w:val="00A52B99"/>
    <w:rsid w:val="00A52BA2"/>
    <w:rsid w:val="00A52D84"/>
    <w:rsid w:val="00A52F4C"/>
    <w:rsid w:val="00A52F87"/>
    <w:rsid w:val="00A52FB4"/>
    <w:rsid w:val="00A52FDC"/>
    <w:rsid w:val="00A53074"/>
    <w:rsid w:val="00A5329F"/>
    <w:rsid w:val="00A53518"/>
    <w:rsid w:val="00A53542"/>
    <w:rsid w:val="00A53807"/>
    <w:rsid w:val="00A53832"/>
    <w:rsid w:val="00A5399A"/>
    <w:rsid w:val="00A53D8B"/>
    <w:rsid w:val="00A53F17"/>
    <w:rsid w:val="00A54171"/>
    <w:rsid w:val="00A542BE"/>
    <w:rsid w:val="00A54339"/>
    <w:rsid w:val="00A54540"/>
    <w:rsid w:val="00A545C8"/>
    <w:rsid w:val="00A549D1"/>
    <w:rsid w:val="00A54AB5"/>
    <w:rsid w:val="00A54B6F"/>
    <w:rsid w:val="00A54B7F"/>
    <w:rsid w:val="00A54B8E"/>
    <w:rsid w:val="00A54C0E"/>
    <w:rsid w:val="00A54D13"/>
    <w:rsid w:val="00A5504F"/>
    <w:rsid w:val="00A55081"/>
    <w:rsid w:val="00A55116"/>
    <w:rsid w:val="00A55209"/>
    <w:rsid w:val="00A55521"/>
    <w:rsid w:val="00A55725"/>
    <w:rsid w:val="00A5574E"/>
    <w:rsid w:val="00A557B9"/>
    <w:rsid w:val="00A55962"/>
    <w:rsid w:val="00A55CF3"/>
    <w:rsid w:val="00A55D3D"/>
    <w:rsid w:val="00A560AB"/>
    <w:rsid w:val="00A56252"/>
    <w:rsid w:val="00A56426"/>
    <w:rsid w:val="00A56620"/>
    <w:rsid w:val="00A56843"/>
    <w:rsid w:val="00A5688F"/>
    <w:rsid w:val="00A56A3D"/>
    <w:rsid w:val="00A56AA7"/>
    <w:rsid w:val="00A56AFE"/>
    <w:rsid w:val="00A56BDB"/>
    <w:rsid w:val="00A56DAC"/>
    <w:rsid w:val="00A56EBD"/>
    <w:rsid w:val="00A56EC7"/>
    <w:rsid w:val="00A56F4C"/>
    <w:rsid w:val="00A574ED"/>
    <w:rsid w:val="00A574FA"/>
    <w:rsid w:val="00A575EC"/>
    <w:rsid w:val="00A575F4"/>
    <w:rsid w:val="00A5768B"/>
    <w:rsid w:val="00A57703"/>
    <w:rsid w:val="00A578AD"/>
    <w:rsid w:val="00A578D8"/>
    <w:rsid w:val="00A5790F"/>
    <w:rsid w:val="00A57B65"/>
    <w:rsid w:val="00A57BF5"/>
    <w:rsid w:val="00A57E38"/>
    <w:rsid w:val="00A6002F"/>
    <w:rsid w:val="00A602EA"/>
    <w:rsid w:val="00A6039C"/>
    <w:rsid w:val="00A60428"/>
    <w:rsid w:val="00A60720"/>
    <w:rsid w:val="00A6083E"/>
    <w:rsid w:val="00A6097A"/>
    <w:rsid w:val="00A6098E"/>
    <w:rsid w:val="00A60A45"/>
    <w:rsid w:val="00A60D5E"/>
    <w:rsid w:val="00A60E2B"/>
    <w:rsid w:val="00A61149"/>
    <w:rsid w:val="00A61594"/>
    <w:rsid w:val="00A6160C"/>
    <w:rsid w:val="00A61721"/>
    <w:rsid w:val="00A6174D"/>
    <w:rsid w:val="00A617D8"/>
    <w:rsid w:val="00A617EF"/>
    <w:rsid w:val="00A618D8"/>
    <w:rsid w:val="00A61942"/>
    <w:rsid w:val="00A6195A"/>
    <w:rsid w:val="00A61B03"/>
    <w:rsid w:val="00A61C65"/>
    <w:rsid w:val="00A61E05"/>
    <w:rsid w:val="00A61F3A"/>
    <w:rsid w:val="00A620A5"/>
    <w:rsid w:val="00A622C1"/>
    <w:rsid w:val="00A622D7"/>
    <w:rsid w:val="00A623E2"/>
    <w:rsid w:val="00A624BA"/>
    <w:rsid w:val="00A624E1"/>
    <w:rsid w:val="00A625AD"/>
    <w:rsid w:val="00A625D9"/>
    <w:rsid w:val="00A625E9"/>
    <w:rsid w:val="00A62796"/>
    <w:rsid w:val="00A627FF"/>
    <w:rsid w:val="00A628C1"/>
    <w:rsid w:val="00A62DC0"/>
    <w:rsid w:val="00A62F49"/>
    <w:rsid w:val="00A632A7"/>
    <w:rsid w:val="00A63460"/>
    <w:rsid w:val="00A6351E"/>
    <w:rsid w:val="00A63582"/>
    <w:rsid w:val="00A63594"/>
    <w:rsid w:val="00A635C0"/>
    <w:rsid w:val="00A63747"/>
    <w:rsid w:val="00A63813"/>
    <w:rsid w:val="00A63879"/>
    <w:rsid w:val="00A6389E"/>
    <w:rsid w:val="00A638F8"/>
    <w:rsid w:val="00A639D7"/>
    <w:rsid w:val="00A63AFE"/>
    <w:rsid w:val="00A63BC1"/>
    <w:rsid w:val="00A63BC2"/>
    <w:rsid w:val="00A63DAA"/>
    <w:rsid w:val="00A63E00"/>
    <w:rsid w:val="00A63F04"/>
    <w:rsid w:val="00A63F7B"/>
    <w:rsid w:val="00A6406C"/>
    <w:rsid w:val="00A640A5"/>
    <w:rsid w:val="00A64160"/>
    <w:rsid w:val="00A641C4"/>
    <w:rsid w:val="00A641D5"/>
    <w:rsid w:val="00A642A6"/>
    <w:rsid w:val="00A642E7"/>
    <w:rsid w:val="00A64379"/>
    <w:rsid w:val="00A643E4"/>
    <w:rsid w:val="00A647EC"/>
    <w:rsid w:val="00A6493B"/>
    <w:rsid w:val="00A64C4B"/>
    <w:rsid w:val="00A64CBD"/>
    <w:rsid w:val="00A64CE7"/>
    <w:rsid w:val="00A64D8A"/>
    <w:rsid w:val="00A64EAA"/>
    <w:rsid w:val="00A65101"/>
    <w:rsid w:val="00A65223"/>
    <w:rsid w:val="00A6565E"/>
    <w:rsid w:val="00A65720"/>
    <w:rsid w:val="00A657B4"/>
    <w:rsid w:val="00A657C2"/>
    <w:rsid w:val="00A658DA"/>
    <w:rsid w:val="00A65ABE"/>
    <w:rsid w:val="00A65AE7"/>
    <w:rsid w:val="00A65BF3"/>
    <w:rsid w:val="00A65BFF"/>
    <w:rsid w:val="00A65CD1"/>
    <w:rsid w:val="00A65D13"/>
    <w:rsid w:val="00A65D29"/>
    <w:rsid w:val="00A65D50"/>
    <w:rsid w:val="00A65E84"/>
    <w:rsid w:val="00A65F2F"/>
    <w:rsid w:val="00A66080"/>
    <w:rsid w:val="00A663BE"/>
    <w:rsid w:val="00A66487"/>
    <w:rsid w:val="00A664C1"/>
    <w:rsid w:val="00A665B2"/>
    <w:rsid w:val="00A666BE"/>
    <w:rsid w:val="00A66820"/>
    <w:rsid w:val="00A668D7"/>
    <w:rsid w:val="00A66A1D"/>
    <w:rsid w:val="00A66D43"/>
    <w:rsid w:val="00A66F36"/>
    <w:rsid w:val="00A67002"/>
    <w:rsid w:val="00A67065"/>
    <w:rsid w:val="00A6711B"/>
    <w:rsid w:val="00A67301"/>
    <w:rsid w:val="00A67550"/>
    <w:rsid w:val="00A6759A"/>
    <w:rsid w:val="00A675A8"/>
    <w:rsid w:val="00A676B6"/>
    <w:rsid w:val="00A676D9"/>
    <w:rsid w:val="00A67978"/>
    <w:rsid w:val="00A679A2"/>
    <w:rsid w:val="00A67B97"/>
    <w:rsid w:val="00A67C60"/>
    <w:rsid w:val="00A67CB5"/>
    <w:rsid w:val="00A67D05"/>
    <w:rsid w:val="00A67D3D"/>
    <w:rsid w:val="00A67D53"/>
    <w:rsid w:val="00A70009"/>
    <w:rsid w:val="00A70154"/>
    <w:rsid w:val="00A701E8"/>
    <w:rsid w:val="00A702E4"/>
    <w:rsid w:val="00A702FB"/>
    <w:rsid w:val="00A70439"/>
    <w:rsid w:val="00A7047A"/>
    <w:rsid w:val="00A7052C"/>
    <w:rsid w:val="00A70743"/>
    <w:rsid w:val="00A70787"/>
    <w:rsid w:val="00A70821"/>
    <w:rsid w:val="00A708D5"/>
    <w:rsid w:val="00A709F1"/>
    <w:rsid w:val="00A70B7F"/>
    <w:rsid w:val="00A70D32"/>
    <w:rsid w:val="00A70F5F"/>
    <w:rsid w:val="00A70FB2"/>
    <w:rsid w:val="00A711F6"/>
    <w:rsid w:val="00A7134D"/>
    <w:rsid w:val="00A715CB"/>
    <w:rsid w:val="00A71687"/>
    <w:rsid w:val="00A717F6"/>
    <w:rsid w:val="00A71902"/>
    <w:rsid w:val="00A71944"/>
    <w:rsid w:val="00A71A40"/>
    <w:rsid w:val="00A71A56"/>
    <w:rsid w:val="00A71AFA"/>
    <w:rsid w:val="00A71CCA"/>
    <w:rsid w:val="00A71D88"/>
    <w:rsid w:val="00A71E63"/>
    <w:rsid w:val="00A71ED4"/>
    <w:rsid w:val="00A71F94"/>
    <w:rsid w:val="00A71FEF"/>
    <w:rsid w:val="00A7213D"/>
    <w:rsid w:val="00A72440"/>
    <w:rsid w:val="00A72454"/>
    <w:rsid w:val="00A7253E"/>
    <w:rsid w:val="00A72761"/>
    <w:rsid w:val="00A7284D"/>
    <w:rsid w:val="00A72928"/>
    <w:rsid w:val="00A7297E"/>
    <w:rsid w:val="00A72A5B"/>
    <w:rsid w:val="00A72A9C"/>
    <w:rsid w:val="00A72C86"/>
    <w:rsid w:val="00A72F45"/>
    <w:rsid w:val="00A72FC1"/>
    <w:rsid w:val="00A73053"/>
    <w:rsid w:val="00A732F5"/>
    <w:rsid w:val="00A73414"/>
    <w:rsid w:val="00A735A0"/>
    <w:rsid w:val="00A735E2"/>
    <w:rsid w:val="00A73658"/>
    <w:rsid w:val="00A736F6"/>
    <w:rsid w:val="00A737EF"/>
    <w:rsid w:val="00A73838"/>
    <w:rsid w:val="00A7389B"/>
    <w:rsid w:val="00A73994"/>
    <w:rsid w:val="00A739A2"/>
    <w:rsid w:val="00A73A79"/>
    <w:rsid w:val="00A73A8B"/>
    <w:rsid w:val="00A73B4B"/>
    <w:rsid w:val="00A73B6A"/>
    <w:rsid w:val="00A73BD4"/>
    <w:rsid w:val="00A73C9D"/>
    <w:rsid w:val="00A73D74"/>
    <w:rsid w:val="00A73EEB"/>
    <w:rsid w:val="00A740BC"/>
    <w:rsid w:val="00A7459F"/>
    <w:rsid w:val="00A74776"/>
    <w:rsid w:val="00A74905"/>
    <w:rsid w:val="00A749D8"/>
    <w:rsid w:val="00A74A70"/>
    <w:rsid w:val="00A74BC6"/>
    <w:rsid w:val="00A74C3B"/>
    <w:rsid w:val="00A74C79"/>
    <w:rsid w:val="00A74CF4"/>
    <w:rsid w:val="00A74DE7"/>
    <w:rsid w:val="00A74DEB"/>
    <w:rsid w:val="00A74DFC"/>
    <w:rsid w:val="00A74FAC"/>
    <w:rsid w:val="00A7509E"/>
    <w:rsid w:val="00A750C8"/>
    <w:rsid w:val="00A75140"/>
    <w:rsid w:val="00A75266"/>
    <w:rsid w:val="00A753EA"/>
    <w:rsid w:val="00A754C0"/>
    <w:rsid w:val="00A75A47"/>
    <w:rsid w:val="00A75D03"/>
    <w:rsid w:val="00A75E98"/>
    <w:rsid w:val="00A75ECE"/>
    <w:rsid w:val="00A75EFE"/>
    <w:rsid w:val="00A75F27"/>
    <w:rsid w:val="00A75FBA"/>
    <w:rsid w:val="00A7638C"/>
    <w:rsid w:val="00A764A9"/>
    <w:rsid w:val="00A764B1"/>
    <w:rsid w:val="00A765AA"/>
    <w:rsid w:val="00A76843"/>
    <w:rsid w:val="00A7685E"/>
    <w:rsid w:val="00A76F17"/>
    <w:rsid w:val="00A770D3"/>
    <w:rsid w:val="00A77158"/>
    <w:rsid w:val="00A771ED"/>
    <w:rsid w:val="00A7722A"/>
    <w:rsid w:val="00A7733B"/>
    <w:rsid w:val="00A774D9"/>
    <w:rsid w:val="00A7765F"/>
    <w:rsid w:val="00A778F9"/>
    <w:rsid w:val="00A779C2"/>
    <w:rsid w:val="00A77C8A"/>
    <w:rsid w:val="00A77DAE"/>
    <w:rsid w:val="00A77F39"/>
    <w:rsid w:val="00A80062"/>
    <w:rsid w:val="00A80126"/>
    <w:rsid w:val="00A801EE"/>
    <w:rsid w:val="00A8030D"/>
    <w:rsid w:val="00A80320"/>
    <w:rsid w:val="00A804B8"/>
    <w:rsid w:val="00A805C7"/>
    <w:rsid w:val="00A80700"/>
    <w:rsid w:val="00A809F5"/>
    <w:rsid w:val="00A80A3D"/>
    <w:rsid w:val="00A80A48"/>
    <w:rsid w:val="00A80ACA"/>
    <w:rsid w:val="00A80AE1"/>
    <w:rsid w:val="00A80C95"/>
    <w:rsid w:val="00A80CF3"/>
    <w:rsid w:val="00A80DCB"/>
    <w:rsid w:val="00A80FC1"/>
    <w:rsid w:val="00A812C8"/>
    <w:rsid w:val="00A81355"/>
    <w:rsid w:val="00A813F1"/>
    <w:rsid w:val="00A814E7"/>
    <w:rsid w:val="00A816ED"/>
    <w:rsid w:val="00A817D1"/>
    <w:rsid w:val="00A817F3"/>
    <w:rsid w:val="00A81901"/>
    <w:rsid w:val="00A819BC"/>
    <w:rsid w:val="00A81C34"/>
    <w:rsid w:val="00A81C5F"/>
    <w:rsid w:val="00A81D30"/>
    <w:rsid w:val="00A81E2C"/>
    <w:rsid w:val="00A82036"/>
    <w:rsid w:val="00A8204E"/>
    <w:rsid w:val="00A82184"/>
    <w:rsid w:val="00A824FB"/>
    <w:rsid w:val="00A82613"/>
    <w:rsid w:val="00A82B63"/>
    <w:rsid w:val="00A82C59"/>
    <w:rsid w:val="00A82F34"/>
    <w:rsid w:val="00A83037"/>
    <w:rsid w:val="00A83210"/>
    <w:rsid w:val="00A83289"/>
    <w:rsid w:val="00A83379"/>
    <w:rsid w:val="00A83411"/>
    <w:rsid w:val="00A8354F"/>
    <w:rsid w:val="00A835B8"/>
    <w:rsid w:val="00A83707"/>
    <w:rsid w:val="00A83C50"/>
    <w:rsid w:val="00A83E88"/>
    <w:rsid w:val="00A83EBF"/>
    <w:rsid w:val="00A842EF"/>
    <w:rsid w:val="00A843D7"/>
    <w:rsid w:val="00A8447D"/>
    <w:rsid w:val="00A84555"/>
    <w:rsid w:val="00A8465C"/>
    <w:rsid w:val="00A84748"/>
    <w:rsid w:val="00A848D1"/>
    <w:rsid w:val="00A8492A"/>
    <w:rsid w:val="00A84B93"/>
    <w:rsid w:val="00A84C26"/>
    <w:rsid w:val="00A84C6A"/>
    <w:rsid w:val="00A84D4B"/>
    <w:rsid w:val="00A84E31"/>
    <w:rsid w:val="00A84E89"/>
    <w:rsid w:val="00A84EDC"/>
    <w:rsid w:val="00A84F73"/>
    <w:rsid w:val="00A84FCB"/>
    <w:rsid w:val="00A8504B"/>
    <w:rsid w:val="00A85091"/>
    <w:rsid w:val="00A850A3"/>
    <w:rsid w:val="00A85133"/>
    <w:rsid w:val="00A8514E"/>
    <w:rsid w:val="00A85385"/>
    <w:rsid w:val="00A853F2"/>
    <w:rsid w:val="00A8550E"/>
    <w:rsid w:val="00A855D1"/>
    <w:rsid w:val="00A85624"/>
    <w:rsid w:val="00A85708"/>
    <w:rsid w:val="00A85ABC"/>
    <w:rsid w:val="00A85B8A"/>
    <w:rsid w:val="00A85C59"/>
    <w:rsid w:val="00A85CC4"/>
    <w:rsid w:val="00A85D40"/>
    <w:rsid w:val="00A85D8B"/>
    <w:rsid w:val="00A85DD8"/>
    <w:rsid w:val="00A85DF9"/>
    <w:rsid w:val="00A85E91"/>
    <w:rsid w:val="00A85FFE"/>
    <w:rsid w:val="00A8600E"/>
    <w:rsid w:val="00A86120"/>
    <w:rsid w:val="00A861F8"/>
    <w:rsid w:val="00A86286"/>
    <w:rsid w:val="00A862E7"/>
    <w:rsid w:val="00A86321"/>
    <w:rsid w:val="00A8633B"/>
    <w:rsid w:val="00A8641A"/>
    <w:rsid w:val="00A865F8"/>
    <w:rsid w:val="00A8660E"/>
    <w:rsid w:val="00A866A0"/>
    <w:rsid w:val="00A866C0"/>
    <w:rsid w:val="00A866E2"/>
    <w:rsid w:val="00A867A2"/>
    <w:rsid w:val="00A867AA"/>
    <w:rsid w:val="00A86803"/>
    <w:rsid w:val="00A86817"/>
    <w:rsid w:val="00A86915"/>
    <w:rsid w:val="00A86C83"/>
    <w:rsid w:val="00A86EF1"/>
    <w:rsid w:val="00A870B1"/>
    <w:rsid w:val="00A87649"/>
    <w:rsid w:val="00A87798"/>
    <w:rsid w:val="00A8783B"/>
    <w:rsid w:val="00A87926"/>
    <w:rsid w:val="00A87A12"/>
    <w:rsid w:val="00A87A48"/>
    <w:rsid w:val="00A87A95"/>
    <w:rsid w:val="00A87B86"/>
    <w:rsid w:val="00A87BBC"/>
    <w:rsid w:val="00A87BC9"/>
    <w:rsid w:val="00A87DC4"/>
    <w:rsid w:val="00A87DF3"/>
    <w:rsid w:val="00A87E96"/>
    <w:rsid w:val="00A90061"/>
    <w:rsid w:val="00A901C4"/>
    <w:rsid w:val="00A9029A"/>
    <w:rsid w:val="00A9031D"/>
    <w:rsid w:val="00A905DB"/>
    <w:rsid w:val="00A90991"/>
    <w:rsid w:val="00A90BEF"/>
    <w:rsid w:val="00A90F37"/>
    <w:rsid w:val="00A914BC"/>
    <w:rsid w:val="00A91526"/>
    <w:rsid w:val="00A9157F"/>
    <w:rsid w:val="00A91613"/>
    <w:rsid w:val="00A91A64"/>
    <w:rsid w:val="00A91C70"/>
    <w:rsid w:val="00A91D02"/>
    <w:rsid w:val="00A91D4E"/>
    <w:rsid w:val="00A91DC6"/>
    <w:rsid w:val="00A91F1D"/>
    <w:rsid w:val="00A91FC3"/>
    <w:rsid w:val="00A9204C"/>
    <w:rsid w:val="00A9224F"/>
    <w:rsid w:val="00A92372"/>
    <w:rsid w:val="00A92443"/>
    <w:rsid w:val="00A92469"/>
    <w:rsid w:val="00A9248B"/>
    <w:rsid w:val="00A92A21"/>
    <w:rsid w:val="00A92A2D"/>
    <w:rsid w:val="00A92B52"/>
    <w:rsid w:val="00A92C4A"/>
    <w:rsid w:val="00A92E42"/>
    <w:rsid w:val="00A92E7C"/>
    <w:rsid w:val="00A92EE1"/>
    <w:rsid w:val="00A92EFB"/>
    <w:rsid w:val="00A92F73"/>
    <w:rsid w:val="00A93189"/>
    <w:rsid w:val="00A9322C"/>
    <w:rsid w:val="00A93248"/>
    <w:rsid w:val="00A93310"/>
    <w:rsid w:val="00A9360A"/>
    <w:rsid w:val="00A9385E"/>
    <w:rsid w:val="00A938D6"/>
    <w:rsid w:val="00A93AC1"/>
    <w:rsid w:val="00A93B55"/>
    <w:rsid w:val="00A93B72"/>
    <w:rsid w:val="00A93C8F"/>
    <w:rsid w:val="00A93CC5"/>
    <w:rsid w:val="00A94092"/>
    <w:rsid w:val="00A942C8"/>
    <w:rsid w:val="00A94420"/>
    <w:rsid w:val="00A9448F"/>
    <w:rsid w:val="00A94551"/>
    <w:rsid w:val="00A94692"/>
    <w:rsid w:val="00A947F1"/>
    <w:rsid w:val="00A9482B"/>
    <w:rsid w:val="00A94930"/>
    <w:rsid w:val="00A94B54"/>
    <w:rsid w:val="00A94BC2"/>
    <w:rsid w:val="00A94C09"/>
    <w:rsid w:val="00A94CE3"/>
    <w:rsid w:val="00A950FB"/>
    <w:rsid w:val="00A9515F"/>
    <w:rsid w:val="00A95250"/>
    <w:rsid w:val="00A95298"/>
    <w:rsid w:val="00A9540B"/>
    <w:rsid w:val="00A95454"/>
    <w:rsid w:val="00A954CC"/>
    <w:rsid w:val="00A95575"/>
    <w:rsid w:val="00A955C4"/>
    <w:rsid w:val="00A957A8"/>
    <w:rsid w:val="00A95967"/>
    <w:rsid w:val="00A959DC"/>
    <w:rsid w:val="00A95C17"/>
    <w:rsid w:val="00A961D0"/>
    <w:rsid w:val="00A96332"/>
    <w:rsid w:val="00A9645D"/>
    <w:rsid w:val="00A9655B"/>
    <w:rsid w:val="00A96569"/>
    <w:rsid w:val="00A96637"/>
    <w:rsid w:val="00A96737"/>
    <w:rsid w:val="00A9684E"/>
    <w:rsid w:val="00A96AC1"/>
    <w:rsid w:val="00A96B4A"/>
    <w:rsid w:val="00A97133"/>
    <w:rsid w:val="00A971EC"/>
    <w:rsid w:val="00A9728D"/>
    <w:rsid w:val="00A972E0"/>
    <w:rsid w:val="00A973EF"/>
    <w:rsid w:val="00A975F9"/>
    <w:rsid w:val="00A978C7"/>
    <w:rsid w:val="00A97ABB"/>
    <w:rsid w:val="00A97D87"/>
    <w:rsid w:val="00A97DDF"/>
    <w:rsid w:val="00A97E8F"/>
    <w:rsid w:val="00AA007C"/>
    <w:rsid w:val="00AA0262"/>
    <w:rsid w:val="00AA0450"/>
    <w:rsid w:val="00AA0489"/>
    <w:rsid w:val="00AA04E7"/>
    <w:rsid w:val="00AA0592"/>
    <w:rsid w:val="00AA066C"/>
    <w:rsid w:val="00AA07A5"/>
    <w:rsid w:val="00AA084A"/>
    <w:rsid w:val="00AA08FA"/>
    <w:rsid w:val="00AA09D9"/>
    <w:rsid w:val="00AA0A3D"/>
    <w:rsid w:val="00AA0CED"/>
    <w:rsid w:val="00AA0DEA"/>
    <w:rsid w:val="00AA0F31"/>
    <w:rsid w:val="00AA0FD3"/>
    <w:rsid w:val="00AA1059"/>
    <w:rsid w:val="00AA114E"/>
    <w:rsid w:val="00AA1238"/>
    <w:rsid w:val="00AA1249"/>
    <w:rsid w:val="00AA12C9"/>
    <w:rsid w:val="00AA1305"/>
    <w:rsid w:val="00AA13E5"/>
    <w:rsid w:val="00AA14F5"/>
    <w:rsid w:val="00AA16B7"/>
    <w:rsid w:val="00AA16CE"/>
    <w:rsid w:val="00AA18FB"/>
    <w:rsid w:val="00AA1937"/>
    <w:rsid w:val="00AA1DD0"/>
    <w:rsid w:val="00AA1DFD"/>
    <w:rsid w:val="00AA201D"/>
    <w:rsid w:val="00AA2177"/>
    <w:rsid w:val="00AA23D3"/>
    <w:rsid w:val="00AA27EC"/>
    <w:rsid w:val="00AA29A1"/>
    <w:rsid w:val="00AA29B2"/>
    <w:rsid w:val="00AA2A6F"/>
    <w:rsid w:val="00AA2C5D"/>
    <w:rsid w:val="00AA2D85"/>
    <w:rsid w:val="00AA2D97"/>
    <w:rsid w:val="00AA2F12"/>
    <w:rsid w:val="00AA2FAC"/>
    <w:rsid w:val="00AA300A"/>
    <w:rsid w:val="00AA31C0"/>
    <w:rsid w:val="00AA326B"/>
    <w:rsid w:val="00AA32B4"/>
    <w:rsid w:val="00AA333F"/>
    <w:rsid w:val="00AA343A"/>
    <w:rsid w:val="00AA351B"/>
    <w:rsid w:val="00AA36BE"/>
    <w:rsid w:val="00AA3A6C"/>
    <w:rsid w:val="00AA3B6C"/>
    <w:rsid w:val="00AA3B89"/>
    <w:rsid w:val="00AA3C69"/>
    <w:rsid w:val="00AA3DD4"/>
    <w:rsid w:val="00AA3E72"/>
    <w:rsid w:val="00AA3F24"/>
    <w:rsid w:val="00AA4008"/>
    <w:rsid w:val="00AA41A9"/>
    <w:rsid w:val="00AA420F"/>
    <w:rsid w:val="00AA44A2"/>
    <w:rsid w:val="00AA4509"/>
    <w:rsid w:val="00AA45BB"/>
    <w:rsid w:val="00AA45C9"/>
    <w:rsid w:val="00AA4663"/>
    <w:rsid w:val="00AA46CC"/>
    <w:rsid w:val="00AA4703"/>
    <w:rsid w:val="00AA4809"/>
    <w:rsid w:val="00AA4991"/>
    <w:rsid w:val="00AA4B49"/>
    <w:rsid w:val="00AA4F93"/>
    <w:rsid w:val="00AA4F95"/>
    <w:rsid w:val="00AA4FC3"/>
    <w:rsid w:val="00AA5447"/>
    <w:rsid w:val="00AA570A"/>
    <w:rsid w:val="00AA5767"/>
    <w:rsid w:val="00AA585C"/>
    <w:rsid w:val="00AA599F"/>
    <w:rsid w:val="00AA5B74"/>
    <w:rsid w:val="00AA5C3D"/>
    <w:rsid w:val="00AA5D93"/>
    <w:rsid w:val="00AA5DE0"/>
    <w:rsid w:val="00AA6243"/>
    <w:rsid w:val="00AA62BA"/>
    <w:rsid w:val="00AA63D4"/>
    <w:rsid w:val="00AA6553"/>
    <w:rsid w:val="00AA68AA"/>
    <w:rsid w:val="00AA6B4B"/>
    <w:rsid w:val="00AA755F"/>
    <w:rsid w:val="00AA7723"/>
    <w:rsid w:val="00AA7817"/>
    <w:rsid w:val="00AA78BA"/>
    <w:rsid w:val="00AA78FF"/>
    <w:rsid w:val="00AA7C12"/>
    <w:rsid w:val="00AA7DFC"/>
    <w:rsid w:val="00AB007D"/>
    <w:rsid w:val="00AB0245"/>
    <w:rsid w:val="00AB0251"/>
    <w:rsid w:val="00AB025F"/>
    <w:rsid w:val="00AB05FA"/>
    <w:rsid w:val="00AB09AF"/>
    <w:rsid w:val="00AB0AC8"/>
    <w:rsid w:val="00AB0B9B"/>
    <w:rsid w:val="00AB0C9B"/>
    <w:rsid w:val="00AB0D22"/>
    <w:rsid w:val="00AB0D45"/>
    <w:rsid w:val="00AB0F66"/>
    <w:rsid w:val="00AB1129"/>
    <w:rsid w:val="00AB11A6"/>
    <w:rsid w:val="00AB14B8"/>
    <w:rsid w:val="00AB1605"/>
    <w:rsid w:val="00AB1660"/>
    <w:rsid w:val="00AB17A6"/>
    <w:rsid w:val="00AB18DA"/>
    <w:rsid w:val="00AB19B5"/>
    <w:rsid w:val="00AB1AD5"/>
    <w:rsid w:val="00AB1C66"/>
    <w:rsid w:val="00AB1DAD"/>
    <w:rsid w:val="00AB1DD7"/>
    <w:rsid w:val="00AB1E4D"/>
    <w:rsid w:val="00AB1FCE"/>
    <w:rsid w:val="00AB21C4"/>
    <w:rsid w:val="00AB24B8"/>
    <w:rsid w:val="00AB26A4"/>
    <w:rsid w:val="00AB26BD"/>
    <w:rsid w:val="00AB275B"/>
    <w:rsid w:val="00AB2801"/>
    <w:rsid w:val="00AB28FF"/>
    <w:rsid w:val="00AB2930"/>
    <w:rsid w:val="00AB2B06"/>
    <w:rsid w:val="00AB2D57"/>
    <w:rsid w:val="00AB2FF6"/>
    <w:rsid w:val="00AB31A0"/>
    <w:rsid w:val="00AB324D"/>
    <w:rsid w:val="00AB33CB"/>
    <w:rsid w:val="00AB34ED"/>
    <w:rsid w:val="00AB3507"/>
    <w:rsid w:val="00AB3581"/>
    <w:rsid w:val="00AB3802"/>
    <w:rsid w:val="00AB3A6E"/>
    <w:rsid w:val="00AB3B0B"/>
    <w:rsid w:val="00AB3C76"/>
    <w:rsid w:val="00AB3CD2"/>
    <w:rsid w:val="00AB3E04"/>
    <w:rsid w:val="00AB3F03"/>
    <w:rsid w:val="00AB40EE"/>
    <w:rsid w:val="00AB41C5"/>
    <w:rsid w:val="00AB42A0"/>
    <w:rsid w:val="00AB4311"/>
    <w:rsid w:val="00AB4339"/>
    <w:rsid w:val="00AB4508"/>
    <w:rsid w:val="00AB45F7"/>
    <w:rsid w:val="00AB466E"/>
    <w:rsid w:val="00AB466F"/>
    <w:rsid w:val="00AB468F"/>
    <w:rsid w:val="00AB46DC"/>
    <w:rsid w:val="00AB47F3"/>
    <w:rsid w:val="00AB4816"/>
    <w:rsid w:val="00AB4824"/>
    <w:rsid w:val="00AB485B"/>
    <w:rsid w:val="00AB4976"/>
    <w:rsid w:val="00AB49EE"/>
    <w:rsid w:val="00AB4AFC"/>
    <w:rsid w:val="00AB4C83"/>
    <w:rsid w:val="00AB4FEE"/>
    <w:rsid w:val="00AB5384"/>
    <w:rsid w:val="00AB54F2"/>
    <w:rsid w:val="00AB555B"/>
    <w:rsid w:val="00AB55FE"/>
    <w:rsid w:val="00AB579C"/>
    <w:rsid w:val="00AB57BE"/>
    <w:rsid w:val="00AB581B"/>
    <w:rsid w:val="00AB59DF"/>
    <w:rsid w:val="00AB5B10"/>
    <w:rsid w:val="00AB5B6B"/>
    <w:rsid w:val="00AB5C58"/>
    <w:rsid w:val="00AB5C78"/>
    <w:rsid w:val="00AB5EEB"/>
    <w:rsid w:val="00AB5F7E"/>
    <w:rsid w:val="00AB6090"/>
    <w:rsid w:val="00AB623B"/>
    <w:rsid w:val="00AB676F"/>
    <w:rsid w:val="00AB6836"/>
    <w:rsid w:val="00AB6972"/>
    <w:rsid w:val="00AB6AD2"/>
    <w:rsid w:val="00AB6AE8"/>
    <w:rsid w:val="00AB6C50"/>
    <w:rsid w:val="00AB6C8F"/>
    <w:rsid w:val="00AB6D90"/>
    <w:rsid w:val="00AB70B9"/>
    <w:rsid w:val="00AB70FD"/>
    <w:rsid w:val="00AB72A9"/>
    <w:rsid w:val="00AB7454"/>
    <w:rsid w:val="00AB754F"/>
    <w:rsid w:val="00AB7687"/>
    <w:rsid w:val="00AB7721"/>
    <w:rsid w:val="00AB773E"/>
    <w:rsid w:val="00AB77FB"/>
    <w:rsid w:val="00AB78FB"/>
    <w:rsid w:val="00AB7C80"/>
    <w:rsid w:val="00AC0006"/>
    <w:rsid w:val="00AC011B"/>
    <w:rsid w:val="00AC02CB"/>
    <w:rsid w:val="00AC030D"/>
    <w:rsid w:val="00AC0408"/>
    <w:rsid w:val="00AC0480"/>
    <w:rsid w:val="00AC0868"/>
    <w:rsid w:val="00AC0C7C"/>
    <w:rsid w:val="00AC0D3A"/>
    <w:rsid w:val="00AC0DCE"/>
    <w:rsid w:val="00AC0FC9"/>
    <w:rsid w:val="00AC1462"/>
    <w:rsid w:val="00AC161D"/>
    <w:rsid w:val="00AC181C"/>
    <w:rsid w:val="00AC1967"/>
    <w:rsid w:val="00AC1A9C"/>
    <w:rsid w:val="00AC1B41"/>
    <w:rsid w:val="00AC1BEC"/>
    <w:rsid w:val="00AC1D4C"/>
    <w:rsid w:val="00AC1FCD"/>
    <w:rsid w:val="00AC21CC"/>
    <w:rsid w:val="00AC2260"/>
    <w:rsid w:val="00AC2418"/>
    <w:rsid w:val="00AC2524"/>
    <w:rsid w:val="00AC2562"/>
    <w:rsid w:val="00AC26A7"/>
    <w:rsid w:val="00AC27F9"/>
    <w:rsid w:val="00AC2825"/>
    <w:rsid w:val="00AC2B04"/>
    <w:rsid w:val="00AC2C48"/>
    <w:rsid w:val="00AC2DFF"/>
    <w:rsid w:val="00AC2E8D"/>
    <w:rsid w:val="00AC32A0"/>
    <w:rsid w:val="00AC33A2"/>
    <w:rsid w:val="00AC3407"/>
    <w:rsid w:val="00AC340B"/>
    <w:rsid w:val="00AC36D6"/>
    <w:rsid w:val="00AC3713"/>
    <w:rsid w:val="00AC3818"/>
    <w:rsid w:val="00AC3938"/>
    <w:rsid w:val="00AC3C66"/>
    <w:rsid w:val="00AC3CA5"/>
    <w:rsid w:val="00AC3E57"/>
    <w:rsid w:val="00AC3E7F"/>
    <w:rsid w:val="00AC3F22"/>
    <w:rsid w:val="00AC408C"/>
    <w:rsid w:val="00AC41BB"/>
    <w:rsid w:val="00AC4674"/>
    <w:rsid w:val="00AC48DE"/>
    <w:rsid w:val="00AC48F6"/>
    <w:rsid w:val="00AC494E"/>
    <w:rsid w:val="00AC4BBB"/>
    <w:rsid w:val="00AC4F70"/>
    <w:rsid w:val="00AC4FB1"/>
    <w:rsid w:val="00AC5346"/>
    <w:rsid w:val="00AC53CA"/>
    <w:rsid w:val="00AC5469"/>
    <w:rsid w:val="00AC5567"/>
    <w:rsid w:val="00AC5601"/>
    <w:rsid w:val="00AC5850"/>
    <w:rsid w:val="00AC5907"/>
    <w:rsid w:val="00AC5958"/>
    <w:rsid w:val="00AC5969"/>
    <w:rsid w:val="00AC5986"/>
    <w:rsid w:val="00AC5A46"/>
    <w:rsid w:val="00AC5A5B"/>
    <w:rsid w:val="00AC5AB0"/>
    <w:rsid w:val="00AC5B23"/>
    <w:rsid w:val="00AC5B42"/>
    <w:rsid w:val="00AC5E05"/>
    <w:rsid w:val="00AC605C"/>
    <w:rsid w:val="00AC6196"/>
    <w:rsid w:val="00AC63F4"/>
    <w:rsid w:val="00AC6471"/>
    <w:rsid w:val="00AC6548"/>
    <w:rsid w:val="00AC65B0"/>
    <w:rsid w:val="00AC65E1"/>
    <w:rsid w:val="00AC69B6"/>
    <w:rsid w:val="00AC6C0F"/>
    <w:rsid w:val="00AC6C5A"/>
    <w:rsid w:val="00AC6C99"/>
    <w:rsid w:val="00AC6E2D"/>
    <w:rsid w:val="00AC6EA9"/>
    <w:rsid w:val="00AC6EEC"/>
    <w:rsid w:val="00AC6F09"/>
    <w:rsid w:val="00AC7002"/>
    <w:rsid w:val="00AC737D"/>
    <w:rsid w:val="00AC7398"/>
    <w:rsid w:val="00AC7665"/>
    <w:rsid w:val="00AC76D6"/>
    <w:rsid w:val="00AC778B"/>
    <w:rsid w:val="00AC7906"/>
    <w:rsid w:val="00AC7B8E"/>
    <w:rsid w:val="00AC7B91"/>
    <w:rsid w:val="00AC7BAC"/>
    <w:rsid w:val="00AC7DF6"/>
    <w:rsid w:val="00AC7E25"/>
    <w:rsid w:val="00AC7F1A"/>
    <w:rsid w:val="00AD0055"/>
    <w:rsid w:val="00AD021B"/>
    <w:rsid w:val="00AD045C"/>
    <w:rsid w:val="00AD0556"/>
    <w:rsid w:val="00AD0587"/>
    <w:rsid w:val="00AD08C4"/>
    <w:rsid w:val="00AD0937"/>
    <w:rsid w:val="00AD0A53"/>
    <w:rsid w:val="00AD0A7B"/>
    <w:rsid w:val="00AD0BA2"/>
    <w:rsid w:val="00AD0E2C"/>
    <w:rsid w:val="00AD0E74"/>
    <w:rsid w:val="00AD0E83"/>
    <w:rsid w:val="00AD0FF6"/>
    <w:rsid w:val="00AD10D1"/>
    <w:rsid w:val="00AD11BD"/>
    <w:rsid w:val="00AD1292"/>
    <w:rsid w:val="00AD12A1"/>
    <w:rsid w:val="00AD1489"/>
    <w:rsid w:val="00AD1596"/>
    <w:rsid w:val="00AD1752"/>
    <w:rsid w:val="00AD19F4"/>
    <w:rsid w:val="00AD1A70"/>
    <w:rsid w:val="00AD1B23"/>
    <w:rsid w:val="00AD1C68"/>
    <w:rsid w:val="00AD1D11"/>
    <w:rsid w:val="00AD1DE1"/>
    <w:rsid w:val="00AD1E9B"/>
    <w:rsid w:val="00AD207C"/>
    <w:rsid w:val="00AD2457"/>
    <w:rsid w:val="00AD271A"/>
    <w:rsid w:val="00AD280B"/>
    <w:rsid w:val="00AD28D1"/>
    <w:rsid w:val="00AD29EE"/>
    <w:rsid w:val="00AD2C7B"/>
    <w:rsid w:val="00AD2D25"/>
    <w:rsid w:val="00AD2E24"/>
    <w:rsid w:val="00AD2EF1"/>
    <w:rsid w:val="00AD2F38"/>
    <w:rsid w:val="00AD30B1"/>
    <w:rsid w:val="00AD3304"/>
    <w:rsid w:val="00AD3599"/>
    <w:rsid w:val="00AD379F"/>
    <w:rsid w:val="00AD3950"/>
    <w:rsid w:val="00AD3A70"/>
    <w:rsid w:val="00AD3B5F"/>
    <w:rsid w:val="00AD3B9F"/>
    <w:rsid w:val="00AD3CA2"/>
    <w:rsid w:val="00AD3E21"/>
    <w:rsid w:val="00AD3F4C"/>
    <w:rsid w:val="00AD40BD"/>
    <w:rsid w:val="00AD424A"/>
    <w:rsid w:val="00AD4692"/>
    <w:rsid w:val="00AD46DF"/>
    <w:rsid w:val="00AD477D"/>
    <w:rsid w:val="00AD4812"/>
    <w:rsid w:val="00AD4822"/>
    <w:rsid w:val="00AD48F6"/>
    <w:rsid w:val="00AD49F3"/>
    <w:rsid w:val="00AD4A09"/>
    <w:rsid w:val="00AD4A45"/>
    <w:rsid w:val="00AD4BD3"/>
    <w:rsid w:val="00AD4CC4"/>
    <w:rsid w:val="00AD4CDD"/>
    <w:rsid w:val="00AD4F57"/>
    <w:rsid w:val="00AD4F9D"/>
    <w:rsid w:val="00AD504D"/>
    <w:rsid w:val="00AD510F"/>
    <w:rsid w:val="00AD551F"/>
    <w:rsid w:val="00AD55ED"/>
    <w:rsid w:val="00AD56F3"/>
    <w:rsid w:val="00AD58B2"/>
    <w:rsid w:val="00AD5A10"/>
    <w:rsid w:val="00AD5B25"/>
    <w:rsid w:val="00AD5B7E"/>
    <w:rsid w:val="00AD5C38"/>
    <w:rsid w:val="00AD5D8B"/>
    <w:rsid w:val="00AD5F46"/>
    <w:rsid w:val="00AD5F9D"/>
    <w:rsid w:val="00AD6130"/>
    <w:rsid w:val="00AD65C6"/>
    <w:rsid w:val="00AD673A"/>
    <w:rsid w:val="00AD69B8"/>
    <w:rsid w:val="00AD6DD7"/>
    <w:rsid w:val="00AD70EB"/>
    <w:rsid w:val="00AD7276"/>
    <w:rsid w:val="00AD7588"/>
    <w:rsid w:val="00AD776D"/>
    <w:rsid w:val="00AD7A80"/>
    <w:rsid w:val="00AD7A97"/>
    <w:rsid w:val="00AE002A"/>
    <w:rsid w:val="00AE01CF"/>
    <w:rsid w:val="00AE0292"/>
    <w:rsid w:val="00AE02A3"/>
    <w:rsid w:val="00AE03EE"/>
    <w:rsid w:val="00AE0463"/>
    <w:rsid w:val="00AE0567"/>
    <w:rsid w:val="00AE05B1"/>
    <w:rsid w:val="00AE067E"/>
    <w:rsid w:val="00AE07EF"/>
    <w:rsid w:val="00AE08C0"/>
    <w:rsid w:val="00AE0926"/>
    <w:rsid w:val="00AE0975"/>
    <w:rsid w:val="00AE0A71"/>
    <w:rsid w:val="00AE0B7B"/>
    <w:rsid w:val="00AE0BDC"/>
    <w:rsid w:val="00AE0CB7"/>
    <w:rsid w:val="00AE0EAD"/>
    <w:rsid w:val="00AE1144"/>
    <w:rsid w:val="00AE11D9"/>
    <w:rsid w:val="00AE132C"/>
    <w:rsid w:val="00AE156B"/>
    <w:rsid w:val="00AE1602"/>
    <w:rsid w:val="00AE161D"/>
    <w:rsid w:val="00AE16B3"/>
    <w:rsid w:val="00AE1928"/>
    <w:rsid w:val="00AE1986"/>
    <w:rsid w:val="00AE1D05"/>
    <w:rsid w:val="00AE1ED3"/>
    <w:rsid w:val="00AE2295"/>
    <w:rsid w:val="00AE240E"/>
    <w:rsid w:val="00AE247B"/>
    <w:rsid w:val="00AE24B6"/>
    <w:rsid w:val="00AE25AF"/>
    <w:rsid w:val="00AE2646"/>
    <w:rsid w:val="00AE2649"/>
    <w:rsid w:val="00AE270B"/>
    <w:rsid w:val="00AE282C"/>
    <w:rsid w:val="00AE2860"/>
    <w:rsid w:val="00AE2BC2"/>
    <w:rsid w:val="00AE2D11"/>
    <w:rsid w:val="00AE2E68"/>
    <w:rsid w:val="00AE3075"/>
    <w:rsid w:val="00AE313A"/>
    <w:rsid w:val="00AE3153"/>
    <w:rsid w:val="00AE3293"/>
    <w:rsid w:val="00AE32A8"/>
    <w:rsid w:val="00AE32DC"/>
    <w:rsid w:val="00AE34F0"/>
    <w:rsid w:val="00AE39A4"/>
    <w:rsid w:val="00AE3AD5"/>
    <w:rsid w:val="00AE3B2E"/>
    <w:rsid w:val="00AE3D42"/>
    <w:rsid w:val="00AE427D"/>
    <w:rsid w:val="00AE4368"/>
    <w:rsid w:val="00AE4548"/>
    <w:rsid w:val="00AE4640"/>
    <w:rsid w:val="00AE4654"/>
    <w:rsid w:val="00AE471F"/>
    <w:rsid w:val="00AE4B44"/>
    <w:rsid w:val="00AE4B71"/>
    <w:rsid w:val="00AE4BAB"/>
    <w:rsid w:val="00AE4BBF"/>
    <w:rsid w:val="00AE4C72"/>
    <w:rsid w:val="00AE4C8B"/>
    <w:rsid w:val="00AE4D0D"/>
    <w:rsid w:val="00AE4D2C"/>
    <w:rsid w:val="00AE4DB8"/>
    <w:rsid w:val="00AE4E0C"/>
    <w:rsid w:val="00AE5274"/>
    <w:rsid w:val="00AE52B7"/>
    <w:rsid w:val="00AE5899"/>
    <w:rsid w:val="00AE5F67"/>
    <w:rsid w:val="00AE5F85"/>
    <w:rsid w:val="00AE609B"/>
    <w:rsid w:val="00AE6134"/>
    <w:rsid w:val="00AE6724"/>
    <w:rsid w:val="00AE681E"/>
    <w:rsid w:val="00AE6A12"/>
    <w:rsid w:val="00AE71C4"/>
    <w:rsid w:val="00AE734A"/>
    <w:rsid w:val="00AE77C6"/>
    <w:rsid w:val="00AE7A20"/>
    <w:rsid w:val="00AE7B9D"/>
    <w:rsid w:val="00AE7CBA"/>
    <w:rsid w:val="00AF0059"/>
    <w:rsid w:val="00AF009C"/>
    <w:rsid w:val="00AF046B"/>
    <w:rsid w:val="00AF0755"/>
    <w:rsid w:val="00AF0B38"/>
    <w:rsid w:val="00AF0DF3"/>
    <w:rsid w:val="00AF1070"/>
    <w:rsid w:val="00AF113A"/>
    <w:rsid w:val="00AF15E4"/>
    <w:rsid w:val="00AF1CFE"/>
    <w:rsid w:val="00AF1D02"/>
    <w:rsid w:val="00AF1D86"/>
    <w:rsid w:val="00AF1E5F"/>
    <w:rsid w:val="00AF1EC1"/>
    <w:rsid w:val="00AF1F65"/>
    <w:rsid w:val="00AF20F6"/>
    <w:rsid w:val="00AF20FE"/>
    <w:rsid w:val="00AF213B"/>
    <w:rsid w:val="00AF215F"/>
    <w:rsid w:val="00AF2286"/>
    <w:rsid w:val="00AF23E1"/>
    <w:rsid w:val="00AF2438"/>
    <w:rsid w:val="00AF2478"/>
    <w:rsid w:val="00AF24D8"/>
    <w:rsid w:val="00AF2781"/>
    <w:rsid w:val="00AF2887"/>
    <w:rsid w:val="00AF2A96"/>
    <w:rsid w:val="00AF2BD2"/>
    <w:rsid w:val="00AF2DCD"/>
    <w:rsid w:val="00AF2E59"/>
    <w:rsid w:val="00AF3263"/>
    <w:rsid w:val="00AF3380"/>
    <w:rsid w:val="00AF347C"/>
    <w:rsid w:val="00AF36F2"/>
    <w:rsid w:val="00AF372A"/>
    <w:rsid w:val="00AF379C"/>
    <w:rsid w:val="00AF3828"/>
    <w:rsid w:val="00AF3877"/>
    <w:rsid w:val="00AF38AA"/>
    <w:rsid w:val="00AF3C8E"/>
    <w:rsid w:val="00AF3CF8"/>
    <w:rsid w:val="00AF3D51"/>
    <w:rsid w:val="00AF3DAE"/>
    <w:rsid w:val="00AF3E2A"/>
    <w:rsid w:val="00AF3E2B"/>
    <w:rsid w:val="00AF3E77"/>
    <w:rsid w:val="00AF3EC7"/>
    <w:rsid w:val="00AF3F71"/>
    <w:rsid w:val="00AF40C4"/>
    <w:rsid w:val="00AF40FF"/>
    <w:rsid w:val="00AF4361"/>
    <w:rsid w:val="00AF436D"/>
    <w:rsid w:val="00AF4512"/>
    <w:rsid w:val="00AF475D"/>
    <w:rsid w:val="00AF47F8"/>
    <w:rsid w:val="00AF48E8"/>
    <w:rsid w:val="00AF4925"/>
    <w:rsid w:val="00AF4AC4"/>
    <w:rsid w:val="00AF4C4E"/>
    <w:rsid w:val="00AF4C50"/>
    <w:rsid w:val="00AF4EC3"/>
    <w:rsid w:val="00AF4FEA"/>
    <w:rsid w:val="00AF5077"/>
    <w:rsid w:val="00AF521C"/>
    <w:rsid w:val="00AF524E"/>
    <w:rsid w:val="00AF52DE"/>
    <w:rsid w:val="00AF52FB"/>
    <w:rsid w:val="00AF56A2"/>
    <w:rsid w:val="00AF584E"/>
    <w:rsid w:val="00AF5859"/>
    <w:rsid w:val="00AF5935"/>
    <w:rsid w:val="00AF5A70"/>
    <w:rsid w:val="00AF5B5B"/>
    <w:rsid w:val="00AF5BB2"/>
    <w:rsid w:val="00AF5C33"/>
    <w:rsid w:val="00AF5D76"/>
    <w:rsid w:val="00AF5E97"/>
    <w:rsid w:val="00AF5F26"/>
    <w:rsid w:val="00AF5F8F"/>
    <w:rsid w:val="00AF60A4"/>
    <w:rsid w:val="00AF60AD"/>
    <w:rsid w:val="00AF6103"/>
    <w:rsid w:val="00AF6193"/>
    <w:rsid w:val="00AF62C7"/>
    <w:rsid w:val="00AF6519"/>
    <w:rsid w:val="00AF65A7"/>
    <w:rsid w:val="00AF66FF"/>
    <w:rsid w:val="00AF67CE"/>
    <w:rsid w:val="00AF682F"/>
    <w:rsid w:val="00AF6836"/>
    <w:rsid w:val="00AF6849"/>
    <w:rsid w:val="00AF6B9C"/>
    <w:rsid w:val="00AF6C1E"/>
    <w:rsid w:val="00AF6CDB"/>
    <w:rsid w:val="00AF6E1A"/>
    <w:rsid w:val="00AF702E"/>
    <w:rsid w:val="00AF749C"/>
    <w:rsid w:val="00AF74BA"/>
    <w:rsid w:val="00AF76B9"/>
    <w:rsid w:val="00AF76CB"/>
    <w:rsid w:val="00AF7730"/>
    <w:rsid w:val="00AF7812"/>
    <w:rsid w:val="00AF7857"/>
    <w:rsid w:val="00AF7867"/>
    <w:rsid w:val="00AF7918"/>
    <w:rsid w:val="00AF793A"/>
    <w:rsid w:val="00AF7A3C"/>
    <w:rsid w:val="00AF7A44"/>
    <w:rsid w:val="00AF7AD4"/>
    <w:rsid w:val="00AF7C3C"/>
    <w:rsid w:val="00AF7E8C"/>
    <w:rsid w:val="00B00028"/>
    <w:rsid w:val="00B00168"/>
    <w:rsid w:val="00B001FE"/>
    <w:rsid w:val="00B00265"/>
    <w:rsid w:val="00B002D1"/>
    <w:rsid w:val="00B00486"/>
    <w:rsid w:val="00B0085F"/>
    <w:rsid w:val="00B00A04"/>
    <w:rsid w:val="00B00A8F"/>
    <w:rsid w:val="00B00B3E"/>
    <w:rsid w:val="00B00BBC"/>
    <w:rsid w:val="00B00BDC"/>
    <w:rsid w:val="00B00D92"/>
    <w:rsid w:val="00B00E1E"/>
    <w:rsid w:val="00B00F7A"/>
    <w:rsid w:val="00B01110"/>
    <w:rsid w:val="00B0111C"/>
    <w:rsid w:val="00B01163"/>
    <w:rsid w:val="00B01235"/>
    <w:rsid w:val="00B0123C"/>
    <w:rsid w:val="00B012A2"/>
    <w:rsid w:val="00B01588"/>
    <w:rsid w:val="00B017B9"/>
    <w:rsid w:val="00B0185D"/>
    <w:rsid w:val="00B01864"/>
    <w:rsid w:val="00B01945"/>
    <w:rsid w:val="00B019F3"/>
    <w:rsid w:val="00B01A1B"/>
    <w:rsid w:val="00B01A98"/>
    <w:rsid w:val="00B01CBE"/>
    <w:rsid w:val="00B01E08"/>
    <w:rsid w:val="00B01E8F"/>
    <w:rsid w:val="00B02095"/>
    <w:rsid w:val="00B02176"/>
    <w:rsid w:val="00B022ED"/>
    <w:rsid w:val="00B02313"/>
    <w:rsid w:val="00B0235B"/>
    <w:rsid w:val="00B0237B"/>
    <w:rsid w:val="00B024B4"/>
    <w:rsid w:val="00B0254C"/>
    <w:rsid w:val="00B025BF"/>
    <w:rsid w:val="00B02926"/>
    <w:rsid w:val="00B0292D"/>
    <w:rsid w:val="00B02A11"/>
    <w:rsid w:val="00B02B35"/>
    <w:rsid w:val="00B02BDF"/>
    <w:rsid w:val="00B02BE5"/>
    <w:rsid w:val="00B02BF6"/>
    <w:rsid w:val="00B02E64"/>
    <w:rsid w:val="00B02E8E"/>
    <w:rsid w:val="00B0304F"/>
    <w:rsid w:val="00B031F9"/>
    <w:rsid w:val="00B03235"/>
    <w:rsid w:val="00B033D0"/>
    <w:rsid w:val="00B033D1"/>
    <w:rsid w:val="00B03496"/>
    <w:rsid w:val="00B0371A"/>
    <w:rsid w:val="00B03746"/>
    <w:rsid w:val="00B037B8"/>
    <w:rsid w:val="00B0383D"/>
    <w:rsid w:val="00B0392D"/>
    <w:rsid w:val="00B03ABD"/>
    <w:rsid w:val="00B03B44"/>
    <w:rsid w:val="00B03B9E"/>
    <w:rsid w:val="00B03C01"/>
    <w:rsid w:val="00B03C96"/>
    <w:rsid w:val="00B03EE3"/>
    <w:rsid w:val="00B03F99"/>
    <w:rsid w:val="00B0402E"/>
    <w:rsid w:val="00B042B9"/>
    <w:rsid w:val="00B04430"/>
    <w:rsid w:val="00B044E3"/>
    <w:rsid w:val="00B0455B"/>
    <w:rsid w:val="00B04639"/>
    <w:rsid w:val="00B0467F"/>
    <w:rsid w:val="00B04696"/>
    <w:rsid w:val="00B048AA"/>
    <w:rsid w:val="00B048DB"/>
    <w:rsid w:val="00B048FF"/>
    <w:rsid w:val="00B04A7F"/>
    <w:rsid w:val="00B04A81"/>
    <w:rsid w:val="00B04B28"/>
    <w:rsid w:val="00B04C3E"/>
    <w:rsid w:val="00B04D17"/>
    <w:rsid w:val="00B04F76"/>
    <w:rsid w:val="00B04F9E"/>
    <w:rsid w:val="00B05004"/>
    <w:rsid w:val="00B050BB"/>
    <w:rsid w:val="00B051CD"/>
    <w:rsid w:val="00B051E1"/>
    <w:rsid w:val="00B05305"/>
    <w:rsid w:val="00B05339"/>
    <w:rsid w:val="00B0547B"/>
    <w:rsid w:val="00B0561C"/>
    <w:rsid w:val="00B05717"/>
    <w:rsid w:val="00B057FC"/>
    <w:rsid w:val="00B05877"/>
    <w:rsid w:val="00B05964"/>
    <w:rsid w:val="00B059B0"/>
    <w:rsid w:val="00B05AA5"/>
    <w:rsid w:val="00B05AF8"/>
    <w:rsid w:val="00B06004"/>
    <w:rsid w:val="00B0615A"/>
    <w:rsid w:val="00B0620A"/>
    <w:rsid w:val="00B062BB"/>
    <w:rsid w:val="00B06499"/>
    <w:rsid w:val="00B06509"/>
    <w:rsid w:val="00B0676E"/>
    <w:rsid w:val="00B0681B"/>
    <w:rsid w:val="00B06834"/>
    <w:rsid w:val="00B0687C"/>
    <w:rsid w:val="00B06979"/>
    <w:rsid w:val="00B06D34"/>
    <w:rsid w:val="00B06DF0"/>
    <w:rsid w:val="00B06E04"/>
    <w:rsid w:val="00B06F3A"/>
    <w:rsid w:val="00B0701A"/>
    <w:rsid w:val="00B072D7"/>
    <w:rsid w:val="00B072D9"/>
    <w:rsid w:val="00B07368"/>
    <w:rsid w:val="00B0741C"/>
    <w:rsid w:val="00B07424"/>
    <w:rsid w:val="00B075C5"/>
    <w:rsid w:val="00B07896"/>
    <w:rsid w:val="00B07952"/>
    <w:rsid w:val="00B07A88"/>
    <w:rsid w:val="00B07B06"/>
    <w:rsid w:val="00B07B5F"/>
    <w:rsid w:val="00B07D19"/>
    <w:rsid w:val="00B100CC"/>
    <w:rsid w:val="00B100E4"/>
    <w:rsid w:val="00B1017D"/>
    <w:rsid w:val="00B102FE"/>
    <w:rsid w:val="00B103E9"/>
    <w:rsid w:val="00B10574"/>
    <w:rsid w:val="00B10642"/>
    <w:rsid w:val="00B106CC"/>
    <w:rsid w:val="00B10709"/>
    <w:rsid w:val="00B10A3E"/>
    <w:rsid w:val="00B10D15"/>
    <w:rsid w:val="00B1117E"/>
    <w:rsid w:val="00B112B3"/>
    <w:rsid w:val="00B11326"/>
    <w:rsid w:val="00B11370"/>
    <w:rsid w:val="00B11724"/>
    <w:rsid w:val="00B11842"/>
    <w:rsid w:val="00B118A6"/>
    <w:rsid w:val="00B11A29"/>
    <w:rsid w:val="00B11DC4"/>
    <w:rsid w:val="00B11E5C"/>
    <w:rsid w:val="00B11FCD"/>
    <w:rsid w:val="00B12023"/>
    <w:rsid w:val="00B120C6"/>
    <w:rsid w:val="00B12109"/>
    <w:rsid w:val="00B1219F"/>
    <w:rsid w:val="00B123A9"/>
    <w:rsid w:val="00B12416"/>
    <w:rsid w:val="00B12908"/>
    <w:rsid w:val="00B129A2"/>
    <w:rsid w:val="00B12D7D"/>
    <w:rsid w:val="00B12DFC"/>
    <w:rsid w:val="00B12E0C"/>
    <w:rsid w:val="00B13028"/>
    <w:rsid w:val="00B13214"/>
    <w:rsid w:val="00B133A8"/>
    <w:rsid w:val="00B13575"/>
    <w:rsid w:val="00B13650"/>
    <w:rsid w:val="00B1370F"/>
    <w:rsid w:val="00B1386E"/>
    <w:rsid w:val="00B13A44"/>
    <w:rsid w:val="00B13B32"/>
    <w:rsid w:val="00B13B8E"/>
    <w:rsid w:val="00B13CCE"/>
    <w:rsid w:val="00B13CE7"/>
    <w:rsid w:val="00B13EF9"/>
    <w:rsid w:val="00B13EFA"/>
    <w:rsid w:val="00B13F2E"/>
    <w:rsid w:val="00B1414E"/>
    <w:rsid w:val="00B142C2"/>
    <w:rsid w:val="00B14383"/>
    <w:rsid w:val="00B143B9"/>
    <w:rsid w:val="00B14552"/>
    <w:rsid w:val="00B14629"/>
    <w:rsid w:val="00B14783"/>
    <w:rsid w:val="00B147D9"/>
    <w:rsid w:val="00B148A1"/>
    <w:rsid w:val="00B148A3"/>
    <w:rsid w:val="00B148C8"/>
    <w:rsid w:val="00B14C71"/>
    <w:rsid w:val="00B14CED"/>
    <w:rsid w:val="00B14D3A"/>
    <w:rsid w:val="00B14D4B"/>
    <w:rsid w:val="00B14D73"/>
    <w:rsid w:val="00B14E5A"/>
    <w:rsid w:val="00B15018"/>
    <w:rsid w:val="00B15179"/>
    <w:rsid w:val="00B153FE"/>
    <w:rsid w:val="00B155B6"/>
    <w:rsid w:val="00B155DC"/>
    <w:rsid w:val="00B15614"/>
    <w:rsid w:val="00B157D4"/>
    <w:rsid w:val="00B15989"/>
    <w:rsid w:val="00B159F4"/>
    <w:rsid w:val="00B15AD7"/>
    <w:rsid w:val="00B15BDC"/>
    <w:rsid w:val="00B15BF8"/>
    <w:rsid w:val="00B15CE1"/>
    <w:rsid w:val="00B15CEE"/>
    <w:rsid w:val="00B15EA9"/>
    <w:rsid w:val="00B15F06"/>
    <w:rsid w:val="00B160AB"/>
    <w:rsid w:val="00B16450"/>
    <w:rsid w:val="00B16468"/>
    <w:rsid w:val="00B16572"/>
    <w:rsid w:val="00B16806"/>
    <w:rsid w:val="00B16AF7"/>
    <w:rsid w:val="00B16C47"/>
    <w:rsid w:val="00B16D8A"/>
    <w:rsid w:val="00B16E00"/>
    <w:rsid w:val="00B16E08"/>
    <w:rsid w:val="00B16E32"/>
    <w:rsid w:val="00B16F80"/>
    <w:rsid w:val="00B16FC7"/>
    <w:rsid w:val="00B177BF"/>
    <w:rsid w:val="00B178E3"/>
    <w:rsid w:val="00B1790A"/>
    <w:rsid w:val="00B17A1E"/>
    <w:rsid w:val="00B17A35"/>
    <w:rsid w:val="00B17AAC"/>
    <w:rsid w:val="00B17F15"/>
    <w:rsid w:val="00B17F54"/>
    <w:rsid w:val="00B17FBD"/>
    <w:rsid w:val="00B200C6"/>
    <w:rsid w:val="00B200EA"/>
    <w:rsid w:val="00B201E8"/>
    <w:rsid w:val="00B2027A"/>
    <w:rsid w:val="00B202A5"/>
    <w:rsid w:val="00B204A2"/>
    <w:rsid w:val="00B205BB"/>
    <w:rsid w:val="00B206B0"/>
    <w:rsid w:val="00B2081F"/>
    <w:rsid w:val="00B2085C"/>
    <w:rsid w:val="00B20ABB"/>
    <w:rsid w:val="00B20CE5"/>
    <w:rsid w:val="00B20E5A"/>
    <w:rsid w:val="00B21192"/>
    <w:rsid w:val="00B212CC"/>
    <w:rsid w:val="00B21346"/>
    <w:rsid w:val="00B21380"/>
    <w:rsid w:val="00B2151E"/>
    <w:rsid w:val="00B215CD"/>
    <w:rsid w:val="00B21604"/>
    <w:rsid w:val="00B21686"/>
    <w:rsid w:val="00B218FD"/>
    <w:rsid w:val="00B21A6B"/>
    <w:rsid w:val="00B21B14"/>
    <w:rsid w:val="00B21B9A"/>
    <w:rsid w:val="00B222BD"/>
    <w:rsid w:val="00B222C5"/>
    <w:rsid w:val="00B22326"/>
    <w:rsid w:val="00B2240C"/>
    <w:rsid w:val="00B227DA"/>
    <w:rsid w:val="00B22852"/>
    <w:rsid w:val="00B22966"/>
    <w:rsid w:val="00B22C30"/>
    <w:rsid w:val="00B22D36"/>
    <w:rsid w:val="00B22EE4"/>
    <w:rsid w:val="00B230F7"/>
    <w:rsid w:val="00B23487"/>
    <w:rsid w:val="00B2367A"/>
    <w:rsid w:val="00B23729"/>
    <w:rsid w:val="00B2388D"/>
    <w:rsid w:val="00B23993"/>
    <w:rsid w:val="00B239A9"/>
    <w:rsid w:val="00B23D90"/>
    <w:rsid w:val="00B23E59"/>
    <w:rsid w:val="00B23E89"/>
    <w:rsid w:val="00B23F40"/>
    <w:rsid w:val="00B23F4C"/>
    <w:rsid w:val="00B23FCF"/>
    <w:rsid w:val="00B240E4"/>
    <w:rsid w:val="00B240F2"/>
    <w:rsid w:val="00B24276"/>
    <w:rsid w:val="00B242D2"/>
    <w:rsid w:val="00B2445D"/>
    <w:rsid w:val="00B2449F"/>
    <w:rsid w:val="00B2481F"/>
    <w:rsid w:val="00B24B80"/>
    <w:rsid w:val="00B24BE6"/>
    <w:rsid w:val="00B24D97"/>
    <w:rsid w:val="00B24E46"/>
    <w:rsid w:val="00B24F60"/>
    <w:rsid w:val="00B24F71"/>
    <w:rsid w:val="00B2502C"/>
    <w:rsid w:val="00B251A2"/>
    <w:rsid w:val="00B25387"/>
    <w:rsid w:val="00B256B7"/>
    <w:rsid w:val="00B25787"/>
    <w:rsid w:val="00B25A9F"/>
    <w:rsid w:val="00B25C67"/>
    <w:rsid w:val="00B25CAE"/>
    <w:rsid w:val="00B25D66"/>
    <w:rsid w:val="00B25E03"/>
    <w:rsid w:val="00B25E63"/>
    <w:rsid w:val="00B25E83"/>
    <w:rsid w:val="00B25F96"/>
    <w:rsid w:val="00B2600A"/>
    <w:rsid w:val="00B26058"/>
    <w:rsid w:val="00B2608B"/>
    <w:rsid w:val="00B260B1"/>
    <w:rsid w:val="00B2616B"/>
    <w:rsid w:val="00B2645E"/>
    <w:rsid w:val="00B26717"/>
    <w:rsid w:val="00B269C2"/>
    <w:rsid w:val="00B26A31"/>
    <w:rsid w:val="00B26A90"/>
    <w:rsid w:val="00B26AF4"/>
    <w:rsid w:val="00B26B4E"/>
    <w:rsid w:val="00B26B9F"/>
    <w:rsid w:val="00B26D43"/>
    <w:rsid w:val="00B26E23"/>
    <w:rsid w:val="00B26EDB"/>
    <w:rsid w:val="00B270BB"/>
    <w:rsid w:val="00B27127"/>
    <w:rsid w:val="00B27241"/>
    <w:rsid w:val="00B273DE"/>
    <w:rsid w:val="00B274D5"/>
    <w:rsid w:val="00B2762F"/>
    <w:rsid w:val="00B2764F"/>
    <w:rsid w:val="00B2772E"/>
    <w:rsid w:val="00B277BA"/>
    <w:rsid w:val="00B277E5"/>
    <w:rsid w:val="00B27AD8"/>
    <w:rsid w:val="00B27C40"/>
    <w:rsid w:val="00B27CBC"/>
    <w:rsid w:val="00B27CF6"/>
    <w:rsid w:val="00B27D81"/>
    <w:rsid w:val="00B27DB8"/>
    <w:rsid w:val="00B27DDD"/>
    <w:rsid w:val="00B30011"/>
    <w:rsid w:val="00B3004E"/>
    <w:rsid w:val="00B300EA"/>
    <w:rsid w:val="00B30170"/>
    <w:rsid w:val="00B3019A"/>
    <w:rsid w:val="00B30630"/>
    <w:rsid w:val="00B307BC"/>
    <w:rsid w:val="00B3081D"/>
    <w:rsid w:val="00B308DF"/>
    <w:rsid w:val="00B308EB"/>
    <w:rsid w:val="00B30B26"/>
    <w:rsid w:val="00B30C8A"/>
    <w:rsid w:val="00B30D0F"/>
    <w:rsid w:val="00B30F77"/>
    <w:rsid w:val="00B30FC1"/>
    <w:rsid w:val="00B31118"/>
    <w:rsid w:val="00B312A4"/>
    <w:rsid w:val="00B313F6"/>
    <w:rsid w:val="00B3145D"/>
    <w:rsid w:val="00B315AD"/>
    <w:rsid w:val="00B3174B"/>
    <w:rsid w:val="00B31B79"/>
    <w:rsid w:val="00B31C6A"/>
    <w:rsid w:val="00B31D75"/>
    <w:rsid w:val="00B31E40"/>
    <w:rsid w:val="00B31E72"/>
    <w:rsid w:val="00B31EC4"/>
    <w:rsid w:val="00B31F11"/>
    <w:rsid w:val="00B3209D"/>
    <w:rsid w:val="00B320C4"/>
    <w:rsid w:val="00B3213C"/>
    <w:rsid w:val="00B321E5"/>
    <w:rsid w:val="00B32208"/>
    <w:rsid w:val="00B32270"/>
    <w:rsid w:val="00B3242D"/>
    <w:rsid w:val="00B325FE"/>
    <w:rsid w:val="00B326CF"/>
    <w:rsid w:val="00B32794"/>
    <w:rsid w:val="00B3285E"/>
    <w:rsid w:val="00B32AC2"/>
    <w:rsid w:val="00B32CF0"/>
    <w:rsid w:val="00B32D57"/>
    <w:rsid w:val="00B32DFE"/>
    <w:rsid w:val="00B33140"/>
    <w:rsid w:val="00B33410"/>
    <w:rsid w:val="00B3359F"/>
    <w:rsid w:val="00B3388F"/>
    <w:rsid w:val="00B3392D"/>
    <w:rsid w:val="00B339B6"/>
    <w:rsid w:val="00B33A1F"/>
    <w:rsid w:val="00B33BEB"/>
    <w:rsid w:val="00B33C63"/>
    <w:rsid w:val="00B33CA4"/>
    <w:rsid w:val="00B33DC2"/>
    <w:rsid w:val="00B33E46"/>
    <w:rsid w:val="00B33EA1"/>
    <w:rsid w:val="00B34194"/>
    <w:rsid w:val="00B342FF"/>
    <w:rsid w:val="00B34477"/>
    <w:rsid w:val="00B3449D"/>
    <w:rsid w:val="00B34690"/>
    <w:rsid w:val="00B3485E"/>
    <w:rsid w:val="00B349CD"/>
    <w:rsid w:val="00B349FB"/>
    <w:rsid w:val="00B34CEE"/>
    <w:rsid w:val="00B34CFC"/>
    <w:rsid w:val="00B34DF0"/>
    <w:rsid w:val="00B35056"/>
    <w:rsid w:val="00B35187"/>
    <w:rsid w:val="00B351E4"/>
    <w:rsid w:val="00B352DB"/>
    <w:rsid w:val="00B352DF"/>
    <w:rsid w:val="00B35322"/>
    <w:rsid w:val="00B3564B"/>
    <w:rsid w:val="00B356A5"/>
    <w:rsid w:val="00B359F3"/>
    <w:rsid w:val="00B35A3C"/>
    <w:rsid w:val="00B35CC2"/>
    <w:rsid w:val="00B35F6B"/>
    <w:rsid w:val="00B3602E"/>
    <w:rsid w:val="00B36104"/>
    <w:rsid w:val="00B361D0"/>
    <w:rsid w:val="00B361FD"/>
    <w:rsid w:val="00B363BA"/>
    <w:rsid w:val="00B3651F"/>
    <w:rsid w:val="00B3691C"/>
    <w:rsid w:val="00B3691D"/>
    <w:rsid w:val="00B3692C"/>
    <w:rsid w:val="00B369A8"/>
    <w:rsid w:val="00B36AB2"/>
    <w:rsid w:val="00B36C33"/>
    <w:rsid w:val="00B36C6E"/>
    <w:rsid w:val="00B36DF1"/>
    <w:rsid w:val="00B36EA6"/>
    <w:rsid w:val="00B3701F"/>
    <w:rsid w:val="00B37582"/>
    <w:rsid w:val="00B3764D"/>
    <w:rsid w:val="00B37749"/>
    <w:rsid w:val="00B37861"/>
    <w:rsid w:val="00B37949"/>
    <w:rsid w:val="00B37B82"/>
    <w:rsid w:val="00B37BE6"/>
    <w:rsid w:val="00B37C08"/>
    <w:rsid w:val="00B37C51"/>
    <w:rsid w:val="00B37C85"/>
    <w:rsid w:val="00B37D56"/>
    <w:rsid w:val="00B37D9D"/>
    <w:rsid w:val="00B40061"/>
    <w:rsid w:val="00B40072"/>
    <w:rsid w:val="00B40089"/>
    <w:rsid w:val="00B40394"/>
    <w:rsid w:val="00B403A7"/>
    <w:rsid w:val="00B403EB"/>
    <w:rsid w:val="00B4054D"/>
    <w:rsid w:val="00B405D0"/>
    <w:rsid w:val="00B4077F"/>
    <w:rsid w:val="00B409CB"/>
    <w:rsid w:val="00B40A84"/>
    <w:rsid w:val="00B40C11"/>
    <w:rsid w:val="00B40DD0"/>
    <w:rsid w:val="00B40E85"/>
    <w:rsid w:val="00B40EDA"/>
    <w:rsid w:val="00B40F4D"/>
    <w:rsid w:val="00B4126F"/>
    <w:rsid w:val="00B41286"/>
    <w:rsid w:val="00B41318"/>
    <w:rsid w:val="00B413EE"/>
    <w:rsid w:val="00B41503"/>
    <w:rsid w:val="00B41526"/>
    <w:rsid w:val="00B416D4"/>
    <w:rsid w:val="00B41739"/>
    <w:rsid w:val="00B4176F"/>
    <w:rsid w:val="00B4184F"/>
    <w:rsid w:val="00B41A2F"/>
    <w:rsid w:val="00B41AE7"/>
    <w:rsid w:val="00B41AFF"/>
    <w:rsid w:val="00B41BA7"/>
    <w:rsid w:val="00B41BE8"/>
    <w:rsid w:val="00B41DF1"/>
    <w:rsid w:val="00B42004"/>
    <w:rsid w:val="00B420B8"/>
    <w:rsid w:val="00B426BE"/>
    <w:rsid w:val="00B42CFB"/>
    <w:rsid w:val="00B42D69"/>
    <w:rsid w:val="00B42E5A"/>
    <w:rsid w:val="00B42FFC"/>
    <w:rsid w:val="00B43004"/>
    <w:rsid w:val="00B4308B"/>
    <w:rsid w:val="00B4322C"/>
    <w:rsid w:val="00B432B2"/>
    <w:rsid w:val="00B43322"/>
    <w:rsid w:val="00B43323"/>
    <w:rsid w:val="00B43756"/>
    <w:rsid w:val="00B43776"/>
    <w:rsid w:val="00B437D8"/>
    <w:rsid w:val="00B43953"/>
    <w:rsid w:val="00B4397C"/>
    <w:rsid w:val="00B43E18"/>
    <w:rsid w:val="00B44281"/>
    <w:rsid w:val="00B44294"/>
    <w:rsid w:val="00B44437"/>
    <w:rsid w:val="00B44512"/>
    <w:rsid w:val="00B44571"/>
    <w:rsid w:val="00B445EC"/>
    <w:rsid w:val="00B44702"/>
    <w:rsid w:val="00B44800"/>
    <w:rsid w:val="00B44816"/>
    <w:rsid w:val="00B4487D"/>
    <w:rsid w:val="00B449EA"/>
    <w:rsid w:val="00B44BFC"/>
    <w:rsid w:val="00B44DCE"/>
    <w:rsid w:val="00B44E0B"/>
    <w:rsid w:val="00B44ED8"/>
    <w:rsid w:val="00B45055"/>
    <w:rsid w:val="00B45136"/>
    <w:rsid w:val="00B45388"/>
    <w:rsid w:val="00B4543A"/>
    <w:rsid w:val="00B4543E"/>
    <w:rsid w:val="00B45478"/>
    <w:rsid w:val="00B4566C"/>
    <w:rsid w:val="00B4568B"/>
    <w:rsid w:val="00B4594E"/>
    <w:rsid w:val="00B45966"/>
    <w:rsid w:val="00B4601E"/>
    <w:rsid w:val="00B46093"/>
    <w:rsid w:val="00B464BD"/>
    <w:rsid w:val="00B466E1"/>
    <w:rsid w:val="00B46AD1"/>
    <w:rsid w:val="00B46AF6"/>
    <w:rsid w:val="00B46B98"/>
    <w:rsid w:val="00B46D0C"/>
    <w:rsid w:val="00B46DB8"/>
    <w:rsid w:val="00B46F21"/>
    <w:rsid w:val="00B47009"/>
    <w:rsid w:val="00B47077"/>
    <w:rsid w:val="00B470A6"/>
    <w:rsid w:val="00B4723A"/>
    <w:rsid w:val="00B47242"/>
    <w:rsid w:val="00B474A1"/>
    <w:rsid w:val="00B4750A"/>
    <w:rsid w:val="00B4757B"/>
    <w:rsid w:val="00B476A2"/>
    <w:rsid w:val="00B476D4"/>
    <w:rsid w:val="00B47717"/>
    <w:rsid w:val="00B478AC"/>
    <w:rsid w:val="00B47B18"/>
    <w:rsid w:val="00B47CA4"/>
    <w:rsid w:val="00B47E64"/>
    <w:rsid w:val="00B47F0C"/>
    <w:rsid w:val="00B5036A"/>
    <w:rsid w:val="00B5039E"/>
    <w:rsid w:val="00B50453"/>
    <w:rsid w:val="00B50661"/>
    <w:rsid w:val="00B50916"/>
    <w:rsid w:val="00B50A03"/>
    <w:rsid w:val="00B50A96"/>
    <w:rsid w:val="00B50B22"/>
    <w:rsid w:val="00B50E00"/>
    <w:rsid w:val="00B5133B"/>
    <w:rsid w:val="00B5160D"/>
    <w:rsid w:val="00B516A0"/>
    <w:rsid w:val="00B51B10"/>
    <w:rsid w:val="00B51B40"/>
    <w:rsid w:val="00B51B52"/>
    <w:rsid w:val="00B51C45"/>
    <w:rsid w:val="00B51E8F"/>
    <w:rsid w:val="00B51F55"/>
    <w:rsid w:val="00B52435"/>
    <w:rsid w:val="00B52471"/>
    <w:rsid w:val="00B52512"/>
    <w:rsid w:val="00B52514"/>
    <w:rsid w:val="00B5253D"/>
    <w:rsid w:val="00B5260F"/>
    <w:rsid w:val="00B5265E"/>
    <w:rsid w:val="00B52865"/>
    <w:rsid w:val="00B5288D"/>
    <w:rsid w:val="00B52DDD"/>
    <w:rsid w:val="00B52E04"/>
    <w:rsid w:val="00B530BA"/>
    <w:rsid w:val="00B53126"/>
    <w:rsid w:val="00B532EA"/>
    <w:rsid w:val="00B53540"/>
    <w:rsid w:val="00B53585"/>
    <w:rsid w:val="00B53640"/>
    <w:rsid w:val="00B5367F"/>
    <w:rsid w:val="00B536A1"/>
    <w:rsid w:val="00B537B0"/>
    <w:rsid w:val="00B53A6C"/>
    <w:rsid w:val="00B53F6F"/>
    <w:rsid w:val="00B54014"/>
    <w:rsid w:val="00B54076"/>
    <w:rsid w:val="00B5416C"/>
    <w:rsid w:val="00B542E2"/>
    <w:rsid w:val="00B542EB"/>
    <w:rsid w:val="00B542FC"/>
    <w:rsid w:val="00B5430B"/>
    <w:rsid w:val="00B54839"/>
    <w:rsid w:val="00B54A70"/>
    <w:rsid w:val="00B54BF2"/>
    <w:rsid w:val="00B54F31"/>
    <w:rsid w:val="00B54FF6"/>
    <w:rsid w:val="00B5500E"/>
    <w:rsid w:val="00B55121"/>
    <w:rsid w:val="00B55185"/>
    <w:rsid w:val="00B553AF"/>
    <w:rsid w:val="00B554A6"/>
    <w:rsid w:val="00B554CC"/>
    <w:rsid w:val="00B555BE"/>
    <w:rsid w:val="00B5574E"/>
    <w:rsid w:val="00B55B1D"/>
    <w:rsid w:val="00B55B32"/>
    <w:rsid w:val="00B55B44"/>
    <w:rsid w:val="00B55E0D"/>
    <w:rsid w:val="00B55F70"/>
    <w:rsid w:val="00B560E4"/>
    <w:rsid w:val="00B56128"/>
    <w:rsid w:val="00B561D3"/>
    <w:rsid w:val="00B56232"/>
    <w:rsid w:val="00B562C7"/>
    <w:rsid w:val="00B56C0F"/>
    <w:rsid w:val="00B56CD9"/>
    <w:rsid w:val="00B56E20"/>
    <w:rsid w:val="00B56EF5"/>
    <w:rsid w:val="00B5706B"/>
    <w:rsid w:val="00B570A8"/>
    <w:rsid w:val="00B572A0"/>
    <w:rsid w:val="00B57466"/>
    <w:rsid w:val="00B575FB"/>
    <w:rsid w:val="00B5765D"/>
    <w:rsid w:val="00B57665"/>
    <w:rsid w:val="00B5786C"/>
    <w:rsid w:val="00B57975"/>
    <w:rsid w:val="00B57D6E"/>
    <w:rsid w:val="00B60218"/>
    <w:rsid w:val="00B602B8"/>
    <w:rsid w:val="00B608EC"/>
    <w:rsid w:val="00B60981"/>
    <w:rsid w:val="00B60A07"/>
    <w:rsid w:val="00B60AC8"/>
    <w:rsid w:val="00B60C5A"/>
    <w:rsid w:val="00B60F20"/>
    <w:rsid w:val="00B60F21"/>
    <w:rsid w:val="00B60F35"/>
    <w:rsid w:val="00B6103D"/>
    <w:rsid w:val="00B61516"/>
    <w:rsid w:val="00B6186F"/>
    <w:rsid w:val="00B61967"/>
    <w:rsid w:val="00B61982"/>
    <w:rsid w:val="00B6198E"/>
    <w:rsid w:val="00B61B15"/>
    <w:rsid w:val="00B61B18"/>
    <w:rsid w:val="00B61BB4"/>
    <w:rsid w:val="00B61BC6"/>
    <w:rsid w:val="00B61D15"/>
    <w:rsid w:val="00B61D17"/>
    <w:rsid w:val="00B61D29"/>
    <w:rsid w:val="00B62251"/>
    <w:rsid w:val="00B623C4"/>
    <w:rsid w:val="00B6256C"/>
    <w:rsid w:val="00B62809"/>
    <w:rsid w:val="00B62AF0"/>
    <w:rsid w:val="00B62BCA"/>
    <w:rsid w:val="00B62C07"/>
    <w:rsid w:val="00B62C0E"/>
    <w:rsid w:val="00B62C94"/>
    <w:rsid w:val="00B62CD0"/>
    <w:rsid w:val="00B62EAB"/>
    <w:rsid w:val="00B632F6"/>
    <w:rsid w:val="00B63378"/>
    <w:rsid w:val="00B633DB"/>
    <w:rsid w:val="00B6348B"/>
    <w:rsid w:val="00B634BD"/>
    <w:rsid w:val="00B635FA"/>
    <w:rsid w:val="00B637A7"/>
    <w:rsid w:val="00B637AA"/>
    <w:rsid w:val="00B63821"/>
    <w:rsid w:val="00B638E3"/>
    <w:rsid w:val="00B63903"/>
    <w:rsid w:val="00B63B4C"/>
    <w:rsid w:val="00B63BD9"/>
    <w:rsid w:val="00B63C28"/>
    <w:rsid w:val="00B63CC9"/>
    <w:rsid w:val="00B64257"/>
    <w:rsid w:val="00B642F8"/>
    <w:rsid w:val="00B643AD"/>
    <w:rsid w:val="00B6447B"/>
    <w:rsid w:val="00B644CC"/>
    <w:rsid w:val="00B646C1"/>
    <w:rsid w:val="00B64762"/>
    <w:rsid w:val="00B649AF"/>
    <w:rsid w:val="00B64B8C"/>
    <w:rsid w:val="00B64BAA"/>
    <w:rsid w:val="00B64E78"/>
    <w:rsid w:val="00B6505B"/>
    <w:rsid w:val="00B65061"/>
    <w:rsid w:val="00B65183"/>
    <w:rsid w:val="00B65343"/>
    <w:rsid w:val="00B6558D"/>
    <w:rsid w:val="00B655B1"/>
    <w:rsid w:val="00B657AC"/>
    <w:rsid w:val="00B65878"/>
    <w:rsid w:val="00B658E2"/>
    <w:rsid w:val="00B65904"/>
    <w:rsid w:val="00B65B00"/>
    <w:rsid w:val="00B65BD3"/>
    <w:rsid w:val="00B65D14"/>
    <w:rsid w:val="00B65F28"/>
    <w:rsid w:val="00B6619C"/>
    <w:rsid w:val="00B6619D"/>
    <w:rsid w:val="00B662BF"/>
    <w:rsid w:val="00B662DA"/>
    <w:rsid w:val="00B663B9"/>
    <w:rsid w:val="00B66404"/>
    <w:rsid w:val="00B665A9"/>
    <w:rsid w:val="00B6671F"/>
    <w:rsid w:val="00B667E7"/>
    <w:rsid w:val="00B669F1"/>
    <w:rsid w:val="00B66BEE"/>
    <w:rsid w:val="00B66D2D"/>
    <w:rsid w:val="00B66FFB"/>
    <w:rsid w:val="00B670DC"/>
    <w:rsid w:val="00B670E2"/>
    <w:rsid w:val="00B67276"/>
    <w:rsid w:val="00B673E4"/>
    <w:rsid w:val="00B67408"/>
    <w:rsid w:val="00B674FC"/>
    <w:rsid w:val="00B6760E"/>
    <w:rsid w:val="00B676D9"/>
    <w:rsid w:val="00B676E5"/>
    <w:rsid w:val="00B677E0"/>
    <w:rsid w:val="00B67D5C"/>
    <w:rsid w:val="00B67E5D"/>
    <w:rsid w:val="00B7012A"/>
    <w:rsid w:val="00B7017A"/>
    <w:rsid w:val="00B7027A"/>
    <w:rsid w:val="00B70688"/>
    <w:rsid w:val="00B7070E"/>
    <w:rsid w:val="00B70769"/>
    <w:rsid w:val="00B70849"/>
    <w:rsid w:val="00B709BA"/>
    <w:rsid w:val="00B70D6C"/>
    <w:rsid w:val="00B70DA8"/>
    <w:rsid w:val="00B70E24"/>
    <w:rsid w:val="00B70E4B"/>
    <w:rsid w:val="00B70F5D"/>
    <w:rsid w:val="00B70F9A"/>
    <w:rsid w:val="00B7127D"/>
    <w:rsid w:val="00B712E1"/>
    <w:rsid w:val="00B7141C"/>
    <w:rsid w:val="00B716F8"/>
    <w:rsid w:val="00B71754"/>
    <w:rsid w:val="00B717B6"/>
    <w:rsid w:val="00B71846"/>
    <w:rsid w:val="00B7190D"/>
    <w:rsid w:val="00B71B84"/>
    <w:rsid w:val="00B71E1B"/>
    <w:rsid w:val="00B71E75"/>
    <w:rsid w:val="00B71E78"/>
    <w:rsid w:val="00B71F63"/>
    <w:rsid w:val="00B72196"/>
    <w:rsid w:val="00B721B0"/>
    <w:rsid w:val="00B722C4"/>
    <w:rsid w:val="00B722C5"/>
    <w:rsid w:val="00B7238B"/>
    <w:rsid w:val="00B72521"/>
    <w:rsid w:val="00B7269B"/>
    <w:rsid w:val="00B72725"/>
    <w:rsid w:val="00B72941"/>
    <w:rsid w:val="00B729FF"/>
    <w:rsid w:val="00B72B52"/>
    <w:rsid w:val="00B72B71"/>
    <w:rsid w:val="00B72B95"/>
    <w:rsid w:val="00B72C14"/>
    <w:rsid w:val="00B72DB7"/>
    <w:rsid w:val="00B72FAC"/>
    <w:rsid w:val="00B730AA"/>
    <w:rsid w:val="00B732F6"/>
    <w:rsid w:val="00B73316"/>
    <w:rsid w:val="00B73345"/>
    <w:rsid w:val="00B73412"/>
    <w:rsid w:val="00B73675"/>
    <w:rsid w:val="00B737CD"/>
    <w:rsid w:val="00B73821"/>
    <w:rsid w:val="00B73BFA"/>
    <w:rsid w:val="00B73CCB"/>
    <w:rsid w:val="00B73EFB"/>
    <w:rsid w:val="00B7417E"/>
    <w:rsid w:val="00B7430E"/>
    <w:rsid w:val="00B7456B"/>
    <w:rsid w:val="00B74607"/>
    <w:rsid w:val="00B74818"/>
    <w:rsid w:val="00B74839"/>
    <w:rsid w:val="00B749EC"/>
    <w:rsid w:val="00B74B11"/>
    <w:rsid w:val="00B74B7F"/>
    <w:rsid w:val="00B74D3D"/>
    <w:rsid w:val="00B74E23"/>
    <w:rsid w:val="00B75112"/>
    <w:rsid w:val="00B7513B"/>
    <w:rsid w:val="00B751A6"/>
    <w:rsid w:val="00B752FD"/>
    <w:rsid w:val="00B75566"/>
    <w:rsid w:val="00B7568A"/>
    <w:rsid w:val="00B756DB"/>
    <w:rsid w:val="00B7581A"/>
    <w:rsid w:val="00B759C8"/>
    <w:rsid w:val="00B75A54"/>
    <w:rsid w:val="00B75B09"/>
    <w:rsid w:val="00B75BF2"/>
    <w:rsid w:val="00B75C2F"/>
    <w:rsid w:val="00B75CB8"/>
    <w:rsid w:val="00B75CCE"/>
    <w:rsid w:val="00B75F61"/>
    <w:rsid w:val="00B762DF"/>
    <w:rsid w:val="00B7668B"/>
    <w:rsid w:val="00B7680D"/>
    <w:rsid w:val="00B768F3"/>
    <w:rsid w:val="00B76983"/>
    <w:rsid w:val="00B76A09"/>
    <w:rsid w:val="00B76AAF"/>
    <w:rsid w:val="00B76B7D"/>
    <w:rsid w:val="00B76BDC"/>
    <w:rsid w:val="00B76C20"/>
    <w:rsid w:val="00B76E0C"/>
    <w:rsid w:val="00B76E39"/>
    <w:rsid w:val="00B76E9E"/>
    <w:rsid w:val="00B76F32"/>
    <w:rsid w:val="00B76FC0"/>
    <w:rsid w:val="00B77040"/>
    <w:rsid w:val="00B77453"/>
    <w:rsid w:val="00B77478"/>
    <w:rsid w:val="00B776DC"/>
    <w:rsid w:val="00B778C3"/>
    <w:rsid w:val="00B77904"/>
    <w:rsid w:val="00B779D6"/>
    <w:rsid w:val="00B779DE"/>
    <w:rsid w:val="00B77A2C"/>
    <w:rsid w:val="00B77C76"/>
    <w:rsid w:val="00B77C9A"/>
    <w:rsid w:val="00B77E33"/>
    <w:rsid w:val="00B77E3F"/>
    <w:rsid w:val="00B77E4D"/>
    <w:rsid w:val="00B80074"/>
    <w:rsid w:val="00B80158"/>
    <w:rsid w:val="00B802C1"/>
    <w:rsid w:val="00B8039C"/>
    <w:rsid w:val="00B804E1"/>
    <w:rsid w:val="00B806A9"/>
    <w:rsid w:val="00B806B9"/>
    <w:rsid w:val="00B80827"/>
    <w:rsid w:val="00B80831"/>
    <w:rsid w:val="00B80A84"/>
    <w:rsid w:val="00B80BA3"/>
    <w:rsid w:val="00B80BF6"/>
    <w:rsid w:val="00B80C92"/>
    <w:rsid w:val="00B80E4F"/>
    <w:rsid w:val="00B80E83"/>
    <w:rsid w:val="00B81477"/>
    <w:rsid w:val="00B8149E"/>
    <w:rsid w:val="00B814C2"/>
    <w:rsid w:val="00B8173C"/>
    <w:rsid w:val="00B817CF"/>
    <w:rsid w:val="00B8184C"/>
    <w:rsid w:val="00B8195A"/>
    <w:rsid w:val="00B819AD"/>
    <w:rsid w:val="00B819BD"/>
    <w:rsid w:val="00B81AFC"/>
    <w:rsid w:val="00B81FEF"/>
    <w:rsid w:val="00B820B8"/>
    <w:rsid w:val="00B8231A"/>
    <w:rsid w:val="00B823E7"/>
    <w:rsid w:val="00B823EF"/>
    <w:rsid w:val="00B8245B"/>
    <w:rsid w:val="00B824AC"/>
    <w:rsid w:val="00B824FE"/>
    <w:rsid w:val="00B82777"/>
    <w:rsid w:val="00B82850"/>
    <w:rsid w:val="00B82A9B"/>
    <w:rsid w:val="00B82C62"/>
    <w:rsid w:val="00B82D87"/>
    <w:rsid w:val="00B82ECE"/>
    <w:rsid w:val="00B82F0C"/>
    <w:rsid w:val="00B83083"/>
    <w:rsid w:val="00B830BF"/>
    <w:rsid w:val="00B8316B"/>
    <w:rsid w:val="00B831B2"/>
    <w:rsid w:val="00B831E4"/>
    <w:rsid w:val="00B832D0"/>
    <w:rsid w:val="00B83323"/>
    <w:rsid w:val="00B83327"/>
    <w:rsid w:val="00B83379"/>
    <w:rsid w:val="00B83499"/>
    <w:rsid w:val="00B8354C"/>
    <w:rsid w:val="00B83567"/>
    <w:rsid w:val="00B835FB"/>
    <w:rsid w:val="00B83A89"/>
    <w:rsid w:val="00B83AFB"/>
    <w:rsid w:val="00B83B3F"/>
    <w:rsid w:val="00B83C26"/>
    <w:rsid w:val="00B83C93"/>
    <w:rsid w:val="00B83EA5"/>
    <w:rsid w:val="00B83F87"/>
    <w:rsid w:val="00B84287"/>
    <w:rsid w:val="00B842F7"/>
    <w:rsid w:val="00B84383"/>
    <w:rsid w:val="00B84739"/>
    <w:rsid w:val="00B847BF"/>
    <w:rsid w:val="00B84815"/>
    <w:rsid w:val="00B84944"/>
    <w:rsid w:val="00B849FB"/>
    <w:rsid w:val="00B85143"/>
    <w:rsid w:val="00B8543F"/>
    <w:rsid w:val="00B85728"/>
    <w:rsid w:val="00B8583C"/>
    <w:rsid w:val="00B859AB"/>
    <w:rsid w:val="00B859D9"/>
    <w:rsid w:val="00B85B7C"/>
    <w:rsid w:val="00B85B80"/>
    <w:rsid w:val="00B85C06"/>
    <w:rsid w:val="00B85C92"/>
    <w:rsid w:val="00B85D9F"/>
    <w:rsid w:val="00B85E55"/>
    <w:rsid w:val="00B85EF3"/>
    <w:rsid w:val="00B860A5"/>
    <w:rsid w:val="00B861AF"/>
    <w:rsid w:val="00B86390"/>
    <w:rsid w:val="00B864F8"/>
    <w:rsid w:val="00B865AF"/>
    <w:rsid w:val="00B86603"/>
    <w:rsid w:val="00B86804"/>
    <w:rsid w:val="00B869D9"/>
    <w:rsid w:val="00B869DC"/>
    <w:rsid w:val="00B86AD7"/>
    <w:rsid w:val="00B86C4D"/>
    <w:rsid w:val="00B86CE0"/>
    <w:rsid w:val="00B86CFC"/>
    <w:rsid w:val="00B86D99"/>
    <w:rsid w:val="00B86DD4"/>
    <w:rsid w:val="00B86DE5"/>
    <w:rsid w:val="00B86E92"/>
    <w:rsid w:val="00B86EE3"/>
    <w:rsid w:val="00B86F1D"/>
    <w:rsid w:val="00B86F61"/>
    <w:rsid w:val="00B872CC"/>
    <w:rsid w:val="00B8737D"/>
    <w:rsid w:val="00B876CE"/>
    <w:rsid w:val="00B876DD"/>
    <w:rsid w:val="00B87779"/>
    <w:rsid w:val="00B878EF"/>
    <w:rsid w:val="00B87998"/>
    <w:rsid w:val="00B87AC3"/>
    <w:rsid w:val="00B87C52"/>
    <w:rsid w:val="00B87C8A"/>
    <w:rsid w:val="00B87D1F"/>
    <w:rsid w:val="00B902FB"/>
    <w:rsid w:val="00B9032E"/>
    <w:rsid w:val="00B90346"/>
    <w:rsid w:val="00B903DA"/>
    <w:rsid w:val="00B904D5"/>
    <w:rsid w:val="00B905E4"/>
    <w:rsid w:val="00B906AF"/>
    <w:rsid w:val="00B90836"/>
    <w:rsid w:val="00B90840"/>
    <w:rsid w:val="00B90928"/>
    <w:rsid w:val="00B9098A"/>
    <w:rsid w:val="00B90A80"/>
    <w:rsid w:val="00B90B39"/>
    <w:rsid w:val="00B90CED"/>
    <w:rsid w:val="00B90F23"/>
    <w:rsid w:val="00B90F46"/>
    <w:rsid w:val="00B910FC"/>
    <w:rsid w:val="00B9122D"/>
    <w:rsid w:val="00B912D6"/>
    <w:rsid w:val="00B913E0"/>
    <w:rsid w:val="00B9158B"/>
    <w:rsid w:val="00B9164D"/>
    <w:rsid w:val="00B9169D"/>
    <w:rsid w:val="00B91757"/>
    <w:rsid w:val="00B9195A"/>
    <w:rsid w:val="00B919F4"/>
    <w:rsid w:val="00B91B9C"/>
    <w:rsid w:val="00B91EB8"/>
    <w:rsid w:val="00B91EBC"/>
    <w:rsid w:val="00B91F1A"/>
    <w:rsid w:val="00B91FCB"/>
    <w:rsid w:val="00B921DA"/>
    <w:rsid w:val="00B92233"/>
    <w:rsid w:val="00B925F9"/>
    <w:rsid w:val="00B926A1"/>
    <w:rsid w:val="00B926E0"/>
    <w:rsid w:val="00B92762"/>
    <w:rsid w:val="00B92773"/>
    <w:rsid w:val="00B927BF"/>
    <w:rsid w:val="00B92899"/>
    <w:rsid w:val="00B928AC"/>
    <w:rsid w:val="00B928D0"/>
    <w:rsid w:val="00B92A67"/>
    <w:rsid w:val="00B92A70"/>
    <w:rsid w:val="00B92B13"/>
    <w:rsid w:val="00B92D97"/>
    <w:rsid w:val="00B92F71"/>
    <w:rsid w:val="00B931DA"/>
    <w:rsid w:val="00B932F0"/>
    <w:rsid w:val="00B934BD"/>
    <w:rsid w:val="00B93694"/>
    <w:rsid w:val="00B937A5"/>
    <w:rsid w:val="00B939BE"/>
    <w:rsid w:val="00B93A4D"/>
    <w:rsid w:val="00B93D4C"/>
    <w:rsid w:val="00B93DC2"/>
    <w:rsid w:val="00B93EA4"/>
    <w:rsid w:val="00B93EFC"/>
    <w:rsid w:val="00B94002"/>
    <w:rsid w:val="00B94081"/>
    <w:rsid w:val="00B94128"/>
    <w:rsid w:val="00B9412C"/>
    <w:rsid w:val="00B9446C"/>
    <w:rsid w:val="00B94551"/>
    <w:rsid w:val="00B945FC"/>
    <w:rsid w:val="00B9466B"/>
    <w:rsid w:val="00B9471B"/>
    <w:rsid w:val="00B947DD"/>
    <w:rsid w:val="00B94B48"/>
    <w:rsid w:val="00B94DDE"/>
    <w:rsid w:val="00B94E2D"/>
    <w:rsid w:val="00B94EFC"/>
    <w:rsid w:val="00B94F2A"/>
    <w:rsid w:val="00B94F2F"/>
    <w:rsid w:val="00B94F3B"/>
    <w:rsid w:val="00B9508B"/>
    <w:rsid w:val="00B9510F"/>
    <w:rsid w:val="00B95319"/>
    <w:rsid w:val="00B95376"/>
    <w:rsid w:val="00B9547A"/>
    <w:rsid w:val="00B9547E"/>
    <w:rsid w:val="00B955BD"/>
    <w:rsid w:val="00B95764"/>
    <w:rsid w:val="00B95A15"/>
    <w:rsid w:val="00B95BE2"/>
    <w:rsid w:val="00B95C92"/>
    <w:rsid w:val="00B95CA3"/>
    <w:rsid w:val="00B95CF3"/>
    <w:rsid w:val="00B961DC"/>
    <w:rsid w:val="00B9623D"/>
    <w:rsid w:val="00B965BB"/>
    <w:rsid w:val="00B966B0"/>
    <w:rsid w:val="00B96741"/>
    <w:rsid w:val="00B969C4"/>
    <w:rsid w:val="00B96B8E"/>
    <w:rsid w:val="00B96B92"/>
    <w:rsid w:val="00B96C53"/>
    <w:rsid w:val="00B96D8F"/>
    <w:rsid w:val="00B96E79"/>
    <w:rsid w:val="00B96F92"/>
    <w:rsid w:val="00B9703C"/>
    <w:rsid w:val="00B97181"/>
    <w:rsid w:val="00B9739E"/>
    <w:rsid w:val="00B97411"/>
    <w:rsid w:val="00B9767D"/>
    <w:rsid w:val="00B976FB"/>
    <w:rsid w:val="00B97791"/>
    <w:rsid w:val="00B97958"/>
    <w:rsid w:val="00B979BA"/>
    <w:rsid w:val="00B97B66"/>
    <w:rsid w:val="00B97BB0"/>
    <w:rsid w:val="00B97BCD"/>
    <w:rsid w:val="00B97C50"/>
    <w:rsid w:val="00B97CEF"/>
    <w:rsid w:val="00B97D2C"/>
    <w:rsid w:val="00B97DC9"/>
    <w:rsid w:val="00BA02E8"/>
    <w:rsid w:val="00BA03D5"/>
    <w:rsid w:val="00BA065C"/>
    <w:rsid w:val="00BA0738"/>
    <w:rsid w:val="00BA0B55"/>
    <w:rsid w:val="00BA0CCC"/>
    <w:rsid w:val="00BA0DA4"/>
    <w:rsid w:val="00BA0ED9"/>
    <w:rsid w:val="00BA0F28"/>
    <w:rsid w:val="00BA10DB"/>
    <w:rsid w:val="00BA114B"/>
    <w:rsid w:val="00BA1233"/>
    <w:rsid w:val="00BA1288"/>
    <w:rsid w:val="00BA12B5"/>
    <w:rsid w:val="00BA1345"/>
    <w:rsid w:val="00BA146D"/>
    <w:rsid w:val="00BA18DE"/>
    <w:rsid w:val="00BA1967"/>
    <w:rsid w:val="00BA1A19"/>
    <w:rsid w:val="00BA1AC8"/>
    <w:rsid w:val="00BA1CEE"/>
    <w:rsid w:val="00BA1D1B"/>
    <w:rsid w:val="00BA1D25"/>
    <w:rsid w:val="00BA1E71"/>
    <w:rsid w:val="00BA1F27"/>
    <w:rsid w:val="00BA2095"/>
    <w:rsid w:val="00BA20DB"/>
    <w:rsid w:val="00BA2620"/>
    <w:rsid w:val="00BA27DA"/>
    <w:rsid w:val="00BA283B"/>
    <w:rsid w:val="00BA29B2"/>
    <w:rsid w:val="00BA2C5E"/>
    <w:rsid w:val="00BA2C78"/>
    <w:rsid w:val="00BA2D3C"/>
    <w:rsid w:val="00BA2D8B"/>
    <w:rsid w:val="00BA2DB4"/>
    <w:rsid w:val="00BA2DE1"/>
    <w:rsid w:val="00BA2E88"/>
    <w:rsid w:val="00BA2F20"/>
    <w:rsid w:val="00BA313E"/>
    <w:rsid w:val="00BA321F"/>
    <w:rsid w:val="00BA342D"/>
    <w:rsid w:val="00BA356A"/>
    <w:rsid w:val="00BA3585"/>
    <w:rsid w:val="00BA3A0D"/>
    <w:rsid w:val="00BA414B"/>
    <w:rsid w:val="00BA429E"/>
    <w:rsid w:val="00BA4426"/>
    <w:rsid w:val="00BA4535"/>
    <w:rsid w:val="00BA45CF"/>
    <w:rsid w:val="00BA467B"/>
    <w:rsid w:val="00BA4683"/>
    <w:rsid w:val="00BA490F"/>
    <w:rsid w:val="00BA4BAB"/>
    <w:rsid w:val="00BA4D00"/>
    <w:rsid w:val="00BA4D4C"/>
    <w:rsid w:val="00BA4E3F"/>
    <w:rsid w:val="00BA4F2E"/>
    <w:rsid w:val="00BA4F7B"/>
    <w:rsid w:val="00BA4FCA"/>
    <w:rsid w:val="00BA50A1"/>
    <w:rsid w:val="00BA5286"/>
    <w:rsid w:val="00BA528B"/>
    <w:rsid w:val="00BA53D8"/>
    <w:rsid w:val="00BA54E5"/>
    <w:rsid w:val="00BA56B9"/>
    <w:rsid w:val="00BA579E"/>
    <w:rsid w:val="00BA57E4"/>
    <w:rsid w:val="00BA57EA"/>
    <w:rsid w:val="00BA58B8"/>
    <w:rsid w:val="00BA58C0"/>
    <w:rsid w:val="00BA5971"/>
    <w:rsid w:val="00BA5A68"/>
    <w:rsid w:val="00BA5B9D"/>
    <w:rsid w:val="00BA5CDF"/>
    <w:rsid w:val="00BA5DA8"/>
    <w:rsid w:val="00BA5E0C"/>
    <w:rsid w:val="00BA5E86"/>
    <w:rsid w:val="00BA5E8D"/>
    <w:rsid w:val="00BA5F7D"/>
    <w:rsid w:val="00BA604C"/>
    <w:rsid w:val="00BA60F0"/>
    <w:rsid w:val="00BA61D3"/>
    <w:rsid w:val="00BA61DF"/>
    <w:rsid w:val="00BA61E7"/>
    <w:rsid w:val="00BA621E"/>
    <w:rsid w:val="00BA62CD"/>
    <w:rsid w:val="00BA63EA"/>
    <w:rsid w:val="00BA645A"/>
    <w:rsid w:val="00BA645B"/>
    <w:rsid w:val="00BA6793"/>
    <w:rsid w:val="00BA6996"/>
    <w:rsid w:val="00BA69D6"/>
    <w:rsid w:val="00BA6C5D"/>
    <w:rsid w:val="00BA6F04"/>
    <w:rsid w:val="00BA7059"/>
    <w:rsid w:val="00BA7128"/>
    <w:rsid w:val="00BA72B5"/>
    <w:rsid w:val="00BA7330"/>
    <w:rsid w:val="00BA7530"/>
    <w:rsid w:val="00BA763D"/>
    <w:rsid w:val="00BA7B14"/>
    <w:rsid w:val="00BA7B8C"/>
    <w:rsid w:val="00BA7D71"/>
    <w:rsid w:val="00BB0065"/>
    <w:rsid w:val="00BB0068"/>
    <w:rsid w:val="00BB009B"/>
    <w:rsid w:val="00BB02C5"/>
    <w:rsid w:val="00BB02E1"/>
    <w:rsid w:val="00BB04B5"/>
    <w:rsid w:val="00BB05AA"/>
    <w:rsid w:val="00BB0771"/>
    <w:rsid w:val="00BB0856"/>
    <w:rsid w:val="00BB09FD"/>
    <w:rsid w:val="00BB0C6A"/>
    <w:rsid w:val="00BB0C79"/>
    <w:rsid w:val="00BB0CBC"/>
    <w:rsid w:val="00BB0D08"/>
    <w:rsid w:val="00BB0D22"/>
    <w:rsid w:val="00BB0E41"/>
    <w:rsid w:val="00BB0E6E"/>
    <w:rsid w:val="00BB0EF2"/>
    <w:rsid w:val="00BB0F09"/>
    <w:rsid w:val="00BB0F42"/>
    <w:rsid w:val="00BB1077"/>
    <w:rsid w:val="00BB1344"/>
    <w:rsid w:val="00BB1353"/>
    <w:rsid w:val="00BB157B"/>
    <w:rsid w:val="00BB1BFE"/>
    <w:rsid w:val="00BB1D6A"/>
    <w:rsid w:val="00BB1F09"/>
    <w:rsid w:val="00BB1F75"/>
    <w:rsid w:val="00BB2027"/>
    <w:rsid w:val="00BB206A"/>
    <w:rsid w:val="00BB20CC"/>
    <w:rsid w:val="00BB2127"/>
    <w:rsid w:val="00BB239F"/>
    <w:rsid w:val="00BB26F4"/>
    <w:rsid w:val="00BB2702"/>
    <w:rsid w:val="00BB2738"/>
    <w:rsid w:val="00BB2765"/>
    <w:rsid w:val="00BB27FD"/>
    <w:rsid w:val="00BB2809"/>
    <w:rsid w:val="00BB2841"/>
    <w:rsid w:val="00BB2A41"/>
    <w:rsid w:val="00BB2B6D"/>
    <w:rsid w:val="00BB2BEC"/>
    <w:rsid w:val="00BB2C74"/>
    <w:rsid w:val="00BB2EA8"/>
    <w:rsid w:val="00BB3034"/>
    <w:rsid w:val="00BB3274"/>
    <w:rsid w:val="00BB3357"/>
    <w:rsid w:val="00BB33A7"/>
    <w:rsid w:val="00BB33B3"/>
    <w:rsid w:val="00BB37E7"/>
    <w:rsid w:val="00BB3A01"/>
    <w:rsid w:val="00BB3A12"/>
    <w:rsid w:val="00BB3A3E"/>
    <w:rsid w:val="00BB3AF8"/>
    <w:rsid w:val="00BB3C44"/>
    <w:rsid w:val="00BB3C64"/>
    <w:rsid w:val="00BB3E20"/>
    <w:rsid w:val="00BB3E33"/>
    <w:rsid w:val="00BB41E2"/>
    <w:rsid w:val="00BB41E4"/>
    <w:rsid w:val="00BB4489"/>
    <w:rsid w:val="00BB44AC"/>
    <w:rsid w:val="00BB4558"/>
    <w:rsid w:val="00BB46CE"/>
    <w:rsid w:val="00BB489C"/>
    <w:rsid w:val="00BB4E80"/>
    <w:rsid w:val="00BB4F99"/>
    <w:rsid w:val="00BB5173"/>
    <w:rsid w:val="00BB51C3"/>
    <w:rsid w:val="00BB5481"/>
    <w:rsid w:val="00BB5497"/>
    <w:rsid w:val="00BB568B"/>
    <w:rsid w:val="00BB57E9"/>
    <w:rsid w:val="00BB584F"/>
    <w:rsid w:val="00BB5987"/>
    <w:rsid w:val="00BB5A3A"/>
    <w:rsid w:val="00BB5ACD"/>
    <w:rsid w:val="00BB5F39"/>
    <w:rsid w:val="00BB6034"/>
    <w:rsid w:val="00BB619A"/>
    <w:rsid w:val="00BB62A5"/>
    <w:rsid w:val="00BB6374"/>
    <w:rsid w:val="00BB63D6"/>
    <w:rsid w:val="00BB64A8"/>
    <w:rsid w:val="00BB64DE"/>
    <w:rsid w:val="00BB66B7"/>
    <w:rsid w:val="00BB6AA1"/>
    <w:rsid w:val="00BB6B1C"/>
    <w:rsid w:val="00BB6BAB"/>
    <w:rsid w:val="00BB6CDB"/>
    <w:rsid w:val="00BB6D74"/>
    <w:rsid w:val="00BB6DA9"/>
    <w:rsid w:val="00BB6E18"/>
    <w:rsid w:val="00BB6E83"/>
    <w:rsid w:val="00BB712D"/>
    <w:rsid w:val="00BB7242"/>
    <w:rsid w:val="00BB73D6"/>
    <w:rsid w:val="00BB758A"/>
    <w:rsid w:val="00BB7721"/>
    <w:rsid w:val="00BB784D"/>
    <w:rsid w:val="00BB79A0"/>
    <w:rsid w:val="00BB79BC"/>
    <w:rsid w:val="00BB7A97"/>
    <w:rsid w:val="00BB7E6F"/>
    <w:rsid w:val="00BB7F96"/>
    <w:rsid w:val="00BC00B1"/>
    <w:rsid w:val="00BC0343"/>
    <w:rsid w:val="00BC0647"/>
    <w:rsid w:val="00BC0662"/>
    <w:rsid w:val="00BC0949"/>
    <w:rsid w:val="00BC0968"/>
    <w:rsid w:val="00BC0A04"/>
    <w:rsid w:val="00BC0B03"/>
    <w:rsid w:val="00BC0E68"/>
    <w:rsid w:val="00BC0F78"/>
    <w:rsid w:val="00BC118C"/>
    <w:rsid w:val="00BC1426"/>
    <w:rsid w:val="00BC1530"/>
    <w:rsid w:val="00BC15DD"/>
    <w:rsid w:val="00BC190E"/>
    <w:rsid w:val="00BC1930"/>
    <w:rsid w:val="00BC1B69"/>
    <w:rsid w:val="00BC1BF8"/>
    <w:rsid w:val="00BC1C9A"/>
    <w:rsid w:val="00BC1ECE"/>
    <w:rsid w:val="00BC1ED7"/>
    <w:rsid w:val="00BC213D"/>
    <w:rsid w:val="00BC22FB"/>
    <w:rsid w:val="00BC2498"/>
    <w:rsid w:val="00BC2720"/>
    <w:rsid w:val="00BC29D8"/>
    <w:rsid w:val="00BC2AA6"/>
    <w:rsid w:val="00BC2AFF"/>
    <w:rsid w:val="00BC2B7D"/>
    <w:rsid w:val="00BC2BED"/>
    <w:rsid w:val="00BC2BF3"/>
    <w:rsid w:val="00BC2E29"/>
    <w:rsid w:val="00BC2EF1"/>
    <w:rsid w:val="00BC2FC6"/>
    <w:rsid w:val="00BC2FE4"/>
    <w:rsid w:val="00BC300C"/>
    <w:rsid w:val="00BC311E"/>
    <w:rsid w:val="00BC311F"/>
    <w:rsid w:val="00BC31ED"/>
    <w:rsid w:val="00BC337A"/>
    <w:rsid w:val="00BC34EA"/>
    <w:rsid w:val="00BC3555"/>
    <w:rsid w:val="00BC371C"/>
    <w:rsid w:val="00BC3940"/>
    <w:rsid w:val="00BC3BCC"/>
    <w:rsid w:val="00BC3C1A"/>
    <w:rsid w:val="00BC3C4F"/>
    <w:rsid w:val="00BC3E9F"/>
    <w:rsid w:val="00BC3EEF"/>
    <w:rsid w:val="00BC3FD0"/>
    <w:rsid w:val="00BC3FE8"/>
    <w:rsid w:val="00BC4120"/>
    <w:rsid w:val="00BC4298"/>
    <w:rsid w:val="00BC435D"/>
    <w:rsid w:val="00BC459B"/>
    <w:rsid w:val="00BC484F"/>
    <w:rsid w:val="00BC485D"/>
    <w:rsid w:val="00BC4993"/>
    <w:rsid w:val="00BC4A1F"/>
    <w:rsid w:val="00BC4C22"/>
    <w:rsid w:val="00BC4D8B"/>
    <w:rsid w:val="00BC4DA8"/>
    <w:rsid w:val="00BC4E92"/>
    <w:rsid w:val="00BC51B7"/>
    <w:rsid w:val="00BC5307"/>
    <w:rsid w:val="00BC54CF"/>
    <w:rsid w:val="00BC5540"/>
    <w:rsid w:val="00BC5542"/>
    <w:rsid w:val="00BC5554"/>
    <w:rsid w:val="00BC566A"/>
    <w:rsid w:val="00BC56E6"/>
    <w:rsid w:val="00BC587A"/>
    <w:rsid w:val="00BC5921"/>
    <w:rsid w:val="00BC595F"/>
    <w:rsid w:val="00BC5A41"/>
    <w:rsid w:val="00BC5AFE"/>
    <w:rsid w:val="00BC5D4F"/>
    <w:rsid w:val="00BC5EE7"/>
    <w:rsid w:val="00BC5EEA"/>
    <w:rsid w:val="00BC5FEF"/>
    <w:rsid w:val="00BC6012"/>
    <w:rsid w:val="00BC6063"/>
    <w:rsid w:val="00BC6165"/>
    <w:rsid w:val="00BC6289"/>
    <w:rsid w:val="00BC6342"/>
    <w:rsid w:val="00BC63E7"/>
    <w:rsid w:val="00BC65DD"/>
    <w:rsid w:val="00BC66A2"/>
    <w:rsid w:val="00BC6900"/>
    <w:rsid w:val="00BC6929"/>
    <w:rsid w:val="00BC6932"/>
    <w:rsid w:val="00BC6949"/>
    <w:rsid w:val="00BC6A2E"/>
    <w:rsid w:val="00BC6B78"/>
    <w:rsid w:val="00BC6BC3"/>
    <w:rsid w:val="00BC6C5D"/>
    <w:rsid w:val="00BC6CCE"/>
    <w:rsid w:val="00BC6D97"/>
    <w:rsid w:val="00BC6E15"/>
    <w:rsid w:val="00BC6E71"/>
    <w:rsid w:val="00BC6EDA"/>
    <w:rsid w:val="00BC6F5B"/>
    <w:rsid w:val="00BC6F9A"/>
    <w:rsid w:val="00BC7152"/>
    <w:rsid w:val="00BC7168"/>
    <w:rsid w:val="00BC735B"/>
    <w:rsid w:val="00BC7674"/>
    <w:rsid w:val="00BC767B"/>
    <w:rsid w:val="00BC7717"/>
    <w:rsid w:val="00BC7790"/>
    <w:rsid w:val="00BC7858"/>
    <w:rsid w:val="00BC793E"/>
    <w:rsid w:val="00BC7A23"/>
    <w:rsid w:val="00BC7DEB"/>
    <w:rsid w:val="00BC7F0B"/>
    <w:rsid w:val="00BCE94B"/>
    <w:rsid w:val="00BD01DE"/>
    <w:rsid w:val="00BD023A"/>
    <w:rsid w:val="00BD0487"/>
    <w:rsid w:val="00BD04E8"/>
    <w:rsid w:val="00BD0750"/>
    <w:rsid w:val="00BD07CD"/>
    <w:rsid w:val="00BD07D8"/>
    <w:rsid w:val="00BD086D"/>
    <w:rsid w:val="00BD08DA"/>
    <w:rsid w:val="00BD092D"/>
    <w:rsid w:val="00BD0A3A"/>
    <w:rsid w:val="00BD0A6C"/>
    <w:rsid w:val="00BD0B48"/>
    <w:rsid w:val="00BD0BFF"/>
    <w:rsid w:val="00BD0E48"/>
    <w:rsid w:val="00BD11F7"/>
    <w:rsid w:val="00BD12EE"/>
    <w:rsid w:val="00BD13FC"/>
    <w:rsid w:val="00BD14A4"/>
    <w:rsid w:val="00BD15F0"/>
    <w:rsid w:val="00BD16E8"/>
    <w:rsid w:val="00BD17B7"/>
    <w:rsid w:val="00BD17CE"/>
    <w:rsid w:val="00BD18BD"/>
    <w:rsid w:val="00BD1B03"/>
    <w:rsid w:val="00BD1CE6"/>
    <w:rsid w:val="00BD1DF7"/>
    <w:rsid w:val="00BD200E"/>
    <w:rsid w:val="00BD23AB"/>
    <w:rsid w:val="00BD24A7"/>
    <w:rsid w:val="00BD26F0"/>
    <w:rsid w:val="00BD278F"/>
    <w:rsid w:val="00BD27F9"/>
    <w:rsid w:val="00BD2834"/>
    <w:rsid w:val="00BD2872"/>
    <w:rsid w:val="00BD28EF"/>
    <w:rsid w:val="00BD2A14"/>
    <w:rsid w:val="00BD2C70"/>
    <w:rsid w:val="00BD2CD2"/>
    <w:rsid w:val="00BD2D37"/>
    <w:rsid w:val="00BD2D43"/>
    <w:rsid w:val="00BD2E38"/>
    <w:rsid w:val="00BD2F88"/>
    <w:rsid w:val="00BD312B"/>
    <w:rsid w:val="00BD322A"/>
    <w:rsid w:val="00BD33D4"/>
    <w:rsid w:val="00BD34B1"/>
    <w:rsid w:val="00BD3541"/>
    <w:rsid w:val="00BD37AF"/>
    <w:rsid w:val="00BD3915"/>
    <w:rsid w:val="00BD3A9F"/>
    <w:rsid w:val="00BD3BD5"/>
    <w:rsid w:val="00BD3BF8"/>
    <w:rsid w:val="00BD3D80"/>
    <w:rsid w:val="00BD3E3A"/>
    <w:rsid w:val="00BD3E74"/>
    <w:rsid w:val="00BD3F00"/>
    <w:rsid w:val="00BD3FF5"/>
    <w:rsid w:val="00BD423F"/>
    <w:rsid w:val="00BD45FB"/>
    <w:rsid w:val="00BD4A25"/>
    <w:rsid w:val="00BD4B37"/>
    <w:rsid w:val="00BD4B3F"/>
    <w:rsid w:val="00BD4DD6"/>
    <w:rsid w:val="00BD5044"/>
    <w:rsid w:val="00BD5246"/>
    <w:rsid w:val="00BD5472"/>
    <w:rsid w:val="00BD5569"/>
    <w:rsid w:val="00BD5855"/>
    <w:rsid w:val="00BD5DCA"/>
    <w:rsid w:val="00BD5DCD"/>
    <w:rsid w:val="00BD5FDF"/>
    <w:rsid w:val="00BD6013"/>
    <w:rsid w:val="00BD6176"/>
    <w:rsid w:val="00BD6571"/>
    <w:rsid w:val="00BD6719"/>
    <w:rsid w:val="00BD6727"/>
    <w:rsid w:val="00BD67A1"/>
    <w:rsid w:val="00BD68E6"/>
    <w:rsid w:val="00BD6970"/>
    <w:rsid w:val="00BD6AFD"/>
    <w:rsid w:val="00BD6B00"/>
    <w:rsid w:val="00BD6EDC"/>
    <w:rsid w:val="00BD6FA5"/>
    <w:rsid w:val="00BD7052"/>
    <w:rsid w:val="00BD70BA"/>
    <w:rsid w:val="00BD72A0"/>
    <w:rsid w:val="00BD7314"/>
    <w:rsid w:val="00BD74B2"/>
    <w:rsid w:val="00BD77DC"/>
    <w:rsid w:val="00BD78B2"/>
    <w:rsid w:val="00BD7D97"/>
    <w:rsid w:val="00BD7DCF"/>
    <w:rsid w:val="00BD7F57"/>
    <w:rsid w:val="00BD7F76"/>
    <w:rsid w:val="00BE007B"/>
    <w:rsid w:val="00BE00CB"/>
    <w:rsid w:val="00BE00CC"/>
    <w:rsid w:val="00BE00F3"/>
    <w:rsid w:val="00BE01DF"/>
    <w:rsid w:val="00BE02EF"/>
    <w:rsid w:val="00BE03B5"/>
    <w:rsid w:val="00BE042E"/>
    <w:rsid w:val="00BE0587"/>
    <w:rsid w:val="00BE05D0"/>
    <w:rsid w:val="00BE05EB"/>
    <w:rsid w:val="00BE064A"/>
    <w:rsid w:val="00BE0667"/>
    <w:rsid w:val="00BE0743"/>
    <w:rsid w:val="00BE0913"/>
    <w:rsid w:val="00BE0995"/>
    <w:rsid w:val="00BE0BF3"/>
    <w:rsid w:val="00BE101F"/>
    <w:rsid w:val="00BE10BE"/>
    <w:rsid w:val="00BE139D"/>
    <w:rsid w:val="00BE1436"/>
    <w:rsid w:val="00BE143D"/>
    <w:rsid w:val="00BE1458"/>
    <w:rsid w:val="00BE1488"/>
    <w:rsid w:val="00BE14A1"/>
    <w:rsid w:val="00BE1730"/>
    <w:rsid w:val="00BE174D"/>
    <w:rsid w:val="00BE176C"/>
    <w:rsid w:val="00BE183C"/>
    <w:rsid w:val="00BE1975"/>
    <w:rsid w:val="00BE1DEA"/>
    <w:rsid w:val="00BE1E4F"/>
    <w:rsid w:val="00BE20E5"/>
    <w:rsid w:val="00BE213E"/>
    <w:rsid w:val="00BE2250"/>
    <w:rsid w:val="00BE2388"/>
    <w:rsid w:val="00BE2407"/>
    <w:rsid w:val="00BE245E"/>
    <w:rsid w:val="00BE24D0"/>
    <w:rsid w:val="00BE2564"/>
    <w:rsid w:val="00BE2612"/>
    <w:rsid w:val="00BE2666"/>
    <w:rsid w:val="00BE2799"/>
    <w:rsid w:val="00BE28C3"/>
    <w:rsid w:val="00BE28F2"/>
    <w:rsid w:val="00BE2A16"/>
    <w:rsid w:val="00BE2C24"/>
    <w:rsid w:val="00BE2D30"/>
    <w:rsid w:val="00BE2DDC"/>
    <w:rsid w:val="00BE2F5A"/>
    <w:rsid w:val="00BE3240"/>
    <w:rsid w:val="00BE32D3"/>
    <w:rsid w:val="00BE3490"/>
    <w:rsid w:val="00BE369F"/>
    <w:rsid w:val="00BE36E2"/>
    <w:rsid w:val="00BE38FB"/>
    <w:rsid w:val="00BE3CB7"/>
    <w:rsid w:val="00BE3FBA"/>
    <w:rsid w:val="00BE40F0"/>
    <w:rsid w:val="00BE4114"/>
    <w:rsid w:val="00BE4159"/>
    <w:rsid w:val="00BE427A"/>
    <w:rsid w:val="00BE43D4"/>
    <w:rsid w:val="00BE47F4"/>
    <w:rsid w:val="00BE48F7"/>
    <w:rsid w:val="00BE4A3A"/>
    <w:rsid w:val="00BE4AE7"/>
    <w:rsid w:val="00BE4AF2"/>
    <w:rsid w:val="00BE4B1E"/>
    <w:rsid w:val="00BE4BA1"/>
    <w:rsid w:val="00BE4BFF"/>
    <w:rsid w:val="00BE4C0F"/>
    <w:rsid w:val="00BE4D0F"/>
    <w:rsid w:val="00BE4D87"/>
    <w:rsid w:val="00BE4E2C"/>
    <w:rsid w:val="00BE4E71"/>
    <w:rsid w:val="00BE4EF7"/>
    <w:rsid w:val="00BE4FA4"/>
    <w:rsid w:val="00BE50C2"/>
    <w:rsid w:val="00BE50F5"/>
    <w:rsid w:val="00BE57AF"/>
    <w:rsid w:val="00BE59D3"/>
    <w:rsid w:val="00BE59E8"/>
    <w:rsid w:val="00BE5A6D"/>
    <w:rsid w:val="00BE5E8C"/>
    <w:rsid w:val="00BE5ECC"/>
    <w:rsid w:val="00BE5F25"/>
    <w:rsid w:val="00BE5F9A"/>
    <w:rsid w:val="00BE5FB1"/>
    <w:rsid w:val="00BE6111"/>
    <w:rsid w:val="00BE618B"/>
    <w:rsid w:val="00BE61F0"/>
    <w:rsid w:val="00BE620A"/>
    <w:rsid w:val="00BE6400"/>
    <w:rsid w:val="00BE647F"/>
    <w:rsid w:val="00BE6532"/>
    <w:rsid w:val="00BE6631"/>
    <w:rsid w:val="00BE6731"/>
    <w:rsid w:val="00BE6747"/>
    <w:rsid w:val="00BE6929"/>
    <w:rsid w:val="00BE699E"/>
    <w:rsid w:val="00BE6B46"/>
    <w:rsid w:val="00BE6C14"/>
    <w:rsid w:val="00BE6C30"/>
    <w:rsid w:val="00BE70C9"/>
    <w:rsid w:val="00BE71D0"/>
    <w:rsid w:val="00BE72BE"/>
    <w:rsid w:val="00BE7465"/>
    <w:rsid w:val="00BE74A8"/>
    <w:rsid w:val="00BE784F"/>
    <w:rsid w:val="00BE7A84"/>
    <w:rsid w:val="00BE7B5A"/>
    <w:rsid w:val="00BE7FB9"/>
    <w:rsid w:val="00BF0096"/>
    <w:rsid w:val="00BF00EA"/>
    <w:rsid w:val="00BF0143"/>
    <w:rsid w:val="00BF01BF"/>
    <w:rsid w:val="00BF0227"/>
    <w:rsid w:val="00BF02EC"/>
    <w:rsid w:val="00BF042F"/>
    <w:rsid w:val="00BF0696"/>
    <w:rsid w:val="00BF07C5"/>
    <w:rsid w:val="00BF0833"/>
    <w:rsid w:val="00BF0A89"/>
    <w:rsid w:val="00BF0D16"/>
    <w:rsid w:val="00BF0DFF"/>
    <w:rsid w:val="00BF0E02"/>
    <w:rsid w:val="00BF0E10"/>
    <w:rsid w:val="00BF14F7"/>
    <w:rsid w:val="00BF1504"/>
    <w:rsid w:val="00BF1634"/>
    <w:rsid w:val="00BF17A2"/>
    <w:rsid w:val="00BF180D"/>
    <w:rsid w:val="00BF199B"/>
    <w:rsid w:val="00BF1A1F"/>
    <w:rsid w:val="00BF1A59"/>
    <w:rsid w:val="00BF1A9C"/>
    <w:rsid w:val="00BF1BD9"/>
    <w:rsid w:val="00BF1F4A"/>
    <w:rsid w:val="00BF1FBB"/>
    <w:rsid w:val="00BF2048"/>
    <w:rsid w:val="00BF2051"/>
    <w:rsid w:val="00BF221D"/>
    <w:rsid w:val="00BF2228"/>
    <w:rsid w:val="00BF226D"/>
    <w:rsid w:val="00BF2399"/>
    <w:rsid w:val="00BF2712"/>
    <w:rsid w:val="00BF283D"/>
    <w:rsid w:val="00BF2A1B"/>
    <w:rsid w:val="00BF2B51"/>
    <w:rsid w:val="00BF2BD5"/>
    <w:rsid w:val="00BF2C3D"/>
    <w:rsid w:val="00BF2C61"/>
    <w:rsid w:val="00BF2C7D"/>
    <w:rsid w:val="00BF2DFC"/>
    <w:rsid w:val="00BF3008"/>
    <w:rsid w:val="00BF3053"/>
    <w:rsid w:val="00BF321F"/>
    <w:rsid w:val="00BF34A0"/>
    <w:rsid w:val="00BF3815"/>
    <w:rsid w:val="00BF387C"/>
    <w:rsid w:val="00BF388A"/>
    <w:rsid w:val="00BF3A93"/>
    <w:rsid w:val="00BF3B7A"/>
    <w:rsid w:val="00BF3BC3"/>
    <w:rsid w:val="00BF3C7D"/>
    <w:rsid w:val="00BF3E41"/>
    <w:rsid w:val="00BF3EDC"/>
    <w:rsid w:val="00BF4088"/>
    <w:rsid w:val="00BF41AC"/>
    <w:rsid w:val="00BF42A5"/>
    <w:rsid w:val="00BF4677"/>
    <w:rsid w:val="00BF46A4"/>
    <w:rsid w:val="00BF4845"/>
    <w:rsid w:val="00BF48AC"/>
    <w:rsid w:val="00BF49EF"/>
    <w:rsid w:val="00BF4BAB"/>
    <w:rsid w:val="00BF4C4D"/>
    <w:rsid w:val="00BF4DC7"/>
    <w:rsid w:val="00BF4F01"/>
    <w:rsid w:val="00BF5075"/>
    <w:rsid w:val="00BF5489"/>
    <w:rsid w:val="00BF5498"/>
    <w:rsid w:val="00BF54D1"/>
    <w:rsid w:val="00BF5528"/>
    <w:rsid w:val="00BF57A5"/>
    <w:rsid w:val="00BF594B"/>
    <w:rsid w:val="00BF5965"/>
    <w:rsid w:val="00BF5978"/>
    <w:rsid w:val="00BF5DD4"/>
    <w:rsid w:val="00BF5F18"/>
    <w:rsid w:val="00BF607D"/>
    <w:rsid w:val="00BF625B"/>
    <w:rsid w:val="00BF628A"/>
    <w:rsid w:val="00BF63D3"/>
    <w:rsid w:val="00BF652F"/>
    <w:rsid w:val="00BF6580"/>
    <w:rsid w:val="00BF65BD"/>
    <w:rsid w:val="00BF65FA"/>
    <w:rsid w:val="00BF6815"/>
    <w:rsid w:val="00BF6A66"/>
    <w:rsid w:val="00BF6ABB"/>
    <w:rsid w:val="00BF6C32"/>
    <w:rsid w:val="00BF6CE4"/>
    <w:rsid w:val="00BF6CFC"/>
    <w:rsid w:val="00BF6CFE"/>
    <w:rsid w:val="00BF6DE5"/>
    <w:rsid w:val="00BF705B"/>
    <w:rsid w:val="00BF7149"/>
    <w:rsid w:val="00BF7237"/>
    <w:rsid w:val="00BF7259"/>
    <w:rsid w:val="00BF75A8"/>
    <w:rsid w:val="00BF7667"/>
    <w:rsid w:val="00BF7A6A"/>
    <w:rsid w:val="00BF7AE6"/>
    <w:rsid w:val="00BF7B7B"/>
    <w:rsid w:val="00BF7B81"/>
    <w:rsid w:val="00BF7CD3"/>
    <w:rsid w:val="00BF7D0F"/>
    <w:rsid w:val="00C00042"/>
    <w:rsid w:val="00C00188"/>
    <w:rsid w:val="00C00303"/>
    <w:rsid w:val="00C00502"/>
    <w:rsid w:val="00C0081D"/>
    <w:rsid w:val="00C009DC"/>
    <w:rsid w:val="00C00A11"/>
    <w:rsid w:val="00C00D90"/>
    <w:rsid w:val="00C00E47"/>
    <w:rsid w:val="00C00E8D"/>
    <w:rsid w:val="00C00EE8"/>
    <w:rsid w:val="00C00FF7"/>
    <w:rsid w:val="00C0105B"/>
    <w:rsid w:val="00C01220"/>
    <w:rsid w:val="00C0124C"/>
    <w:rsid w:val="00C0141B"/>
    <w:rsid w:val="00C0141C"/>
    <w:rsid w:val="00C01444"/>
    <w:rsid w:val="00C01530"/>
    <w:rsid w:val="00C016D2"/>
    <w:rsid w:val="00C01808"/>
    <w:rsid w:val="00C01822"/>
    <w:rsid w:val="00C0182C"/>
    <w:rsid w:val="00C01A77"/>
    <w:rsid w:val="00C01A8E"/>
    <w:rsid w:val="00C01B2D"/>
    <w:rsid w:val="00C01D05"/>
    <w:rsid w:val="00C01E33"/>
    <w:rsid w:val="00C01ECC"/>
    <w:rsid w:val="00C01FD2"/>
    <w:rsid w:val="00C020F9"/>
    <w:rsid w:val="00C0228C"/>
    <w:rsid w:val="00C022DC"/>
    <w:rsid w:val="00C024CC"/>
    <w:rsid w:val="00C0276B"/>
    <w:rsid w:val="00C028EB"/>
    <w:rsid w:val="00C02C30"/>
    <w:rsid w:val="00C02F12"/>
    <w:rsid w:val="00C03102"/>
    <w:rsid w:val="00C03120"/>
    <w:rsid w:val="00C0314D"/>
    <w:rsid w:val="00C03160"/>
    <w:rsid w:val="00C032D8"/>
    <w:rsid w:val="00C033BE"/>
    <w:rsid w:val="00C03530"/>
    <w:rsid w:val="00C038FE"/>
    <w:rsid w:val="00C03AB4"/>
    <w:rsid w:val="00C03AD7"/>
    <w:rsid w:val="00C03BFC"/>
    <w:rsid w:val="00C03CAE"/>
    <w:rsid w:val="00C03EAE"/>
    <w:rsid w:val="00C03EB9"/>
    <w:rsid w:val="00C03FD9"/>
    <w:rsid w:val="00C04151"/>
    <w:rsid w:val="00C0443C"/>
    <w:rsid w:val="00C044A7"/>
    <w:rsid w:val="00C044AF"/>
    <w:rsid w:val="00C046E7"/>
    <w:rsid w:val="00C04803"/>
    <w:rsid w:val="00C04A3E"/>
    <w:rsid w:val="00C04CB9"/>
    <w:rsid w:val="00C04CFE"/>
    <w:rsid w:val="00C04E4C"/>
    <w:rsid w:val="00C04E51"/>
    <w:rsid w:val="00C04ECF"/>
    <w:rsid w:val="00C050BA"/>
    <w:rsid w:val="00C051B8"/>
    <w:rsid w:val="00C052B7"/>
    <w:rsid w:val="00C057A9"/>
    <w:rsid w:val="00C057C2"/>
    <w:rsid w:val="00C057F9"/>
    <w:rsid w:val="00C05978"/>
    <w:rsid w:val="00C05AA1"/>
    <w:rsid w:val="00C05AE5"/>
    <w:rsid w:val="00C05C20"/>
    <w:rsid w:val="00C05C88"/>
    <w:rsid w:val="00C05E0C"/>
    <w:rsid w:val="00C06006"/>
    <w:rsid w:val="00C0611E"/>
    <w:rsid w:val="00C061E7"/>
    <w:rsid w:val="00C06228"/>
    <w:rsid w:val="00C06521"/>
    <w:rsid w:val="00C06717"/>
    <w:rsid w:val="00C06A9D"/>
    <w:rsid w:val="00C06B50"/>
    <w:rsid w:val="00C06D12"/>
    <w:rsid w:val="00C06E58"/>
    <w:rsid w:val="00C06EB5"/>
    <w:rsid w:val="00C072E8"/>
    <w:rsid w:val="00C0734B"/>
    <w:rsid w:val="00C07387"/>
    <w:rsid w:val="00C07502"/>
    <w:rsid w:val="00C07586"/>
    <w:rsid w:val="00C07593"/>
    <w:rsid w:val="00C0760F"/>
    <w:rsid w:val="00C076BE"/>
    <w:rsid w:val="00C078D0"/>
    <w:rsid w:val="00C07A32"/>
    <w:rsid w:val="00C07ABD"/>
    <w:rsid w:val="00C07ADA"/>
    <w:rsid w:val="00C07B9C"/>
    <w:rsid w:val="00C07CDA"/>
    <w:rsid w:val="00C100B0"/>
    <w:rsid w:val="00C10147"/>
    <w:rsid w:val="00C10185"/>
    <w:rsid w:val="00C101F1"/>
    <w:rsid w:val="00C1037B"/>
    <w:rsid w:val="00C103C9"/>
    <w:rsid w:val="00C103FE"/>
    <w:rsid w:val="00C10515"/>
    <w:rsid w:val="00C10542"/>
    <w:rsid w:val="00C106F4"/>
    <w:rsid w:val="00C10763"/>
    <w:rsid w:val="00C107BE"/>
    <w:rsid w:val="00C107D8"/>
    <w:rsid w:val="00C10A42"/>
    <w:rsid w:val="00C10A5F"/>
    <w:rsid w:val="00C10B4E"/>
    <w:rsid w:val="00C10B9C"/>
    <w:rsid w:val="00C10F5D"/>
    <w:rsid w:val="00C111B9"/>
    <w:rsid w:val="00C11201"/>
    <w:rsid w:val="00C11216"/>
    <w:rsid w:val="00C11405"/>
    <w:rsid w:val="00C11575"/>
    <w:rsid w:val="00C117EF"/>
    <w:rsid w:val="00C11B7F"/>
    <w:rsid w:val="00C11B88"/>
    <w:rsid w:val="00C11C38"/>
    <w:rsid w:val="00C11C6F"/>
    <w:rsid w:val="00C11D87"/>
    <w:rsid w:val="00C11DA8"/>
    <w:rsid w:val="00C11E29"/>
    <w:rsid w:val="00C11EEE"/>
    <w:rsid w:val="00C11F4C"/>
    <w:rsid w:val="00C11FA0"/>
    <w:rsid w:val="00C12149"/>
    <w:rsid w:val="00C122CE"/>
    <w:rsid w:val="00C122EA"/>
    <w:rsid w:val="00C127EE"/>
    <w:rsid w:val="00C12BB1"/>
    <w:rsid w:val="00C12BED"/>
    <w:rsid w:val="00C1308F"/>
    <w:rsid w:val="00C13617"/>
    <w:rsid w:val="00C136A3"/>
    <w:rsid w:val="00C136F2"/>
    <w:rsid w:val="00C137B7"/>
    <w:rsid w:val="00C13886"/>
    <w:rsid w:val="00C13CDB"/>
    <w:rsid w:val="00C14095"/>
    <w:rsid w:val="00C140E1"/>
    <w:rsid w:val="00C140EE"/>
    <w:rsid w:val="00C1416A"/>
    <w:rsid w:val="00C14207"/>
    <w:rsid w:val="00C14722"/>
    <w:rsid w:val="00C1477C"/>
    <w:rsid w:val="00C14876"/>
    <w:rsid w:val="00C1499D"/>
    <w:rsid w:val="00C149C3"/>
    <w:rsid w:val="00C14C63"/>
    <w:rsid w:val="00C14D07"/>
    <w:rsid w:val="00C1501A"/>
    <w:rsid w:val="00C1535E"/>
    <w:rsid w:val="00C153FC"/>
    <w:rsid w:val="00C15435"/>
    <w:rsid w:val="00C154C0"/>
    <w:rsid w:val="00C15721"/>
    <w:rsid w:val="00C15907"/>
    <w:rsid w:val="00C15A1E"/>
    <w:rsid w:val="00C15B2E"/>
    <w:rsid w:val="00C15B4B"/>
    <w:rsid w:val="00C15BC1"/>
    <w:rsid w:val="00C15BD7"/>
    <w:rsid w:val="00C15C6E"/>
    <w:rsid w:val="00C15E39"/>
    <w:rsid w:val="00C16254"/>
    <w:rsid w:val="00C162CB"/>
    <w:rsid w:val="00C1653E"/>
    <w:rsid w:val="00C165FA"/>
    <w:rsid w:val="00C166D4"/>
    <w:rsid w:val="00C1681E"/>
    <w:rsid w:val="00C1684C"/>
    <w:rsid w:val="00C16889"/>
    <w:rsid w:val="00C16A4B"/>
    <w:rsid w:val="00C16BE3"/>
    <w:rsid w:val="00C16C10"/>
    <w:rsid w:val="00C16D9F"/>
    <w:rsid w:val="00C16F99"/>
    <w:rsid w:val="00C16FB2"/>
    <w:rsid w:val="00C17030"/>
    <w:rsid w:val="00C17133"/>
    <w:rsid w:val="00C17169"/>
    <w:rsid w:val="00C172B5"/>
    <w:rsid w:val="00C173E9"/>
    <w:rsid w:val="00C174DB"/>
    <w:rsid w:val="00C176B0"/>
    <w:rsid w:val="00C17C0B"/>
    <w:rsid w:val="00C17CC4"/>
    <w:rsid w:val="00C2002B"/>
    <w:rsid w:val="00C2007C"/>
    <w:rsid w:val="00C20356"/>
    <w:rsid w:val="00C203B8"/>
    <w:rsid w:val="00C2041E"/>
    <w:rsid w:val="00C20683"/>
    <w:rsid w:val="00C208F7"/>
    <w:rsid w:val="00C20918"/>
    <w:rsid w:val="00C20AD7"/>
    <w:rsid w:val="00C20E04"/>
    <w:rsid w:val="00C20F8D"/>
    <w:rsid w:val="00C2145B"/>
    <w:rsid w:val="00C215AE"/>
    <w:rsid w:val="00C219F4"/>
    <w:rsid w:val="00C21AB1"/>
    <w:rsid w:val="00C21BBE"/>
    <w:rsid w:val="00C21CCF"/>
    <w:rsid w:val="00C21D49"/>
    <w:rsid w:val="00C21DB7"/>
    <w:rsid w:val="00C21E69"/>
    <w:rsid w:val="00C21EF3"/>
    <w:rsid w:val="00C21F4B"/>
    <w:rsid w:val="00C2206F"/>
    <w:rsid w:val="00C220A5"/>
    <w:rsid w:val="00C22155"/>
    <w:rsid w:val="00C224D1"/>
    <w:rsid w:val="00C224FD"/>
    <w:rsid w:val="00C22933"/>
    <w:rsid w:val="00C22B14"/>
    <w:rsid w:val="00C22BF3"/>
    <w:rsid w:val="00C22CE8"/>
    <w:rsid w:val="00C22D4C"/>
    <w:rsid w:val="00C22DAE"/>
    <w:rsid w:val="00C22F46"/>
    <w:rsid w:val="00C23127"/>
    <w:rsid w:val="00C23157"/>
    <w:rsid w:val="00C2317E"/>
    <w:rsid w:val="00C231D0"/>
    <w:rsid w:val="00C23245"/>
    <w:rsid w:val="00C23290"/>
    <w:rsid w:val="00C2332D"/>
    <w:rsid w:val="00C233E3"/>
    <w:rsid w:val="00C23453"/>
    <w:rsid w:val="00C234AE"/>
    <w:rsid w:val="00C234F5"/>
    <w:rsid w:val="00C23525"/>
    <w:rsid w:val="00C2359C"/>
    <w:rsid w:val="00C236F8"/>
    <w:rsid w:val="00C237DB"/>
    <w:rsid w:val="00C237F5"/>
    <w:rsid w:val="00C237FA"/>
    <w:rsid w:val="00C239F8"/>
    <w:rsid w:val="00C23A54"/>
    <w:rsid w:val="00C23AE4"/>
    <w:rsid w:val="00C23AF2"/>
    <w:rsid w:val="00C23B1F"/>
    <w:rsid w:val="00C23C97"/>
    <w:rsid w:val="00C23CCC"/>
    <w:rsid w:val="00C23E1C"/>
    <w:rsid w:val="00C23F8F"/>
    <w:rsid w:val="00C23FC1"/>
    <w:rsid w:val="00C2400D"/>
    <w:rsid w:val="00C24047"/>
    <w:rsid w:val="00C241F4"/>
    <w:rsid w:val="00C24240"/>
    <w:rsid w:val="00C242A4"/>
    <w:rsid w:val="00C242B6"/>
    <w:rsid w:val="00C242D8"/>
    <w:rsid w:val="00C24464"/>
    <w:rsid w:val="00C24564"/>
    <w:rsid w:val="00C2456A"/>
    <w:rsid w:val="00C24639"/>
    <w:rsid w:val="00C246CC"/>
    <w:rsid w:val="00C2472F"/>
    <w:rsid w:val="00C24979"/>
    <w:rsid w:val="00C2498B"/>
    <w:rsid w:val="00C24B98"/>
    <w:rsid w:val="00C24D02"/>
    <w:rsid w:val="00C24D0B"/>
    <w:rsid w:val="00C24F6D"/>
    <w:rsid w:val="00C251BC"/>
    <w:rsid w:val="00C25273"/>
    <w:rsid w:val="00C25547"/>
    <w:rsid w:val="00C255B1"/>
    <w:rsid w:val="00C257C5"/>
    <w:rsid w:val="00C25861"/>
    <w:rsid w:val="00C25A2F"/>
    <w:rsid w:val="00C25A8F"/>
    <w:rsid w:val="00C25AF5"/>
    <w:rsid w:val="00C25B5A"/>
    <w:rsid w:val="00C25B6A"/>
    <w:rsid w:val="00C25C94"/>
    <w:rsid w:val="00C25E29"/>
    <w:rsid w:val="00C25EE6"/>
    <w:rsid w:val="00C25F59"/>
    <w:rsid w:val="00C25F73"/>
    <w:rsid w:val="00C2600A"/>
    <w:rsid w:val="00C2631A"/>
    <w:rsid w:val="00C264C1"/>
    <w:rsid w:val="00C26615"/>
    <w:rsid w:val="00C266E5"/>
    <w:rsid w:val="00C26900"/>
    <w:rsid w:val="00C26A83"/>
    <w:rsid w:val="00C26B21"/>
    <w:rsid w:val="00C26EDE"/>
    <w:rsid w:val="00C26EE5"/>
    <w:rsid w:val="00C26EFF"/>
    <w:rsid w:val="00C26F38"/>
    <w:rsid w:val="00C27169"/>
    <w:rsid w:val="00C2719C"/>
    <w:rsid w:val="00C27344"/>
    <w:rsid w:val="00C273E4"/>
    <w:rsid w:val="00C27680"/>
    <w:rsid w:val="00C27803"/>
    <w:rsid w:val="00C279FA"/>
    <w:rsid w:val="00C27A5E"/>
    <w:rsid w:val="00C27B93"/>
    <w:rsid w:val="00C27BE9"/>
    <w:rsid w:val="00C27C38"/>
    <w:rsid w:val="00C27D45"/>
    <w:rsid w:val="00C27F07"/>
    <w:rsid w:val="00C30109"/>
    <w:rsid w:val="00C303B0"/>
    <w:rsid w:val="00C30427"/>
    <w:rsid w:val="00C3053C"/>
    <w:rsid w:val="00C308BE"/>
    <w:rsid w:val="00C308C8"/>
    <w:rsid w:val="00C30921"/>
    <w:rsid w:val="00C3093C"/>
    <w:rsid w:val="00C30A53"/>
    <w:rsid w:val="00C30ADF"/>
    <w:rsid w:val="00C30C85"/>
    <w:rsid w:val="00C30CD1"/>
    <w:rsid w:val="00C30E68"/>
    <w:rsid w:val="00C310A5"/>
    <w:rsid w:val="00C310E8"/>
    <w:rsid w:val="00C311C8"/>
    <w:rsid w:val="00C31244"/>
    <w:rsid w:val="00C31245"/>
    <w:rsid w:val="00C31417"/>
    <w:rsid w:val="00C315C9"/>
    <w:rsid w:val="00C3171A"/>
    <w:rsid w:val="00C31741"/>
    <w:rsid w:val="00C31824"/>
    <w:rsid w:val="00C31A5E"/>
    <w:rsid w:val="00C31AD7"/>
    <w:rsid w:val="00C31B7A"/>
    <w:rsid w:val="00C31C8C"/>
    <w:rsid w:val="00C31EA8"/>
    <w:rsid w:val="00C32031"/>
    <w:rsid w:val="00C32079"/>
    <w:rsid w:val="00C3208E"/>
    <w:rsid w:val="00C3227A"/>
    <w:rsid w:val="00C3255A"/>
    <w:rsid w:val="00C325B1"/>
    <w:rsid w:val="00C3285A"/>
    <w:rsid w:val="00C3297E"/>
    <w:rsid w:val="00C32A21"/>
    <w:rsid w:val="00C32A44"/>
    <w:rsid w:val="00C32AE1"/>
    <w:rsid w:val="00C32AE7"/>
    <w:rsid w:val="00C32B9C"/>
    <w:rsid w:val="00C32C73"/>
    <w:rsid w:val="00C32CBD"/>
    <w:rsid w:val="00C32D0B"/>
    <w:rsid w:val="00C32F0D"/>
    <w:rsid w:val="00C32F8C"/>
    <w:rsid w:val="00C33259"/>
    <w:rsid w:val="00C335F4"/>
    <w:rsid w:val="00C3374F"/>
    <w:rsid w:val="00C337C6"/>
    <w:rsid w:val="00C33A38"/>
    <w:rsid w:val="00C33B1D"/>
    <w:rsid w:val="00C33BDE"/>
    <w:rsid w:val="00C33C73"/>
    <w:rsid w:val="00C33F95"/>
    <w:rsid w:val="00C3407A"/>
    <w:rsid w:val="00C34145"/>
    <w:rsid w:val="00C3419F"/>
    <w:rsid w:val="00C34521"/>
    <w:rsid w:val="00C34557"/>
    <w:rsid w:val="00C3469C"/>
    <w:rsid w:val="00C34776"/>
    <w:rsid w:val="00C34B16"/>
    <w:rsid w:val="00C34CD8"/>
    <w:rsid w:val="00C34DF6"/>
    <w:rsid w:val="00C34E55"/>
    <w:rsid w:val="00C34EFC"/>
    <w:rsid w:val="00C34F9C"/>
    <w:rsid w:val="00C350BC"/>
    <w:rsid w:val="00C35419"/>
    <w:rsid w:val="00C35589"/>
    <w:rsid w:val="00C356CB"/>
    <w:rsid w:val="00C361A7"/>
    <w:rsid w:val="00C361C3"/>
    <w:rsid w:val="00C36586"/>
    <w:rsid w:val="00C365B1"/>
    <w:rsid w:val="00C367F9"/>
    <w:rsid w:val="00C3681A"/>
    <w:rsid w:val="00C3693B"/>
    <w:rsid w:val="00C36974"/>
    <w:rsid w:val="00C36A67"/>
    <w:rsid w:val="00C36B01"/>
    <w:rsid w:val="00C36C1A"/>
    <w:rsid w:val="00C36C2E"/>
    <w:rsid w:val="00C36C84"/>
    <w:rsid w:val="00C36CF5"/>
    <w:rsid w:val="00C36D43"/>
    <w:rsid w:val="00C36D95"/>
    <w:rsid w:val="00C36DB0"/>
    <w:rsid w:val="00C36DF0"/>
    <w:rsid w:val="00C36E82"/>
    <w:rsid w:val="00C36EE8"/>
    <w:rsid w:val="00C36FEF"/>
    <w:rsid w:val="00C36FF4"/>
    <w:rsid w:val="00C3717B"/>
    <w:rsid w:val="00C371AB"/>
    <w:rsid w:val="00C37290"/>
    <w:rsid w:val="00C37524"/>
    <w:rsid w:val="00C37642"/>
    <w:rsid w:val="00C3768D"/>
    <w:rsid w:val="00C3772E"/>
    <w:rsid w:val="00C377B8"/>
    <w:rsid w:val="00C37859"/>
    <w:rsid w:val="00C37AEA"/>
    <w:rsid w:val="00C37B09"/>
    <w:rsid w:val="00C37E23"/>
    <w:rsid w:val="00C37FE4"/>
    <w:rsid w:val="00C40077"/>
    <w:rsid w:val="00C401D9"/>
    <w:rsid w:val="00C402A8"/>
    <w:rsid w:val="00C402DA"/>
    <w:rsid w:val="00C40456"/>
    <w:rsid w:val="00C40532"/>
    <w:rsid w:val="00C40576"/>
    <w:rsid w:val="00C4069C"/>
    <w:rsid w:val="00C406AF"/>
    <w:rsid w:val="00C406B5"/>
    <w:rsid w:val="00C4073D"/>
    <w:rsid w:val="00C40808"/>
    <w:rsid w:val="00C40A68"/>
    <w:rsid w:val="00C40AE4"/>
    <w:rsid w:val="00C40BFA"/>
    <w:rsid w:val="00C40E44"/>
    <w:rsid w:val="00C410E7"/>
    <w:rsid w:val="00C41151"/>
    <w:rsid w:val="00C41171"/>
    <w:rsid w:val="00C4117F"/>
    <w:rsid w:val="00C411DC"/>
    <w:rsid w:val="00C41223"/>
    <w:rsid w:val="00C41284"/>
    <w:rsid w:val="00C4131F"/>
    <w:rsid w:val="00C41409"/>
    <w:rsid w:val="00C41492"/>
    <w:rsid w:val="00C4150B"/>
    <w:rsid w:val="00C41712"/>
    <w:rsid w:val="00C41716"/>
    <w:rsid w:val="00C418F9"/>
    <w:rsid w:val="00C41910"/>
    <w:rsid w:val="00C41A57"/>
    <w:rsid w:val="00C41ACB"/>
    <w:rsid w:val="00C41AFA"/>
    <w:rsid w:val="00C41B34"/>
    <w:rsid w:val="00C41B6B"/>
    <w:rsid w:val="00C41C5F"/>
    <w:rsid w:val="00C41E0E"/>
    <w:rsid w:val="00C41F2B"/>
    <w:rsid w:val="00C41FDA"/>
    <w:rsid w:val="00C42011"/>
    <w:rsid w:val="00C420E4"/>
    <w:rsid w:val="00C42336"/>
    <w:rsid w:val="00C424B5"/>
    <w:rsid w:val="00C425E4"/>
    <w:rsid w:val="00C4263F"/>
    <w:rsid w:val="00C42781"/>
    <w:rsid w:val="00C42849"/>
    <w:rsid w:val="00C42904"/>
    <w:rsid w:val="00C42987"/>
    <w:rsid w:val="00C42AAC"/>
    <w:rsid w:val="00C42B3B"/>
    <w:rsid w:val="00C42FA1"/>
    <w:rsid w:val="00C42FC9"/>
    <w:rsid w:val="00C42FD1"/>
    <w:rsid w:val="00C43597"/>
    <w:rsid w:val="00C435BD"/>
    <w:rsid w:val="00C43820"/>
    <w:rsid w:val="00C438EA"/>
    <w:rsid w:val="00C4398C"/>
    <w:rsid w:val="00C43A4D"/>
    <w:rsid w:val="00C43AEE"/>
    <w:rsid w:val="00C43B1D"/>
    <w:rsid w:val="00C43E7D"/>
    <w:rsid w:val="00C43F37"/>
    <w:rsid w:val="00C43F47"/>
    <w:rsid w:val="00C44287"/>
    <w:rsid w:val="00C44382"/>
    <w:rsid w:val="00C44409"/>
    <w:rsid w:val="00C444AF"/>
    <w:rsid w:val="00C44536"/>
    <w:rsid w:val="00C4464A"/>
    <w:rsid w:val="00C44671"/>
    <w:rsid w:val="00C446B6"/>
    <w:rsid w:val="00C447A1"/>
    <w:rsid w:val="00C44812"/>
    <w:rsid w:val="00C448FB"/>
    <w:rsid w:val="00C44902"/>
    <w:rsid w:val="00C4499F"/>
    <w:rsid w:val="00C44B94"/>
    <w:rsid w:val="00C44C10"/>
    <w:rsid w:val="00C44D59"/>
    <w:rsid w:val="00C44DBD"/>
    <w:rsid w:val="00C44E7C"/>
    <w:rsid w:val="00C44ECB"/>
    <w:rsid w:val="00C44F36"/>
    <w:rsid w:val="00C45304"/>
    <w:rsid w:val="00C453C0"/>
    <w:rsid w:val="00C453F7"/>
    <w:rsid w:val="00C456BC"/>
    <w:rsid w:val="00C45829"/>
    <w:rsid w:val="00C4599F"/>
    <w:rsid w:val="00C45AF3"/>
    <w:rsid w:val="00C45B03"/>
    <w:rsid w:val="00C45BBD"/>
    <w:rsid w:val="00C45BF9"/>
    <w:rsid w:val="00C45E0E"/>
    <w:rsid w:val="00C45E17"/>
    <w:rsid w:val="00C45E73"/>
    <w:rsid w:val="00C4656D"/>
    <w:rsid w:val="00C465ED"/>
    <w:rsid w:val="00C468A9"/>
    <w:rsid w:val="00C469B9"/>
    <w:rsid w:val="00C46AD0"/>
    <w:rsid w:val="00C46C6F"/>
    <w:rsid w:val="00C4704B"/>
    <w:rsid w:val="00C4712D"/>
    <w:rsid w:val="00C471EA"/>
    <w:rsid w:val="00C47237"/>
    <w:rsid w:val="00C47358"/>
    <w:rsid w:val="00C47427"/>
    <w:rsid w:val="00C4761A"/>
    <w:rsid w:val="00C4763A"/>
    <w:rsid w:val="00C47805"/>
    <w:rsid w:val="00C47827"/>
    <w:rsid w:val="00C478AA"/>
    <w:rsid w:val="00C47982"/>
    <w:rsid w:val="00C479DD"/>
    <w:rsid w:val="00C47A63"/>
    <w:rsid w:val="00C47DDA"/>
    <w:rsid w:val="00C47DF8"/>
    <w:rsid w:val="00C47E25"/>
    <w:rsid w:val="00C50186"/>
    <w:rsid w:val="00C501BC"/>
    <w:rsid w:val="00C501E9"/>
    <w:rsid w:val="00C506E5"/>
    <w:rsid w:val="00C5081A"/>
    <w:rsid w:val="00C5087C"/>
    <w:rsid w:val="00C50974"/>
    <w:rsid w:val="00C50C17"/>
    <w:rsid w:val="00C50CF1"/>
    <w:rsid w:val="00C50E80"/>
    <w:rsid w:val="00C50EAC"/>
    <w:rsid w:val="00C50F57"/>
    <w:rsid w:val="00C5114B"/>
    <w:rsid w:val="00C514E8"/>
    <w:rsid w:val="00C5156F"/>
    <w:rsid w:val="00C515BB"/>
    <w:rsid w:val="00C51647"/>
    <w:rsid w:val="00C51989"/>
    <w:rsid w:val="00C51A0A"/>
    <w:rsid w:val="00C51B73"/>
    <w:rsid w:val="00C51B88"/>
    <w:rsid w:val="00C51C04"/>
    <w:rsid w:val="00C51C13"/>
    <w:rsid w:val="00C51E20"/>
    <w:rsid w:val="00C51EFA"/>
    <w:rsid w:val="00C51EFB"/>
    <w:rsid w:val="00C51F9B"/>
    <w:rsid w:val="00C52140"/>
    <w:rsid w:val="00C5261E"/>
    <w:rsid w:val="00C528FC"/>
    <w:rsid w:val="00C52BB7"/>
    <w:rsid w:val="00C52DD0"/>
    <w:rsid w:val="00C52DFD"/>
    <w:rsid w:val="00C52E08"/>
    <w:rsid w:val="00C52E43"/>
    <w:rsid w:val="00C52FF2"/>
    <w:rsid w:val="00C5323E"/>
    <w:rsid w:val="00C53288"/>
    <w:rsid w:val="00C53422"/>
    <w:rsid w:val="00C5389D"/>
    <w:rsid w:val="00C5389E"/>
    <w:rsid w:val="00C539D5"/>
    <w:rsid w:val="00C53AB6"/>
    <w:rsid w:val="00C53C53"/>
    <w:rsid w:val="00C53E1B"/>
    <w:rsid w:val="00C53ED9"/>
    <w:rsid w:val="00C53F1D"/>
    <w:rsid w:val="00C53F79"/>
    <w:rsid w:val="00C53F9B"/>
    <w:rsid w:val="00C540B2"/>
    <w:rsid w:val="00C541E8"/>
    <w:rsid w:val="00C54206"/>
    <w:rsid w:val="00C5428E"/>
    <w:rsid w:val="00C54299"/>
    <w:rsid w:val="00C54522"/>
    <w:rsid w:val="00C5452F"/>
    <w:rsid w:val="00C545EB"/>
    <w:rsid w:val="00C546DA"/>
    <w:rsid w:val="00C547C1"/>
    <w:rsid w:val="00C54B87"/>
    <w:rsid w:val="00C54C53"/>
    <w:rsid w:val="00C54E85"/>
    <w:rsid w:val="00C5509E"/>
    <w:rsid w:val="00C55198"/>
    <w:rsid w:val="00C551A0"/>
    <w:rsid w:val="00C551F4"/>
    <w:rsid w:val="00C553BB"/>
    <w:rsid w:val="00C55463"/>
    <w:rsid w:val="00C55A07"/>
    <w:rsid w:val="00C55AB6"/>
    <w:rsid w:val="00C55C95"/>
    <w:rsid w:val="00C55CD0"/>
    <w:rsid w:val="00C560E2"/>
    <w:rsid w:val="00C56245"/>
    <w:rsid w:val="00C56320"/>
    <w:rsid w:val="00C56427"/>
    <w:rsid w:val="00C56605"/>
    <w:rsid w:val="00C5663E"/>
    <w:rsid w:val="00C567A5"/>
    <w:rsid w:val="00C5687F"/>
    <w:rsid w:val="00C56900"/>
    <w:rsid w:val="00C56AAC"/>
    <w:rsid w:val="00C56B45"/>
    <w:rsid w:val="00C56C28"/>
    <w:rsid w:val="00C56F6E"/>
    <w:rsid w:val="00C57295"/>
    <w:rsid w:val="00C5747A"/>
    <w:rsid w:val="00C574E8"/>
    <w:rsid w:val="00C57589"/>
    <w:rsid w:val="00C576D4"/>
    <w:rsid w:val="00C5772E"/>
    <w:rsid w:val="00C57946"/>
    <w:rsid w:val="00C579F4"/>
    <w:rsid w:val="00C57C11"/>
    <w:rsid w:val="00C57C9E"/>
    <w:rsid w:val="00C57E6B"/>
    <w:rsid w:val="00C60112"/>
    <w:rsid w:val="00C60149"/>
    <w:rsid w:val="00C60307"/>
    <w:rsid w:val="00C605D1"/>
    <w:rsid w:val="00C60622"/>
    <w:rsid w:val="00C60814"/>
    <w:rsid w:val="00C60853"/>
    <w:rsid w:val="00C60902"/>
    <w:rsid w:val="00C609A1"/>
    <w:rsid w:val="00C60A21"/>
    <w:rsid w:val="00C60ACA"/>
    <w:rsid w:val="00C60B03"/>
    <w:rsid w:val="00C60DF0"/>
    <w:rsid w:val="00C60E0C"/>
    <w:rsid w:val="00C60FF2"/>
    <w:rsid w:val="00C613F8"/>
    <w:rsid w:val="00C614EF"/>
    <w:rsid w:val="00C61749"/>
    <w:rsid w:val="00C61764"/>
    <w:rsid w:val="00C61766"/>
    <w:rsid w:val="00C61857"/>
    <w:rsid w:val="00C61912"/>
    <w:rsid w:val="00C61C81"/>
    <w:rsid w:val="00C61D24"/>
    <w:rsid w:val="00C61DBD"/>
    <w:rsid w:val="00C61EBB"/>
    <w:rsid w:val="00C61FCA"/>
    <w:rsid w:val="00C62133"/>
    <w:rsid w:val="00C62194"/>
    <w:rsid w:val="00C62339"/>
    <w:rsid w:val="00C624D0"/>
    <w:rsid w:val="00C62523"/>
    <w:rsid w:val="00C6262A"/>
    <w:rsid w:val="00C6292C"/>
    <w:rsid w:val="00C62A2E"/>
    <w:rsid w:val="00C62B7F"/>
    <w:rsid w:val="00C62BC6"/>
    <w:rsid w:val="00C62C8E"/>
    <w:rsid w:val="00C62CB2"/>
    <w:rsid w:val="00C62E1A"/>
    <w:rsid w:val="00C62F19"/>
    <w:rsid w:val="00C63039"/>
    <w:rsid w:val="00C630D5"/>
    <w:rsid w:val="00C63605"/>
    <w:rsid w:val="00C6369E"/>
    <w:rsid w:val="00C636AD"/>
    <w:rsid w:val="00C63818"/>
    <w:rsid w:val="00C63B7C"/>
    <w:rsid w:val="00C63CE0"/>
    <w:rsid w:val="00C64248"/>
    <w:rsid w:val="00C642CE"/>
    <w:rsid w:val="00C64335"/>
    <w:rsid w:val="00C64422"/>
    <w:rsid w:val="00C646DC"/>
    <w:rsid w:val="00C6471B"/>
    <w:rsid w:val="00C64870"/>
    <w:rsid w:val="00C648B8"/>
    <w:rsid w:val="00C648CD"/>
    <w:rsid w:val="00C648D6"/>
    <w:rsid w:val="00C648D7"/>
    <w:rsid w:val="00C649A5"/>
    <w:rsid w:val="00C64AA9"/>
    <w:rsid w:val="00C64B1E"/>
    <w:rsid w:val="00C64B70"/>
    <w:rsid w:val="00C64EAA"/>
    <w:rsid w:val="00C64F15"/>
    <w:rsid w:val="00C651F6"/>
    <w:rsid w:val="00C65291"/>
    <w:rsid w:val="00C652BD"/>
    <w:rsid w:val="00C65330"/>
    <w:rsid w:val="00C656FB"/>
    <w:rsid w:val="00C656FE"/>
    <w:rsid w:val="00C657B6"/>
    <w:rsid w:val="00C657E1"/>
    <w:rsid w:val="00C65A51"/>
    <w:rsid w:val="00C65BAB"/>
    <w:rsid w:val="00C65BBD"/>
    <w:rsid w:val="00C65C6E"/>
    <w:rsid w:val="00C65D43"/>
    <w:rsid w:val="00C65E70"/>
    <w:rsid w:val="00C65EBE"/>
    <w:rsid w:val="00C65F59"/>
    <w:rsid w:val="00C65F65"/>
    <w:rsid w:val="00C66152"/>
    <w:rsid w:val="00C661F3"/>
    <w:rsid w:val="00C662F6"/>
    <w:rsid w:val="00C66314"/>
    <w:rsid w:val="00C6666F"/>
    <w:rsid w:val="00C666DA"/>
    <w:rsid w:val="00C6685A"/>
    <w:rsid w:val="00C668D8"/>
    <w:rsid w:val="00C66C6D"/>
    <w:rsid w:val="00C66C89"/>
    <w:rsid w:val="00C66D32"/>
    <w:rsid w:val="00C66DB9"/>
    <w:rsid w:val="00C66F0A"/>
    <w:rsid w:val="00C66F7E"/>
    <w:rsid w:val="00C67042"/>
    <w:rsid w:val="00C6711F"/>
    <w:rsid w:val="00C67190"/>
    <w:rsid w:val="00C67248"/>
    <w:rsid w:val="00C67318"/>
    <w:rsid w:val="00C673C3"/>
    <w:rsid w:val="00C67412"/>
    <w:rsid w:val="00C67427"/>
    <w:rsid w:val="00C6774C"/>
    <w:rsid w:val="00C67BED"/>
    <w:rsid w:val="00C67C05"/>
    <w:rsid w:val="00C67C9A"/>
    <w:rsid w:val="00C67DD0"/>
    <w:rsid w:val="00C67E28"/>
    <w:rsid w:val="00C67E34"/>
    <w:rsid w:val="00C67E71"/>
    <w:rsid w:val="00C67EB0"/>
    <w:rsid w:val="00C67F85"/>
    <w:rsid w:val="00C70008"/>
    <w:rsid w:val="00C70115"/>
    <w:rsid w:val="00C7023B"/>
    <w:rsid w:val="00C70252"/>
    <w:rsid w:val="00C7033F"/>
    <w:rsid w:val="00C70613"/>
    <w:rsid w:val="00C70691"/>
    <w:rsid w:val="00C706D4"/>
    <w:rsid w:val="00C70863"/>
    <w:rsid w:val="00C7097D"/>
    <w:rsid w:val="00C70B80"/>
    <w:rsid w:val="00C70C64"/>
    <w:rsid w:val="00C70CC8"/>
    <w:rsid w:val="00C70E5D"/>
    <w:rsid w:val="00C70F39"/>
    <w:rsid w:val="00C70F62"/>
    <w:rsid w:val="00C71090"/>
    <w:rsid w:val="00C710E1"/>
    <w:rsid w:val="00C715C6"/>
    <w:rsid w:val="00C716EC"/>
    <w:rsid w:val="00C7177E"/>
    <w:rsid w:val="00C717E5"/>
    <w:rsid w:val="00C71AD9"/>
    <w:rsid w:val="00C71B56"/>
    <w:rsid w:val="00C71D17"/>
    <w:rsid w:val="00C71DC3"/>
    <w:rsid w:val="00C71ECE"/>
    <w:rsid w:val="00C71EDF"/>
    <w:rsid w:val="00C72030"/>
    <w:rsid w:val="00C72039"/>
    <w:rsid w:val="00C720C2"/>
    <w:rsid w:val="00C721CE"/>
    <w:rsid w:val="00C72242"/>
    <w:rsid w:val="00C7262A"/>
    <w:rsid w:val="00C7281B"/>
    <w:rsid w:val="00C72939"/>
    <w:rsid w:val="00C7294B"/>
    <w:rsid w:val="00C72A99"/>
    <w:rsid w:val="00C72AEF"/>
    <w:rsid w:val="00C72D6C"/>
    <w:rsid w:val="00C7301A"/>
    <w:rsid w:val="00C73028"/>
    <w:rsid w:val="00C731BC"/>
    <w:rsid w:val="00C732FA"/>
    <w:rsid w:val="00C73327"/>
    <w:rsid w:val="00C73418"/>
    <w:rsid w:val="00C73428"/>
    <w:rsid w:val="00C73528"/>
    <w:rsid w:val="00C7352A"/>
    <w:rsid w:val="00C73566"/>
    <w:rsid w:val="00C735C7"/>
    <w:rsid w:val="00C737F9"/>
    <w:rsid w:val="00C7385B"/>
    <w:rsid w:val="00C73C3E"/>
    <w:rsid w:val="00C73C54"/>
    <w:rsid w:val="00C73D02"/>
    <w:rsid w:val="00C73D53"/>
    <w:rsid w:val="00C73E41"/>
    <w:rsid w:val="00C73E5C"/>
    <w:rsid w:val="00C73F72"/>
    <w:rsid w:val="00C73FEA"/>
    <w:rsid w:val="00C74042"/>
    <w:rsid w:val="00C742CC"/>
    <w:rsid w:val="00C742EF"/>
    <w:rsid w:val="00C744AA"/>
    <w:rsid w:val="00C74703"/>
    <w:rsid w:val="00C74737"/>
    <w:rsid w:val="00C74893"/>
    <w:rsid w:val="00C748E9"/>
    <w:rsid w:val="00C749F5"/>
    <w:rsid w:val="00C74AA0"/>
    <w:rsid w:val="00C74AA6"/>
    <w:rsid w:val="00C74C2D"/>
    <w:rsid w:val="00C74C68"/>
    <w:rsid w:val="00C74D07"/>
    <w:rsid w:val="00C74DAD"/>
    <w:rsid w:val="00C74DFA"/>
    <w:rsid w:val="00C75001"/>
    <w:rsid w:val="00C75309"/>
    <w:rsid w:val="00C7534E"/>
    <w:rsid w:val="00C753CC"/>
    <w:rsid w:val="00C75643"/>
    <w:rsid w:val="00C7574D"/>
    <w:rsid w:val="00C75775"/>
    <w:rsid w:val="00C758BC"/>
    <w:rsid w:val="00C75A4D"/>
    <w:rsid w:val="00C75BCC"/>
    <w:rsid w:val="00C75E76"/>
    <w:rsid w:val="00C75F39"/>
    <w:rsid w:val="00C75FF1"/>
    <w:rsid w:val="00C76072"/>
    <w:rsid w:val="00C760EF"/>
    <w:rsid w:val="00C764C2"/>
    <w:rsid w:val="00C76521"/>
    <w:rsid w:val="00C765BF"/>
    <w:rsid w:val="00C765C0"/>
    <w:rsid w:val="00C76A30"/>
    <w:rsid w:val="00C76AA7"/>
    <w:rsid w:val="00C770C5"/>
    <w:rsid w:val="00C77181"/>
    <w:rsid w:val="00C773EC"/>
    <w:rsid w:val="00C774A3"/>
    <w:rsid w:val="00C774E6"/>
    <w:rsid w:val="00C7763C"/>
    <w:rsid w:val="00C7773E"/>
    <w:rsid w:val="00C777BE"/>
    <w:rsid w:val="00C778A6"/>
    <w:rsid w:val="00C77AFC"/>
    <w:rsid w:val="00C77E15"/>
    <w:rsid w:val="00C77E7C"/>
    <w:rsid w:val="00C8014B"/>
    <w:rsid w:val="00C80251"/>
    <w:rsid w:val="00C804F0"/>
    <w:rsid w:val="00C80655"/>
    <w:rsid w:val="00C807AD"/>
    <w:rsid w:val="00C80A4E"/>
    <w:rsid w:val="00C80A8F"/>
    <w:rsid w:val="00C80C80"/>
    <w:rsid w:val="00C80CBB"/>
    <w:rsid w:val="00C80EA8"/>
    <w:rsid w:val="00C80F0B"/>
    <w:rsid w:val="00C80F28"/>
    <w:rsid w:val="00C80FCA"/>
    <w:rsid w:val="00C81007"/>
    <w:rsid w:val="00C81145"/>
    <w:rsid w:val="00C81334"/>
    <w:rsid w:val="00C81350"/>
    <w:rsid w:val="00C8141D"/>
    <w:rsid w:val="00C8184D"/>
    <w:rsid w:val="00C81924"/>
    <w:rsid w:val="00C81A5B"/>
    <w:rsid w:val="00C81F2C"/>
    <w:rsid w:val="00C82076"/>
    <w:rsid w:val="00C8220E"/>
    <w:rsid w:val="00C8230A"/>
    <w:rsid w:val="00C82496"/>
    <w:rsid w:val="00C8285B"/>
    <w:rsid w:val="00C82AAF"/>
    <w:rsid w:val="00C82BAA"/>
    <w:rsid w:val="00C82C3B"/>
    <w:rsid w:val="00C82DC7"/>
    <w:rsid w:val="00C833AF"/>
    <w:rsid w:val="00C834BD"/>
    <w:rsid w:val="00C834C0"/>
    <w:rsid w:val="00C83536"/>
    <w:rsid w:val="00C835C6"/>
    <w:rsid w:val="00C835ED"/>
    <w:rsid w:val="00C83712"/>
    <w:rsid w:val="00C837DF"/>
    <w:rsid w:val="00C837F7"/>
    <w:rsid w:val="00C83982"/>
    <w:rsid w:val="00C83A21"/>
    <w:rsid w:val="00C83A33"/>
    <w:rsid w:val="00C83A5E"/>
    <w:rsid w:val="00C83CAB"/>
    <w:rsid w:val="00C83F29"/>
    <w:rsid w:val="00C84021"/>
    <w:rsid w:val="00C84274"/>
    <w:rsid w:val="00C843DB"/>
    <w:rsid w:val="00C84758"/>
    <w:rsid w:val="00C84818"/>
    <w:rsid w:val="00C8483F"/>
    <w:rsid w:val="00C84B3A"/>
    <w:rsid w:val="00C84D17"/>
    <w:rsid w:val="00C84E98"/>
    <w:rsid w:val="00C84F1D"/>
    <w:rsid w:val="00C85162"/>
    <w:rsid w:val="00C85409"/>
    <w:rsid w:val="00C855BA"/>
    <w:rsid w:val="00C85629"/>
    <w:rsid w:val="00C85847"/>
    <w:rsid w:val="00C859E5"/>
    <w:rsid w:val="00C85B4C"/>
    <w:rsid w:val="00C85B9B"/>
    <w:rsid w:val="00C85BF0"/>
    <w:rsid w:val="00C85C9C"/>
    <w:rsid w:val="00C85CC7"/>
    <w:rsid w:val="00C85F02"/>
    <w:rsid w:val="00C860E5"/>
    <w:rsid w:val="00C860E6"/>
    <w:rsid w:val="00C86123"/>
    <w:rsid w:val="00C86281"/>
    <w:rsid w:val="00C86717"/>
    <w:rsid w:val="00C868B5"/>
    <w:rsid w:val="00C86BA9"/>
    <w:rsid w:val="00C86C50"/>
    <w:rsid w:val="00C86CA0"/>
    <w:rsid w:val="00C86CB1"/>
    <w:rsid w:val="00C86D21"/>
    <w:rsid w:val="00C86FB7"/>
    <w:rsid w:val="00C870FF"/>
    <w:rsid w:val="00C87208"/>
    <w:rsid w:val="00C872E0"/>
    <w:rsid w:val="00C8735A"/>
    <w:rsid w:val="00C873FA"/>
    <w:rsid w:val="00C874E3"/>
    <w:rsid w:val="00C87872"/>
    <w:rsid w:val="00C87A44"/>
    <w:rsid w:val="00C87A45"/>
    <w:rsid w:val="00C87A67"/>
    <w:rsid w:val="00C87B65"/>
    <w:rsid w:val="00C87B8A"/>
    <w:rsid w:val="00C87D45"/>
    <w:rsid w:val="00C87FF4"/>
    <w:rsid w:val="00C9009D"/>
    <w:rsid w:val="00C901FE"/>
    <w:rsid w:val="00C902DC"/>
    <w:rsid w:val="00C9037A"/>
    <w:rsid w:val="00C903C1"/>
    <w:rsid w:val="00C9048A"/>
    <w:rsid w:val="00C906A1"/>
    <w:rsid w:val="00C907B6"/>
    <w:rsid w:val="00C908D2"/>
    <w:rsid w:val="00C90B36"/>
    <w:rsid w:val="00C90C93"/>
    <w:rsid w:val="00C90CFA"/>
    <w:rsid w:val="00C90E65"/>
    <w:rsid w:val="00C90F06"/>
    <w:rsid w:val="00C9102E"/>
    <w:rsid w:val="00C910A0"/>
    <w:rsid w:val="00C91112"/>
    <w:rsid w:val="00C9116C"/>
    <w:rsid w:val="00C912AB"/>
    <w:rsid w:val="00C913A8"/>
    <w:rsid w:val="00C91575"/>
    <w:rsid w:val="00C91A16"/>
    <w:rsid w:val="00C91A94"/>
    <w:rsid w:val="00C91ACB"/>
    <w:rsid w:val="00C91D96"/>
    <w:rsid w:val="00C91EBF"/>
    <w:rsid w:val="00C91F28"/>
    <w:rsid w:val="00C91FD8"/>
    <w:rsid w:val="00C91FE5"/>
    <w:rsid w:val="00C91FEA"/>
    <w:rsid w:val="00C9207A"/>
    <w:rsid w:val="00C9228B"/>
    <w:rsid w:val="00C9237A"/>
    <w:rsid w:val="00C926D9"/>
    <w:rsid w:val="00C9295B"/>
    <w:rsid w:val="00C929FE"/>
    <w:rsid w:val="00C92A09"/>
    <w:rsid w:val="00C92A4C"/>
    <w:rsid w:val="00C92B0C"/>
    <w:rsid w:val="00C92B32"/>
    <w:rsid w:val="00C92B9B"/>
    <w:rsid w:val="00C92C65"/>
    <w:rsid w:val="00C92DDE"/>
    <w:rsid w:val="00C92E53"/>
    <w:rsid w:val="00C9310C"/>
    <w:rsid w:val="00C93154"/>
    <w:rsid w:val="00C9315D"/>
    <w:rsid w:val="00C931A9"/>
    <w:rsid w:val="00C931D8"/>
    <w:rsid w:val="00C93544"/>
    <w:rsid w:val="00C93556"/>
    <w:rsid w:val="00C93657"/>
    <w:rsid w:val="00C93A71"/>
    <w:rsid w:val="00C93AE7"/>
    <w:rsid w:val="00C93B33"/>
    <w:rsid w:val="00C93E3C"/>
    <w:rsid w:val="00C93EAE"/>
    <w:rsid w:val="00C93FE0"/>
    <w:rsid w:val="00C941F1"/>
    <w:rsid w:val="00C94322"/>
    <w:rsid w:val="00C943F8"/>
    <w:rsid w:val="00C94485"/>
    <w:rsid w:val="00C94591"/>
    <w:rsid w:val="00C945D0"/>
    <w:rsid w:val="00C947E1"/>
    <w:rsid w:val="00C94832"/>
    <w:rsid w:val="00C94892"/>
    <w:rsid w:val="00C948EF"/>
    <w:rsid w:val="00C94973"/>
    <w:rsid w:val="00C94A19"/>
    <w:rsid w:val="00C94C07"/>
    <w:rsid w:val="00C94CD3"/>
    <w:rsid w:val="00C94D7D"/>
    <w:rsid w:val="00C95144"/>
    <w:rsid w:val="00C951AE"/>
    <w:rsid w:val="00C95224"/>
    <w:rsid w:val="00C95758"/>
    <w:rsid w:val="00C95795"/>
    <w:rsid w:val="00C957BD"/>
    <w:rsid w:val="00C95832"/>
    <w:rsid w:val="00C95887"/>
    <w:rsid w:val="00C9598F"/>
    <w:rsid w:val="00C95A1A"/>
    <w:rsid w:val="00C95D6F"/>
    <w:rsid w:val="00C95E19"/>
    <w:rsid w:val="00C960D4"/>
    <w:rsid w:val="00C964DD"/>
    <w:rsid w:val="00C965BC"/>
    <w:rsid w:val="00C9676F"/>
    <w:rsid w:val="00C96AA8"/>
    <w:rsid w:val="00C96AF5"/>
    <w:rsid w:val="00C96DFF"/>
    <w:rsid w:val="00C96E3C"/>
    <w:rsid w:val="00C96E41"/>
    <w:rsid w:val="00C96E9D"/>
    <w:rsid w:val="00C97185"/>
    <w:rsid w:val="00C971D7"/>
    <w:rsid w:val="00C97214"/>
    <w:rsid w:val="00C9732F"/>
    <w:rsid w:val="00C97597"/>
    <w:rsid w:val="00C97625"/>
    <w:rsid w:val="00C9764F"/>
    <w:rsid w:val="00C9768D"/>
    <w:rsid w:val="00C97746"/>
    <w:rsid w:val="00C977C7"/>
    <w:rsid w:val="00C978E7"/>
    <w:rsid w:val="00C97B48"/>
    <w:rsid w:val="00C97B51"/>
    <w:rsid w:val="00C97D78"/>
    <w:rsid w:val="00C97DA5"/>
    <w:rsid w:val="00C97EBA"/>
    <w:rsid w:val="00CA00FE"/>
    <w:rsid w:val="00CA0380"/>
    <w:rsid w:val="00CA03DD"/>
    <w:rsid w:val="00CA0563"/>
    <w:rsid w:val="00CA05FC"/>
    <w:rsid w:val="00CA08A6"/>
    <w:rsid w:val="00CA0AEB"/>
    <w:rsid w:val="00CA0DC8"/>
    <w:rsid w:val="00CA0FF7"/>
    <w:rsid w:val="00CA12F6"/>
    <w:rsid w:val="00CA1368"/>
    <w:rsid w:val="00CA13FA"/>
    <w:rsid w:val="00CA1513"/>
    <w:rsid w:val="00CA1517"/>
    <w:rsid w:val="00CA156B"/>
    <w:rsid w:val="00CA181D"/>
    <w:rsid w:val="00CA1A0C"/>
    <w:rsid w:val="00CA1A25"/>
    <w:rsid w:val="00CA1B38"/>
    <w:rsid w:val="00CA1BCC"/>
    <w:rsid w:val="00CA1C59"/>
    <w:rsid w:val="00CA1E85"/>
    <w:rsid w:val="00CA1E99"/>
    <w:rsid w:val="00CA214F"/>
    <w:rsid w:val="00CA2227"/>
    <w:rsid w:val="00CA222C"/>
    <w:rsid w:val="00CA22AD"/>
    <w:rsid w:val="00CA2D83"/>
    <w:rsid w:val="00CA2DA6"/>
    <w:rsid w:val="00CA2EE4"/>
    <w:rsid w:val="00CA30F5"/>
    <w:rsid w:val="00CA31DB"/>
    <w:rsid w:val="00CA3346"/>
    <w:rsid w:val="00CA3349"/>
    <w:rsid w:val="00CA3483"/>
    <w:rsid w:val="00CA3605"/>
    <w:rsid w:val="00CA372A"/>
    <w:rsid w:val="00CA3804"/>
    <w:rsid w:val="00CA38CD"/>
    <w:rsid w:val="00CA39FA"/>
    <w:rsid w:val="00CA3D03"/>
    <w:rsid w:val="00CA3D04"/>
    <w:rsid w:val="00CA3D5B"/>
    <w:rsid w:val="00CA3D76"/>
    <w:rsid w:val="00CA3DEF"/>
    <w:rsid w:val="00CA405F"/>
    <w:rsid w:val="00CA40D2"/>
    <w:rsid w:val="00CA4141"/>
    <w:rsid w:val="00CA429F"/>
    <w:rsid w:val="00CA43B9"/>
    <w:rsid w:val="00CA4737"/>
    <w:rsid w:val="00CA47C1"/>
    <w:rsid w:val="00CA4BD9"/>
    <w:rsid w:val="00CA4C95"/>
    <w:rsid w:val="00CA4FBE"/>
    <w:rsid w:val="00CA5051"/>
    <w:rsid w:val="00CA526A"/>
    <w:rsid w:val="00CA54AD"/>
    <w:rsid w:val="00CA5620"/>
    <w:rsid w:val="00CA5625"/>
    <w:rsid w:val="00CA5696"/>
    <w:rsid w:val="00CA5810"/>
    <w:rsid w:val="00CA587B"/>
    <w:rsid w:val="00CA59AA"/>
    <w:rsid w:val="00CA5A6E"/>
    <w:rsid w:val="00CA5AAA"/>
    <w:rsid w:val="00CA5B0A"/>
    <w:rsid w:val="00CA5BD4"/>
    <w:rsid w:val="00CA5CE7"/>
    <w:rsid w:val="00CA5DCB"/>
    <w:rsid w:val="00CA5E14"/>
    <w:rsid w:val="00CA5ED4"/>
    <w:rsid w:val="00CA5EFB"/>
    <w:rsid w:val="00CA5FDE"/>
    <w:rsid w:val="00CA60D7"/>
    <w:rsid w:val="00CA611C"/>
    <w:rsid w:val="00CA6216"/>
    <w:rsid w:val="00CA6256"/>
    <w:rsid w:val="00CA6339"/>
    <w:rsid w:val="00CA63A2"/>
    <w:rsid w:val="00CA6467"/>
    <w:rsid w:val="00CA66DA"/>
    <w:rsid w:val="00CA6718"/>
    <w:rsid w:val="00CA6950"/>
    <w:rsid w:val="00CA6A8F"/>
    <w:rsid w:val="00CA6B74"/>
    <w:rsid w:val="00CA6C8E"/>
    <w:rsid w:val="00CA6DED"/>
    <w:rsid w:val="00CA6F35"/>
    <w:rsid w:val="00CA71A5"/>
    <w:rsid w:val="00CA7440"/>
    <w:rsid w:val="00CA754B"/>
    <w:rsid w:val="00CA75A2"/>
    <w:rsid w:val="00CA761A"/>
    <w:rsid w:val="00CA763C"/>
    <w:rsid w:val="00CA76CD"/>
    <w:rsid w:val="00CA77E4"/>
    <w:rsid w:val="00CA78B8"/>
    <w:rsid w:val="00CA79E4"/>
    <w:rsid w:val="00CA7A38"/>
    <w:rsid w:val="00CA7B58"/>
    <w:rsid w:val="00CA7B98"/>
    <w:rsid w:val="00CA7BF7"/>
    <w:rsid w:val="00CA7C3F"/>
    <w:rsid w:val="00CA7E19"/>
    <w:rsid w:val="00CB0078"/>
    <w:rsid w:val="00CB007E"/>
    <w:rsid w:val="00CB027A"/>
    <w:rsid w:val="00CB0348"/>
    <w:rsid w:val="00CB057A"/>
    <w:rsid w:val="00CB05E5"/>
    <w:rsid w:val="00CB0624"/>
    <w:rsid w:val="00CB0650"/>
    <w:rsid w:val="00CB0866"/>
    <w:rsid w:val="00CB08FE"/>
    <w:rsid w:val="00CB094E"/>
    <w:rsid w:val="00CB0973"/>
    <w:rsid w:val="00CB0993"/>
    <w:rsid w:val="00CB0D1C"/>
    <w:rsid w:val="00CB0D7B"/>
    <w:rsid w:val="00CB0DCE"/>
    <w:rsid w:val="00CB0FBF"/>
    <w:rsid w:val="00CB1084"/>
    <w:rsid w:val="00CB10D7"/>
    <w:rsid w:val="00CB12F7"/>
    <w:rsid w:val="00CB14D5"/>
    <w:rsid w:val="00CB159C"/>
    <w:rsid w:val="00CB1717"/>
    <w:rsid w:val="00CB1794"/>
    <w:rsid w:val="00CB17B0"/>
    <w:rsid w:val="00CB1823"/>
    <w:rsid w:val="00CB1A58"/>
    <w:rsid w:val="00CB1C67"/>
    <w:rsid w:val="00CB1E46"/>
    <w:rsid w:val="00CB1F5C"/>
    <w:rsid w:val="00CB202B"/>
    <w:rsid w:val="00CB2149"/>
    <w:rsid w:val="00CB21A0"/>
    <w:rsid w:val="00CB2350"/>
    <w:rsid w:val="00CB281F"/>
    <w:rsid w:val="00CB28E5"/>
    <w:rsid w:val="00CB2A4E"/>
    <w:rsid w:val="00CB2AC4"/>
    <w:rsid w:val="00CB2F2C"/>
    <w:rsid w:val="00CB2FC1"/>
    <w:rsid w:val="00CB2FE4"/>
    <w:rsid w:val="00CB310D"/>
    <w:rsid w:val="00CB3173"/>
    <w:rsid w:val="00CB355C"/>
    <w:rsid w:val="00CB3589"/>
    <w:rsid w:val="00CB368E"/>
    <w:rsid w:val="00CB3818"/>
    <w:rsid w:val="00CB399A"/>
    <w:rsid w:val="00CB3AD0"/>
    <w:rsid w:val="00CB3B14"/>
    <w:rsid w:val="00CB3CA7"/>
    <w:rsid w:val="00CB3CEB"/>
    <w:rsid w:val="00CB3CFE"/>
    <w:rsid w:val="00CB3D91"/>
    <w:rsid w:val="00CB3DE4"/>
    <w:rsid w:val="00CB3E03"/>
    <w:rsid w:val="00CB3EE8"/>
    <w:rsid w:val="00CB3F2A"/>
    <w:rsid w:val="00CB41E9"/>
    <w:rsid w:val="00CB4254"/>
    <w:rsid w:val="00CB42D9"/>
    <w:rsid w:val="00CB4440"/>
    <w:rsid w:val="00CB465D"/>
    <w:rsid w:val="00CB4748"/>
    <w:rsid w:val="00CB48D4"/>
    <w:rsid w:val="00CB48FD"/>
    <w:rsid w:val="00CB497F"/>
    <w:rsid w:val="00CB4B9A"/>
    <w:rsid w:val="00CB4BD6"/>
    <w:rsid w:val="00CB4D32"/>
    <w:rsid w:val="00CB5067"/>
    <w:rsid w:val="00CB5088"/>
    <w:rsid w:val="00CB5098"/>
    <w:rsid w:val="00CB5311"/>
    <w:rsid w:val="00CB5440"/>
    <w:rsid w:val="00CB55C1"/>
    <w:rsid w:val="00CB57A4"/>
    <w:rsid w:val="00CB5884"/>
    <w:rsid w:val="00CB5A10"/>
    <w:rsid w:val="00CB5A8D"/>
    <w:rsid w:val="00CB5AE8"/>
    <w:rsid w:val="00CB5B63"/>
    <w:rsid w:val="00CB5C02"/>
    <w:rsid w:val="00CB5D55"/>
    <w:rsid w:val="00CB5D9E"/>
    <w:rsid w:val="00CB5E92"/>
    <w:rsid w:val="00CB636A"/>
    <w:rsid w:val="00CB672D"/>
    <w:rsid w:val="00CB679E"/>
    <w:rsid w:val="00CB6952"/>
    <w:rsid w:val="00CB6B2B"/>
    <w:rsid w:val="00CB6CC9"/>
    <w:rsid w:val="00CB6E26"/>
    <w:rsid w:val="00CB6FB6"/>
    <w:rsid w:val="00CB7050"/>
    <w:rsid w:val="00CB70C3"/>
    <w:rsid w:val="00CB711E"/>
    <w:rsid w:val="00CB716F"/>
    <w:rsid w:val="00CB71CC"/>
    <w:rsid w:val="00CB72FC"/>
    <w:rsid w:val="00CB74D8"/>
    <w:rsid w:val="00CB7556"/>
    <w:rsid w:val="00CB7AE5"/>
    <w:rsid w:val="00CB7BBC"/>
    <w:rsid w:val="00CB7C2D"/>
    <w:rsid w:val="00CB7D28"/>
    <w:rsid w:val="00CB7DC6"/>
    <w:rsid w:val="00CB7EBB"/>
    <w:rsid w:val="00CC0423"/>
    <w:rsid w:val="00CC049E"/>
    <w:rsid w:val="00CC04BC"/>
    <w:rsid w:val="00CC0653"/>
    <w:rsid w:val="00CC06A6"/>
    <w:rsid w:val="00CC072F"/>
    <w:rsid w:val="00CC0890"/>
    <w:rsid w:val="00CC0A95"/>
    <w:rsid w:val="00CC0B1B"/>
    <w:rsid w:val="00CC0BA4"/>
    <w:rsid w:val="00CC0C0E"/>
    <w:rsid w:val="00CC0C13"/>
    <w:rsid w:val="00CC0DD7"/>
    <w:rsid w:val="00CC0FD9"/>
    <w:rsid w:val="00CC106C"/>
    <w:rsid w:val="00CC1117"/>
    <w:rsid w:val="00CC1715"/>
    <w:rsid w:val="00CC17B0"/>
    <w:rsid w:val="00CC17F5"/>
    <w:rsid w:val="00CC181D"/>
    <w:rsid w:val="00CC1ADA"/>
    <w:rsid w:val="00CC1B3C"/>
    <w:rsid w:val="00CC1C47"/>
    <w:rsid w:val="00CC1CDB"/>
    <w:rsid w:val="00CC1DA5"/>
    <w:rsid w:val="00CC1F2A"/>
    <w:rsid w:val="00CC205A"/>
    <w:rsid w:val="00CC21CE"/>
    <w:rsid w:val="00CC258C"/>
    <w:rsid w:val="00CC26D2"/>
    <w:rsid w:val="00CC2926"/>
    <w:rsid w:val="00CC2943"/>
    <w:rsid w:val="00CC2B86"/>
    <w:rsid w:val="00CC2C0F"/>
    <w:rsid w:val="00CC2C25"/>
    <w:rsid w:val="00CC2CB2"/>
    <w:rsid w:val="00CC2CB8"/>
    <w:rsid w:val="00CC2DF3"/>
    <w:rsid w:val="00CC2F55"/>
    <w:rsid w:val="00CC2FE8"/>
    <w:rsid w:val="00CC3076"/>
    <w:rsid w:val="00CC33F5"/>
    <w:rsid w:val="00CC3685"/>
    <w:rsid w:val="00CC3697"/>
    <w:rsid w:val="00CC3ACE"/>
    <w:rsid w:val="00CC3CF3"/>
    <w:rsid w:val="00CC3EE1"/>
    <w:rsid w:val="00CC409D"/>
    <w:rsid w:val="00CC416E"/>
    <w:rsid w:val="00CC41B2"/>
    <w:rsid w:val="00CC43D1"/>
    <w:rsid w:val="00CC4433"/>
    <w:rsid w:val="00CC47C6"/>
    <w:rsid w:val="00CC4925"/>
    <w:rsid w:val="00CC4A57"/>
    <w:rsid w:val="00CC4ADA"/>
    <w:rsid w:val="00CC4C41"/>
    <w:rsid w:val="00CC4D76"/>
    <w:rsid w:val="00CC4D8B"/>
    <w:rsid w:val="00CC4FD9"/>
    <w:rsid w:val="00CC51F0"/>
    <w:rsid w:val="00CC5352"/>
    <w:rsid w:val="00CC546F"/>
    <w:rsid w:val="00CC5545"/>
    <w:rsid w:val="00CC5812"/>
    <w:rsid w:val="00CC58BB"/>
    <w:rsid w:val="00CC5AD4"/>
    <w:rsid w:val="00CC5B1D"/>
    <w:rsid w:val="00CC5B23"/>
    <w:rsid w:val="00CC5E13"/>
    <w:rsid w:val="00CC5E55"/>
    <w:rsid w:val="00CC5F9F"/>
    <w:rsid w:val="00CC61FE"/>
    <w:rsid w:val="00CC629E"/>
    <w:rsid w:val="00CC6332"/>
    <w:rsid w:val="00CC660E"/>
    <w:rsid w:val="00CC682F"/>
    <w:rsid w:val="00CC6879"/>
    <w:rsid w:val="00CC68F9"/>
    <w:rsid w:val="00CC68FD"/>
    <w:rsid w:val="00CC6DFE"/>
    <w:rsid w:val="00CC6E24"/>
    <w:rsid w:val="00CC6F18"/>
    <w:rsid w:val="00CC700E"/>
    <w:rsid w:val="00CC707A"/>
    <w:rsid w:val="00CC7389"/>
    <w:rsid w:val="00CC73C9"/>
    <w:rsid w:val="00CC7565"/>
    <w:rsid w:val="00CC78A5"/>
    <w:rsid w:val="00CC791A"/>
    <w:rsid w:val="00CC7AAC"/>
    <w:rsid w:val="00CC7C5F"/>
    <w:rsid w:val="00CC7D3B"/>
    <w:rsid w:val="00CC7D4D"/>
    <w:rsid w:val="00CC7ED0"/>
    <w:rsid w:val="00CC7F18"/>
    <w:rsid w:val="00CC7FAF"/>
    <w:rsid w:val="00CD00C0"/>
    <w:rsid w:val="00CD039E"/>
    <w:rsid w:val="00CD03B8"/>
    <w:rsid w:val="00CD0500"/>
    <w:rsid w:val="00CD0507"/>
    <w:rsid w:val="00CD058E"/>
    <w:rsid w:val="00CD078D"/>
    <w:rsid w:val="00CD07E5"/>
    <w:rsid w:val="00CD081D"/>
    <w:rsid w:val="00CD0A4D"/>
    <w:rsid w:val="00CD0B05"/>
    <w:rsid w:val="00CD0BC6"/>
    <w:rsid w:val="00CD0C88"/>
    <w:rsid w:val="00CD0DB0"/>
    <w:rsid w:val="00CD0E20"/>
    <w:rsid w:val="00CD0FC0"/>
    <w:rsid w:val="00CD0FCE"/>
    <w:rsid w:val="00CD1070"/>
    <w:rsid w:val="00CD11D6"/>
    <w:rsid w:val="00CD1296"/>
    <w:rsid w:val="00CD134F"/>
    <w:rsid w:val="00CD14C4"/>
    <w:rsid w:val="00CD14EC"/>
    <w:rsid w:val="00CD162F"/>
    <w:rsid w:val="00CD1676"/>
    <w:rsid w:val="00CD16C4"/>
    <w:rsid w:val="00CD178F"/>
    <w:rsid w:val="00CD19FA"/>
    <w:rsid w:val="00CD1B27"/>
    <w:rsid w:val="00CD1B4E"/>
    <w:rsid w:val="00CD1DD5"/>
    <w:rsid w:val="00CD1DFC"/>
    <w:rsid w:val="00CD1F84"/>
    <w:rsid w:val="00CD2168"/>
    <w:rsid w:val="00CD22AF"/>
    <w:rsid w:val="00CD2385"/>
    <w:rsid w:val="00CD25FF"/>
    <w:rsid w:val="00CD2851"/>
    <w:rsid w:val="00CD28C4"/>
    <w:rsid w:val="00CD2A5A"/>
    <w:rsid w:val="00CD2B84"/>
    <w:rsid w:val="00CD2D34"/>
    <w:rsid w:val="00CD2D76"/>
    <w:rsid w:val="00CD2E4D"/>
    <w:rsid w:val="00CD2EB6"/>
    <w:rsid w:val="00CD2ECE"/>
    <w:rsid w:val="00CD30CF"/>
    <w:rsid w:val="00CD317F"/>
    <w:rsid w:val="00CD3201"/>
    <w:rsid w:val="00CD3488"/>
    <w:rsid w:val="00CD3523"/>
    <w:rsid w:val="00CD3575"/>
    <w:rsid w:val="00CD35C5"/>
    <w:rsid w:val="00CD373C"/>
    <w:rsid w:val="00CD39E8"/>
    <w:rsid w:val="00CD3BEB"/>
    <w:rsid w:val="00CD3CD7"/>
    <w:rsid w:val="00CD3D75"/>
    <w:rsid w:val="00CD3DFA"/>
    <w:rsid w:val="00CD4096"/>
    <w:rsid w:val="00CD40D6"/>
    <w:rsid w:val="00CD4337"/>
    <w:rsid w:val="00CD44FD"/>
    <w:rsid w:val="00CD468B"/>
    <w:rsid w:val="00CD484D"/>
    <w:rsid w:val="00CD48E7"/>
    <w:rsid w:val="00CD4BC8"/>
    <w:rsid w:val="00CD4C55"/>
    <w:rsid w:val="00CD4CA8"/>
    <w:rsid w:val="00CD4DA4"/>
    <w:rsid w:val="00CD50EC"/>
    <w:rsid w:val="00CD510D"/>
    <w:rsid w:val="00CD5132"/>
    <w:rsid w:val="00CD5178"/>
    <w:rsid w:val="00CD547D"/>
    <w:rsid w:val="00CD5525"/>
    <w:rsid w:val="00CD5586"/>
    <w:rsid w:val="00CD55BD"/>
    <w:rsid w:val="00CD57C5"/>
    <w:rsid w:val="00CD57CA"/>
    <w:rsid w:val="00CD5B7F"/>
    <w:rsid w:val="00CD5C88"/>
    <w:rsid w:val="00CD5F2F"/>
    <w:rsid w:val="00CD634D"/>
    <w:rsid w:val="00CD63BF"/>
    <w:rsid w:val="00CD6564"/>
    <w:rsid w:val="00CD6651"/>
    <w:rsid w:val="00CD6792"/>
    <w:rsid w:val="00CD68F1"/>
    <w:rsid w:val="00CD6AFB"/>
    <w:rsid w:val="00CD6B89"/>
    <w:rsid w:val="00CD6CAD"/>
    <w:rsid w:val="00CD6CC4"/>
    <w:rsid w:val="00CD6CF1"/>
    <w:rsid w:val="00CD6D2E"/>
    <w:rsid w:val="00CD6E3E"/>
    <w:rsid w:val="00CD71D9"/>
    <w:rsid w:val="00CD7360"/>
    <w:rsid w:val="00CD7577"/>
    <w:rsid w:val="00CD7604"/>
    <w:rsid w:val="00CD778B"/>
    <w:rsid w:val="00CD7A79"/>
    <w:rsid w:val="00CD7B73"/>
    <w:rsid w:val="00CD7BA3"/>
    <w:rsid w:val="00CE00B2"/>
    <w:rsid w:val="00CE0354"/>
    <w:rsid w:val="00CE0686"/>
    <w:rsid w:val="00CE07A1"/>
    <w:rsid w:val="00CE0917"/>
    <w:rsid w:val="00CE0D71"/>
    <w:rsid w:val="00CE0E0A"/>
    <w:rsid w:val="00CE0EBB"/>
    <w:rsid w:val="00CE0F49"/>
    <w:rsid w:val="00CE1151"/>
    <w:rsid w:val="00CE1263"/>
    <w:rsid w:val="00CE12D8"/>
    <w:rsid w:val="00CE1710"/>
    <w:rsid w:val="00CE17DC"/>
    <w:rsid w:val="00CE19C9"/>
    <w:rsid w:val="00CE1BA0"/>
    <w:rsid w:val="00CE1BF3"/>
    <w:rsid w:val="00CE248C"/>
    <w:rsid w:val="00CE26EF"/>
    <w:rsid w:val="00CE2B4B"/>
    <w:rsid w:val="00CE2D03"/>
    <w:rsid w:val="00CE2E47"/>
    <w:rsid w:val="00CE2EB5"/>
    <w:rsid w:val="00CE2F57"/>
    <w:rsid w:val="00CE3105"/>
    <w:rsid w:val="00CE3171"/>
    <w:rsid w:val="00CE338D"/>
    <w:rsid w:val="00CE3532"/>
    <w:rsid w:val="00CE36B3"/>
    <w:rsid w:val="00CE3898"/>
    <w:rsid w:val="00CE3B3C"/>
    <w:rsid w:val="00CE3BCB"/>
    <w:rsid w:val="00CE3DE8"/>
    <w:rsid w:val="00CE3E90"/>
    <w:rsid w:val="00CE3F5F"/>
    <w:rsid w:val="00CE404E"/>
    <w:rsid w:val="00CE4281"/>
    <w:rsid w:val="00CE42AA"/>
    <w:rsid w:val="00CE4479"/>
    <w:rsid w:val="00CE457C"/>
    <w:rsid w:val="00CE49C9"/>
    <w:rsid w:val="00CE4B41"/>
    <w:rsid w:val="00CE4DE9"/>
    <w:rsid w:val="00CE4E49"/>
    <w:rsid w:val="00CE4F37"/>
    <w:rsid w:val="00CE502E"/>
    <w:rsid w:val="00CE50F6"/>
    <w:rsid w:val="00CE5153"/>
    <w:rsid w:val="00CE5437"/>
    <w:rsid w:val="00CE556F"/>
    <w:rsid w:val="00CE5627"/>
    <w:rsid w:val="00CE5679"/>
    <w:rsid w:val="00CE56A8"/>
    <w:rsid w:val="00CE5827"/>
    <w:rsid w:val="00CE585F"/>
    <w:rsid w:val="00CE59D6"/>
    <w:rsid w:val="00CE5B2C"/>
    <w:rsid w:val="00CE5D9B"/>
    <w:rsid w:val="00CE5F23"/>
    <w:rsid w:val="00CE5FDA"/>
    <w:rsid w:val="00CE60B5"/>
    <w:rsid w:val="00CE61BF"/>
    <w:rsid w:val="00CE62A2"/>
    <w:rsid w:val="00CE6387"/>
    <w:rsid w:val="00CE64BD"/>
    <w:rsid w:val="00CE6655"/>
    <w:rsid w:val="00CE6678"/>
    <w:rsid w:val="00CE6723"/>
    <w:rsid w:val="00CE679C"/>
    <w:rsid w:val="00CE67A8"/>
    <w:rsid w:val="00CE68D4"/>
    <w:rsid w:val="00CE6F19"/>
    <w:rsid w:val="00CE709D"/>
    <w:rsid w:val="00CE71D3"/>
    <w:rsid w:val="00CE7541"/>
    <w:rsid w:val="00CE7722"/>
    <w:rsid w:val="00CE77ED"/>
    <w:rsid w:val="00CE7870"/>
    <w:rsid w:val="00CE7939"/>
    <w:rsid w:val="00CE7999"/>
    <w:rsid w:val="00CE7E0A"/>
    <w:rsid w:val="00CE7F65"/>
    <w:rsid w:val="00CF006A"/>
    <w:rsid w:val="00CF0186"/>
    <w:rsid w:val="00CF01B4"/>
    <w:rsid w:val="00CF02AF"/>
    <w:rsid w:val="00CF0609"/>
    <w:rsid w:val="00CF0623"/>
    <w:rsid w:val="00CF0633"/>
    <w:rsid w:val="00CF07AA"/>
    <w:rsid w:val="00CF07F8"/>
    <w:rsid w:val="00CF0A79"/>
    <w:rsid w:val="00CF0C4A"/>
    <w:rsid w:val="00CF11CE"/>
    <w:rsid w:val="00CF15ED"/>
    <w:rsid w:val="00CF160A"/>
    <w:rsid w:val="00CF17E7"/>
    <w:rsid w:val="00CF1812"/>
    <w:rsid w:val="00CF1837"/>
    <w:rsid w:val="00CF19BF"/>
    <w:rsid w:val="00CF1BDC"/>
    <w:rsid w:val="00CF1C33"/>
    <w:rsid w:val="00CF1F84"/>
    <w:rsid w:val="00CF1F93"/>
    <w:rsid w:val="00CF203C"/>
    <w:rsid w:val="00CF20E1"/>
    <w:rsid w:val="00CF21F0"/>
    <w:rsid w:val="00CF235B"/>
    <w:rsid w:val="00CF2380"/>
    <w:rsid w:val="00CF23BA"/>
    <w:rsid w:val="00CF26E1"/>
    <w:rsid w:val="00CF2810"/>
    <w:rsid w:val="00CF28C2"/>
    <w:rsid w:val="00CF29CF"/>
    <w:rsid w:val="00CF2C2A"/>
    <w:rsid w:val="00CF2DC2"/>
    <w:rsid w:val="00CF2E18"/>
    <w:rsid w:val="00CF2EA2"/>
    <w:rsid w:val="00CF2FE6"/>
    <w:rsid w:val="00CF2FF9"/>
    <w:rsid w:val="00CF3088"/>
    <w:rsid w:val="00CF3165"/>
    <w:rsid w:val="00CF3187"/>
    <w:rsid w:val="00CF345A"/>
    <w:rsid w:val="00CF3535"/>
    <w:rsid w:val="00CF3651"/>
    <w:rsid w:val="00CF36F5"/>
    <w:rsid w:val="00CF3779"/>
    <w:rsid w:val="00CF3856"/>
    <w:rsid w:val="00CF39C9"/>
    <w:rsid w:val="00CF3AC6"/>
    <w:rsid w:val="00CF3B0C"/>
    <w:rsid w:val="00CF3C54"/>
    <w:rsid w:val="00CF3CD4"/>
    <w:rsid w:val="00CF3E24"/>
    <w:rsid w:val="00CF3F18"/>
    <w:rsid w:val="00CF3FFC"/>
    <w:rsid w:val="00CF4031"/>
    <w:rsid w:val="00CF40CB"/>
    <w:rsid w:val="00CF427D"/>
    <w:rsid w:val="00CF4362"/>
    <w:rsid w:val="00CF43BB"/>
    <w:rsid w:val="00CF4414"/>
    <w:rsid w:val="00CF4671"/>
    <w:rsid w:val="00CF47D2"/>
    <w:rsid w:val="00CF4BA4"/>
    <w:rsid w:val="00CF4BE6"/>
    <w:rsid w:val="00CF4DDF"/>
    <w:rsid w:val="00CF4E02"/>
    <w:rsid w:val="00CF4E46"/>
    <w:rsid w:val="00CF4EED"/>
    <w:rsid w:val="00CF52E5"/>
    <w:rsid w:val="00CF53B8"/>
    <w:rsid w:val="00CF53EA"/>
    <w:rsid w:val="00CF540B"/>
    <w:rsid w:val="00CF57D8"/>
    <w:rsid w:val="00CF58C5"/>
    <w:rsid w:val="00CF591A"/>
    <w:rsid w:val="00CF5AD1"/>
    <w:rsid w:val="00CF5B4F"/>
    <w:rsid w:val="00CF5D09"/>
    <w:rsid w:val="00CF605C"/>
    <w:rsid w:val="00CF6550"/>
    <w:rsid w:val="00CF6639"/>
    <w:rsid w:val="00CF6830"/>
    <w:rsid w:val="00CF6980"/>
    <w:rsid w:val="00CF69FD"/>
    <w:rsid w:val="00CF6CE5"/>
    <w:rsid w:val="00CF6DE9"/>
    <w:rsid w:val="00CF6FC3"/>
    <w:rsid w:val="00CF700F"/>
    <w:rsid w:val="00CF7124"/>
    <w:rsid w:val="00CF7359"/>
    <w:rsid w:val="00CF736D"/>
    <w:rsid w:val="00CF739A"/>
    <w:rsid w:val="00CF7493"/>
    <w:rsid w:val="00CF74C2"/>
    <w:rsid w:val="00CF7544"/>
    <w:rsid w:val="00CF775E"/>
    <w:rsid w:val="00CF779B"/>
    <w:rsid w:val="00CF77CA"/>
    <w:rsid w:val="00CF7938"/>
    <w:rsid w:val="00CF79F8"/>
    <w:rsid w:val="00CF7A3E"/>
    <w:rsid w:val="00CF7A4B"/>
    <w:rsid w:val="00CF7B46"/>
    <w:rsid w:val="00CF7CA3"/>
    <w:rsid w:val="00CF7D36"/>
    <w:rsid w:val="00CF7DB0"/>
    <w:rsid w:val="00CF7DF3"/>
    <w:rsid w:val="00D0021C"/>
    <w:rsid w:val="00D003B0"/>
    <w:rsid w:val="00D00446"/>
    <w:rsid w:val="00D005EC"/>
    <w:rsid w:val="00D00AD1"/>
    <w:rsid w:val="00D00B1A"/>
    <w:rsid w:val="00D00B66"/>
    <w:rsid w:val="00D00B97"/>
    <w:rsid w:val="00D00DCE"/>
    <w:rsid w:val="00D01332"/>
    <w:rsid w:val="00D01339"/>
    <w:rsid w:val="00D014E8"/>
    <w:rsid w:val="00D01625"/>
    <w:rsid w:val="00D0192C"/>
    <w:rsid w:val="00D01C31"/>
    <w:rsid w:val="00D01C36"/>
    <w:rsid w:val="00D01D6C"/>
    <w:rsid w:val="00D01DAD"/>
    <w:rsid w:val="00D0208B"/>
    <w:rsid w:val="00D020CB"/>
    <w:rsid w:val="00D0228C"/>
    <w:rsid w:val="00D02774"/>
    <w:rsid w:val="00D0280F"/>
    <w:rsid w:val="00D02906"/>
    <w:rsid w:val="00D02F0A"/>
    <w:rsid w:val="00D02FA9"/>
    <w:rsid w:val="00D03078"/>
    <w:rsid w:val="00D0310C"/>
    <w:rsid w:val="00D0330A"/>
    <w:rsid w:val="00D03410"/>
    <w:rsid w:val="00D0341F"/>
    <w:rsid w:val="00D0361C"/>
    <w:rsid w:val="00D036B5"/>
    <w:rsid w:val="00D037B6"/>
    <w:rsid w:val="00D03A1C"/>
    <w:rsid w:val="00D03FE0"/>
    <w:rsid w:val="00D041EA"/>
    <w:rsid w:val="00D0431C"/>
    <w:rsid w:val="00D044FC"/>
    <w:rsid w:val="00D0451C"/>
    <w:rsid w:val="00D045DD"/>
    <w:rsid w:val="00D04735"/>
    <w:rsid w:val="00D047E6"/>
    <w:rsid w:val="00D04880"/>
    <w:rsid w:val="00D049A7"/>
    <w:rsid w:val="00D04A13"/>
    <w:rsid w:val="00D04C04"/>
    <w:rsid w:val="00D05040"/>
    <w:rsid w:val="00D05131"/>
    <w:rsid w:val="00D05197"/>
    <w:rsid w:val="00D05295"/>
    <w:rsid w:val="00D0544D"/>
    <w:rsid w:val="00D05451"/>
    <w:rsid w:val="00D0546A"/>
    <w:rsid w:val="00D0558C"/>
    <w:rsid w:val="00D0578D"/>
    <w:rsid w:val="00D05A24"/>
    <w:rsid w:val="00D05BCA"/>
    <w:rsid w:val="00D05CD5"/>
    <w:rsid w:val="00D05CEC"/>
    <w:rsid w:val="00D05EF9"/>
    <w:rsid w:val="00D060FE"/>
    <w:rsid w:val="00D06103"/>
    <w:rsid w:val="00D06792"/>
    <w:rsid w:val="00D067DA"/>
    <w:rsid w:val="00D06835"/>
    <w:rsid w:val="00D06919"/>
    <w:rsid w:val="00D06CBE"/>
    <w:rsid w:val="00D06F6A"/>
    <w:rsid w:val="00D07022"/>
    <w:rsid w:val="00D07228"/>
    <w:rsid w:val="00D0741F"/>
    <w:rsid w:val="00D0743D"/>
    <w:rsid w:val="00D076FB"/>
    <w:rsid w:val="00D07BB0"/>
    <w:rsid w:val="00D10149"/>
    <w:rsid w:val="00D101A1"/>
    <w:rsid w:val="00D103E8"/>
    <w:rsid w:val="00D10515"/>
    <w:rsid w:val="00D106B1"/>
    <w:rsid w:val="00D1085F"/>
    <w:rsid w:val="00D10B47"/>
    <w:rsid w:val="00D10D37"/>
    <w:rsid w:val="00D1110A"/>
    <w:rsid w:val="00D111CA"/>
    <w:rsid w:val="00D11274"/>
    <w:rsid w:val="00D112AE"/>
    <w:rsid w:val="00D112EA"/>
    <w:rsid w:val="00D11456"/>
    <w:rsid w:val="00D115D6"/>
    <w:rsid w:val="00D1160D"/>
    <w:rsid w:val="00D1172D"/>
    <w:rsid w:val="00D117D0"/>
    <w:rsid w:val="00D1190C"/>
    <w:rsid w:val="00D11B59"/>
    <w:rsid w:val="00D11CBD"/>
    <w:rsid w:val="00D11D00"/>
    <w:rsid w:val="00D11E80"/>
    <w:rsid w:val="00D11F98"/>
    <w:rsid w:val="00D12108"/>
    <w:rsid w:val="00D122E6"/>
    <w:rsid w:val="00D122EC"/>
    <w:rsid w:val="00D1255F"/>
    <w:rsid w:val="00D12644"/>
    <w:rsid w:val="00D126F6"/>
    <w:rsid w:val="00D1271E"/>
    <w:rsid w:val="00D12925"/>
    <w:rsid w:val="00D12994"/>
    <w:rsid w:val="00D12B09"/>
    <w:rsid w:val="00D12CB1"/>
    <w:rsid w:val="00D12E60"/>
    <w:rsid w:val="00D12EE0"/>
    <w:rsid w:val="00D13059"/>
    <w:rsid w:val="00D130A6"/>
    <w:rsid w:val="00D1321A"/>
    <w:rsid w:val="00D13352"/>
    <w:rsid w:val="00D13405"/>
    <w:rsid w:val="00D13433"/>
    <w:rsid w:val="00D13621"/>
    <w:rsid w:val="00D136DA"/>
    <w:rsid w:val="00D137D3"/>
    <w:rsid w:val="00D1394A"/>
    <w:rsid w:val="00D13AB7"/>
    <w:rsid w:val="00D13B4B"/>
    <w:rsid w:val="00D13B86"/>
    <w:rsid w:val="00D13B9F"/>
    <w:rsid w:val="00D13C7C"/>
    <w:rsid w:val="00D13CDF"/>
    <w:rsid w:val="00D13EC5"/>
    <w:rsid w:val="00D13ED7"/>
    <w:rsid w:val="00D13EF4"/>
    <w:rsid w:val="00D13FC0"/>
    <w:rsid w:val="00D13FC2"/>
    <w:rsid w:val="00D14097"/>
    <w:rsid w:val="00D1431B"/>
    <w:rsid w:val="00D14473"/>
    <w:rsid w:val="00D145E0"/>
    <w:rsid w:val="00D145FF"/>
    <w:rsid w:val="00D1460D"/>
    <w:rsid w:val="00D14739"/>
    <w:rsid w:val="00D14900"/>
    <w:rsid w:val="00D14A99"/>
    <w:rsid w:val="00D14DDB"/>
    <w:rsid w:val="00D14E52"/>
    <w:rsid w:val="00D14E58"/>
    <w:rsid w:val="00D14F28"/>
    <w:rsid w:val="00D15062"/>
    <w:rsid w:val="00D150B8"/>
    <w:rsid w:val="00D15270"/>
    <w:rsid w:val="00D1533C"/>
    <w:rsid w:val="00D154EB"/>
    <w:rsid w:val="00D1553E"/>
    <w:rsid w:val="00D157E1"/>
    <w:rsid w:val="00D158FF"/>
    <w:rsid w:val="00D15A2F"/>
    <w:rsid w:val="00D15A45"/>
    <w:rsid w:val="00D15AD7"/>
    <w:rsid w:val="00D15B00"/>
    <w:rsid w:val="00D15C84"/>
    <w:rsid w:val="00D15CCF"/>
    <w:rsid w:val="00D15F86"/>
    <w:rsid w:val="00D15FCB"/>
    <w:rsid w:val="00D15FEF"/>
    <w:rsid w:val="00D16018"/>
    <w:rsid w:val="00D16143"/>
    <w:rsid w:val="00D16188"/>
    <w:rsid w:val="00D16296"/>
    <w:rsid w:val="00D16398"/>
    <w:rsid w:val="00D164CE"/>
    <w:rsid w:val="00D165F4"/>
    <w:rsid w:val="00D16649"/>
    <w:rsid w:val="00D169D9"/>
    <w:rsid w:val="00D16BFE"/>
    <w:rsid w:val="00D16D18"/>
    <w:rsid w:val="00D16F53"/>
    <w:rsid w:val="00D16FA8"/>
    <w:rsid w:val="00D173D8"/>
    <w:rsid w:val="00D1774D"/>
    <w:rsid w:val="00D177DE"/>
    <w:rsid w:val="00D17932"/>
    <w:rsid w:val="00D1799F"/>
    <w:rsid w:val="00D17BB0"/>
    <w:rsid w:val="00D17C22"/>
    <w:rsid w:val="00D17C71"/>
    <w:rsid w:val="00D17D8A"/>
    <w:rsid w:val="00D17EC9"/>
    <w:rsid w:val="00D17F74"/>
    <w:rsid w:val="00D2000E"/>
    <w:rsid w:val="00D20010"/>
    <w:rsid w:val="00D20022"/>
    <w:rsid w:val="00D20156"/>
    <w:rsid w:val="00D2019C"/>
    <w:rsid w:val="00D20544"/>
    <w:rsid w:val="00D20639"/>
    <w:rsid w:val="00D2076D"/>
    <w:rsid w:val="00D20778"/>
    <w:rsid w:val="00D20912"/>
    <w:rsid w:val="00D20998"/>
    <w:rsid w:val="00D20A3F"/>
    <w:rsid w:val="00D20A67"/>
    <w:rsid w:val="00D20AE2"/>
    <w:rsid w:val="00D21034"/>
    <w:rsid w:val="00D21055"/>
    <w:rsid w:val="00D211C5"/>
    <w:rsid w:val="00D2133B"/>
    <w:rsid w:val="00D2150F"/>
    <w:rsid w:val="00D2158B"/>
    <w:rsid w:val="00D2165E"/>
    <w:rsid w:val="00D21756"/>
    <w:rsid w:val="00D21766"/>
    <w:rsid w:val="00D2194A"/>
    <w:rsid w:val="00D21A43"/>
    <w:rsid w:val="00D21A82"/>
    <w:rsid w:val="00D21C5C"/>
    <w:rsid w:val="00D220CC"/>
    <w:rsid w:val="00D22115"/>
    <w:rsid w:val="00D22501"/>
    <w:rsid w:val="00D2268B"/>
    <w:rsid w:val="00D226FA"/>
    <w:rsid w:val="00D2293E"/>
    <w:rsid w:val="00D22A26"/>
    <w:rsid w:val="00D22AD6"/>
    <w:rsid w:val="00D22C2F"/>
    <w:rsid w:val="00D22C4F"/>
    <w:rsid w:val="00D22DBD"/>
    <w:rsid w:val="00D22F23"/>
    <w:rsid w:val="00D231EC"/>
    <w:rsid w:val="00D231FA"/>
    <w:rsid w:val="00D23245"/>
    <w:rsid w:val="00D23260"/>
    <w:rsid w:val="00D233DB"/>
    <w:rsid w:val="00D23585"/>
    <w:rsid w:val="00D2387B"/>
    <w:rsid w:val="00D23C89"/>
    <w:rsid w:val="00D23D54"/>
    <w:rsid w:val="00D23F98"/>
    <w:rsid w:val="00D23FFD"/>
    <w:rsid w:val="00D24189"/>
    <w:rsid w:val="00D2418A"/>
    <w:rsid w:val="00D241CE"/>
    <w:rsid w:val="00D24300"/>
    <w:rsid w:val="00D243AE"/>
    <w:rsid w:val="00D244D1"/>
    <w:rsid w:val="00D244F7"/>
    <w:rsid w:val="00D245F5"/>
    <w:rsid w:val="00D248D4"/>
    <w:rsid w:val="00D24A50"/>
    <w:rsid w:val="00D24AAE"/>
    <w:rsid w:val="00D24ADD"/>
    <w:rsid w:val="00D24CFA"/>
    <w:rsid w:val="00D24ED4"/>
    <w:rsid w:val="00D24EDC"/>
    <w:rsid w:val="00D24EE3"/>
    <w:rsid w:val="00D24F81"/>
    <w:rsid w:val="00D24FA6"/>
    <w:rsid w:val="00D250A0"/>
    <w:rsid w:val="00D251CA"/>
    <w:rsid w:val="00D253C2"/>
    <w:rsid w:val="00D254CC"/>
    <w:rsid w:val="00D25508"/>
    <w:rsid w:val="00D255A6"/>
    <w:rsid w:val="00D25616"/>
    <w:rsid w:val="00D25836"/>
    <w:rsid w:val="00D25877"/>
    <w:rsid w:val="00D25925"/>
    <w:rsid w:val="00D25A14"/>
    <w:rsid w:val="00D25A40"/>
    <w:rsid w:val="00D25A8D"/>
    <w:rsid w:val="00D25B2F"/>
    <w:rsid w:val="00D25B74"/>
    <w:rsid w:val="00D25D11"/>
    <w:rsid w:val="00D25ECB"/>
    <w:rsid w:val="00D25FAB"/>
    <w:rsid w:val="00D261C9"/>
    <w:rsid w:val="00D262BE"/>
    <w:rsid w:val="00D265B5"/>
    <w:rsid w:val="00D26772"/>
    <w:rsid w:val="00D2687B"/>
    <w:rsid w:val="00D26A37"/>
    <w:rsid w:val="00D26C0C"/>
    <w:rsid w:val="00D26CDC"/>
    <w:rsid w:val="00D26E9E"/>
    <w:rsid w:val="00D26F7B"/>
    <w:rsid w:val="00D26FE8"/>
    <w:rsid w:val="00D270ED"/>
    <w:rsid w:val="00D27200"/>
    <w:rsid w:val="00D272E3"/>
    <w:rsid w:val="00D27916"/>
    <w:rsid w:val="00D27A96"/>
    <w:rsid w:val="00D27ABD"/>
    <w:rsid w:val="00D27B61"/>
    <w:rsid w:val="00D27CB5"/>
    <w:rsid w:val="00D27D6C"/>
    <w:rsid w:val="00D27DBE"/>
    <w:rsid w:val="00D27DEF"/>
    <w:rsid w:val="00D27DFD"/>
    <w:rsid w:val="00D27E7E"/>
    <w:rsid w:val="00D30021"/>
    <w:rsid w:val="00D300D9"/>
    <w:rsid w:val="00D301B9"/>
    <w:rsid w:val="00D302DD"/>
    <w:rsid w:val="00D30337"/>
    <w:rsid w:val="00D30420"/>
    <w:rsid w:val="00D30479"/>
    <w:rsid w:val="00D30564"/>
    <w:rsid w:val="00D3060D"/>
    <w:rsid w:val="00D30639"/>
    <w:rsid w:val="00D306FA"/>
    <w:rsid w:val="00D30706"/>
    <w:rsid w:val="00D30787"/>
    <w:rsid w:val="00D307AD"/>
    <w:rsid w:val="00D3133B"/>
    <w:rsid w:val="00D3134F"/>
    <w:rsid w:val="00D317ED"/>
    <w:rsid w:val="00D3185F"/>
    <w:rsid w:val="00D319AF"/>
    <w:rsid w:val="00D319DE"/>
    <w:rsid w:val="00D319F7"/>
    <w:rsid w:val="00D31B55"/>
    <w:rsid w:val="00D31C19"/>
    <w:rsid w:val="00D31D33"/>
    <w:rsid w:val="00D31EC6"/>
    <w:rsid w:val="00D32374"/>
    <w:rsid w:val="00D3242E"/>
    <w:rsid w:val="00D3247E"/>
    <w:rsid w:val="00D3248B"/>
    <w:rsid w:val="00D32763"/>
    <w:rsid w:val="00D32769"/>
    <w:rsid w:val="00D328A1"/>
    <w:rsid w:val="00D328FD"/>
    <w:rsid w:val="00D32A6B"/>
    <w:rsid w:val="00D32AB5"/>
    <w:rsid w:val="00D32C0F"/>
    <w:rsid w:val="00D32C80"/>
    <w:rsid w:val="00D32D6E"/>
    <w:rsid w:val="00D32DC7"/>
    <w:rsid w:val="00D32F78"/>
    <w:rsid w:val="00D33019"/>
    <w:rsid w:val="00D33064"/>
    <w:rsid w:val="00D330C6"/>
    <w:rsid w:val="00D3319B"/>
    <w:rsid w:val="00D33225"/>
    <w:rsid w:val="00D33341"/>
    <w:rsid w:val="00D33371"/>
    <w:rsid w:val="00D333F7"/>
    <w:rsid w:val="00D334B1"/>
    <w:rsid w:val="00D334BB"/>
    <w:rsid w:val="00D3350E"/>
    <w:rsid w:val="00D3354A"/>
    <w:rsid w:val="00D33688"/>
    <w:rsid w:val="00D33848"/>
    <w:rsid w:val="00D33856"/>
    <w:rsid w:val="00D338E6"/>
    <w:rsid w:val="00D338F8"/>
    <w:rsid w:val="00D3394A"/>
    <w:rsid w:val="00D33AD6"/>
    <w:rsid w:val="00D33B1E"/>
    <w:rsid w:val="00D33C21"/>
    <w:rsid w:val="00D33D87"/>
    <w:rsid w:val="00D33F64"/>
    <w:rsid w:val="00D3419A"/>
    <w:rsid w:val="00D34393"/>
    <w:rsid w:val="00D3449C"/>
    <w:rsid w:val="00D34582"/>
    <w:rsid w:val="00D345BE"/>
    <w:rsid w:val="00D346A8"/>
    <w:rsid w:val="00D3476C"/>
    <w:rsid w:val="00D34850"/>
    <w:rsid w:val="00D3491D"/>
    <w:rsid w:val="00D34C1D"/>
    <w:rsid w:val="00D34C2A"/>
    <w:rsid w:val="00D34FAC"/>
    <w:rsid w:val="00D34FC3"/>
    <w:rsid w:val="00D35042"/>
    <w:rsid w:val="00D350F8"/>
    <w:rsid w:val="00D35106"/>
    <w:rsid w:val="00D351F1"/>
    <w:rsid w:val="00D35212"/>
    <w:rsid w:val="00D352F0"/>
    <w:rsid w:val="00D35475"/>
    <w:rsid w:val="00D354A5"/>
    <w:rsid w:val="00D35529"/>
    <w:rsid w:val="00D3569E"/>
    <w:rsid w:val="00D35711"/>
    <w:rsid w:val="00D357A1"/>
    <w:rsid w:val="00D358EA"/>
    <w:rsid w:val="00D359F9"/>
    <w:rsid w:val="00D35A61"/>
    <w:rsid w:val="00D35AD3"/>
    <w:rsid w:val="00D35BF7"/>
    <w:rsid w:val="00D35DB8"/>
    <w:rsid w:val="00D35E88"/>
    <w:rsid w:val="00D35EEF"/>
    <w:rsid w:val="00D35FAC"/>
    <w:rsid w:val="00D36242"/>
    <w:rsid w:val="00D3633D"/>
    <w:rsid w:val="00D36575"/>
    <w:rsid w:val="00D36687"/>
    <w:rsid w:val="00D36952"/>
    <w:rsid w:val="00D3697E"/>
    <w:rsid w:val="00D36AF0"/>
    <w:rsid w:val="00D36C35"/>
    <w:rsid w:val="00D36C6C"/>
    <w:rsid w:val="00D36D1C"/>
    <w:rsid w:val="00D3704E"/>
    <w:rsid w:val="00D372E3"/>
    <w:rsid w:val="00D37411"/>
    <w:rsid w:val="00D37853"/>
    <w:rsid w:val="00D3787C"/>
    <w:rsid w:val="00D3791A"/>
    <w:rsid w:val="00D37927"/>
    <w:rsid w:val="00D3792F"/>
    <w:rsid w:val="00D37C09"/>
    <w:rsid w:val="00D37D6F"/>
    <w:rsid w:val="00D37DF9"/>
    <w:rsid w:val="00D37E72"/>
    <w:rsid w:val="00D37FB1"/>
    <w:rsid w:val="00D37FCC"/>
    <w:rsid w:val="00D40013"/>
    <w:rsid w:val="00D40641"/>
    <w:rsid w:val="00D407F0"/>
    <w:rsid w:val="00D40843"/>
    <w:rsid w:val="00D408AA"/>
    <w:rsid w:val="00D40B2D"/>
    <w:rsid w:val="00D40C96"/>
    <w:rsid w:val="00D4108C"/>
    <w:rsid w:val="00D412BA"/>
    <w:rsid w:val="00D414EC"/>
    <w:rsid w:val="00D41576"/>
    <w:rsid w:val="00D4160B"/>
    <w:rsid w:val="00D41841"/>
    <w:rsid w:val="00D4184A"/>
    <w:rsid w:val="00D4192A"/>
    <w:rsid w:val="00D41D7F"/>
    <w:rsid w:val="00D41F60"/>
    <w:rsid w:val="00D4209B"/>
    <w:rsid w:val="00D420C6"/>
    <w:rsid w:val="00D42241"/>
    <w:rsid w:val="00D42500"/>
    <w:rsid w:val="00D42501"/>
    <w:rsid w:val="00D42566"/>
    <w:rsid w:val="00D42629"/>
    <w:rsid w:val="00D426A9"/>
    <w:rsid w:val="00D42752"/>
    <w:rsid w:val="00D428BB"/>
    <w:rsid w:val="00D42A40"/>
    <w:rsid w:val="00D42E2E"/>
    <w:rsid w:val="00D42ECA"/>
    <w:rsid w:val="00D42FFC"/>
    <w:rsid w:val="00D43094"/>
    <w:rsid w:val="00D43207"/>
    <w:rsid w:val="00D43213"/>
    <w:rsid w:val="00D4323E"/>
    <w:rsid w:val="00D4325B"/>
    <w:rsid w:val="00D43270"/>
    <w:rsid w:val="00D4344E"/>
    <w:rsid w:val="00D435E9"/>
    <w:rsid w:val="00D43608"/>
    <w:rsid w:val="00D43620"/>
    <w:rsid w:val="00D43815"/>
    <w:rsid w:val="00D438E2"/>
    <w:rsid w:val="00D4397D"/>
    <w:rsid w:val="00D4398B"/>
    <w:rsid w:val="00D43A22"/>
    <w:rsid w:val="00D43A48"/>
    <w:rsid w:val="00D43A71"/>
    <w:rsid w:val="00D43CDE"/>
    <w:rsid w:val="00D43D04"/>
    <w:rsid w:val="00D43D6A"/>
    <w:rsid w:val="00D43D97"/>
    <w:rsid w:val="00D43DD6"/>
    <w:rsid w:val="00D43E69"/>
    <w:rsid w:val="00D43F64"/>
    <w:rsid w:val="00D44083"/>
    <w:rsid w:val="00D440E9"/>
    <w:rsid w:val="00D442CD"/>
    <w:rsid w:val="00D444DA"/>
    <w:rsid w:val="00D44625"/>
    <w:rsid w:val="00D446B3"/>
    <w:rsid w:val="00D447E5"/>
    <w:rsid w:val="00D448F1"/>
    <w:rsid w:val="00D449B5"/>
    <w:rsid w:val="00D44BAF"/>
    <w:rsid w:val="00D44BD9"/>
    <w:rsid w:val="00D44CF4"/>
    <w:rsid w:val="00D44DEB"/>
    <w:rsid w:val="00D44ECF"/>
    <w:rsid w:val="00D4514A"/>
    <w:rsid w:val="00D45162"/>
    <w:rsid w:val="00D4517E"/>
    <w:rsid w:val="00D45781"/>
    <w:rsid w:val="00D45800"/>
    <w:rsid w:val="00D458A8"/>
    <w:rsid w:val="00D458E1"/>
    <w:rsid w:val="00D45959"/>
    <w:rsid w:val="00D459D6"/>
    <w:rsid w:val="00D45ACB"/>
    <w:rsid w:val="00D45B90"/>
    <w:rsid w:val="00D45CFC"/>
    <w:rsid w:val="00D45E94"/>
    <w:rsid w:val="00D45FAD"/>
    <w:rsid w:val="00D460D7"/>
    <w:rsid w:val="00D462AD"/>
    <w:rsid w:val="00D462EC"/>
    <w:rsid w:val="00D46772"/>
    <w:rsid w:val="00D46857"/>
    <w:rsid w:val="00D46C49"/>
    <w:rsid w:val="00D46DF5"/>
    <w:rsid w:val="00D46FE8"/>
    <w:rsid w:val="00D47070"/>
    <w:rsid w:val="00D4721B"/>
    <w:rsid w:val="00D4725A"/>
    <w:rsid w:val="00D4740A"/>
    <w:rsid w:val="00D47740"/>
    <w:rsid w:val="00D4779D"/>
    <w:rsid w:val="00D4795F"/>
    <w:rsid w:val="00D47B81"/>
    <w:rsid w:val="00D47CB2"/>
    <w:rsid w:val="00D47E12"/>
    <w:rsid w:val="00D501B9"/>
    <w:rsid w:val="00D504C6"/>
    <w:rsid w:val="00D5059D"/>
    <w:rsid w:val="00D507CE"/>
    <w:rsid w:val="00D508E1"/>
    <w:rsid w:val="00D5092D"/>
    <w:rsid w:val="00D50BF8"/>
    <w:rsid w:val="00D50C4D"/>
    <w:rsid w:val="00D50E1B"/>
    <w:rsid w:val="00D50FA7"/>
    <w:rsid w:val="00D510F4"/>
    <w:rsid w:val="00D5129F"/>
    <w:rsid w:val="00D512DE"/>
    <w:rsid w:val="00D514CF"/>
    <w:rsid w:val="00D516E2"/>
    <w:rsid w:val="00D51721"/>
    <w:rsid w:val="00D517A9"/>
    <w:rsid w:val="00D5184C"/>
    <w:rsid w:val="00D51919"/>
    <w:rsid w:val="00D51C22"/>
    <w:rsid w:val="00D51C40"/>
    <w:rsid w:val="00D52147"/>
    <w:rsid w:val="00D5218C"/>
    <w:rsid w:val="00D5223D"/>
    <w:rsid w:val="00D5228C"/>
    <w:rsid w:val="00D52304"/>
    <w:rsid w:val="00D52808"/>
    <w:rsid w:val="00D528CC"/>
    <w:rsid w:val="00D5292E"/>
    <w:rsid w:val="00D52A0A"/>
    <w:rsid w:val="00D52BB7"/>
    <w:rsid w:val="00D52BCA"/>
    <w:rsid w:val="00D52E0E"/>
    <w:rsid w:val="00D53307"/>
    <w:rsid w:val="00D53543"/>
    <w:rsid w:val="00D5354A"/>
    <w:rsid w:val="00D536F8"/>
    <w:rsid w:val="00D5371E"/>
    <w:rsid w:val="00D538A3"/>
    <w:rsid w:val="00D53B08"/>
    <w:rsid w:val="00D53C63"/>
    <w:rsid w:val="00D53DCA"/>
    <w:rsid w:val="00D53E3E"/>
    <w:rsid w:val="00D53F84"/>
    <w:rsid w:val="00D5445C"/>
    <w:rsid w:val="00D5446C"/>
    <w:rsid w:val="00D54596"/>
    <w:rsid w:val="00D54823"/>
    <w:rsid w:val="00D54966"/>
    <w:rsid w:val="00D54B81"/>
    <w:rsid w:val="00D54C87"/>
    <w:rsid w:val="00D54E5C"/>
    <w:rsid w:val="00D54EA7"/>
    <w:rsid w:val="00D54F2D"/>
    <w:rsid w:val="00D55062"/>
    <w:rsid w:val="00D551C3"/>
    <w:rsid w:val="00D552B9"/>
    <w:rsid w:val="00D5540D"/>
    <w:rsid w:val="00D55518"/>
    <w:rsid w:val="00D556E5"/>
    <w:rsid w:val="00D55732"/>
    <w:rsid w:val="00D5587C"/>
    <w:rsid w:val="00D55BAC"/>
    <w:rsid w:val="00D564AB"/>
    <w:rsid w:val="00D56535"/>
    <w:rsid w:val="00D568C2"/>
    <w:rsid w:val="00D56941"/>
    <w:rsid w:val="00D56AE7"/>
    <w:rsid w:val="00D56B36"/>
    <w:rsid w:val="00D56BE1"/>
    <w:rsid w:val="00D56DAD"/>
    <w:rsid w:val="00D57052"/>
    <w:rsid w:val="00D572E6"/>
    <w:rsid w:val="00D573FA"/>
    <w:rsid w:val="00D5746D"/>
    <w:rsid w:val="00D57643"/>
    <w:rsid w:val="00D5789A"/>
    <w:rsid w:val="00D57A72"/>
    <w:rsid w:val="00D57B44"/>
    <w:rsid w:val="00D57BB3"/>
    <w:rsid w:val="00D57BF0"/>
    <w:rsid w:val="00D57BFF"/>
    <w:rsid w:val="00D57CAC"/>
    <w:rsid w:val="00D57F71"/>
    <w:rsid w:val="00D57FE7"/>
    <w:rsid w:val="00D6001A"/>
    <w:rsid w:val="00D600D3"/>
    <w:rsid w:val="00D601BA"/>
    <w:rsid w:val="00D60202"/>
    <w:rsid w:val="00D6026C"/>
    <w:rsid w:val="00D60551"/>
    <w:rsid w:val="00D606DD"/>
    <w:rsid w:val="00D60B4E"/>
    <w:rsid w:val="00D60BB9"/>
    <w:rsid w:val="00D60D78"/>
    <w:rsid w:val="00D60DF2"/>
    <w:rsid w:val="00D60FDD"/>
    <w:rsid w:val="00D61091"/>
    <w:rsid w:val="00D610DE"/>
    <w:rsid w:val="00D611C8"/>
    <w:rsid w:val="00D6132E"/>
    <w:rsid w:val="00D6138A"/>
    <w:rsid w:val="00D613D9"/>
    <w:rsid w:val="00D61505"/>
    <w:rsid w:val="00D61596"/>
    <w:rsid w:val="00D61BAF"/>
    <w:rsid w:val="00D61CBE"/>
    <w:rsid w:val="00D61D46"/>
    <w:rsid w:val="00D61EAC"/>
    <w:rsid w:val="00D62169"/>
    <w:rsid w:val="00D62485"/>
    <w:rsid w:val="00D62724"/>
    <w:rsid w:val="00D6275D"/>
    <w:rsid w:val="00D62797"/>
    <w:rsid w:val="00D627C8"/>
    <w:rsid w:val="00D62851"/>
    <w:rsid w:val="00D62A03"/>
    <w:rsid w:val="00D62A9D"/>
    <w:rsid w:val="00D62B11"/>
    <w:rsid w:val="00D62BF5"/>
    <w:rsid w:val="00D62CBB"/>
    <w:rsid w:val="00D62DF7"/>
    <w:rsid w:val="00D62F7A"/>
    <w:rsid w:val="00D63035"/>
    <w:rsid w:val="00D63228"/>
    <w:rsid w:val="00D63285"/>
    <w:rsid w:val="00D633D4"/>
    <w:rsid w:val="00D63536"/>
    <w:rsid w:val="00D635E3"/>
    <w:rsid w:val="00D6396E"/>
    <w:rsid w:val="00D63AA3"/>
    <w:rsid w:val="00D63E5F"/>
    <w:rsid w:val="00D63F38"/>
    <w:rsid w:val="00D63F93"/>
    <w:rsid w:val="00D6402D"/>
    <w:rsid w:val="00D641AE"/>
    <w:rsid w:val="00D6423E"/>
    <w:rsid w:val="00D6430E"/>
    <w:rsid w:val="00D646B5"/>
    <w:rsid w:val="00D64756"/>
    <w:rsid w:val="00D648D4"/>
    <w:rsid w:val="00D648E4"/>
    <w:rsid w:val="00D648E6"/>
    <w:rsid w:val="00D6498B"/>
    <w:rsid w:val="00D64A02"/>
    <w:rsid w:val="00D64A45"/>
    <w:rsid w:val="00D64B33"/>
    <w:rsid w:val="00D64B78"/>
    <w:rsid w:val="00D64B7A"/>
    <w:rsid w:val="00D64CE4"/>
    <w:rsid w:val="00D64D05"/>
    <w:rsid w:val="00D64D16"/>
    <w:rsid w:val="00D64D85"/>
    <w:rsid w:val="00D64DE9"/>
    <w:rsid w:val="00D64EAB"/>
    <w:rsid w:val="00D64FC5"/>
    <w:rsid w:val="00D6508E"/>
    <w:rsid w:val="00D652B2"/>
    <w:rsid w:val="00D65303"/>
    <w:rsid w:val="00D65375"/>
    <w:rsid w:val="00D6557E"/>
    <w:rsid w:val="00D6566A"/>
    <w:rsid w:val="00D656F1"/>
    <w:rsid w:val="00D6581F"/>
    <w:rsid w:val="00D65AC3"/>
    <w:rsid w:val="00D65B7C"/>
    <w:rsid w:val="00D65D89"/>
    <w:rsid w:val="00D65DF0"/>
    <w:rsid w:val="00D65E29"/>
    <w:rsid w:val="00D662A2"/>
    <w:rsid w:val="00D66377"/>
    <w:rsid w:val="00D663DE"/>
    <w:rsid w:val="00D66507"/>
    <w:rsid w:val="00D666CA"/>
    <w:rsid w:val="00D66A72"/>
    <w:rsid w:val="00D66AA5"/>
    <w:rsid w:val="00D66B33"/>
    <w:rsid w:val="00D66B58"/>
    <w:rsid w:val="00D66B6B"/>
    <w:rsid w:val="00D66BA2"/>
    <w:rsid w:val="00D66CA0"/>
    <w:rsid w:val="00D66E6F"/>
    <w:rsid w:val="00D66F2F"/>
    <w:rsid w:val="00D66FB9"/>
    <w:rsid w:val="00D66FD7"/>
    <w:rsid w:val="00D671FC"/>
    <w:rsid w:val="00D6729F"/>
    <w:rsid w:val="00D672C3"/>
    <w:rsid w:val="00D6734F"/>
    <w:rsid w:val="00D674B5"/>
    <w:rsid w:val="00D67680"/>
    <w:rsid w:val="00D67775"/>
    <w:rsid w:val="00D67781"/>
    <w:rsid w:val="00D67861"/>
    <w:rsid w:val="00D6789B"/>
    <w:rsid w:val="00D6796A"/>
    <w:rsid w:val="00D6797D"/>
    <w:rsid w:val="00D679EC"/>
    <w:rsid w:val="00D67B57"/>
    <w:rsid w:val="00D67C88"/>
    <w:rsid w:val="00D67D74"/>
    <w:rsid w:val="00D67DC3"/>
    <w:rsid w:val="00D67FCC"/>
    <w:rsid w:val="00D70052"/>
    <w:rsid w:val="00D70137"/>
    <w:rsid w:val="00D7048B"/>
    <w:rsid w:val="00D7062E"/>
    <w:rsid w:val="00D7074A"/>
    <w:rsid w:val="00D70A67"/>
    <w:rsid w:val="00D70C51"/>
    <w:rsid w:val="00D70D17"/>
    <w:rsid w:val="00D711A8"/>
    <w:rsid w:val="00D711C1"/>
    <w:rsid w:val="00D71357"/>
    <w:rsid w:val="00D7141E"/>
    <w:rsid w:val="00D714E6"/>
    <w:rsid w:val="00D7154E"/>
    <w:rsid w:val="00D71618"/>
    <w:rsid w:val="00D71651"/>
    <w:rsid w:val="00D71689"/>
    <w:rsid w:val="00D7191C"/>
    <w:rsid w:val="00D71976"/>
    <w:rsid w:val="00D71B92"/>
    <w:rsid w:val="00D71F1D"/>
    <w:rsid w:val="00D71F3F"/>
    <w:rsid w:val="00D71FD9"/>
    <w:rsid w:val="00D71FE2"/>
    <w:rsid w:val="00D71FEB"/>
    <w:rsid w:val="00D7216F"/>
    <w:rsid w:val="00D72549"/>
    <w:rsid w:val="00D727CD"/>
    <w:rsid w:val="00D72813"/>
    <w:rsid w:val="00D728F2"/>
    <w:rsid w:val="00D729C3"/>
    <w:rsid w:val="00D72ABD"/>
    <w:rsid w:val="00D72B9B"/>
    <w:rsid w:val="00D72CB1"/>
    <w:rsid w:val="00D72D2F"/>
    <w:rsid w:val="00D72E44"/>
    <w:rsid w:val="00D72E4B"/>
    <w:rsid w:val="00D72EE3"/>
    <w:rsid w:val="00D72F59"/>
    <w:rsid w:val="00D731D4"/>
    <w:rsid w:val="00D73460"/>
    <w:rsid w:val="00D7347C"/>
    <w:rsid w:val="00D7357E"/>
    <w:rsid w:val="00D737B5"/>
    <w:rsid w:val="00D738F9"/>
    <w:rsid w:val="00D73B7B"/>
    <w:rsid w:val="00D73D09"/>
    <w:rsid w:val="00D73D31"/>
    <w:rsid w:val="00D74065"/>
    <w:rsid w:val="00D74196"/>
    <w:rsid w:val="00D741BC"/>
    <w:rsid w:val="00D7421C"/>
    <w:rsid w:val="00D74415"/>
    <w:rsid w:val="00D74642"/>
    <w:rsid w:val="00D746AB"/>
    <w:rsid w:val="00D746BB"/>
    <w:rsid w:val="00D747CB"/>
    <w:rsid w:val="00D748FB"/>
    <w:rsid w:val="00D74A70"/>
    <w:rsid w:val="00D74B35"/>
    <w:rsid w:val="00D74C9C"/>
    <w:rsid w:val="00D74F75"/>
    <w:rsid w:val="00D75198"/>
    <w:rsid w:val="00D751B5"/>
    <w:rsid w:val="00D75323"/>
    <w:rsid w:val="00D75441"/>
    <w:rsid w:val="00D7579B"/>
    <w:rsid w:val="00D75914"/>
    <w:rsid w:val="00D759D9"/>
    <w:rsid w:val="00D759FE"/>
    <w:rsid w:val="00D75A47"/>
    <w:rsid w:val="00D75A51"/>
    <w:rsid w:val="00D75C24"/>
    <w:rsid w:val="00D75C3F"/>
    <w:rsid w:val="00D75D99"/>
    <w:rsid w:val="00D75DEB"/>
    <w:rsid w:val="00D75E82"/>
    <w:rsid w:val="00D76190"/>
    <w:rsid w:val="00D7625F"/>
    <w:rsid w:val="00D76297"/>
    <w:rsid w:val="00D762B1"/>
    <w:rsid w:val="00D76376"/>
    <w:rsid w:val="00D7677D"/>
    <w:rsid w:val="00D76855"/>
    <w:rsid w:val="00D76863"/>
    <w:rsid w:val="00D76BD9"/>
    <w:rsid w:val="00D76D07"/>
    <w:rsid w:val="00D76DA7"/>
    <w:rsid w:val="00D76EAE"/>
    <w:rsid w:val="00D7721A"/>
    <w:rsid w:val="00D7731A"/>
    <w:rsid w:val="00D77802"/>
    <w:rsid w:val="00D7795D"/>
    <w:rsid w:val="00D77A71"/>
    <w:rsid w:val="00D77E60"/>
    <w:rsid w:val="00D77EEA"/>
    <w:rsid w:val="00D800E6"/>
    <w:rsid w:val="00D80246"/>
    <w:rsid w:val="00D803F1"/>
    <w:rsid w:val="00D80523"/>
    <w:rsid w:val="00D8059C"/>
    <w:rsid w:val="00D80660"/>
    <w:rsid w:val="00D8066F"/>
    <w:rsid w:val="00D8067A"/>
    <w:rsid w:val="00D80887"/>
    <w:rsid w:val="00D8089C"/>
    <w:rsid w:val="00D808A8"/>
    <w:rsid w:val="00D809D0"/>
    <w:rsid w:val="00D80B34"/>
    <w:rsid w:val="00D80D67"/>
    <w:rsid w:val="00D8112D"/>
    <w:rsid w:val="00D811EC"/>
    <w:rsid w:val="00D8133F"/>
    <w:rsid w:val="00D814E3"/>
    <w:rsid w:val="00D8151E"/>
    <w:rsid w:val="00D81994"/>
    <w:rsid w:val="00D81B19"/>
    <w:rsid w:val="00D81B4D"/>
    <w:rsid w:val="00D81B68"/>
    <w:rsid w:val="00D81E2B"/>
    <w:rsid w:val="00D81F73"/>
    <w:rsid w:val="00D8206C"/>
    <w:rsid w:val="00D824EF"/>
    <w:rsid w:val="00D8273D"/>
    <w:rsid w:val="00D82A0E"/>
    <w:rsid w:val="00D82AA0"/>
    <w:rsid w:val="00D82B9F"/>
    <w:rsid w:val="00D82BFD"/>
    <w:rsid w:val="00D82C6B"/>
    <w:rsid w:val="00D82CA5"/>
    <w:rsid w:val="00D82E95"/>
    <w:rsid w:val="00D82E9A"/>
    <w:rsid w:val="00D82F67"/>
    <w:rsid w:val="00D83024"/>
    <w:rsid w:val="00D83311"/>
    <w:rsid w:val="00D8335D"/>
    <w:rsid w:val="00D833A5"/>
    <w:rsid w:val="00D8350E"/>
    <w:rsid w:val="00D8357D"/>
    <w:rsid w:val="00D83634"/>
    <w:rsid w:val="00D83636"/>
    <w:rsid w:val="00D8366C"/>
    <w:rsid w:val="00D8368D"/>
    <w:rsid w:val="00D8384E"/>
    <w:rsid w:val="00D83A4D"/>
    <w:rsid w:val="00D83A7A"/>
    <w:rsid w:val="00D83D07"/>
    <w:rsid w:val="00D84081"/>
    <w:rsid w:val="00D84179"/>
    <w:rsid w:val="00D84377"/>
    <w:rsid w:val="00D84679"/>
    <w:rsid w:val="00D84960"/>
    <w:rsid w:val="00D84970"/>
    <w:rsid w:val="00D849D9"/>
    <w:rsid w:val="00D84A9A"/>
    <w:rsid w:val="00D84C04"/>
    <w:rsid w:val="00D84C6D"/>
    <w:rsid w:val="00D84F6F"/>
    <w:rsid w:val="00D84FAD"/>
    <w:rsid w:val="00D851FF"/>
    <w:rsid w:val="00D85291"/>
    <w:rsid w:val="00D85387"/>
    <w:rsid w:val="00D855D2"/>
    <w:rsid w:val="00D8581A"/>
    <w:rsid w:val="00D85BB2"/>
    <w:rsid w:val="00D85C14"/>
    <w:rsid w:val="00D85C8D"/>
    <w:rsid w:val="00D85FFD"/>
    <w:rsid w:val="00D86290"/>
    <w:rsid w:val="00D863F6"/>
    <w:rsid w:val="00D86461"/>
    <w:rsid w:val="00D864FA"/>
    <w:rsid w:val="00D86527"/>
    <w:rsid w:val="00D86781"/>
    <w:rsid w:val="00D8683D"/>
    <w:rsid w:val="00D86895"/>
    <w:rsid w:val="00D868BA"/>
    <w:rsid w:val="00D86AE0"/>
    <w:rsid w:val="00D86BEA"/>
    <w:rsid w:val="00D86D12"/>
    <w:rsid w:val="00D86D71"/>
    <w:rsid w:val="00D86DBC"/>
    <w:rsid w:val="00D86DEF"/>
    <w:rsid w:val="00D86EF5"/>
    <w:rsid w:val="00D870BC"/>
    <w:rsid w:val="00D8743A"/>
    <w:rsid w:val="00D874B7"/>
    <w:rsid w:val="00D87626"/>
    <w:rsid w:val="00D8797B"/>
    <w:rsid w:val="00D87BCB"/>
    <w:rsid w:val="00D87C97"/>
    <w:rsid w:val="00D87CBD"/>
    <w:rsid w:val="00D87F7B"/>
    <w:rsid w:val="00D9014E"/>
    <w:rsid w:val="00D90227"/>
    <w:rsid w:val="00D90421"/>
    <w:rsid w:val="00D90586"/>
    <w:rsid w:val="00D90718"/>
    <w:rsid w:val="00D9073C"/>
    <w:rsid w:val="00D908E3"/>
    <w:rsid w:val="00D909E0"/>
    <w:rsid w:val="00D90A16"/>
    <w:rsid w:val="00D90B10"/>
    <w:rsid w:val="00D90CEB"/>
    <w:rsid w:val="00D90E91"/>
    <w:rsid w:val="00D90EA1"/>
    <w:rsid w:val="00D91068"/>
    <w:rsid w:val="00D91558"/>
    <w:rsid w:val="00D9157B"/>
    <w:rsid w:val="00D91841"/>
    <w:rsid w:val="00D91A31"/>
    <w:rsid w:val="00D91A49"/>
    <w:rsid w:val="00D91A9E"/>
    <w:rsid w:val="00D91ACA"/>
    <w:rsid w:val="00D91C94"/>
    <w:rsid w:val="00D91EA4"/>
    <w:rsid w:val="00D91F98"/>
    <w:rsid w:val="00D9205A"/>
    <w:rsid w:val="00D920FA"/>
    <w:rsid w:val="00D922F7"/>
    <w:rsid w:val="00D925E0"/>
    <w:rsid w:val="00D926EA"/>
    <w:rsid w:val="00D92AD7"/>
    <w:rsid w:val="00D92B01"/>
    <w:rsid w:val="00D92C81"/>
    <w:rsid w:val="00D92D28"/>
    <w:rsid w:val="00D92DCE"/>
    <w:rsid w:val="00D92DF6"/>
    <w:rsid w:val="00D93163"/>
    <w:rsid w:val="00D9319C"/>
    <w:rsid w:val="00D93850"/>
    <w:rsid w:val="00D938FA"/>
    <w:rsid w:val="00D93DB1"/>
    <w:rsid w:val="00D93E5E"/>
    <w:rsid w:val="00D93F65"/>
    <w:rsid w:val="00D941CB"/>
    <w:rsid w:val="00D94458"/>
    <w:rsid w:val="00D944D0"/>
    <w:rsid w:val="00D94507"/>
    <w:rsid w:val="00D94697"/>
    <w:rsid w:val="00D946F0"/>
    <w:rsid w:val="00D94A81"/>
    <w:rsid w:val="00D94ADA"/>
    <w:rsid w:val="00D950FA"/>
    <w:rsid w:val="00D95109"/>
    <w:rsid w:val="00D95172"/>
    <w:rsid w:val="00D95263"/>
    <w:rsid w:val="00D95323"/>
    <w:rsid w:val="00D9546D"/>
    <w:rsid w:val="00D95615"/>
    <w:rsid w:val="00D956D4"/>
    <w:rsid w:val="00D956E2"/>
    <w:rsid w:val="00D957EF"/>
    <w:rsid w:val="00D95B7B"/>
    <w:rsid w:val="00D95E8C"/>
    <w:rsid w:val="00D95F9F"/>
    <w:rsid w:val="00D96141"/>
    <w:rsid w:val="00D966FE"/>
    <w:rsid w:val="00D9675B"/>
    <w:rsid w:val="00D967E4"/>
    <w:rsid w:val="00D96838"/>
    <w:rsid w:val="00D968E6"/>
    <w:rsid w:val="00D96A31"/>
    <w:rsid w:val="00D96A53"/>
    <w:rsid w:val="00D96C88"/>
    <w:rsid w:val="00D96FD8"/>
    <w:rsid w:val="00D97122"/>
    <w:rsid w:val="00D971AF"/>
    <w:rsid w:val="00D971FE"/>
    <w:rsid w:val="00D9728C"/>
    <w:rsid w:val="00D97420"/>
    <w:rsid w:val="00D9773C"/>
    <w:rsid w:val="00D97925"/>
    <w:rsid w:val="00D97B37"/>
    <w:rsid w:val="00D97B93"/>
    <w:rsid w:val="00D97F85"/>
    <w:rsid w:val="00DA002F"/>
    <w:rsid w:val="00DA01C2"/>
    <w:rsid w:val="00DA031E"/>
    <w:rsid w:val="00DA0352"/>
    <w:rsid w:val="00DA041C"/>
    <w:rsid w:val="00DA047E"/>
    <w:rsid w:val="00DA049D"/>
    <w:rsid w:val="00DA0583"/>
    <w:rsid w:val="00DA086D"/>
    <w:rsid w:val="00DA0F28"/>
    <w:rsid w:val="00DA115A"/>
    <w:rsid w:val="00DA1194"/>
    <w:rsid w:val="00DA11A7"/>
    <w:rsid w:val="00DA12AB"/>
    <w:rsid w:val="00DA1512"/>
    <w:rsid w:val="00DA15AB"/>
    <w:rsid w:val="00DA16D2"/>
    <w:rsid w:val="00DA16D4"/>
    <w:rsid w:val="00DA16DD"/>
    <w:rsid w:val="00DA17E9"/>
    <w:rsid w:val="00DA18E0"/>
    <w:rsid w:val="00DA1987"/>
    <w:rsid w:val="00DA1D46"/>
    <w:rsid w:val="00DA1EE8"/>
    <w:rsid w:val="00DA1F58"/>
    <w:rsid w:val="00DA2346"/>
    <w:rsid w:val="00DA235D"/>
    <w:rsid w:val="00DA23DD"/>
    <w:rsid w:val="00DA23EE"/>
    <w:rsid w:val="00DA24E7"/>
    <w:rsid w:val="00DA26A6"/>
    <w:rsid w:val="00DA270A"/>
    <w:rsid w:val="00DA2867"/>
    <w:rsid w:val="00DA2B91"/>
    <w:rsid w:val="00DA32BC"/>
    <w:rsid w:val="00DA3865"/>
    <w:rsid w:val="00DA38D0"/>
    <w:rsid w:val="00DA395E"/>
    <w:rsid w:val="00DA3A1C"/>
    <w:rsid w:val="00DA3B35"/>
    <w:rsid w:val="00DA3BBE"/>
    <w:rsid w:val="00DA3D20"/>
    <w:rsid w:val="00DA3DEA"/>
    <w:rsid w:val="00DA3ECA"/>
    <w:rsid w:val="00DA3FFC"/>
    <w:rsid w:val="00DA402A"/>
    <w:rsid w:val="00DA410A"/>
    <w:rsid w:val="00DA413D"/>
    <w:rsid w:val="00DA426C"/>
    <w:rsid w:val="00DA42AB"/>
    <w:rsid w:val="00DA4326"/>
    <w:rsid w:val="00DA4350"/>
    <w:rsid w:val="00DA4372"/>
    <w:rsid w:val="00DA4DCF"/>
    <w:rsid w:val="00DA4DEA"/>
    <w:rsid w:val="00DA4E8C"/>
    <w:rsid w:val="00DA4E9A"/>
    <w:rsid w:val="00DA5033"/>
    <w:rsid w:val="00DA509C"/>
    <w:rsid w:val="00DA50C5"/>
    <w:rsid w:val="00DA520C"/>
    <w:rsid w:val="00DA528A"/>
    <w:rsid w:val="00DA54A6"/>
    <w:rsid w:val="00DA5594"/>
    <w:rsid w:val="00DA5730"/>
    <w:rsid w:val="00DA5866"/>
    <w:rsid w:val="00DA5A27"/>
    <w:rsid w:val="00DA5D4B"/>
    <w:rsid w:val="00DA5DEC"/>
    <w:rsid w:val="00DA5DEE"/>
    <w:rsid w:val="00DA5F7F"/>
    <w:rsid w:val="00DA60A2"/>
    <w:rsid w:val="00DA61DF"/>
    <w:rsid w:val="00DA6336"/>
    <w:rsid w:val="00DA6578"/>
    <w:rsid w:val="00DA659B"/>
    <w:rsid w:val="00DA667A"/>
    <w:rsid w:val="00DA66F4"/>
    <w:rsid w:val="00DA67F3"/>
    <w:rsid w:val="00DA68F6"/>
    <w:rsid w:val="00DA696A"/>
    <w:rsid w:val="00DA6970"/>
    <w:rsid w:val="00DA6987"/>
    <w:rsid w:val="00DA6A06"/>
    <w:rsid w:val="00DA6B65"/>
    <w:rsid w:val="00DA6BCA"/>
    <w:rsid w:val="00DA6BD8"/>
    <w:rsid w:val="00DA6C63"/>
    <w:rsid w:val="00DA7067"/>
    <w:rsid w:val="00DA70AD"/>
    <w:rsid w:val="00DA76CC"/>
    <w:rsid w:val="00DA7786"/>
    <w:rsid w:val="00DA7D14"/>
    <w:rsid w:val="00DB0518"/>
    <w:rsid w:val="00DB070C"/>
    <w:rsid w:val="00DB07C4"/>
    <w:rsid w:val="00DB0972"/>
    <w:rsid w:val="00DB0A5F"/>
    <w:rsid w:val="00DB0B85"/>
    <w:rsid w:val="00DB10C9"/>
    <w:rsid w:val="00DB11C7"/>
    <w:rsid w:val="00DB1329"/>
    <w:rsid w:val="00DB15A4"/>
    <w:rsid w:val="00DB170B"/>
    <w:rsid w:val="00DB178F"/>
    <w:rsid w:val="00DB1BA7"/>
    <w:rsid w:val="00DB1BDB"/>
    <w:rsid w:val="00DB1CEE"/>
    <w:rsid w:val="00DB1DC7"/>
    <w:rsid w:val="00DB2194"/>
    <w:rsid w:val="00DB22D0"/>
    <w:rsid w:val="00DB22D3"/>
    <w:rsid w:val="00DB2365"/>
    <w:rsid w:val="00DB24B8"/>
    <w:rsid w:val="00DB2571"/>
    <w:rsid w:val="00DB287E"/>
    <w:rsid w:val="00DB28DB"/>
    <w:rsid w:val="00DB29A3"/>
    <w:rsid w:val="00DB29C2"/>
    <w:rsid w:val="00DB2A56"/>
    <w:rsid w:val="00DB2AE6"/>
    <w:rsid w:val="00DB2E21"/>
    <w:rsid w:val="00DB2EF1"/>
    <w:rsid w:val="00DB2FB4"/>
    <w:rsid w:val="00DB2FE6"/>
    <w:rsid w:val="00DB3233"/>
    <w:rsid w:val="00DB3882"/>
    <w:rsid w:val="00DB38CB"/>
    <w:rsid w:val="00DB391E"/>
    <w:rsid w:val="00DB3ACF"/>
    <w:rsid w:val="00DB3B71"/>
    <w:rsid w:val="00DB3D23"/>
    <w:rsid w:val="00DB3D35"/>
    <w:rsid w:val="00DB3E6F"/>
    <w:rsid w:val="00DB3FEB"/>
    <w:rsid w:val="00DB4014"/>
    <w:rsid w:val="00DB45E9"/>
    <w:rsid w:val="00DB480A"/>
    <w:rsid w:val="00DB4912"/>
    <w:rsid w:val="00DB492B"/>
    <w:rsid w:val="00DB49D0"/>
    <w:rsid w:val="00DB4D7E"/>
    <w:rsid w:val="00DB4DB6"/>
    <w:rsid w:val="00DB4E19"/>
    <w:rsid w:val="00DB4E9C"/>
    <w:rsid w:val="00DB4EB0"/>
    <w:rsid w:val="00DB4FBF"/>
    <w:rsid w:val="00DB50DD"/>
    <w:rsid w:val="00DB531C"/>
    <w:rsid w:val="00DB53FD"/>
    <w:rsid w:val="00DB5513"/>
    <w:rsid w:val="00DB59A1"/>
    <w:rsid w:val="00DB5C25"/>
    <w:rsid w:val="00DB5CE6"/>
    <w:rsid w:val="00DB5E3C"/>
    <w:rsid w:val="00DB5EDB"/>
    <w:rsid w:val="00DB5EDC"/>
    <w:rsid w:val="00DB5EF7"/>
    <w:rsid w:val="00DB61C9"/>
    <w:rsid w:val="00DB6349"/>
    <w:rsid w:val="00DB63DC"/>
    <w:rsid w:val="00DB6466"/>
    <w:rsid w:val="00DB6487"/>
    <w:rsid w:val="00DB64E2"/>
    <w:rsid w:val="00DB6666"/>
    <w:rsid w:val="00DB6A19"/>
    <w:rsid w:val="00DB6A87"/>
    <w:rsid w:val="00DB6AA4"/>
    <w:rsid w:val="00DB6AF9"/>
    <w:rsid w:val="00DB6BDE"/>
    <w:rsid w:val="00DB6D58"/>
    <w:rsid w:val="00DB6D8A"/>
    <w:rsid w:val="00DB716D"/>
    <w:rsid w:val="00DB726C"/>
    <w:rsid w:val="00DB75B5"/>
    <w:rsid w:val="00DB78F6"/>
    <w:rsid w:val="00DB7929"/>
    <w:rsid w:val="00DB7968"/>
    <w:rsid w:val="00DB7A1C"/>
    <w:rsid w:val="00DB7AD6"/>
    <w:rsid w:val="00DB7B1B"/>
    <w:rsid w:val="00DB7B7E"/>
    <w:rsid w:val="00DB7BA2"/>
    <w:rsid w:val="00DB7CD1"/>
    <w:rsid w:val="00DB7D73"/>
    <w:rsid w:val="00DC0414"/>
    <w:rsid w:val="00DC04BB"/>
    <w:rsid w:val="00DC04CF"/>
    <w:rsid w:val="00DC0662"/>
    <w:rsid w:val="00DC06EC"/>
    <w:rsid w:val="00DC0781"/>
    <w:rsid w:val="00DC09A2"/>
    <w:rsid w:val="00DC0A76"/>
    <w:rsid w:val="00DC0B15"/>
    <w:rsid w:val="00DC0E49"/>
    <w:rsid w:val="00DC0E52"/>
    <w:rsid w:val="00DC0EDE"/>
    <w:rsid w:val="00DC0F8A"/>
    <w:rsid w:val="00DC1140"/>
    <w:rsid w:val="00DC122E"/>
    <w:rsid w:val="00DC1345"/>
    <w:rsid w:val="00DC1417"/>
    <w:rsid w:val="00DC1481"/>
    <w:rsid w:val="00DC1559"/>
    <w:rsid w:val="00DC16A3"/>
    <w:rsid w:val="00DC17DC"/>
    <w:rsid w:val="00DC18C0"/>
    <w:rsid w:val="00DC18F9"/>
    <w:rsid w:val="00DC1999"/>
    <w:rsid w:val="00DC1A99"/>
    <w:rsid w:val="00DC1B3C"/>
    <w:rsid w:val="00DC1C40"/>
    <w:rsid w:val="00DC1DEE"/>
    <w:rsid w:val="00DC1DF7"/>
    <w:rsid w:val="00DC1EC9"/>
    <w:rsid w:val="00DC1EDE"/>
    <w:rsid w:val="00DC2038"/>
    <w:rsid w:val="00DC20ED"/>
    <w:rsid w:val="00DC2205"/>
    <w:rsid w:val="00DC23E9"/>
    <w:rsid w:val="00DC2531"/>
    <w:rsid w:val="00DC26A5"/>
    <w:rsid w:val="00DC26E5"/>
    <w:rsid w:val="00DC2748"/>
    <w:rsid w:val="00DC296B"/>
    <w:rsid w:val="00DC29A9"/>
    <w:rsid w:val="00DC29D9"/>
    <w:rsid w:val="00DC2A74"/>
    <w:rsid w:val="00DC2B3A"/>
    <w:rsid w:val="00DC2CD5"/>
    <w:rsid w:val="00DC2D14"/>
    <w:rsid w:val="00DC2E28"/>
    <w:rsid w:val="00DC3126"/>
    <w:rsid w:val="00DC328A"/>
    <w:rsid w:val="00DC36DA"/>
    <w:rsid w:val="00DC3798"/>
    <w:rsid w:val="00DC3830"/>
    <w:rsid w:val="00DC3AC8"/>
    <w:rsid w:val="00DC3C72"/>
    <w:rsid w:val="00DC3C8E"/>
    <w:rsid w:val="00DC407D"/>
    <w:rsid w:val="00DC410F"/>
    <w:rsid w:val="00DC4294"/>
    <w:rsid w:val="00DC4512"/>
    <w:rsid w:val="00DC48D6"/>
    <w:rsid w:val="00DC493C"/>
    <w:rsid w:val="00DC4C7B"/>
    <w:rsid w:val="00DC4CF9"/>
    <w:rsid w:val="00DC4D9B"/>
    <w:rsid w:val="00DC4F0D"/>
    <w:rsid w:val="00DC4FD8"/>
    <w:rsid w:val="00DC502B"/>
    <w:rsid w:val="00DC5249"/>
    <w:rsid w:val="00DC5375"/>
    <w:rsid w:val="00DC54F7"/>
    <w:rsid w:val="00DC5661"/>
    <w:rsid w:val="00DC576B"/>
    <w:rsid w:val="00DC579B"/>
    <w:rsid w:val="00DC5809"/>
    <w:rsid w:val="00DC59A2"/>
    <w:rsid w:val="00DC5A37"/>
    <w:rsid w:val="00DC5BC5"/>
    <w:rsid w:val="00DC5C29"/>
    <w:rsid w:val="00DC5EB9"/>
    <w:rsid w:val="00DC5F47"/>
    <w:rsid w:val="00DC6027"/>
    <w:rsid w:val="00DC612B"/>
    <w:rsid w:val="00DC6288"/>
    <w:rsid w:val="00DC6448"/>
    <w:rsid w:val="00DC66C1"/>
    <w:rsid w:val="00DC694E"/>
    <w:rsid w:val="00DC6B41"/>
    <w:rsid w:val="00DC6B4E"/>
    <w:rsid w:val="00DC6C86"/>
    <w:rsid w:val="00DC6E06"/>
    <w:rsid w:val="00DC709A"/>
    <w:rsid w:val="00DC7248"/>
    <w:rsid w:val="00DC7308"/>
    <w:rsid w:val="00DC7341"/>
    <w:rsid w:val="00DC7508"/>
    <w:rsid w:val="00DC7647"/>
    <w:rsid w:val="00DC76C4"/>
    <w:rsid w:val="00DC7928"/>
    <w:rsid w:val="00DC7AD6"/>
    <w:rsid w:val="00DC7B25"/>
    <w:rsid w:val="00DC7CB1"/>
    <w:rsid w:val="00DC7E04"/>
    <w:rsid w:val="00DC7E1E"/>
    <w:rsid w:val="00DC7F5E"/>
    <w:rsid w:val="00DD0268"/>
    <w:rsid w:val="00DD028E"/>
    <w:rsid w:val="00DD0C3B"/>
    <w:rsid w:val="00DD0DE7"/>
    <w:rsid w:val="00DD0EFC"/>
    <w:rsid w:val="00DD118C"/>
    <w:rsid w:val="00DD12B0"/>
    <w:rsid w:val="00DD130A"/>
    <w:rsid w:val="00DD1360"/>
    <w:rsid w:val="00DD1372"/>
    <w:rsid w:val="00DD1547"/>
    <w:rsid w:val="00DD1610"/>
    <w:rsid w:val="00DD1C3C"/>
    <w:rsid w:val="00DD1DD9"/>
    <w:rsid w:val="00DD225E"/>
    <w:rsid w:val="00DD23D4"/>
    <w:rsid w:val="00DD2424"/>
    <w:rsid w:val="00DD2467"/>
    <w:rsid w:val="00DD24DC"/>
    <w:rsid w:val="00DD24EE"/>
    <w:rsid w:val="00DD26A7"/>
    <w:rsid w:val="00DD2912"/>
    <w:rsid w:val="00DD2945"/>
    <w:rsid w:val="00DD2AD2"/>
    <w:rsid w:val="00DD2B44"/>
    <w:rsid w:val="00DD2B6D"/>
    <w:rsid w:val="00DD2C69"/>
    <w:rsid w:val="00DD2CAE"/>
    <w:rsid w:val="00DD2F24"/>
    <w:rsid w:val="00DD3024"/>
    <w:rsid w:val="00DD31CA"/>
    <w:rsid w:val="00DD3571"/>
    <w:rsid w:val="00DD381D"/>
    <w:rsid w:val="00DD383A"/>
    <w:rsid w:val="00DD3885"/>
    <w:rsid w:val="00DD38F9"/>
    <w:rsid w:val="00DD3B13"/>
    <w:rsid w:val="00DD3FD6"/>
    <w:rsid w:val="00DD4029"/>
    <w:rsid w:val="00DD4057"/>
    <w:rsid w:val="00DD4069"/>
    <w:rsid w:val="00DD4087"/>
    <w:rsid w:val="00DD42A6"/>
    <w:rsid w:val="00DD4338"/>
    <w:rsid w:val="00DD4385"/>
    <w:rsid w:val="00DD451F"/>
    <w:rsid w:val="00DD459B"/>
    <w:rsid w:val="00DD46BF"/>
    <w:rsid w:val="00DD4873"/>
    <w:rsid w:val="00DD48F1"/>
    <w:rsid w:val="00DD4C1A"/>
    <w:rsid w:val="00DD4C96"/>
    <w:rsid w:val="00DD4D9A"/>
    <w:rsid w:val="00DD4F6A"/>
    <w:rsid w:val="00DD4FC3"/>
    <w:rsid w:val="00DD503A"/>
    <w:rsid w:val="00DD50D4"/>
    <w:rsid w:val="00DD5108"/>
    <w:rsid w:val="00DD51A9"/>
    <w:rsid w:val="00DD51DE"/>
    <w:rsid w:val="00DD52F2"/>
    <w:rsid w:val="00DD5341"/>
    <w:rsid w:val="00DD54B4"/>
    <w:rsid w:val="00DD555B"/>
    <w:rsid w:val="00DD5735"/>
    <w:rsid w:val="00DD58EF"/>
    <w:rsid w:val="00DD59A6"/>
    <w:rsid w:val="00DD5B16"/>
    <w:rsid w:val="00DD5CE7"/>
    <w:rsid w:val="00DD5DEC"/>
    <w:rsid w:val="00DD5FBA"/>
    <w:rsid w:val="00DD5FE5"/>
    <w:rsid w:val="00DD6032"/>
    <w:rsid w:val="00DD6060"/>
    <w:rsid w:val="00DD613C"/>
    <w:rsid w:val="00DD65B9"/>
    <w:rsid w:val="00DD671A"/>
    <w:rsid w:val="00DD677C"/>
    <w:rsid w:val="00DD67CD"/>
    <w:rsid w:val="00DD6829"/>
    <w:rsid w:val="00DD693A"/>
    <w:rsid w:val="00DD6949"/>
    <w:rsid w:val="00DD6ACD"/>
    <w:rsid w:val="00DD6B3D"/>
    <w:rsid w:val="00DD6C18"/>
    <w:rsid w:val="00DD6C75"/>
    <w:rsid w:val="00DD6C7E"/>
    <w:rsid w:val="00DD6E00"/>
    <w:rsid w:val="00DD6F32"/>
    <w:rsid w:val="00DD6F42"/>
    <w:rsid w:val="00DD6F8A"/>
    <w:rsid w:val="00DD70FD"/>
    <w:rsid w:val="00DD71DE"/>
    <w:rsid w:val="00DD71F0"/>
    <w:rsid w:val="00DD7252"/>
    <w:rsid w:val="00DD727C"/>
    <w:rsid w:val="00DD7299"/>
    <w:rsid w:val="00DD7478"/>
    <w:rsid w:val="00DD7531"/>
    <w:rsid w:val="00DD76DE"/>
    <w:rsid w:val="00DD770E"/>
    <w:rsid w:val="00DD7985"/>
    <w:rsid w:val="00DD7D5B"/>
    <w:rsid w:val="00DD7E45"/>
    <w:rsid w:val="00DD7E8F"/>
    <w:rsid w:val="00DD7EF1"/>
    <w:rsid w:val="00DD7F72"/>
    <w:rsid w:val="00DE007B"/>
    <w:rsid w:val="00DE017C"/>
    <w:rsid w:val="00DE02CD"/>
    <w:rsid w:val="00DE0363"/>
    <w:rsid w:val="00DE03FE"/>
    <w:rsid w:val="00DE04A8"/>
    <w:rsid w:val="00DE067D"/>
    <w:rsid w:val="00DE07A8"/>
    <w:rsid w:val="00DE0941"/>
    <w:rsid w:val="00DE0A48"/>
    <w:rsid w:val="00DE0BEB"/>
    <w:rsid w:val="00DE0BF6"/>
    <w:rsid w:val="00DE0C22"/>
    <w:rsid w:val="00DE0CFF"/>
    <w:rsid w:val="00DE0E0C"/>
    <w:rsid w:val="00DE0F6C"/>
    <w:rsid w:val="00DE1145"/>
    <w:rsid w:val="00DE11CF"/>
    <w:rsid w:val="00DE129B"/>
    <w:rsid w:val="00DE12D2"/>
    <w:rsid w:val="00DE1417"/>
    <w:rsid w:val="00DE1424"/>
    <w:rsid w:val="00DE1529"/>
    <w:rsid w:val="00DE16E2"/>
    <w:rsid w:val="00DE178C"/>
    <w:rsid w:val="00DE179E"/>
    <w:rsid w:val="00DE17B5"/>
    <w:rsid w:val="00DE17FF"/>
    <w:rsid w:val="00DE181B"/>
    <w:rsid w:val="00DE1850"/>
    <w:rsid w:val="00DE1960"/>
    <w:rsid w:val="00DE198A"/>
    <w:rsid w:val="00DE19BE"/>
    <w:rsid w:val="00DE1C3A"/>
    <w:rsid w:val="00DE1D8D"/>
    <w:rsid w:val="00DE2323"/>
    <w:rsid w:val="00DE23A5"/>
    <w:rsid w:val="00DE2B28"/>
    <w:rsid w:val="00DE2CE4"/>
    <w:rsid w:val="00DE2DBB"/>
    <w:rsid w:val="00DE309B"/>
    <w:rsid w:val="00DE31BC"/>
    <w:rsid w:val="00DE3488"/>
    <w:rsid w:val="00DE35E6"/>
    <w:rsid w:val="00DE38A0"/>
    <w:rsid w:val="00DE394A"/>
    <w:rsid w:val="00DE39C6"/>
    <w:rsid w:val="00DE3B30"/>
    <w:rsid w:val="00DE3B9C"/>
    <w:rsid w:val="00DE3B9E"/>
    <w:rsid w:val="00DE3EBF"/>
    <w:rsid w:val="00DE438A"/>
    <w:rsid w:val="00DE452D"/>
    <w:rsid w:val="00DE4559"/>
    <w:rsid w:val="00DE4582"/>
    <w:rsid w:val="00DE47D0"/>
    <w:rsid w:val="00DE4919"/>
    <w:rsid w:val="00DE4B21"/>
    <w:rsid w:val="00DE4D1E"/>
    <w:rsid w:val="00DE4DCC"/>
    <w:rsid w:val="00DE4F0B"/>
    <w:rsid w:val="00DE4FD4"/>
    <w:rsid w:val="00DE513A"/>
    <w:rsid w:val="00DE543F"/>
    <w:rsid w:val="00DE5445"/>
    <w:rsid w:val="00DE5536"/>
    <w:rsid w:val="00DE5605"/>
    <w:rsid w:val="00DE563E"/>
    <w:rsid w:val="00DE5667"/>
    <w:rsid w:val="00DE597F"/>
    <w:rsid w:val="00DE5A0D"/>
    <w:rsid w:val="00DE5B47"/>
    <w:rsid w:val="00DE5C66"/>
    <w:rsid w:val="00DE5F73"/>
    <w:rsid w:val="00DE5FBC"/>
    <w:rsid w:val="00DE615C"/>
    <w:rsid w:val="00DE67DF"/>
    <w:rsid w:val="00DE6889"/>
    <w:rsid w:val="00DE698E"/>
    <w:rsid w:val="00DE6B08"/>
    <w:rsid w:val="00DE6B19"/>
    <w:rsid w:val="00DE6BEC"/>
    <w:rsid w:val="00DE6E43"/>
    <w:rsid w:val="00DE6F52"/>
    <w:rsid w:val="00DE715C"/>
    <w:rsid w:val="00DE71A4"/>
    <w:rsid w:val="00DE7233"/>
    <w:rsid w:val="00DE74B4"/>
    <w:rsid w:val="00DE75CE"/>
    <w:rsid w:val="00DE7851"/>
    <w:rsid w:val="00DE79A0"/>
    <w:rsid w:val="00DE7B7A"/>
    <w:rsid w:val="00DE7DA1"/>
    <w:rsid w:val="00DF002E"/>
    <w:rsid w:val="00DF004E"/>
    <w:rsid w:val="00DF02AE"/>
    <w:rsid w:val="00DF02D4"/>
    <w:rsid w:val="00DF04B9"/>
    <w:rsid w:val="00DF0530"/>
    <w:rsid w:val="00DF05F0"/>
    <w:rsid w:val="00DF0716"/>
    <w:rsid w:val="00DF078E"/>
    <w:rsid w:val="00DF0853"/>
    <w:rsid w:val="00DF08CB"/>
    <w:rsid w:val="00DF0946"/>
    <w:rsid w:val="00DF096A"/>
    <w:rsid w:val="00DF0A11"/>
    <w:rsid w:val="00DF0B65"/>
    <w:rsid w:val="00DF0CB4"/>
    <w:rsid w:val="00DF0CED"/>
    <w:rsid w:val="00DF0E14"/>
    <w:rsid w:val="00DF0F89"/>
    <w:rsid w:val="00DF1080"/>
    <w:rsid w:val="00DF1245"/>
    <w:rsid w:val="00DF12CF"/>
    <w:rsid w:val="00DF1418"/>
    <w:rsid w:val="00DF1449"/>
    <w:rsid w:val="00DF15C9"/>
    <w:rsid w:val="00DF1676"/>
    <w:rsid w:val="00DF1782"/>
    <w:rsid w:val="00DF198C"/>
    <w:rsid w:val="00DF1A64"/>
    <w:rsid w:val="00DF1ADA"/>
    <w:rsid w:val="00DF1C04"/>
    <w:rsid w:val="00DF1C6E"/>
    <w:rsid w:val="00DF1C8F"/>
    <w:rsid w:val="00DF1CAA"/>
    <w:rsid w:val="00DF1CD5"/>
    <w:rsid w:val="00DF1EBE"/>
    <w:rsid w:val="00DF1EF2"/>
    <w:rsid w:val="00DF254E"/>
    <w:rsid w:val="00DF2637"/>
    <w:rsid w:val="00DF2701"/>
    <w:rsid w:val="00DF270F"/>
    <w:rsid w:val="00DF288E"/>
    <w:rsid w:val="00DF290E"/>
    <w:rsid w:val="00DF29A2"/>
    <w:rsid w:val="00DF2A0E"/>
    <w:rsid w:val="00DF2B7B"/>
    <w:rsid w:val="00DF2C06"/>
    <w:rsid w:val="00DF2D57"/>
    <w:rsid w:val="00DF2D61"/>
    <w:rsid w:val="00DF2D95"/>
    <w:rsid w:val="00DF2DE3"/>
    <w:rsid w:val="00DF301D"/>
    <w:rsid w:val="00DF307D"/>
    <w:rsid w:val="00DF3126"/>
    <w:rsid w:val="00DF33C3"/>
    <w:rsid w:val="00DF3468"/>
    <w:rsid w:val="00DF34DC"/>
    <w:rsid w:val="00DF3658"/>
    <w:rsid w:val="00DF369B"/>
    <w:rsid w:val="00DF3718"/>
    <w:rsid w:val="00DF377F"/>
    <w:rsid w:val="00DF38A9"/>
    <w:rsid w:val="00DF3953"/>
    <w:rsid w:val="00DF3B5C"/>
    <w:rsid w:val="00DF3B84"/>
    <w:rsid w:val="00DF3EC8"/>
    <w:rsid w:val="00DF4084"/>
    <w:rsid w:val="00DF4318"/>
    <w:rsid w:val="00DF44B7"/>
    <w:rsid w:val="00DF44D1"/>
    <w:rsid w:val="00DF4544"/>
    <w:rsid w:val="00DF4696"/>
    <w:rsid w:val="00DF47A3"/>
    <w:rsid w:val="00DF47D1"/>
    <w:rsid w:val="00DF495A"/>
    <w:rsid w:val="00DF49E0"/>
    <w:rsid w:val="00DF4D2F"/>
    <w:rsid w:val="00DF4D80"/>
    <w:rsid w:val="00DF4FFB"/>
    <w:rsid w:val="00DF5090"/>
    <w:rsid w:val="00DF5299"/>
    <w:rsid w:val="00DF52A7"/>
    <w:rsid w:val="00DF54BE"/>
    <w:rsid w:val="00DF5593"/>
    <w:rsid w:val="00DF562F"/>
    <w:rsid w:val="00DF56A8"/>
    <w:rsid w:val="00DF57A8"/>
    <w:rsid w:val="00DF57DE"/>
    <w:rsid w:val="00DF596A"/>
    <w:rsid w:val="00DF59BC"/>
    <w:rsid w:val="00DF5A39"/>
    <w:rsid w:val="00DF5A98"/>
    <w:rsid w:val="00DF5CAE"/>
    <w:rsid w:val="00DF5CC8"/>
    <w:rsid w:val="00DF5D79"/>
    <w:rsid w:val="00DF5E06"/>
    <w:rsid w:val="00DF5F8F"/>
    <w:rsid w:val="00DF5FB9"/>
    <w:rsid w:val="00DF6043"/>
    <w:rsid w:val="00DF61D8"/>
    <w:rsid w:val="00DF62A7"/>
    <w:rsid w:val="00DF6300"/>
    <w:rsid w:val="00DF639C"/>
    <w:rsid w:val="00DF64EF"/>
    <w:rsid w:val="00DF64FC"/>
    <w:rsid w:val="00DF6557"/>
    <w:rsid w:val="00DF6645"/>
    <w:rsid w:val="00DF6677"/>
    <w:rsid w:val="00DF6707"/>
    <w:rsid w:val="00DF6925"/>
    <w:rsid w:val="00DF6BE9"/>
    <w:rsid w:val="00DF6C21"/>
    <w:rsid w:val="00DF6F65"/>
    <w:rsid w:val="00DF7071"/>
    <w:rsid w:val="00DF713C"/>
    <w:rsid w:val="00DF731C"/>
    <w:rsid w:val="00DF7380"/>
    <w:rsid w:val="00DF7635"/>
    <w:rsid w:val="00DF76B0"/>
    <w:rsid w:val="00DF7757"/>
    <w:rsid w:val="00DF7779"/>
    <w:rsid w:val="00DF79BA"/>
    <w:rsid w:val="00DF7AF7"/>
    <w:rsid w:val="00DF7BC8"/>
    <w:rsid w:val="00DF7CD4"/>
    <w:rsid w:val="00DF7CD9"/>
    <w:rsid w:val="00DF7DE9"/>
    <w:rsid w:val="00DF7E10"/>
    <w:rsid w:val="00DF7E61"/>
    <w:rsid w:val="00E0000B"/>
    <w:rsid w:val="00E0029A"/>
    <w:rsid w:val="00E002B8"/>
    <w:rsid w:val="00E003CA"/>
    <w:rsid w:val="00E006E0"/>
    <w:rsid w:val="00E00843"/>
    <w:rsid w:val="00E009A8"/>
    <w:rsid w:val="00E00C1D"/>
    <w:rsid w:val="00E00DCF"/>
    <w:rsid w:val="00E00E8C"/>
    <w:rsid w:val="00E00F7D"/>
    <w:rsid w:val="00E01040"/>
    <w:rsid w:val="00E011F6"/>
    <w:rsid w:val="00E01235"/>
    <w:rsid w:val="00E014B1"/>
    <w:rsid w:val="00E01596"/>
    <w:rsid w:val="00E01607"/>
    <w:rsid w:val="00E01856"/>
    <w:rsid w:val="00E01961"/>
    <w:rsid w:val="00E01A70"/>
    <w:rsid w:val="00E01B0D"/>
    <w:rsid w:val="00E01B35"/>
    <w:rsid w:val="00E01E9B"/>
    <w:rsid w:val="00E01F4A"/>
    <w:rsid w:val="00E01F9F"/>
    <w:rsid w:val="00E02026"/>
    <w:rsid w:val="00E02297"/>
    <w:rsid w:val="00E022A4"/>
    <w:rsid w:val="00E022D5"/>
    <w:rsid w:val="00E022F0"/>
    <w:rsid w:val="00E02323"/>
    <w:rsid w:val="00E023A5"/>
    <w:rsid w:val="00E024DE"/>
    <w:rsid w:val="00E025D8"/>
    <w:rsid w:val="00E026A5"/>
    <w:rsid w:val="00E026AE"/>
    <w:rsid w:val="00E0278D"/>
    <w:rsid w:val="00E028E7"/>
    <w:rsid w:val="00E028F7"/>
    <w:rsid w:val="00E02AE3"/>
    <w:rsid w:val="00E02AE8"/>
    <w:rsid w:val="00E02C9F"/>
    <w:rsid w:val="00E02DF3"/>
    <w:rsid w:val="00E02F5A"/>
    <w:rsid w:val="00E02FED"/>
    <w:rsid w:val="00E031A5"/>
    <w:rsid w:val="00E03363"/>
    <w:rsid w:val="00E034CA"/>
    <w:rsid w:val="00E03554"/>
    <w:rsid w:val="00E035ED"/>
    <w:rsid w:val="00E038E1"/>
    <w:rsid w:val="00E03A31"/>
    <w:rsid w:val="00E03ADC"/>
    <w:rsid w:val="00E03B5C"/>
    <w:rsid w:val="00E03D1F"/>
    <w:rsid w:val="00E03D4A"/>
    <w:rsid w:val="00E03DF5"/>
    <w:rsid w:val="00E03EA7"/>
    <w:rsid w:val="00E03F0D"/>
    <w:rsid w:val="00E03F6A"/>
    <w:rsid w:val="00E03F77"/>
    <w:rsid w:val="00E041F1"/>
    <w:rsid w:val="00E042EA"/>
    <w:rsid w:val="00E0434F"/>
    <w:rsid w:val="00E0443D"/>
    <w:rsid w:val="00E04451"/>
    <w:rsid w:val="00E0451B"/>
    <w:rsid w:val="00E0456E"/>
    <w:rsid w:val="00E0472A"/>
    <w:rsid w:val="00E04A62"/>
    <w:rsid w:val="00E04B0E"/>
    <w:rsid w:val="00E04B10"/>
    <w:rsid w:val="00E04DAB"/>
    <w:rsid w:val="00E05032"/>
    <w:rsid w:val="00E05118"/>
    <w:rsid w:val="00E0517D"/>
    <w:rsid w:val="00E0553A"/>
    <w:rsid w:val="00E055CA"/>
    <w:rsid w:val="00E056F9"/>
    <w:rsid w:val="00E0597F"/>
    <w:rsid w:val="00E059D6"/>
    <w:rsid w:val="00E05B29"/>
    <w:rsid w:val="00E05B92"/>
    <w:rsid w:val="00E05F9A"/>
    <w:rsid w:val="00E06123"/>
    <w:rsid w:val="00E062DF"/>
    <w:rsid w:val="00E06303"/>
    <w:rsid w:val="00E06404"/>
    <w:rsid w:val="00E064F4"/>
    <w:rsid w:val="00E065D8"/>
    <w:rsid w:val="00E06603"/>
    <w:rsid w:val="00E0665B"/>
    <w:rsid w:val="00E068AF"/>
    <w:rsid w:val="00E068FD"/>
    <w:rsid w:val="00E06B32"/>
    <w:rsid w:val="00E06DC2"/>
    <w:rsid w:val="00E072D7"/>
    <w:rsid w:val="00E073AF"/>
    <w:rsid w:val="00E073C5"/>
    <w:rsid w:val="00E0754A"/>
    <w:rsid w:val="00E0756C"/>
    <w:rsid w:val="00E0759F"/>
    <w:rsid w:val="00E078D6"/>
    <w:rsid w:val="00E079AC"/>
    <w:rsid w:val="00E079F9"/>
    <w:rsid w:val="00E07A3A"/>
    <w:rsid w:val="00E07A83"/>
    <w:rsid w:val="00E07B39"/>
    <w:rsid w:val="00E07C5A"/>
    <w:rsid w:val="00E07DE8"/>
    <w:rsid w:val="00E1007F"/>
    <w:rsid w:val="00E101DD"/>
    <w:rsid w:val="00E10280"/>
    <w:rsid w:val="00E1044C"/>
    <w:rsid w:val="00E10505"/>
    <w:rsid w:val="00E105B6"/>
    <w:rsid w:val="00E106E8"/>
    <w:rsid w:val="00E10B59"/>
    <w:rsid w:val="00E10BE0"/>
    <w:rsid w:val="00E10CDE"/>
    <w:rsid w:val="00E10F02"/>
    <w:rsid w:val="00E1112E"/>
    <w:rsid w:val="00E11754"/>
    <w:rsid w:val="00E11831"/>
    <w:rsid w:val="00E11850"/>
    <w:rsid w:val="00E11D3D"/>
    <w:rsid w:val="00E11D7B"/>
    <w:rsid w:val="00E11F70"/>
    <w:rsid w:val="00E12100"/>
    <w:rsid w:val="00E1217F"/>
    <w:rsid w:val="00E121DB"/>
    <w:rsid w:val="00E122F2"/>
    <w:rsid w:val="00E123BD"/>
    <w:rsid w:val="00E124B6"/>
    <w:rsid w:val="00E12500"/>
    <w:rsid w:val="00E12716"/>
    <w:rsid w:val="00E1273E"/>
    <w:rsid w:val="00E12859"/>
    <w:rsid w:val="00E1295D"/>
    <w:rsid w:val="00E1297D"/>
    <w:rsid w:val="00E12E2F"/>
    <w:rsid w:val="00E13247"/>
    <w:rsid w:val="00E1329C"/>
    <w:rsid w:val="00E13301"/>
    <w:rsid w:val="00E13333"/>
    <w:rsid w:val="00E133CF"/>
    <w:rsid w:val="00E134A2"/>
    <w:rsid w:val="00E134E1"/>
    <w:rsid w:val="00E13594"/>
    <w:rsid w:val="00E136A2"/>
    <w:rsid w:val="00E13703"/>
    <w:rsid w:val="00E137E1"/>
    <w:rsid w:val="00E1383A"/>
    <w:rsid w:val="00E13CA6"/>
    <w:rsid w:val="00E13CC4"/>
    <w:rsid w:val="00E13E98"/>
    <w:rsid w:val="00E140EB"/>
    <w:rsid w:val="00E144A0"/>
    <w:rsid w:val="00E145D2"/>
    <w:rsid w:val="00E14849"/>
    <w:rsid w:val="00E14A6E"/>
    <w:rsid w:val="00E14B75"/>
    <w:rsid w:val="00E14E4C"/>
    <w:rsid w:val="00E14E97"/>
    <w:rsid w:val="00E14F95"/>
    <w:rsid w:val="00E14FA6"/>
    <w:rsid w:val="00E14FC5"/>
    <w:rsid w:val="00E150F9"/>
    <w:rsid w:val="00E15296"/>
    <w:rsid w:val="00E152C6"/>
    <w:rsid w:val="00E152C7"/>
    <w:rsid w:val="00E154E1"/>
    <w:rsid w:val="00E15520"/>
    <w:rsid w:val="00E15591"/>
    <w:rsid w:val="00E1563A"/>
    <w:rsid w:val="00E156A8"/>
    <w:rsid w:val="00E1578E"/>
    <w:rsid w:val="00E158DC"/>
    <w:rsid w:val="00E15A72"/>
    <w:rsid w:val="00E15AAA"/>
    <w:rsid w:val="00E15BB4"/>
    <w:rsid w:val="00E15E0E"/>
    <w:rsid w:val="00E15F82"/>
    <w:rsid w:val="00E16012"/>
    <w:rsid w:val="00E16171"/>
    <w:rsid w:val="00E162C5"/>
    <w:rsid w:val="00E1641D"/>
    <w:rsid w:val="00E16466"/>
    <w:rsid w:val="00E16509"/>
    <w:rsid w:val="00E16560"/>
    <w:rsid w:val="00E165DD"/>
    <w:rsid w:val="00E16635"/>
    <w:rsid w:val="00E16754"/>
    <w:rsid w:val="00E168DC"/>
    <w:rsid w:val="00E16928"/>
    <w:rsid w:val="00E16B7B"/>
    <w:rsid w:val="00E16DB5"/>
    <w:rsid w:val="00E16DD9"/>
    <w:rsid w:val="00E16F97"/>
    <w:rsid w:val="00E16FA7"/>
    <w:rsid w:val="00E1713E"/>
    <w:rsid w:val="00E17242"/>
    <w:rsid w:val="00E17375"/>
    <w:rsid w:val="00E17804"/>
    <w:rsid w:val="00E1795F"/>
    <w:rsid w:val="00E1798F"/>
    <w:rsid w:val="00E17A23"/>
    <w:rsid w:val="00E17BCC"/>
    <w:rsid w:val="00E17C1E"/>
    <w:rsid w:val="00E17D70"/>
    <w:rsid w:val="00E17D88"/>
    <w:rsid w:val="00E17E89"/>
    <w:rsid w:val="00E20028"/>
    <w:rsid w:val="00E2004E"/>
    <w:rsid w:val="00E200D2"/>
    <w:rsid w:val="00E20178"/>
    <w:rsid w:val="00E203E7"/>
    <w:rsid w:val="00E20402"/>
    <w:rsid w:val="00E2046D"/>
    <w:rsid w:val="00E20678"/>
    <w:rsid w:val="00E20877"/>
    <w:rsid w:val="00E20AE2"/>
    <w:rsid w:val="00E20D17"/>
    <w:rsid w:val="00E20D53"/>
    <w:rsid w:val="00E20ED8"/>
    <w:rsid w:val="00E20F7D"/>
    <w:rsid w:val="00E20F87"/>
    <w:rsid w:val="00E21131"/>
    <w:rsid w:val="00E21596"/>
    <w:rsid w:val="00E21686"/>
    <w:rsid w:val="00E21694"/>
    <w:rsid w:val="00E218B9"/>
    <w:rsid w:val="00E2198A"/>
    <w:rsid w:val="00E21A1F"/>
    <w:rsid w:val="00E22020"/>
    <w:rsid w:val="00E2240F"/>
    <w:rsid w:val="00E22459"/>
    <w:rsid w:val="00E229EF"/>
    <w:rsid w:val="00E22A29"/>
    <w:rsid w:val="00E22A9E"/>
    <w:rsid w:val="00E22B81"/>
    <w:rsid w:val="00E23047"/>
    <w:rsid w:val="00E231E9"/>
    <w:rsid w:val="00E234CF"/>
    <w:rsid w:val="00E236A8"/>
    <w:rsid w:val="00E2380D"/>
    <w:rsid w:val="00E23ABA"/>
    <w:rsid w:val="00E23B0C"/>
    <w:rsid w:val="00E23DD5"/>
    <w:rsid w:val="00E23F02"/>
    <w:rsid w:val="00E24043"/>
    <w:rsid w:val="00E24051"/>
    <w:rsid w:val="00E24287"/>
    <w:rsid w:val="00E2447D"/>
    <w:rsid w:val="00E244C0"/>
    <w:rsid w:val="00E245AC"/>
    <w:rsid w:val="00E245C3"/>
    <w:rsid w:val="00E2467B"/>
    <w:rsid w:val="00E24A45"/>
    <w:rsid w:val="00E24C0F"/>
    <w:rsid w:val="00E24C8C"/>
    <w:rsid w:val="00E24DB4"/>
    <w:rsid w:val="00E24F33"/>
    <w:rsid w:val="00E24F71"/>
    <w:rsid w:val="00E250AB"/>
    <w:rsid w:val="00E250D5"/>
    <w:rsid w:val="00E252C7"/>
    <w:rsid w:val="00E252DA"/>
    <w:rsid w:val="00E2539F"/>
    <w:rsid w:val="00E2549E"/>
    <w:rsid w:val="00E25668"/>
    <w:rsid w:val="00E258A0"/>
    <w:rsid w:val="00E258E3"/>
    <w:rsid w:val="00E25959"/>
    <w:rsid w:val="00E25B3C"/>
    <w:rsid w:val="00E25BBE"/>
    <w:rsid w:val="00E25F92"/>
    <w:rsid w:val="00E2605F"/>
    <w:rsid w:val="00E260C8"/>
    <w:rsid w:val="00E26146"/>
    <w:rsid w:val="00E26161"/>
    <w:rsid w:val="00E2619F"/>
    <w:rsid w:val="00E26268"/>
    <w:rsid w:val="00E26308"/>
    <w:rsid w:val="00E2630A"/>
    <w:rsid w:val="00E2645D"/>
    <w:rsid w:val="00E26477"/>
    <w:rsid w:val="00E26489"/>
    <w:rsid w:val="00E264B3"/>
    <w:rsid w:val="00E26602"/>
    <w:rsid w:val="00E26653"/>
    <w:rsid w:val="00E2668A"/>
    <w:rsid w:val="00E266AF"/>
    <w:rsid w:val="00E26724"/>
    <w:rsid w:val="00E26931"/>
    <w:rsid w:val="00E26A8C"/>
    <w:rsid w:val="00E26D7F"/>
    <w:rsid w:val="00E26D89"/>
    <w:rsid w:val="00E26E53"/>
    <w:rsid w:val="00E26F06"/>
    <w:rsid w:val="00E26FBE"/>
    <w:rsid w:val="00E271EB"/>
    <w:rsid w:val="00E27642"/>
    <w:rsid w:val="00E27649"/>
    <w:rsid w:val="00E27812"/>
    <w:rsid w:val="00E279A0"/>
    <w:rsid w:val="00E279F6"/>
    <w:rsid w:val="00E27B9F"/>
    <w:rsid w:val="00E27C3B"/>
    <w:rsid w:val="00E300CC"/>
    <w:rsid w:val="00E30468"/>
    <w:rsid w:val="00E304CF"/>
    <w:rsid w:val="00E305BE"/>
    <w:rsid w:val="00E3066D"/>
    <w:rsid w:val="00E3071C"/>
    <w:rsid w:val="00E30905"/>
    <w:rsid w:val="00E30974"/>
    <w:rsid w:val="00E312A8"/>
    <w:rsid w:val="00E312E5"/>
    <w:rsid w:val="00E31382"/>
    <w:rsid w:val="00E313F3"/>
    <w:rsid w:val="00E316CF"/>
    <w:rsid w:val="00E31838"/>
    <w:rsid w:val="00E3199B"/>
    <w:rsid w:val="00E31A2C"/>
    <w:rsid w:val="00E31F26"/>
    <w:rsid w:val="00E320CE"/>
    <w:rsid w:val="00E3220C"/>
    <w:rsid w:val="00E322A9"/>
    <w:rsid w:val="00E325C2"/>
    <w:rsid w:val="00E32651"/>
    <w:rsid w:val="00E32732"/>
    <w:rsid w:val="00E32782"/>
    <w:rsid w:val="00E327A6"/>
    <w:rsid w:val="00E32C21"/>
    <w:rsid w:val="00E32C4B"/>
    <w:rsid w:val="00E32CE8"/>
    <w:rsid w:val="00E32CED"/>
    <w:rsid w:val="00E32D40"/>
    <w:rsid w:val="00E32D72"/>
    <w:rsid w:val="00E32E7F"/>
    <w:rsid w:val="00E32E88"/>
    <w:rsid w:val="00E32EA2"/>
    <w:rsid w:val="00E32F2E"/>
    <w:rsid w:val="00E330F4"/>
    <w:rsid w:val="00E331B3"/>
    <w:rsid w:val="00E33582"/>
    <w:rsid w:val="00E336F6"/>
    <w:rsid w:val="00E33814"/>
    <w:rsid w:val="00E338BC"/>
    <w:rsid w:val="00E338BE"/>
    <w:rsid w:val="00E33A8A"/>
    <w:rsid w:val="00E33AB0"/>
    <w:rsid w:val="00E33D89"/>
    <w:rsid w:val="00E33E6D"/>
    <w:rsid w:val="00E3437F"/>
    <w:rsid w:val="00E343AA"/>
    <w:rsid w:val="00E344B0"/>
    <w:rsid w:val="00E3451E"/>
    <w:rsid w:val="00E346D0"/>
    <w:rsid w:val="00E347F0"/>
    <w:rsid w:val="00E34BFA"/>
    <w:rsid w:val="00E34E52"/>
    <w:rsid w:val="00E34F67"/>
    <w:rsid w:val="00E350DE"/>
    <w:rsid w:val="00E35170"/>
    <w:rsid w:val="00E359CC"/>
    <w:rsid w:val="00E35A46"/>
    <w:rsid w:val="00E35E12"/>
    <w:rsid w:val="00E35E31"/>
    <w:rsid w:val="00E36027"/>
    <w:rsid w:val="00E36157"/>
    <w:rsid w:val="00E36303"/>
    <w:rsid w:val="00E363C8"/>
    <w:rsid w:val="00E363F6"/>
    <w:rsid w:val="00E36614"/>
    <w:rsid w:val="00E366A1"/>
    <w:rsid w:val="00E366AC"/>
    <w:rsid w:val="00E3680E"/>
    <w:rsid w:val="00E36879"/>
    <w:rsid w:val="00E36B17"/>
    <w:rsid w:val="00E36C3E"/>
    <w:rsid w:val="00E36D63"/>
    <w:rsid w:val="00E36DC8"/>
    <w:rsid w:val="00E36DED"/>
    <w:rsid w:val="00E37068"/>
    <w:rsid w:val="00E375B9"/>
    <w:rsid w:val="00E3764C"/>
    <w:rsid w:val="00E376A8"/>
    <w:rsid w:val="00E3774B"/>
    <w:rsid w:val="00E37CE4"/>
    <w:rsid w:val="00E37D15"/>
    <w:rsid w:val="00E37EED"/>
    <w:rsid w:val="00E37F87"/>
    <w:rsid w:val="00E40071"/>
    <w:rsid w:val="00E400DA"/>
    <w:rsid w:val="00E4028B"/>
    <w:rsid w:val="00E402C8"/>
    <w:rsid w:val="00E40359"/>
    <w:rsid w:val="00E403EB"/>
    <w:rsid w:val="00E409F4"/>
    <w:rsid w:val="00E40BB9"/>
    <w:rsid w:val="00E40CF3"/>
    <w:rsid w:val="00E40D0B"/>
    <w:rsid w:val="00E40F54"/>
    <w:rsid w:val="00E40FE1"/>
    <w:rsid w:val="00E4106B"/>
    <w:rsid w:val="00E410AD"/>
    <w:rsid w:val="00E41134"/>
    <w:rsid w:val="00E41138"/>
    <w:rsid w:val="00E4149F"/>
    <w:rsid w:val="00E4157A"/>
    <w:rsid w:val="00E415F4"/>
    <w:rsid w:val="00E416D8"/>
    <w:rsid w:val="00E416E6"/>
    <w:rsid w:val="00E4170E"/>
    <w:rsid w:val="00E41AE7"/>
    <w:rsid w:val="00E41B2E"/>
    <w:rsid w:val="00E41D4D"/>
    <w:rsid w:val="00E41E53"/>
    <w:rsid w:val="00E41F91"/>
    <w:rsid w:val="00E420FB"/>
    <w:rsid w:val="00E42246"/>
    <w:rsid w:val="00E422FC"/>
    <w:rsid w:val="00E42500"/>
    <w:rsid w:val="00E42734"/>
    <w:rsid w:val="00E428AA"/>
    <w:rsid w:val="00E42922"/>
    <w:rsid w:val="00E42952"/>
    <w:rsid w:val="00E4296A"/>
    <w:rsid w:val="00E42A38"/>
    <w:rsid w:val="00E42B08"/>
    <w:rsid w:val="00E42E78"/>
    <w:rsid w:val="00E43055"/>
    <w:rsid w:val="00E43058"/>
    <w:rsid w:val="00E430ED"/>
    <w:rsid w:val="00E431AE"/>
    <w:rsid w:val="00E43477"/>
    <w:rsid w:val="00E43561"/>
    <w:rsid w:val="00E436A2"/>
    <w:rsid w:val="00E436B5"/>
    <w:rsid w:val="00E43720"/>
    <w:rsid w:val="00E437CF"/>
    <w:rsid w:val="00E43838"/>
    <w:rsid w:val="00E43A22"/>
    <w:rsid w:val="00E43A7C"/>
    <w:rsid w:val="00E43AEC"/>
    <w:rsid w:val="00E43B25"/>
    <w:rsid w:val="00E43DBB"/>
    <w:rsid w:val="00E43DF5"/>
    <w:rsid w:val="00E43F2A"/>
    <w:rsid w:val="00E44152"/>
    <w:rsid w:val="00E4442F"/>
    <w:rsid w:val="00E44583"/>
    <w:rsid w:val="00E4486D"/>
    <w:rsid w:val="00E44906"/>
    <w:rsid w:val="00E44BDE"/>
    <w:rsid w:val="00E44CC9"/>
    <w:rsid w:val="00E44DA0"/>
    <w:rsid w:val="00E44EA7"/>
    <w:rsid w:val="00E44F39"/>
    <w:rsid w:val="00E45036"/>
    <w:rsid w:val="00E4545E"/>
    <w:rsid w:val="00E45516"/>
    <w:rsid w:val="00E45521"/>
    <w:rsid w:val="00E45766"/>
    <w:rsid w:val="00E45C31"/>
    <w:rsid w:val="00E45DC1"/>
    <w:rsid w:val="00E45E17"/>
    <w:rsid w:val="00E45E4B"/>
    <w:rsid w:val="00E45F2D"/>
    <w:rsid w:val="00E46018"/>
    <w:rsid w:val="00E4604C"/>
    <w:rsid w:val="00E46142"/>
    <w:rsid w:val="00E464FE"/>
    <w:rsid w:val="00E4660C"/>
    <w:rsid w:val="00E46659"/>
    <w:rsid w:val="00E467BE"/>
    <w:rsid w:val="00E468A2"/>
    <w:rsid w:val="00E468AE"/>
    <w:rsid w:val="00E4694B"/>
    <w:rsid w:val="00E46B96"/>
    <w:rsid w:val="00E46BB2"/>
    <w:rsid w:val="00E46C76"/>
    <w:rsid w:val="00E46D1E"/>
    <w:rsid w:val="00E46D4B"/>
    <w:rsid w:val="00E4708F"/>
    <w:rsid w:val="00E47204"/>
    <w:rsid w:val="00E47574"/>
    <w:rsid w:val="00E475F9"/>
    <w:rsid w:val="00E4782E"/>
    <w:rsid w:val="00E4783D"/>
    <w:rsid w:val="00E478A9"/>
    <w:rsid w:val="00E478E8"/>
    <w:rsid w:val="00E47AB7"/>
    <w:rsid w:val="00E47B89"/>
    <w:rsid w:val="00E47D02"/>
    <w:rsid w:val="00E47DD8"/>
    <w:rsid w:val="00E47DD9"/>
    <w:rsid w:val="00E5005B"/>
    <w:rsid w:val="00E5005F"/>
    <w:rsid w:val="00E500AF"/>
    <w:rsid w:val="00E500F0"/>
    <w:rsid w:val="00E502E6"/>
    <w:rsid w:val="00E5034C"/>
    <w:rsid w:val="00E50439"/>
    <w:rsid w:val="00E504D8"/>
    <w:rsid w:val="00E505FF"/>
    <w:rsid w:val="00E50601"/>
    <w:rsid w:val="00E5084E"/>
    <w:rsid w:val="00E50859"/>
    <w:rsid w:val="00E50968"/>
    <w:rsid w:val="00E50A08"/>
    <w:rsid w:val="00E50AC4"/>
    <w:rsid w:val="00E50ACE"/>
    <w:rsid w:val="00E50E9E"/>
    <w:rsid w:val="00E50FB6"/>
    <w:rsid w:val="00E5124C"/>
    <w:rsid w:val="00E5163C"/>
    <w:rsid w:val="00E5191D"/>
    <w:rsid w:val="00E51D81"/>
    <w:rsid w:val="00E5203B"/>
    <w:rsid w:val="00E520D9"/>
    <w:rsid w:val="00E520F7"/>
    <w:rsid w:val="00E52111"/>
    <w:rsid w:val="00E5225E"/>
    <w:rsid w:val="00E5234D"/>
    <w:rsid w:val="00E523FB"/>
    <w:rsid w:val="00E52515"/>
    <w:rsid w:val="00E52579"/>
    <w:rsid w:val="00E525D3"/>
    <w:rsid w:val="00E526F8"/>
    <w:rsid w:val="00E527E8"/>
    <w:rsid w:val="00E529D4"/>
    <w:rsid w:val="00E52B65"/>
    <w:rsid w:val="00E53054"/>
    <w:rsid w:val="00E530B9"/>
    <w:rsid w:val="00E53232"/>
    <w:rsid w:val="00E532C3"/>
    <w:rsid w:val="00E537D8"/>
    <w:rsid w:val="00E53A73"/>
    <w:rsid w:val="00E53A94"/>
    <w:rsid w:val="00E53D00"/>
    <w:rsid w:val="00E53D05"/>
    <w:rsid w:val="00E53D4C"/>
    <w:rsid w:val="00E53E24"/>
    <w:rsid w:val="00E53E3F"/>
    <w:rsid w:val="00E54062"/>
    <w:rsid w:val="00E54243"/>
    <w:rsid w:val="00E54323"/>
    <w:rsid w:val="00E54455"/>
    <w:rsid w:val="00E544AC"/>
    <w:rsid w:val="00E54714"/>
    <w:rsid w:val="00E5488F"/>
    <w:rsid w:val="00E549D6"/>
    <w:rsid w:val="00E549F2"/>
    <w:rsid w:val="00E54A18"/>
    <w:rsid w:val="00E54A3F"/>
    <w:rsid w:val="00E54AE0"/>
    <w:rsid w:val="00E54B64"/>
    <w:rsid w:val="00E54BC5"/>
    <w:rsid w:val="00E54C8E"/>
    <w:rsid w:val="00E54D96"/>
    <w:rsid w:val="00E54E05"/>
    <w:rsid w:val="00E55050"/>
    <w:rsid w:val="00E55070"/>
    <w:rsid w:val="00E552DD"/>
    <w:rsid w:val="00E5540E"/>
    <w:rsid w:val="00E55429"/>
    <w:rsid w:val="00E55456"/>
    <w:rsid w:val="00E556D4"/>
    <w:rsid w:val="00E55719"/>
    <w:rsid w:val="00E557F9"/>
    <w:rsid w:val="00E55AED"/>
    <w:rsid w:val="00E55AEF"/>
    <w:rsid w:val="00E55D22"/>
    <w:rsid w:val="00E55DF8"/>
    <w:rsid w:val="00E55E74"/>
    <w:rsid w:val="00E562D2"/>
    <w:rsid w:val="00E563DA"/>
    <w:rsid w:val="00E56527"/>
    <w:rsid w:val="00E566EE"/>
    <w:rsid w:val="00E568C8"/>
    <w:rsid w:val="00E5690A"/>
    <w:rsid w:val="00E56920"/>
    <w:rsid w:val="00E56A22"/>
    <w:rsid w:val="00E56A43"/>
    <w:rsid w:val="00E56A92"/>
    <w:rsid w:val="00E56B3A"/>
    <w:rsid w:val="00E56B62"/>
    <w:rsid w:val="00E56F0B"/>
    <w:rsid w:val="00E56F1A"/>
    <w:rsid w:val="00E570D3"/>
    <w:rsid w:val="00E5722A"/>
    <w:rsid w:val="00E573AA"/>
    <w:rsid w:val="00E5754A"/>
    <w:rsid w:val="00E575B0"/>
    <w:rsid w:val="00E57A5B"/>
    <w:rsid w:val="00E57B89"/>
    <w:rsid w:val="00E57BCA"/>
    <w:rsid w:val="00E57BD1"/>
    <w:rsid w:val="00E57D1B"/>
    <w:rsid w:val="00E57E47"/>
    <w:rsid w:val="00E57E8C"/>
    <w:rsid w:val="00E6009C"/>
    <w:rsid w:val="00E601AB"/>
    <w:rsid w:val="00E60474"/>
    <w:rsid w:val="00E604C0"/>
    <w:rsid w:val="00E60649"/>
    <w:rsid w:val="00E607AE"/>
    <w:rsid w:val="00E6085C"/>
    <w:rsid w:val="00E6089B"/>
    <w:rsid w:val="00E60A09"/>
    <w:rsid w:val="00E60AE0"/>
    <w:rsid w:val="00E60C7A"/>
    <w:rsid w:val="00E60D07"/>
    <w:rsid w:val="00E60D1D"/>
    <w:rsid w:val="00E60DD0"/>
    <w:rsid w:val="00E60EBB"/>
    <w:rsid w:val="00E60F9B"/>
    <w:rsid w:val="00E60F9F"/>
    <w:rsid w:val="00E61001"/>
    <w:rsid w:val="00E6122F"/>
    <w:rsid w:val="00E613B7"/>
    <w:rsid w:val="00E61460"/>
    <w:rsid w:val="00E61582"/>
    <w:rsid w:val="00E61667"/>
    <w:rsid w:val="00E61746"/>
    <w:rsid w:val="00E6175B"/>
    <w:rsid w:val="00E617A9"/>
    <w:rsid w:val="00E61805"/>
    <w:rsid w:val="00E61945"/>
    <w:rsid w:val="00E619C0"/>
    <w:rsid w:val="00E61A46"/>
    <w:rsid w:val="00E61B5C"/>
    <w:rsid w:val="00E61D5F"/>
    <w:rsid w:val="00E61FE0"/>
    <w:rsid w:val="00E6203E"/>
    <w:rsid w:val="00E6232C"/>
    <w:rsid w:val="00E623AD"/>
    <w:rsid w:val="00E62580"/>
    <w:rsid w:val="00E625EC"/>
    <w:rsid w:val="00E627A2"/>
    <w:rsid w:val="00E6286C"/>
    <w:rsid w:val="00E629EC"/>
    <w:rsid w:val="00E62A4D"/>
    <w:rsid w:val="00E62A73"/>
    <w:rsid w:val="00E62B15"/>
    <w:rsid w:val="00E62BF3"/>
    <w:rsid w:val="00E62D7B"/>
    <w:rsid w:val="00E62E0B"/>
    <w:rsid w:val="00E62F12"/>
    <w:rsid w:val="00E62F2F"/>
    <w:rsid w:val="00E630E3"/>
    <w:rsid w:val="00E630F9"/>
    <w:rsid w:val="00E63271"/>
    <w:rsid w:val="00E633ED"/>
    <w:rsid w:val="00E6355C"/>
    <w:rsid w:val="00E635F4"/>
    <w:rsid w:val="00E6376D"/>
    <w:rsid w:val="00E637D8"/>
    <w:rsid w:val="00E63807"/>
    <w:rsid w:val="00E63862"/>
    <w:rsid w:val="00E63A7A"/>
    <w:rsid w:val="00E63AF9"/>
    <w:rsid w:val="00E63B12"/>
    <w:rsid w:val="00E63B62"/>
    <w:rsid w:val="00E63BD3"/>
    <w:rsid w:val="00E63D48"/>
    <w:rsid w:val="00E63D4B"/>
    <w:rsid w:val="00E63E6D"/>
    <w:rsid w:val="00E63F29"/>
    <w:rsid w:val="00E63F74"/>
    <w:rsid w:val="00E64054"/>
    <w:rsid w:val="00E640DF"/>
    <w:rsid w:val="00E6410E"/>
    <w:rsid w:val="00E64157"/>
    <w:rsid w:val="00E6430F"/>
    <w:rsid w:val="00E6445E"/>
    <w:rsid w:val="00E64791"/>
    <w:rsid w:val="00E64870"/>
    <w:rsid w:val="00E649D9"/>
    <w:rsid w:val="00E64A0A"/>
    <w:rsid w:val="00E64B09"/>
    <w:rsid w:val="00E64C0B"/>
    <w:rsid w:val="00E64D22"/>
    <w:rsid w:val="00E64EDB"/>
    <w:rsid w:val="00E6509A"/>
    <w:rsid w:val="00E65116"/>
    <w:rsid w:val="00E65172"/>
    <w:rsid w:val="00E65236"/>
    <w:rsid w:val="00E6542E"/>
    <w:rsid w:val="00E65502"/>
    <w:rsid w:val="00E6552F"/>
    <w:rsid w:val="00E656CB"/>
    <w:rsid w:val="00E6571E"/>
    <w:rsid w:val="00E65946"/>
    <w:rsid w:val="00E65988"/>
    <w:rsid w:val="00E65A51"/>
    <w:rsid w:val="00E65A79"/>
    <w:rsid w:val="00E65AC5"/>
    <w:rsid w:val="00E65B27"/>
    <w:rsid w:val="00E65BC8"/>
    <w:rsid w:val="00E65BFC"/>
    <w:rsid w:val="00E65DD4"/>
    <w:rsid w:val="00E65F36"/>
    <w:rsid w:val="00E65FAC"/>
    <w:rsid w:val="00E65FB4"/>
    <w:rsid w:val="00E66021"/>
    <w:rsid w:val="00E6607F"/>
    <w:rsid w:val="00E664B0"/>
    <w:rsid w:val="00E66506"/>
    <w:rsid w:val="00E6650B"/>
    <w:rsid w:val="00E66562"/>
    <w:rsid w:val="00E66784"/>
    <w:rsid w:val="00E6690E"/>
    <w:rsid w:val="00E66A0A"/>
    <w:rsid w:val="00E66B31"/>
    <w:rsid w:val="00E66BFC"/>
    <w:rsid w:val="00E66C6B"/>
    <w:rsid w:val="00E66D19"/>
    <w:rsid w:val="00E66EF6"/>
    <w:rsid w:val="00E66F03"/>
    <w:rsid w:val="00E6717C"/>
    <w:rsid w:val="00E671D9"/>
    <w:rsid w:val="00E67435"/>
    <w:rsid w:val="00E674EB"/>
    <w:rsid w:val="00E6751C"/>
    <w:rsid w:val="00E6772D"/>
    <w:rsid w:val="00E677EA"/>
    <w:rsid w:val="00E677F6"/>
    <w:rsid w:val="00E678E5"/>
    <w:rsid w:val="00E67A39"/>
    <w:rsid w:val="00E67EDF"/>
    <w:rsid w:val="00E67F9B"/>
    <w:rsid w:val="00E7020F"/>
    <w:rsid w:val="00E702F0"/>
    <w:rsid w:val="00E70473"/>
    <w:rsid w:val="00E704AB"/>
    <w:rsid w:val="00E70552"/>
    <w:rsid w:val="00E70561"/>
    <w:rsid w:val="00E70902"/>
    <w:rsid w:val="00E70B58"/>
    <w:rsid w:val="00E70B75"/>
    <w:rsid w:val="00E70E53"/>
    <w:rsid w:val="00E70EA3"/>
    <w:rsid w:val="00E70FBC"/>
    <w:rsid w:val="00E71433"/>
    <w:rsid w:val="00E71735"/>
    <w:rsid w:val="00E71801"/>
    <w:rsid w:val="00E718A9"/>
    <w:rsid w:val="00E71DAD"/>
    <w:rsid w:val="00E71E2D"/>
    <w:rsid w:val="00E71E89"/>
    <w:rsid w:val="00E72140"/>
    <w:rsid w:val="00E721AC"/>
    <w:rsid w:val="00E7227E"/>
    <w:rsid w:val="00E72523"/>
    <w:rsid w:val="00E7253B"/>
    <w:rsid w:val="00E72722"/>
    <w:rsid w:val="00E72823"/>
    <w:rsid w:val="00E728FB"/>
    <w:rsid w:val="00E72B21"/>
    <w:rsid w:val="00E72BE8"/>
    <w:rsid w:val="00E72D61"/>
    <w:rsid w:val="00E72E37"/>
    <w:rsid w:val="00E730BC"/>
    <w:rsid w:val="00E731B7"/>
    <w:rsid w:val="00E733BD"/>
    <w:rsid w:val="00E7348B"/>
    <w:rsid w:val="00E737D0"/>
    <w:rsid w:val="00E738C4"/>
    <w:rsid w:val="00E73989"/>
    <w:rsid w:val="00E73AA6"/>
    <w:rsid w:val="00E73E12"/>
    <w:rsid w:val="00E74040"/>
    <w:rsid w:val="00E7442D"/>
    <w:rsid w:val="00E746C7"/>
    <w:rsid w:val="00E74D31"/>
    <w:rsid w:val="00E74D32"/>
    <w:rsid w:val="00E74F3F"/>
    <w:rsid w:val="00E74FE5"/>
    <w:rsid w:val="00E752DD"/>
    <w:rsid w:val="00E75617"/>
    <w:rsid w:val="00E75772"/>
    <w:rsid w:val="00E75B1C"/>
    <w:rsid w:val="00E75C47"/>
    <w:rsid w:val="00E75F59"/>
    <w:rsid w:val="00E760C3"/>
    <w:rsid w:val="00E763E8"/>
    <w:rsid w:val="00E763F1"/>
    <w:rsid w:val="00E7640F"/>
    <w:rsid w:val="00E76467"/>
    <w:rsid w:val="00E7646B"/>
    <w:rsid w:val="00E76609"/>
    <w:rsid w:val="00E76728"/>
    <w:rsid w:val="00E76C5B"/>
    <w:rsid w:val="00E76D35"/>
    <w:rsid w:val="00E76D8C"/>
    <w:rsid w:val="00E76EB5"/>
    <w:rsid w:val="00E76F6A"/>
    <w:rsid w:val="00E76FAF"/>
    <w:rsid w:val="00E76FD0"/>
    <w:rsid w:val="00E77003"/>
    <w:rsid w:val="00E77303"/>
    <w:rsid w:val="00E7752B"/>
    <w:rsid w:val="00E77550"/>
    <w:rsid w:val="00E77601"/>
    <w:rsid w:val="00E77880"/>
    <w:rsid w:val="00E7799E"/>
    <w:rsid w:val="00E779E7"/>
    <w:rsid w:val="00E77A7E"/>
    <w:rsid w:val="00E77AF6"/>
    <w:rsid w:val="00E77B00"/>
    <w:rsid w:val="00E77BC1"/>
    <w:rsid w:val="00E77C6C"/>
    <w:rsid w:val="00E77CA8"/>
    <w:rsid w:val="00E77E22"/>
    <w:rsid w:val="00E77E3D"/>
    <w:rsid w:val="00E77F5C"/>
    <w:rsid w:val="00E80054"/>
    <w:rsid w:val="00E80057"/>
    <w:rsid w:val="00E801F0"/>
    <w:rsid w:val="00E8032F"/>
    <w:rsid w:val="00E8033D"/>
    <w:rsid w:val="00E808FB"/>
    <w:rsid w:val="00E80999"/>
    <w:rsid w:val="00E80ABE"/>
    <w:rsid w:val="00E80B46"/>
    <w:rsid w:val="00E80D24"/>
    <w:rsid w:val="00E80E82"/>
    <w:rsid w:val="00E81315"/>
    <w:rsid w:val="00E81318"/>
    <w:rsid w:val="00E81677"/>
    <w:rsid w:val="00E81797"/>
    <w:rsid w:val="00E817E1"/>
    <w:rsid w:val="00E81ADB"/>
    <w:rsid w:val="00E81AF3"/>
    <w:rsid w:val="00E81B0F"/>
    <w:rsid w:val="00E81D5C"/>
    <w:rsid w:val="00E81D63"/>
    <w:rsid w:val="00E81E3E"/>
    <w:rsid w:val="00E82239"/>
    <w:rsid w:val="00E8244D"/>
    <w:rsid w:val="00E82471"/>
    <w:rsid w:val="00E82504"/>
    <w:rsid w:val="00E8259A"/>
    <w:rsid w:val="00E825B6"/>
    <w:rsid w:val="00E82A43"/>
    <w:rsid w:val="00E82CE9"/>
    <w:rsid w:val="00E82DCC"/>
    <w:rsid w:val="00E82E71"/>
    <w:rsid w:val="00E837C6"/>
    <w:rsid w:val="00E83953"/>
    <w:rsid w:val="00E83983"/>
    <w:rsid w:val="00E83D77"/>
    <w:rsid w:val="00E83D9A"/>
    <w:rsid w:val="00E83F92"/>
    <w:rsid w:val="00E83FA6"/>
    <w:rsid w:val="00E84011"/>
    <w:rsid w:val="00E841D6"/>
    <w:rsid w:val="00E8422F"/>
    <w:rsid w:val="00E84463"/>
    <w:rsid w:val="00E84487"/>
    <w:rsid w:val="00E8464E"/>
    <w:rsid w:val="00E84689"/>
    <w:rsid w:val="00E8476C"/>
    <w:rsid w:val="00E84953"/>
    <w:rsid w:val="00E84957"/>
    <w:rsid w:val="00E84A73"/>
    <w:rsid w:val="00E84E02"/>
    <w:rsid w:val="00E84E86"/>
    <w:rsid w:val="00E850E5"/>
    <w:rsid w:val="00E851C0"/>
    <w:rsid w:val="00E854A7"/>
    <w:rsid w:val="00E854F5"/>
    <w:rsid w:val="00E85549"/>
    <w:rsid w:val="00E85771"/>
    <w:rsid w:val="00E8579D"/>
    <w:rsid w:val="00E85847"/>
    <w:rsid w:val="00E8594C"/>
    <w:rsid w:val="00E8597C"/>
    <w:rsid w:val="00E85AAC"/>
    <w:rsid w:val="00E85B55"/>
    <w:rsid w:val="00E85CC0"/>
    <w:rsid w:val="00E85D4A"/>
    <w:rsid w:val="00E85E15"/>
    <w:rsid w:val="00E86097"/>
    <w:rsid w:val="00E862AA"/>
    <w:rsid w:val="00E86484"/>
    <w:rsid w:val="00E86788"/>
    <w:rsid w:val="00E86882"/>
    <w:rsid w:val="00E86A0A"/>
    <w:rsid w:val="00E86EBF"/>
    <w:rsid w:val="00E86FCC"/>
    <w:rsid w:val="00E872C7"/>
    <w:rsid w:val="00E873A9"/>
    <w:rsid w:val="00E87742"/>
    <w:rsid w:val="00E87885"/>
    <w:rsid w:val="00E87899"/>
    <w:rsid w:val="00E879D6"/>
    <w:rsid w:val="00E87CBE"/>
    <w:rsid w:val="00E87EE1"/>
    <w:rsid w:val="00E87EF4"/>
    <w:rsid w:val="00E87FC1"/>
    <w:rsid w:val="00E87FD5"/>
    <w:rsid w:val="00E9018E"/>
    <w:rsid w:val="00E901D5"/>
    <w:rsid w:val="00E90292"/>
    <w:rsid w:val="00E9061C"/>
    <w:rsid w:val="00E90625"/>
    <w:rsid w:val="00E9062D"/>
    <w:rsid w:val="00E9079E"/>
    <w:rsid w:val="00E90860"/>
    <w:rsid w:val="00E90AA4"/>
    <w:rsid w:val="00E90C95"/>
    <w:rsid w:val="00E90D2B"/>
    <w:rsid w:val="00E90E60"/>
    <w:rsid w:val="00E910F0"/>
    <w:rsid w:val="00E910FB"/>
    <w:rsid w:val="00E9122C"/>
    <w:rsid w:val="00E913BE"/>
    <w:rsid w:val="00E91473"/>
    <w:rsid w:val="00E915A6"/>
    <w:rsid w:val="00E915B9"/>
    <w:rsid w:val="00E919CA"/>
    <w:rsid w:val="00E91AE1"/>
    <w:rsid w:val="00E91C57"/>
    <w:rsid w:val="00E91CA8"/>
    <w:rsid w:val="00E91D31"/>
    <w:rsid w:val="00E91F6B"/>
    <w:rsid w:val="00E91FDB"/>
    <w:rsid w:val="00E922B1"/>
    <w:rsid w:val="00E926BE"/>
    <w:rsid w:val="00E927A6"/>
    <w:rsid w:val="00E9292D"/>
    <w:rsid w:val="00E92AC2"/>
    <w:rsid w:val="00E92B91"/>
    <w:rsid w:val="00E92C55"/>
    <w:rsid w:val="00E92C5F"/>
    <w:rsid w:val="00E92E3E"/>
    <w:rsid w:val="00E930B0"/>
    <w:rsid w:val="00E932BC"/>
    <w:rsid w:val="00E93367"/>
    <w:rsid w:val="00E933D4"/>
    <w:rsid w:val="00E933E4"/>
    <w:rsid w:val="00E9343E"/>
    <w:rsid w:val="00E936DC"/>
    <w:rsid w:val="00E937D7"/>
    <w:rsid w:val="00E93922"/>
    <w:rsid w:val="00E9397F"/>
    <w:rsid w:val="00E93C45"/>
    <w:rsid w:val="00E93D9A"/>
    <w:rsid w:val="00E93F60"/>
    <w:rsid w:val="00E93F67"/>
    <w:rsid w:val="00E94208"/>
    <w:rsid w:val="00E9458D"/>
    <w:rsid w:val="00E946D7"/>
    <w:rsid w:val="00E9477C"/>
    <w:rsid w:val="00E94B44"/>
    <w:rsid w:val="00E94C7C"/>
    <w:rsid w:val="00E94CD8"/>
    <w:rsid w:val="00E94D07"/>
    <w:rsid w:val="00E94D96"/>
    <w:rsid w:val="00E94E51"/>
    <w:rsid w:val="00E94E6E"/>
    <w:rsid w:val="00E94E81"/>
    <w:rsid w:val="00E94FD8"/>
    <w:rsid w:val="00E94FE5"/>
    <w:rsid w:val="00E94FFF"/>
    <w:rsid w:val="00E95118"/>
    <w:rsid w:val="00E951D4"/>
    <w:rsid w:val="00E95263"/>
    <w:rsid w:val="00E9528D"/>
    <w:rsid w:val="00E95396"/>
    <w:rsid w:val="00E9553B"/>
    <w:rsid w:val="00E955E0"/>
    <w:rsid w:val="00E956C9"/>
    <w:rsid w:val="00E957F0"/>
    <w:rsid w:val="00E9596C"/>
    <w:rsid w:val="00E95B3E"/>
    <w:rsid w:val="00E95BAA"/>
    <w:rsid w:val="00E95E04"/>
    <w:rsid w:val="00E96168"/>
    <w:rsid w:val="00E962FB"/>
    <w:rsid w:val="00E9632B"/>
    <w:rsid w:val="00E96379"/>
    <w:rsid w:val="00E96417"/>
    <w:rsid w:val="00E9662D"/>
    <w:rsid w:val="00E967AF"/>
    <w:rsid w:val="00E96820"/>
    <w:rsid w:val="00E968C0"/>
    <w:rsid w:val="00E9693E"/>
    <w:rsid w:val="00E969F9"/>
    <w:rsid w:val="00E96AE0"/>
    <w:rsid w:val="00E96AF3"/>
    <w:rsid w:val="00E96B2D"/>
    <w:rsid w:val="00E96B4A"/>
    <w:rsid w:val="00E96C23"/>
    <w:rsid w:val="00E96CF9"/>
    <w:rsid w:val="00E96D78"/>
    <w:rsid w:val="00E97098"/>
    <w:rsid w:val="00E9714D"/>
    <w:rsid w:val="00E97217"/>
    <w:rsid w:val="00E9795B"/>
    <w:rsid w:val="00E97A0B"/>
    <w:rsid w:val="00E97B5B"/>
    <w:rsid w:val="00E97D4F"/>
    <w:rsid w:val="00E97F3E"/>
    <w:rsid w:val="00E97F5E"/>
    <w:rsid w:val="00EA0194"/>
    <w:rsid w:val="00EA01FC"/>
    <w:rsid w:val="00EA026A"/>
    <w:rsid w:val="00EA02F6"/>
    <w:rsid w:val="00EA045D"/>
    <w:rsid w:val="00EA05BA"/>
    <w:rsid w:val="00EA05C4"/>
    <w:rsid w:val="00EA05CC"/>
    <w:rsid w:val="00EA08A6"/>
    <w:rsid w:val="00EA08B1"/>
    <w:rsid w:val="00EA09E0"/>
    <w:rsid w:val="00EA0F9B"/>
    <w:rsid w:val="00EA105E"/>
    <w:rsid w:val="00EA13C0"/>
    <w:rsid w:val="00EA13C6"/>
    <w:rsid w:val="00EA14EC"/>
    <w:rsid w:val="00EA1669"/>
    <w:rsid w:val="00EA1777"/>
    <w:rsid w:val="00EA17A5"/>
    <w:rsid w:val="00EA181D"/>
    <w:rsid w:val="00EA18D3"/>
    <w:rsid w:val="00EA1950"/>
    <w:rsid w:val="00EA1B95"/>
    <w:rsid w:val="00EA1BED"/>
    <w:rsid w:val="00EA1C5A"/>
    <w:rsid w:val="00EA1D27"/>
    <w:rsid w:val="00EA1DCE"/>
    <w:rsid w:val="00EA208D"/>
    <w:rsid w:val="00EA2095"/>
    <w:rsid w:val="00EA2219"/>
    <w:rsid w:val="00EA2464"/>
    <w:rsid w:val="00EA24B9"/>
    <w:rsid w:val="00EA251F"/>
    <w:rsid w:val="00EA2618"/>
    <w:rsid w:val="00EA2803"/>
    <w:rsid w:val="00EA2B06"/>
    <w:rsid w:val="00EA2B89"/>
    <w:rsid w:val="00EA30CB"/>
    <w:rsid w:val="00EA3116"/>
    <w:rsid w:val="00EA3334"/>
    <w:rsid w:val="00EA3479"/>
    <w:rsid w:val="00EA3508"/>
    <w:rsid w:val="00EA35DB"/>
    <w:rsid w:val="00EA3619"/>
    <w:rsid w:val="00EA3758"/>
    <w:rsid w:val="00EA3865"/>
    <w:rsid w:val="00EA393C"/>
    <w:rsid w:val="00EA3B00"/>
    <w:rsid w:val="00EA3B8E"/>
    <w:rsid w:val="00EA3C66"/>
    <w:rsid w:val="00EA3C89"/>
    <w:rsid w:val="00EA3CEC"/>
    <w:rsid w:val="00EA3FC9"/>
    <w:rsid w:val="00EA3FD2"/>
    <w:rsid w:val="00EA4148"/>
    <w:rsid w:val="00EA4351"/>
    <w:rsid w:val="00EA4353"/>
    <w:rsid w:val="00EA43DB"/>
    <w:rsid w:val="00EA440F"/>
    <w:rsid w:val="00EA463F"/>
    <w:rsid w:val="00EA47FE"/>
    <w:rsid w:val="00EA48AA"/>
    <w:rsid w:val="00EA4B19"/>
    <w:rsid w:val="00EA4B30"/>
    <w:rsid w:val="00EA4BEB"/>
    <w:rsid w:val="00EA4D0F"/>
    <w:rsid w:val="00EA4F2B"/>
    <w:rsid w:val="00EA4FEC"/>
    <w:rsid w:val="00EA5184"/>
    <w:rsid w:val="00EA52B6"/>
    <w:rsid w:val="00EA5334"/>
    <w:rsid w:val="00EA53EF"/>
    <w:rsid w:val="00EA53F4"/>
    <w:rsid w:val="00EA5609"/>
    <w:rsid w:val="00EA5694"/>
    <w:rsid w:val="00EA569D"/>
    <w:rsid w:val="00EA589C"/>
    <w:rsid w:val="00EA5960"/>
    <w:rsid w:val="00EA5F75"/>
    <w:rsid w:val="00EA60D0"/>
    <w:rsid w:val="00EA652E"/>
    <w:rsid w:val="00EA66D7"/>
    <w:rsid w:val="00EA67C1"/>
    <w:rsid w:val="00EA686D"/>
    <w:rsid w:val="00EA68EA"/>
    <w:rsid w:val="00EA69EB"/>
    <w:rsid w:val="00EA6A36"/>
    <w:rsid w:val="00EA6A43"/>
    <w:rsid w:val="00EA6A96"/>
    <w:rsid w:val="00EA6B5F"/>
    <w:rsid w:val="00EA6C0A"/>
    <w:rsid w:val="00EA6F2D"/>
    <w:rsid w:val="00EA7056"/>
    <w:rsid w:val="00EA707B"/>
    <w:rsid w:val="00EA7166"/>
    <w:rsid w:val="00EA731C"/>
    <w:rsid w:val="00EA73C8"/>
    <w:rsid w:val="00EA73DB"/>
    <w:rsid w:val="00EA75CA"/>
    <w:rsid w:val="00EA78D7"/>
    <w:rsid w:val="00EA7B85"/>
    <w:rsid w:val="00EA7BE0"/>
    <w:rsid w:val="00EA7C49"/>
    <w:rsid w:val="00EA7CD3"/>
    <w:rsid w:val="00EA7EC8"/>
    <w:rsid w:val="00EA7FD5"/>
    <w:rsid w:val="00EB00C4"/>
    <w:rsid w:val="00EB0116"/>
    <w:rsid w:val="00EB0220"/>
    <w:rsid w:val="00EB0239"/>
    <w:rsid w:val="00EB037D"/>
    <w:rsid w:val="00EB03AB"/>
    <w:rsid w:val="00EB05AE"/>
    <w:rsid w:val="00EB0649"/>
    <w:rsid w:val="00EB066D"/>
    <w:rsid w:val="00EB06A9"/>
    <w:rsid w:val="00EB0959"/>
    <w:rsid w:val="00EB0BCB"/>
    <w:rsid w:val="00EB0DF7"/>
    <w:rsid w:val="00EB0EA7"/>
    <w:rsid w:val="00EB0F07"/>
    <w:rsid w:val="00EB1048"/>
    <w:rsid w:val="00EB109D"/>
    <w:rsid w:val="00EB1399"/>
    <w:rsid w:val="00EB13B4"/>
    <w:rsid w:val="00EB1475"/>
    <w:rsid w:val="00EB14BF"/>
    <w:rsid w:val="00EB1544"/>
    <w:rsid w:val="00EB17C1"/>
    <w:rsid w:val="00EB1A1A"/>
    <w:rsid w:val="00EB1BAE"/>
    <w:rsid w:val="00EB1C78"/>
    <w:rsid w:val="00EB1CB5"/>
    <w:rsid w:val="00EB1D6A"/>
    <w:rsid w:val="00EB1EFB"/>
    <w:rsid w:val="00EB1F8E"/>
    <w:rsid w:val="00EB2263"/>
    <w:rsid w:val="00EB282C"/>
    <w:rsid w:val="00EB2AAC"/>
    <w:rsid w:val="00EB2B68"/>
    <w:rsid w:val="00EB2B9D"/>
    <w:rsid w:val="00EB2BE1"/>
    <w:rsid w:val="00EB2DC4"/>
    <w:rsid w:val="00EB2E37"/>
    <w:rsid w:val="00EB3241"/>
    <w:rsid w:val="00EB326C"/>
    <w:rsid w:val="00EB3356"/>
    <w:rsid w:val="00EB33CE"/>
    <w:rsid w:val="00EB350D"/>
    <w:rsid w:val="00EB39B7"/>
    <w:rsid w:val="00EB3B2F"/>
    <w:rsid w:val="00EB3B89"/>
    <w:rsid w:val="00EB3D09"/>
    <w:rsid w:val="00EB3EA4"/>
    <w:rsid w:val="00EB3EA8"/>
    <w:rsid w:val="00EB3FCF"/>
    <w:rsid w:val="00EB4051"/>
    <w:rsid w:val="00EB40D7"/>
    <w:rsid w:val="00EB429C"/>
    <w:rsid w:val="00EB42AD"/>
    <w:rsid w:val="00EB4393"/>
    <w:rsid w:val="00EB43D8"/>
    <w:rsid w:val="00EB45B9"/>
    <w:rsid w:val="00EB484E"/>
    <w:rsid w:val="00EB485C"/>
    <w:rsid w:val="00EB4A06"/>
    <w:rsid w:val="00EB4A0C"/>
    <w:rsid w:val="00EB4AE8"/>
    <w:rsid w:val="00EB4BC4"/>
    <w:rsid w:val="00EB4DF4"/>
    <w:rsid w:val="00EB4EC5"/>
    <w:rsid w:val="00EB4F70"/>
    <w:rsid w:val="00EB4FD6"/>
    <w:rsid w:val="00EB50D1"/>
    <w:rsid w:val="00EB524B"/>
    <w:rsid w:val="00EB534F"/>
    <w:rsid w:val="00EB5475"/>
    <w:rsid w:val="00EB588B"/>
    <w:rsid w:val="00EB5981"/>
    <w:rsid w:val="00EB5D5A"/>
    <w:rsid w:val="00EB5F24"/>
    <w:rsid w:val="00EB5F8A"/>
    <w:rsid w:val="00EB5FAC"/>
    <w:rsid w:val="00EB6103"/>
    <w:rsid w:val="00EB625A"/>
    <w:rsid w:val="00EB62E5"/>
    <w:rsid w:val="00EB6353"/>
    <w:rsid w:val="00EB637F"/>
    <w:rsid w:val="00EB6577"/>
    <w:rsid w:val="00EB65FE"/>
    <w:rsid w:val="00EB6685"/>
    <w:rsid w:val="00EB67F3"/>
    <w:rsid w:val="00EB68C8"/>
    <w:rsid w:val="00EB6AB4"/>
    <w:rsid w:val="00EB6B15"/>
    <w:rsid w:val="00EB6B39"/>
    <w:rsid w:val="00EB6B72"/>
    <w:rsid w:val="00EB7000"/>
    <w:rsid w:val="00EB73F4"/>
    <w:rsid w:val="00EB74FB"/>
    <w:rsid w:val="00EB75CA"/>
    <w:rsid w:val="00EB7895"/>
    <w:rsid w:val="00EB7B3B"/>
    <w:rsid w:val="00EB7E0E"/>
    <w:rsid w:val="00EB7E9F"/>
    <w:rsid w:val="00EB7FA5"/>
    <w:rsid w:val="00EB7FB6"/>
    <w:rsid w:val="00EC0162"/>
    <w:rsid w:val="00EC048B"/>
    <w:rsid w:val="00EC0671"/>
    <w:rsid w:val="00EC0693"/>
    <w:rsid w:val="00EC06C9"/>
    <w:rsid w:val="00EC0742"/>
    <w:rsid w:val="00EC0994"/>
    <w:rsid w:val="00EC0BC8"/>
    <w:rsid w:val="00EC0C44"/>
    <w:rsid w:val="00EC0DFF"/>
    <w:rsid w:val="00EC0E01"/>
    <w:rsid w:val="00EC0EF0"/>
    <w:rsid w:val="00EC1227"/>
    <w:rsid w:val="00EC1491"/>
    <w:rsid w:val="00EC151C"/>
    <w:rsid w:val="00EC17A2"/>
    <w:rsid w:val="00EC180A"/>
    <w:rsid w:val="00EC19F0"/>
    <w:rsid w:val="00EC1B6D"/>
    <w:rsid w:val="00EC1EAC"/>
    <w:rsid w:val="00EC211C"/>
    <w:rsid w:val="00EC2145"/>
    <w:rsid w:val="00EC2321"/>
    <w:rsid w:val="00EC247C"/>
    <w:rsid w:val="00EC24FF"/>
    <w:rsid w:val="00EC287F"/>
    <w:rsid w:val="00EC2907"/>
    <w:rsid w:val="00EC295A"/>
    <w:rsid w:val="00EC2977"/>
    <w:rsid w:val="00EC2A4C"/>
    <w:rsid w:val="00EC2DC2"/>
    <w:rsid w:val="00EC2DFC"/>
    <w:rsid w:val="00EC2E99"/>
    <w:rsid w:val="00EC3172"/>
    <w:rsid w:val="00EC3261"/>
    <w:rsid w:val="00EC33BC"/>
    <w:rsid w:val="00EC35F0"/>
    <w:rsid w:val="00EC35F8"/>
    <w:rsid w:val="00EC3803"/>
    <w:rsid w:val="00EC3816"/>
    <w:rsid w:val="00EC3A69"/>
    <w:rsid w:val="00EC3B09"/>
    <w:rsid w:val="00EC3D07"/>
    <w:rsid w:val="00EC3DAC"/>
    <w:rsid w:val="00EC3DAF"/>
    <w:rsid w:val="00EC3DB6"/>
    <w:rsid w:val="00EC3E65"/>
    <w:rsid w:val="00EC3F7E"/>
    <w:rsid w:val="00EC406A"/>
    <w:rsid w:val="00EC408D"/>
    <w:rsid w:val="00EC43E8"/>
    <w:rsid w:val="00EC448B"/>
    <w:rsid w:val="00EC453E"/>
    <w:rsid w:val="00EC4783"/>
    <w:rsid w:val="00EC48E3"/>
    <w:rsid w:val="00EC49FF"/>
    <w:rsid w:val="00EC4BD7"/>
    <w:rsid w:val="00EC4DCD"/>
    <w:rsid w:val="00EC4E22"/>
    <w:rsid w:val="00EC50DF"/>
    <w:rsid w:val="00EC519E"/>
    <w:rsid w:val="00EC5327"/>
    <w:rsid w:val="00EC5357"/>
    <w:rsid w:val="00EC54DB"/>
    <w:rsid w:val="00EC553F"/>
    <w:rsid w:val="00EC578E"/>
    <w:rsid w:val="00EC58C7"/>
    <w:rsid w:val="00EC58D4"/>
    <w:rsid w:val="00EC59BE"/>
    <w:rsid w:val="00EC59FF"/>
    <w:rsid w:val="00EC5CBB"/>
    <w:rsid w:val="00EC5E2A"/>
    <w:rsid w:val="00EC6017"/>
    <w:rsid w:val="00EC650B"/>
    <w:rsid w:val="00EC6541"/>
    <w:rsid w:val="00EC6842"/>
    <w:rsid w:val="00EC6A6C"/>
    <w:rsid w:val="00EC6AB0"/>
    <w:rsid w:val="00EC6B3A"/>
    <w:rsid w:val="00EC6BC3"/>
    <w:rsid w:val="00EC6D27"/>
    <w:rsid w:val="00EC6E28"/>
    <w:rsid w:val="00EC6EA5"/>
    <w:rsid w:val="00EC6F0B"/>
    <w:rsid w:val="00EC6FC3"/>
    <w:rsid w:val="00EC716D"/>
    <w:rsid w:val="00EC71E0"/>
    <w:rsid w:val="00EC7608"/>
    <w:rsid w:val="00EC761A"/>
    <w:rsid w:val="00EC7699"/>
    <w:rsid w:val="00EC7967"/>
    <w:rsid w:val="00EC79C7"/>
    <w:rsid w:val="00EC7A35"/>
    <w:rsid w:val="00EC7C31"/>
    <w:rsid w:val="00EC7CF3"/>
    <w:rsid w:val="00EC7E43"/>
    <w:rsid w:val="00ED0079"/>
    <w:rsid w:val="00ED008C"/>
    <w:rsid w:val="00ED0282"/>
    <w:rsid w:val="00ED02A1"/>
    <w:rsid w:val="00ED0507"/>
    <w:rsid w:val="00ED054C"/>
    <w:rsid w:val="00ED0972"/>
    <w:rsid w:val="00ED0C79"/>
    <w:rsid w:val="00ED0EC4"/>
    <w:rsid w:val="00ED0EE3"/>
    <w:rsid w:val="00ED0FFD"/>
    <w:rsid w:val="00ED12E3"/>
    <w:rsid w:val="00ED130C"/>
    <w:rsid w:val="00ED1385"/>
    <w:rsid w:val="00ED1431"/>
    <w:rsid w:val="00ED174D"/>
    <w:rsid w:val="00ED191D"/>
    <w:rsid w:val="00ED1B3E"/>
    <w:rsid w:val="00ED1B65"/>
    <w:rsid w:val="00ED1BE5"/>
    <w:rsid w:val="00ED208B"/>
    <w:rsid w:val="00ED20D4"/>
    <w:rsid w:val="00ED2244"/>
    <w:rsid w:val="00ED23F9"/>
    <w:rsid w:val="00ED24AB"/>
    <w:rsid w:val="00ED269B"/>
    <w:rsid w:val="00ED2828"/>
    <w:rsid w:val="00ED29B5"/>
    <w:rsid w:val="00ED2C36"/>
    <w:rsid w:val="00ED2C75"/>
    <w:rsid w:val="00ED2DA3"/>
    <w:rsid w:val="00ED303B"/>
    <w:rsid w:val="00ED30FF"/>
    <w:rsid w:val="00ED323C"/>
    <w:rsid w:val="00ED3517"/>
    <w:rsid w:val="00ED3734"/>
    <w:rsid w:val="00ED3791"/>
    <w:rsid w:val="00ED3799"/>
    <w:rsid w:val="00ED3837"/>
    <w:rsid w:val="00ED38B7"/>
    <w:rsid w:val="00ED390D"/>
    <w:rsid w:val="00ED3933"/>
    <w:rsid w:val="00ED3936"/>
    <w:rsid w:val="00ED39C7"/>
    <w:rsid w:val="00ED3A8F"/>
    <w:rsid w:val="00ED3ABE"/>
    <w:rsid w:val="00ED3AF4"/>
    <w:rsid w:val="00ED3C04"/>
    <w:rsid w:val="00ED3D22"/>
    <w:rsid w:val="00ED3FBD"/>
    <w:rsid w:val="00ED4056"/>
    <w:rsid w:val="00ED40B4"/>
    <w:rsid w:val="00ED4109"/>
    <w:rsid w:val="00ED41DB"/>
    <w:rsid w:val="00ED42E9"/>
    <w:rsid w:val="00ED436F"/>
    <w:rsid w:val="00ED43BF"/>
    <w:rsid w:val="00ED442E"/>
    <w:rsid w:val="00ED4635"/>
    <w:rsid w:val="00ED46E4"/>
    <w:rsid w:val="00ED4C83"/>
    <w:rsid w:val="00ED4F69"/>
    <w:rsid w:val="00ED50D6"/>
    <w:rsid w:val="00ED5180"/>
    <w:rsid w:val="00ED5268"/>
    <w:rsid w:val="00ED57DB"/>
    <w:rsid w:val="00ED58B9"/>
    <w:rsid w:val="00ED5A51"/>
    <w:rsid w:val="00ED5A54"/>
    <w:rsid w:val="00ED5C2B"/>
    <w:rsid w:val="00ED5D1F"/>
    <w:rsid w:val="00ED5ED3"/>
    <w:rsid w:val="00ED6039"/>
    <w:rsid w:val="00ED604D"/>
    <w:rsid w:val="00ED60FB"/>
    <w:rsid w:val="00ED62FF"/>
    <w:rsid w:val="00ED640E"/>
    <w:rsid w:val="00ED6564"/>
    <w:rsid w:val="00ED6680"/>
    <w:rsid w:val="00ED68CB"/>
    <w:rsid w:val="00ED6AA2"/>
    <w:rsid w:val="00ED6BDB"/>
    <w:rsid w:val="00ED6CCF"/>
    <w:rsid w:val="00ED6CD0"/>
    <w:rsid w:val="00ED72C7"/>
    <w:rsid w:val="00ED7340"/>
    <w:rsid w:val="00ED754D"/>
    <w:rsid w:val="00ED765E"/>
    <w:rsid w:val="00ED767E"/>
    <w:rsid w:val="00ED770F"/>
    <w:rsid w:val="00ED7743"/>
    <w:rsid w:val="00ED7821"/>
    <w:rsid w:val="00ED783D"/>
    <w:rsid w:val="00ED7895"/>
    <w:rsid w:val="00ED7A57"/>
    <w:rsid w:val="00ED7CDD"/>
    <w:rsid w:val="00ED7D9C"/>
    <w:rsid w:val="00ED7DD0"/>
    <w:rsid w:val="00ED7F75"/>
    <w:rsid w:val="00EE000F"/>
    <w:rsid w:val="00EE0098"/>
    <w:rsid w:val="00EE00CC"/>
    <w:rsid w:val="00EE02AD"/>
    <w:rsid w:val="00EE035A"/>
    <w:rsid w:val="00EE037A"/>
    <w:rsid w:val="00EE03BD"/>
    <w:rsid w:val="00EE05D0"/>
    <w:rsid w:val="00EE0655"/>
    <w:rsid w:val="00EE0738"/>
    <w:rsid w:val="00EE07E8"/>
    <w:rsid w:val="00EE0998"/>
    <w:rsid w:val="00EE0A08"/>
    <w:rsid w:val="00EE0A3B"/>
    <w:rsid w:val="00EE0B6C"/>
    <w:rsid w:val="00EE0C46"/>
    <w:rsid w:val="00EE0CCB"/>
    <w:rsid w:val="00EE0F21"/>
    <w:rsid w:val="00EE0FF4"/>
    <w:rsid w:val="00EE1131"/>
    <w:rsid w:val="00EE1168"/>
    <w:rsid w:val="00EE126D"/>
    <w:rsid w:val="00EE14BF"/>
    <w:rsid w:val="00EE157B"/>
    <w:rsid w:val="00EE15C1"/>
    <w:rsid w:val="00EE15FE"/>
    <w:rsid w:val="00EE170D"/>
    <w:rsid w:val="00EE1926"/>
    <w:rsid w:val="00EE19F0"/>
    <w:rsid w:val="00EE1A5B"/>
    <w:rsid w:val="00EE1B35"/>
    <w:rsid w:val="00EE1C0F"/>
    <w:rsid w:val="00EE1C7E"/>
    <w:rsid w:val="00EE1E85"/>
    <w:rsid w:val="00EE2052"/>
    <w:rsid w:val="00EE21B1"/>
    <w:rsid w:val="00EE2218"/>
    <w:rsid w:val="00EE229B"/>
    <w:rsid w:val="00EE22A2"/>
    <w:rsid w:val="00EE230B"/>
    <w:rsid w:val="00EE2344"/>
    <w:rsid w:val="00EE248C"/>
    <w:rsid w:val="00EE25B4"/>
    <w:rsid w:val="00EE2614"/>
    <w:rsid w:val="00EE26B3"/>
    <w:rsid w:val="00EE2919"/>
    <w:rsid w:val="00EE291E"/>
    <w:rsid w:val="00EE29DB"/>
    <w:rsid w:val="00EE29EB"/>
    <w:rsid w:val="00EE2A12"/>
    <w:rsid w:val="00EE2AEE"/>
    <w:rsid w:val="00EE3102"/>
    <w:rsid w:val="00EE3519"/>
    <w:rsid w:val="00EE35F4"/>
    <w:rsid w:val="00EE377F"/>
    <w:rsid w:val="00EE3809"/>
    <w:rsid w:val="00EE38CF"/>
    <w:rsid w:val="00EE3F0C"/>
    <w:rsid w:val="00EE419E"/>
    <w:rsid w:val="00EE4224"/>
    <w:rsid w:val="00EE4276"/>
    <w:rsid w:val="00EE42E6"/>
    <w:rsid w:val="00EE43CA"/>
    <w:rsid w:val="00EE44D3"/>
    <w:rsid w:val="00EE45D0"/>
    <w:rsid w:val="00EE475B"/>
    <w:rsid w:val="00EE47BE"/>
    <w:rsid w:val="00EE482B"/>
    <w:rsid w:val="00EE4905"/>
    <w:rsid w:val="00EE4A03"/>
    <w:rsid w:val="00EE4A23"/>
    <w:rsid w:val="00EE4A7B"/>
    <w:rsid w:val="00EE4AFB"/>
    <w:rsid w:val="00EE4BB7"/>
    <w:rsid w:val="00EE4C17"/>
    <w:rsid w:val="00EE4D2C"/>
    <w:rsid w:val="00EE4D40"/>
    <w:rsid w:val="00EE4E98"/>
    <w:rsid w:val="00EE4F26"/>
    <w:rsid w:val="00EE4FE4"/>
    <w:rsid w:val="00EE5069"/>
    <w:rsid w:val="00EE50AD"/>
    <w:rsid w:val="00EE50B3"/>
    <w:rsid w:val="00EE50C4"/>
    <w:rsid w:val="00EE5129"/>
    <w:rsid w:val="00EE5257"/>
    <w:rsid w:val="00EE5352"/>
    <w:rsid w:val="00EE535B"/>
    <w:rsid w:val="00EE5370"/>
    <w:rsid w:val="00EE53C5"/>
    <w:rsid w:val="00EE55E5"/>
    <w:rsid w:val="00EE563B"/>
    <w:rsid w:val="00EE589C"/>
    <w:rsid w:val="00EE59F8"/>
    <w:rsid w:val="00EE5A02"/>
    <w:rsid w:val="00EE5B66"/>
    <w:rsid w:val="00EE5CFC"/>
    <w:rsid w:val="00EE5DD4"/>
    <w:rsid w:val="00EE5F85"/>
    <w:rsid w:val="00EE608A"/>
    <w:rsid w:val="00EE6132"/>
    <w:rsid w:val="00EE6158"/>
    <w:rsid w:val="00EE627B"/>
    <w:rsid w:val="00EE630A"/>
    <w:rsid w:val="00EE63C6"/>
    <w:rsid w:val="00EE64DF"/>
    <w:rsid w:val="00EE6634"/>
    <w:rsid w:val="00EE6650"/>
    <w:rsid w:val="00EE67BF"/>
    <w:rsid w:val="00EE6808"/>
    <w:rsid w:val="00EE6A5E"/>
    <w:rsid w:val="00EE6BC9"/>
    <w:rsid w:val="00EE6D00"/>
    <w:rsid w:val="00EE6F17"/>
    <w:rsid w:val="00EE707B"/>
    <w:rsid w:val="00EE728C"/>
    <w:rsid w:val="00EE7423"/>
    <w:rsid w:val="00EE7466"/>
    <w:rsid w:val="00EE74DE"/>
    <w:rsid w:val="00EE756C"/>
    <w:rsid w:val="00EE75D6"/>
    <w:rsid w:val="00EE78C4"/>
    <w:rsid w:val="00EE78E8"/>
    <w:rsid w:val="00EE7B97"/>
    <w:rsid w:val="00EE7C14"/>
    <w:rsid w:val="00EE7DA4"/>
    <w:rsid w:val="00EE7DA7"/>
    <w:rsid w:val="00EE7F3B"/>
    <w:rsid w:val="00EE7FB9"/>
    <w:rsid w:val="00EF00E5"/>
    <w:rsid w:val="00EF0332"/>
    <w:rsid w:val="00EF03EA"/>
    <w:rsid w:val="00EF066A"/>
    <w:rsid w:val="00EF09F0"/>
    <w:rsid w:val="00EF0A4B"/>
    <w:rsid w:val="00EF0B8A"/>
    <w:rsid w:val="00EF0C39"/>
    <w:rsid w:val="00EF0CDB"/>
    <w:rsid w:val="00EF0F20"/>
    <w:rsid w:val="00EF0F82"/>
    <w:rsid w:val="00EF0FB2"/>
    <w:rsid w:val="00EF12C3"/>
    <w:rsid w:val="00EF12F0"/>
    <w:rsid w:val="00EF12F4"/>
    <w:rsid w:val="00EF1313"/>
    <w:rsid w:val="00EF13AC"/>
    <w:rsid w:val="00EF14DD"/>
    <w:rsid w:val="00EF16E5"/>
    <w:rsid w:val="00EF18C3"/>
    <w:rsid w:val="00EF18F6"/>
    <w:rsid w:val="00EF1AE4"/>
    <w:rsid w:val="00EF1D93"/>
    <w:rsid w:val="00EF1DC4"/>
    <w:rsid w:val="00EF1E81"/>
    <w:rsid w:val="00EF1EA5"/>
    <w:rsid w:val="00EF1ED0"/>
    <w:rsid w:val="00EF2000"/>
    <w:rsid w:val="00EF203C"/>
    <w:rsid w:val="00EF20D7"/>
    <w:rsid w:val="00EF23B6"/>
    <w:rsid w:val="00EF2541"/>
    <w:rsid w:val="00EF26D5"/>
    <w:rsid w:val="00EF28A0"/>
    <w:rsid w:val="00EF294E"/>
    <w:rsid w:val="00EF2986"/>
    <w:rsid w:val="00EF29E2"/>
    <w:rsid w:val="00EF29F5"/>
    <w:rsid w:val="00EF2C53"/>
    <w:rsid w:val="00EF2CF1"/>
    <w:rsid w:val="00EF2DED"/>
    <w:rsid w:val="00EF3054"/>
    <w:rsid w:val="00EF30EA"/>
    <w:rsid w:val="00EF3449"/>
    <w:rsid w:val="00EF36A9"/>
    <w:rsid w:val="00EF3A57"/>
    <w:rsid w:val="00EF3AA3"/>
    <w:rsid w:val="00EF3C94"/>
    <w:rsid w:val="00EF3CA7"/>
    <w:rsid w:val="00EF3E32"/>
    <w:rsid w:val="00EF3EB6"/>
    <w:rsid w:val="00EF41B3"/>
    <w:rsid w:val="00EF41E1"/>
    <w:rsid w:val="00EF4446"/>
    <w:rsid w:val="00EF46CA"/>
    <w:rsid w:val="00EF4846"/>
    <w:rsid w:val="00EF4900"/>
    <w:rsid w:val="00EF49E6"/>
    <w:rsid w:val="00EF49E8"/>
    <w:rsid w:val="00EF4A9A"/>
    <w:rsid w:val="00EF4C99"/>
    <w:rsid w:val="00EF4E27"/>
    <w:rsid w:val="00EF4EF2"/>
    <w:rsid w:val="00EF503E"/>
    <w:rsid w:val="00EF529B"/>
    <w:rsid w:val="00EF53F1"/>
    <w:rsid w:val="00EF566D"/>
    <w:rsid w:val="00EF56D8"/>
    <w:rsid w:val="00EF56FA"/>
    <w:rsid w:val="00EF579D"/>
    <w:rsid w:val="00EF5862"/>
    <w:rsid w:val="00EF59A5"/>
    <w:rsid w:val="00EF59BF"/>
    <w:rsid w:val="00EF5B18"/>
    <w:rsid w:val="00EF5BEF"/>
    <w:rsid w:val="00EF5CB8"/>
    <w:rsid w:val="00EF5D00"/>
    <w:rsid w:val="00EF5E2F"/>
    <w:rsid w:val="00EF5EA3"/>
    <w:rsid w:val="00EF5F4C"/>
    <w:rsid w:val="00EF60CC"/>
    <w:rsid w:val="00EF60E5"/>
    <w:rsid w:val="00EF650E"/>
    <w:rsid w:val="00EF65FA"/>
    <w:rsid w:val="00EF6885"/>
    <w:rsid w:val="00EF69B7"/>
    <w:rsid w:val="00EF6B73"/>
    <w:rsid w:val="00EF6BF3"/>
    <w:rsid w:val="00EF6BF9"/>
    <w:rsid w:val="00EF6C18"/>
    <w:rsid w:val="00EF7248"/>
    <w:rsid w:val="00EF727A"/>
    <w:rsid w:val="00EF74DA"/>
    <w:rsid w:val="00EF753C"/>
    <w:rsid w:val="00EF75E9"/>
    <w:rsid w:val="00EF7708"/>
    <w:rsid w:val="00EF77A0"/>
    <w:rsid w:val="00EF78FC"/>
    <w:rsid w:val="00EF79B5"/>
    <w:rsid w:val="00EF7A52"/>
    <w:rsid w:val="00EF7AAD"/>
    <w:rsid w:val="00EF7B13"/>
    <w:rsid w:val="00EF7DA7"/>
    <w:rsid w:val="00EF7E31"/>
    <w:rsid w:val="00EF7ED2"/>
    <w:rsid w:val="00EF7FC5"/>
    <w:rsid w:val="00F0010F"/>
    <w:rsid w:val="00F00215"/>
    <w:rsid w:val="00F0021B"/>
    <w:rsid w:val="00F00277"/>
    <w:rsid w:val="00F00295"/>
    <w:rsid w:val="00F00309"/>
    <w:rsid w:val="00F00393"/>
    <w:rsid w:val="00F003E3"/>
    <w:rsid w:val="00F00416"/>
    <w:rsid w:val="00F004CC"/>
    <w:rsid w:val="00F004D8"/>
    <w:rsid w:val="00F00520"/>
    <w:rsid w:val="00F0065D"/>
    <w:rsid w:val="00F007C5"/>
    <w:rsid w:val="00F00849"/>
    <w:rsid w:val="00F008F5"/>
    <w:rsid w:val="00F009DF"/>
    <w:rsid w:val="00F00D86"/>
    <w:rsid w:val="00F00E23"/>
    <w:rsid w:val="00F00EC5"/>
    <w:rsid w:val="00F00F72"/>
    <w:rsid w:val="00F013DE"/>
    <w:rsid w:val="00F015EA"/>
    <w:rsid w:val="00F01688"/>
    <w:rsid w:val="00F01735"/>
    <w:rsid w:val="00F017C9"/>
    <w:rsid w:val="00F018F7"/>
    <w:rsid w:val="00F01A1B"/>
    <w:rsid w:val="00F01C70"/>
    <w:rsid w:val="00F01D09"/>
    <w:rsid w:val="00F01DEC"/>
    <w:rsid w:val="00F01E2A"/>
    <w:rsid w:val="00F01F7F"/>
    <w:rsid w:val="00F01F88"/>
    <w:rsid w:val="00F022A5"/>
    <w:rsid w:val="00F02319"/>
    <w:rsid w:val="00F02394"/>
    <w:rsid w:val="00F024CD"/>
    <w:rsid w:val="00F0255F"/>
    <w:rsid w:val="00F0257B"/>
    <w:rsid w:val="00F0264D"/>
    <w:rsid w:val="00F0266E"/>
    <w:rsid w:val="00F02704"/>
    <w:rsid w:val="00F028D4"/>
    <w:rsid w:val="00F02994"/>
    <w:rsid w:val="00F02A42"/>
    <w:rsid w:val="00F02AAA"/>
    <w:rsid w:val="00F02B74"/>
    <w:rsid w:val="00F02BC8"/>
    <w:rsid w:val="00F02F1A"/>
    <w:rsid w:val="00F02F65"/>
    <w:rsid w:val="00F031B1"/>
    <w:rsid w:val="00F031ED"/>
    <w:rsid w:val="00F03217"/>
    <w:rsid w:val="00F03261"/>
    <w:rsid w:val="00F0329D"/>
    <w:rsid w:val="00F03304"/>
    <w:rsid w:val="00F0336A"/>
    <w:rsid w:val="00F0343F"/>
    <w:rsid w:val="00F03669"/>
    <w:rsid w:val="00F036CF"/>
    <w:rsid w:val="00F036D0"/>
    <w:rsid w:val="00F037FC"/>
    <w:rsid w:val="00F038B4"/>
    <w:rsid w:val="00F038D2"/>
    <w:rsid w:val="00F039B7"/>
    <w:rsid w:val="00F03B97"/>
    <w:rsid w:val="00F03BE7"/>
    <w:rsid w:val="00F03CB6"/>
    <w:rsid w:val="00F03DC6"/>
    <w:rsid w:val="00F03E33"/>
    <w:rsid w:val="00F03EB2"/>
    <w:rsid w:val="00F04174"/>
    <w:rsid w:val="00F042D4"/>
    <w:rsid w:val="00F043E5"/>
    <w:rsid w:val="00F044EC"/>
    <w:rsid w:val="00F0468D"/>
    <w:rsid w:val="00F04937"/>
    <w:rsid w:val="00F04AAB"/>
    <w:rsid w:val="00F04BBC"/>
    <w:rsid w:val="00F04F61"/>
    <w:rsid w:val="00F04FA9"/>
    <w:rsid w:val="00F053FE"/>
    <w:rsid w:val="00F0540E"/>
    <w:rsid w:val="00F0541D"/>
    <w:rsid w:val="00F05630"/>
    <w:rsid w:val="00F05649"/>
    <w:rsid w:val="00F0568F"/>
    <w:rsid w:val="00F056F2"/>
    <w:rsid w:val="00F05713"/>
    <w:rsid w:val="00F05983"/>
    <w:rsid w:val="00F05988"/>
    <w:rsid w:val="00F05B42"/>
    <w:rsid w:val="00F05B6F"/>
    <w:rsid w:val="00F05C1B"/>
    <w:rsid w:val="00F05C33"/>
    <w:rsid w:val="00F05C9B"/>
    <w:rsid w:val="00F05D10"/>
    <w:rsid w:val="00F05D18"/>
    <w:rsid w:val="00F05DDF"/>
    <w:rsid w:val="00F05E61"/>
    <w:rsid w:val="00F06010"/>
    <w:rsid w:val="00F0606B"/>
    <w:rsid w:val="00F061B8"/>
    <w:rsid w:val="00F061E7"/>
    <w:rsid w:val="00F062A3"/>
    <w:rsid w:val="00F0630C"/>
    <w:rsid w:val="00F06437"/>
    <w:rsid w:val="00F065A2"/>
    <w:rsid w:val="00F0667C"/>
    <w:rsid w:val="00F06966"/>
    <w:rsid w:val="00F069CB"/>
    <w:rsid w:val="00F07283"/>
    <w:rsid w:val="00F07384"/>
    <w:rsid w:val="00F07572"/>
    <w:rsid w:val="00F0796A"/>
    <w:rsid w:val="00F079E9"/>
    <w:rsid w:val="00F07E9A"/>
    <w:rsid w:val="00F07F04"/>
    <w:rsid w:val="00F1007E"/>
    <w:rsid w:val="00F103D2"/>
    <w:rsid w:val="00F1051B"/>
    <w:rsid w:val="00F1053D"/>
    <w:rsid w:val="00F105FF"/>
    <w:rsid w:val="00F10673"/>
    <w:rsid w:val="00F106B7"/>
    <w:rsid w:val="00F10797"/>
    <w:rsid w:val="00F107AD"/>
    <w:rsid w:val="00F107EE"/>
    <w:rsid w:val="00F10A8A"/>
    <w:rsid w:val="00F10B80"/>
    <w:rsid w:val="00F10BFB"/>
    <w:rsid w:val="00F10C0C"/>
    <w:rsid w:val="00F10CD9"/>
    <w:rsid w:val="00F10D26"/>
    <w:rsid w:val="00F110E1"/>
    <w:rsid w:val="00F111E8"/>
    <w:rsid w:val="00F11333"/>
    <w:rsid w:val="00F113D9"/>
    <w:rsid w:val="00F113E4"/>
    <w:rsid w:val="00F1159C"/>
    <w:rsid w:val="00F11751"/>
    <w:rsid w:val="00F1175B"/>
    <w:rsid w:val="00F11792"/>
    <w:rsid w:val="00F118AA"/>
    <w:rsid w:val="00F11BDF"/>
    <w:rsid w:val="00F11C3D"/>
    <w:rsid w:val="00F11E0C"/>
    <w:rsid w:val="00F11EED"/>
    <w:rsid w:val="00F11F11"/>
    <w:rsid w:val="00F11F86"/>
    <w:rsid w:val="00F1216E"/>
    <w:rsid w:val="00F1223A"/>
    <w:rsid w:val="00F12666"/>
    <w:rsid w:val="00F127C1"/>
    <w:rsid w:val="00F12B66"/>
    <w:rsid w:val="00F12C98"/>
    <w:rsid w:val="00F12D74"/>
    <w:rsid w:val="00F12E69"/>
    <w:rsid w:val="00F1324A"/>
    <w:rsid w:val="00F13333"/>
    <w:rsid w:val="00F13817"/>
    <w:rsid w:val="00F1382B"/>
    <w:rsid w:val="00F139B7"/>
    <w:rsid w:val="00F13A22"/>
    <w:rsid w:val="00F13A90"/>
    <w:rsid w:val="00F13C09"/>
    <w:rsid w:val="00F142A0"/>
    <w:rsid w:val="00F144BA"/>
    <w:rsid w:val="00F1458F"/>
    <w:rsid w:val="00F14829"/>
    <w:rsid w:val="00F149DF"/>
    <w:rsid w:val="00F14C09"/>
    <w:rsid w:val="00F14CFF"/>
    <w:rsid w:val="00F14D87"/>
    <w:rsid w:val="00F14DA4"/>
    <w:rsid w:val="00F14FAB"/>
    <w:rsid w:val="00F15117"/>
    <w:rsid w:val="00F15431"/>
    <w:rsid w:val="00F15454"/>
    <w:rsid w:val="00F15632"/>
    <w:rsid w:val="00F1574C"/>
    <w:rsid w:val="00F15A3B"/>
    <w:rsid w:val="00F15D20"/>
    <w:rsid w:val="00F15F81"/>
    <w:rsid w:val="00F1618E"/>
    <w:rsid w:val="00F162AD"/>
    <w:rsid w:val="00F16414"/>
    <w:rsid w:val="00F16470"/>
    <w:rsid w:val="00F1662E"/>
    <w:rsid w:val="00F16859"/>
    <w:rsid w:val="00F169B3"/>
    <w:rsid w:val="00F16EE3"/>
    <w:rsid w:val="00F170AE"/>
    <w:rsid w:val="00F17227"/>
    <w:rsid w:val="00F17238"/>
    <w:rsid w:val="00F1726A"/>
    <w:rsid w:val="00F172CE"/>
    <w:rsid w:val="00F173A2"/>
    <w:rsid w:val="00F1747B"/>
    <w:rsid w:val="00F1749B"/>
    <w:rsid w:val="00F17752"/>
    <w:rsid w:val="00F17947"/>
    <w:rsid w:val="00F179C1"/>
    <w:rsid w:val="00F17B23"/>
    <w:rsid w:val="00F17B31"/>
    <w:rsid w:val="00F17B91"/>
    <w:rsid w:val="00F17C24"/>
    <w:rsid w:val="00F17C86"/>
    <w:rsid w:val="00F17D4D"/>
    <w:rsid w:val="00F17EC4"/>
    <w:rsid w:val="00F17F39"/>
    <w:rsid w:val="00F202C2"/>
    <w:rsid w:val="00F203E0"/>
    <w:rsid w:val="00F203EC"/>
    <w:rsid w:val="00F20545"/>
    <w:rsid w:val="00F2062F"/>
    <w:rsid w:val="00F2065D"/>
    <w:rsid w:val="00F207C6"/>
    <w:rsid w:val="00F20886"/>
    <w:rsid w:val="00F20C15"/>
    <w:rsid w:val="00F20C9F"/>
    <w:rsid w:val="00F20DAA"/>
    <w:rsid w:val="00F21278"/>
    <w:rsid w:val="00F2135B"/>
    <w:rsid w:val="00F21496"/>
    <w:rsid w:val="00F21685"/>
    <w:rsid w:val="00F21697"/>
    <w:rsid w:val="00F217FA"/>
    <w:rsid w:val="00F21A2A"/>
    <w:rsid w:val="00F21B82"/>
    <w:rsid w:val="00F21C59"/>
    <w:rsid w:val="00F21D48"/>
    <w:rsid w:val="00F2203B"/>
    <w:rsid w:val="00F22122"/>
    <w:rsid w:val="00F222B2"/>
    <w:rsid w:val="00F2231A"/>
    <w:rsid w:val="00F22488"/>
    <w:rsid w:val="00F22836"/>
    <w:rsid w:val="00F229CB"/>
    <w:rsid w:val="00F22A45"/>
    <w:rsid w:val="00F22B6A"/>
    <w:rsid w:val="00F22DD7"/>
    <w:rsid w:val="00F22F56"/>
    <w:rsid w:val="00F22F60"/>
    <w:rsid w:val="00F22F72"/>
    <w:rsid w:val="00F2313A"/>
    <w:rsid w:val="00F2324C"/>
    <w:rsid w:val="00F23460"/>
    <w:rsid w:val="00F234BC"/>
    <w:rsid w:val="00F234D4"/>
    <w:rsid w:val="00F2362E"/>
    <w:rsid w:val="00F2366D"/>
    <w:rsid w:val="00F23764"/>
    <w:rsid w:val="00F2382E"/>
    <w:rsid w:val="00F238E0"/>
    <w:rsid w:val="00F23A12"/>
    <w:rsid w:val="00F23B90"/>
    <w:rsid w:val="00F23C00"/>
    <w:rsid w:val="00F23CCF"/>
    <w:rsid w:val="00F23F33"/>
    <w:rsid w:val="00F24234"/>
    <w:rsid w:val="00F242CE"/>
    <w:rsid w:val="00F24316"/>
    <w:rsid w:val="00F24629"/>
    <w:rsid w:val="00F24662"/>
    <w:rsid w:val="00F24872"/>
    <w:rsid w:val="00F248B5"/>
    <w:rsid w:val="00F24A38"/>
    <w:rsid w:val="00F24A66"/>
    <w:rsid w:val="00F24E1E"/>
    <w:rsid w:val="00F24E3C"/>
    <w:rsid w:val="00F2546C"/>
    <w:rsid w:val="00F25516"/>
    <w:rsid w:val="00F2568B"/>
    <w:rsid w:val="00F256A3"/>
    <w:rsid w:val="00F25AB3"/>
    <w:rsid w:val="00F26194"/>
    <w:rsid w:val="00F261FC"/>
    <w:rsid w:val="00F26219"/>
    <w:rsid w:val="00F262FB"/>
    <w:rsid w:val="00F263F4"/>
    <w:rsid w:val="00F26A38"/>
    <w:rsid w:val="00F26B45"/>
    <w:rsid w:val="00F26C26"/>
    <w:rsid w:val="00F26C78"/>
    <w:rsid w:val="00F26D97"/>
    <w:rsid w:val="00F26EBF"/>
    <w:rsid w:val="00F27065"/>
    <w:rsid w:val="00F27091"/>
    <w:rsid w:val="00F270EC"/>
    <w:rsid w:val="00F27134"/>
    <w:rsid w:val="00F2717C"/>
    <w:rsid w:val="00F271BF"/>
    <w:rsid w:val="00F271D4"/>
    <w:rsid w:val="00F2730E"/>
    <w:rsid w:val="00F27377"/>
    <w:rsid w:val="00F27385"/>
    <w:rsid w:val="00F27401"/>
    <w:rsid w:val="00F27821"/>
    <w:rsid w:val="00F278DB"/>
    <w:rsid w:val="00F27B29"/>
    <w:rsid w:val="00F27C5D"/>
    <w:rsid w:val="00F27E48"/>
    <w:rsid w:val="00F27FA6"/>
    <w:rsid w:val="00F27FB7"/>
    <w:rsid w:val="00F3017F"/>
    <w:rsid w:val="00F3027C"/>
    <w:rsid w:val="00F3031F"/>
    <w:rsid w:val="00F303BD"/>
    <w:rsid w:val="00F30441"/>
    <w:rsid w:val="00F30468"/>
    <w:rsid w:val="00F305A9"/>
    <w:rsid w:val="00F305E0"/>
    <w:rsid w:val="00F30652"/>
    <w:rsid w:val="00F306B3"/>
    <w:rsid w:val="00F30834"/>
    <w:rsid w:val="00F3088C"/>
    <w:rsid w:val="00F3095F"/>
    <w:rsid w:val="00F309F8"/>
    <w:rsid w:val="00F30A8F"/>
    <w:rsid w:val="00F30AE1"/>
    <w:rsid w:val="00F30B89"/>
    <w:rsid w:val="00F30F61"/>
    <w:rsid w:val="00F31484"/>
    <w:rsid w:val="00F31577"/>
    <w:rsid w:val="00F31A3D"/>
    <w:rsid w:val="00F31A71"/>
    <w:rsid w:val="00F31BC1"/>
    <w:rsid w:val="00F31EAB"/>
    <w:rsid w:val="00F31F15"/>
    <w:rsid w:val="00F32403"/>
    <w:rsid w:val="00F32484"/>
    <w:rsid w:val="00F324C0"/>
    <w:rsid w:val="00F328AB"/>
    <w:rsid w:val="00F32AE7"/>
    <w:rsid w:val="00F32B00"/>
    <w:rsid w:val="00F32C3E"/>
    <w:rsid w:val="00F32CB5"/>
    <w:rsid w:val="00F32E10"/>
    <w:rsid w:val="00F32F9E"/>
    <w:rsid w:val="00F33019"/>
    <w:rsid w:val="00F3303D"/>
    <w:rsid w:val="00F33076"/>
    <w:rsid w:val="00F330D3"/>
    <w:rsid w:val="00F3314A"/>
    <w:rsid w:val="00F33395"/>
    <w:rsid w:val="00F33450"/>
    <w:rsid w:val="00F338C1"/>
    <w:rsid w:val="00F339B3"/>
    <w:rsid w:val="00F339EF"/>
    <w:rsid w:val="00F339FB"/>
    <w:rsid w:val="00F33ADD"/>
    <w:rsid w:val="00F33B58"/>
    <w:rsid w:val="00F33C1E"/>
    <w:rsid w:val="00F33C25"/>
    <w:rsid w:val="00F34070"/>
    <w:rsid w:val="00F3425F"/>
    <w:rsid w:val="00F34324"/>
    <w:rsid w:val="00F3434E"/>
    <w:rsid w:val="00F34367"/>
    <w:rsid w:val="00F3437D"/>
    <w:rsid w:val="00F343B5"/>
    <w:rsid w:val="00F343E1"/>
    <w:rsid w:val="00F34569"/>
    <w:rsid w:val="00F34917"/>
    <w:rsid w:val="00F349FC"/>
    <w:rsid w:val="00F34FA4"/>
    <w:rsid w:val="00F35018"/>
    <w:rsid w:val="00F352D7"/>
    <w:rsid w:val="00F35537"/>
    <w:rsid w:val="00F356C5"/>
    <w:rsid w:val="00F357EC"/>
    <w:rsid w:val="00F35852"/>
    <w:rsid w:val="00F35992"/>
    <w:rsid w:val="00F35C0A"/>
    <w:rsid w:val="00F35D87"/>
    <w:rsid w:val="00F3619C"/>
    <w:rsid w:val="00F3630C"/>
    <w:rsid w:val="00F36359"/>
    <w:rsid w:val="00F3645D"/>
    <w:rsid w:val="00F36644"/>
    <w:rsid w:val="00F3676D"/>
    <w:rsid w:val="00F36A28"/>
    <w:rsid w:val="00F36E40"/>
    <w:rsid w:val="00F36F7E"/>
    <w:rsid w:val="00F36FCB"/>
    <w:rsid w:val="00F3715C"/>
    <w:rsid w:val="00F37282"/>
    <w:rsid w:val="00F3730D"/>
    <w:rsid w:val="00F37316"/>
    <w:rsid w:val="00F37341"/>
    <w:rsid w:val="00F374E5"/>
    <w:rsid w:val="00F37539"/>
    <w:rsid w:val="00F375D5"/>
    <w:rsid w:val="00F3760B"/>
    <w:rsid w:val="00F37756"/>
    <w:rsid w:val="00F37874"/>
    <w:rsid w:val="00F37A5C"/>
    <w:rsid w:val="00F37B7C"/>
    <w:rsid w:val="00F37C59"/>
    <w:rsid w:val="00F37CAB"/>
    <w:rsid w:val="00F37DBB"/>
    <w:rsid w:val="00F37EBA"/>
    <w:rsid w:val="00F404E5"/>
    <w:rsid w:val="00F407C7"/>
    <w:rsid w:val="00F4085F"/>
    <w:rsid w:val="00F408BB"/>
    <w:rsid w:val="00F409A2"/>
    <w:rsid w:val="00F409C4"/>
    <w:rsid w:val="00F409E4"/>
    <w:rsid w:val="00F40A2C"/>
    <w:rsid w:val="00F40A4C"/>
    <w:rsid w:val="00F40A4D"/>
    <w:rsid w:val="00F40B72"/>
    <w:rsid w:val="00F40D21"/>
    <w:rsid w:val="00F40D5B"/>
    <w:rsid w:val="00F40E4B"/>
    <w:rsid w:val="00F40E60"/>
    <w:rsid w:val="00F40E98"/>
    <w:rsid w:val="00F41181"/>
    <w:rsid w:val="00F41207"/>
    <w:rsid w:val="00F41356"/>
    <w:rsid w:val="00F413F8"/>
    <w:rsid w:val="00F4142E"/>
    <w:rsid w:val="00F4151A"/>
    <w:rsid w:val="00F41546"/>
    <w:rsid w:val="00F41550"/>
    <w:rsid w:val="00F41968"/>
    <w:rsid w:val="00F4196C"/>
    <w:rsid w:val="00F419E4"/>
    <w:rsid w:val="00F41B4D"/>
    <w:rsid w:val="00F41BF4"/>
    <w:rsid w:val="00F41D47"/>
    <w:rsid w:val="00F41DE1"/>
    <w:rsid w:val="00F41DEA"/>
    <w:rsid w:val="00F41FA6"/>
    <w:rsid w:val="00F4202D"/>
    <w:rsid w:val="00F42146"/>
    <w:rsid w:val="00F42623"/>
    <w:rsid w:val="00F4268D"/>
    <w:rsid w:val="00F42FE9"/>
    <w:rsid w:val="00F431AF"/>
    <w:rsid w:val="00F43227"/>
    <w:rsid w:val="00F432CF"/>
    <w:rsid w:val="00F4335C"/>
    <w:rsid w:val="00F433A5"/>
    <w:rsid w:val="00F43468"/>
    <w:rsid w:val="00F436F2"/>
    <w:rsid w:val="00F4376B"/>
    <w:rsid w:val="00F4383C"/>
    <w:rsid w:val="00F43874"/>
    <w:rsid w:val="00F43984"/>
    <w:rsid w:val="00F43B91"/>
    <w:rsid w:val="00F43BFF"/>
    <w:rsid w:val="00F43DB6"/>
    <w:rsid w:val="00F43DC4"/>
    <w:rsid w:val="00F43E5C"/>
    <w:rsid w:val="00F43FD1"/>
    <w:rsid w:val="00F44157"/>
    <w:rsid w:val="00F44512"/>
    <w:rsid w:val="00F44600"/>
    <w:rsid w:val="00F4475F"/>
    <w:rsid w:val="00F447A0"/>
    <w:rsid w:val="00F449A6"/>
    <w:rsid w:val="00F44D00"/>
    <w:rsid w:val="00F44D97"/>
    <w:rsid w:val="00F44DA8"/>
    <w:rsid w:val="00F44E83"/>
    <w:rsid w:val="00F44F2D"/>
    <w:rsid w:val="00F44F2E"/>
    <w:rsid w:val="00F44FC1"/>
    <w:rsid w:val="00F453AD"/>
    <w:rsid w:val="00F457C6"/>
    <w:rsid w:val="00F4581D"/>
    <w:rsid w:val="00F45AE4"/>
    <w:rsid w:val="00F45B2C"/>
    <w:rsid w:val="00F45C03"/>
    <w:rsid w:val="00F45C27"/>
    <w:rsid w:val="00F45D60"/>
    <w:rsid w:val="00F45E24"/>
    <w:rsid w:val="00F45F98"/>
    <w:rsid w:val="00F460A0"/>
    <w:rsid w:val="00F46147"/>
    <w:rsid w:val="00F46342"/>
    <w:rsid w:val="00F4659E"/>
    <w:rsid w:val="00F46605"/>
    <w:rsid w:val="00F46924"/>
    <w:rsid w:val="00F4694B"/>
    <w:rsid w:val="00F469E3"/>
    <w:rsid w:val="00F46E0B"/>
    <w:rsid w:val="00F470D3"/>
    <w:rsid w:val="00F471A0"/>
    <w:rsid w:val="00F471D7"/>
    <w:rsid w:val="00F4727C"/>
    <w:rsid w:val="00F472FF"/>
    <w:rsid w:val="00F47339"/>
    <w:rsid w:val="00F47591"/>
    <w:rsid w:val="00F4759E"/>
    <w:rsid w:val="00F47664"/>
    <w:rsid w:val="00F47DFE"/>
    <w:rsid w:val="00F47EAF"/>
    <w:rsid w:val="00F47F6C"/>
    <w:rsid w:val="00F50178"/>
    <w:rsid w:val="00F50250"/>
    <w:rsid w:val="00F50421"/>
    <w:rsid w:val="00F50535"/>
    <w:rsid w:val="00F5094B"/>
    <w:rsid w:val="00F50AF0"/>
    <w:rsid w:val="00F50B20"/>
    <w:rsid w:val="00F50B30"/>
    <w:rsid w:val="00F50BA8"/>
    <w:rsid w:val="00F50CEB"/>
    <w:rsid w:val="00F50E54"/>
    <w:rsid w:val="00F50E80"/>
    <w:rsid w:val="00F50ED0"/>
    <w:rsid w:val="00F5102F"/>
    <w:rsid w:val="00F51130"/>
    <w:rsid w:val="00F513AC"/>
    <w:rsid w:val="00F5142D"/>
    <w:rsid w:val="00F51564"/>
    <w:rsid w:val="00F51826"/>
    <w:rsid w:val="00F519C3"/>
    <w:rsid w:val="00F51A44"/>
    <w:rsid w:val="00F51C41"/>
    <w:rsid w:val="00F51E67"/>
    <w:rsid w:val="00F51E6C"/>
    <w:rsid w:val="00F51FB4"/>
    <w:rsid w:val="00F520D5"/>
    <w:rsid w:val="00F521E6"/>
    <w:rsid w:val="00F52296"/>
    <w:rsid w:val="00F52621"/>
    <w:rsid w:val="00F5263C"/>
    <w:rsid w:val="00F52931"/>
    <w:rsid w:val="00F529D0"/>
    <w:rsid w:val="00F52A3E"/>
    <w:rsid w:val="00F52B6F"/>
    <w:rsid w:val="00F52D0B"/>
    <w:rsid w:val="00F52DC5"/>
    <w:rsid w:val="00F52FF0"/>
    <w:rsid w:val="00F53079"/>
    <w:rsid w:val="00F5311D"/>
    <w:rsid w:val="00F5312F"/>
    <w:rsid w:val="00F531E9"/>
    <w:rsid w:val="00F5323D"/>
    <w:rsid w:val="00F534F1"/>
    <w:rsid w:val="00F53598"/>
    <w:rsid w:val="00F535BD"/>
    <w:rsid w:val="00F53656"/>
    <w:rsid w:val="00F536F2"/>
    <w:rsid w:val="00F53872"/>
    <w:rsid w:val="00F5398E"/>
    <w:rsid w:val="00F53B4D"/>
    <w:rsid w:val="00F53B59"/>
    <w:rsid w:val="00F53B96"/>
    <w:rsid w:val="00F53C2B"/>
    <w:rsid w:val="00F53D1B"/>
    <w:rsid w:val="00F53E8B"/>
    <w:rsid w:val="00F53EA7"/>
    <w:rsid w:val="00F53FD4"/>
    <w:rsid w:val="00F53FD8"/>
    <w:rsid w:val="00F54449"/>
    <w:rsid w:val="00F545CE"/>
    <w:rsid w:val="00F545D5"/>
    <w:rsid w:val="00F5461D"/>
    <w:rsid w:val="00F54722"/>
    <w:rsid w:val="00F547C9"/>
    <w:rsid w:val="00F5488C"/>
    <w:rsid w:val="00F548A6"/>
    <w:rsid w:val="00F549F8"/>
    <w:rsid w:val="00F54A3D"/>
    <w:rsid w:val="00F54F64"/>
    <w:rsid w:val="00F55068"/>
    <w:rsid w:val="00F551F0"/>
    <w:rsid w:val="00F5525A"/>
    <w:rsid w:val="00F5532A"/>
    <w:rsid w:val="00F5534D"/>
    <w:rsid w:val="00F55473"/>
    <w:rsid w:val="00F554E7"/>
    <w:rsid w:val="00F55770"/>
    <w:rsid w:val="00F55828"/>
    <w:rsid w:val="00F55AC0"/>
    <w:rsid w:val="00F55B2C"/>
    <w:rsid w:val="00F55B83"/>
    <w:rsid w:val="00F55CB6"/>
    <w:rsid w:val="00F55CCE"/>
    <w:rsid w:val="00F56064"/>
    <w:rsid w:val="00F560D0"/>
    <w:rsid w:val="00F5618B"/>
    <w:rsid w:val="00F562F1"/>
    <w:rsid w:val="00F56492"/>
    <w:rsid w:val="00F564BB"/>
    <w:rsid w:val="00F56663"/>
    <w:rsid w:val="00F56736"/>
    <w:rsid w:val="00F5684F"/>
    <w:rsid w:val="00F56ACE"/>
    <w:rsid w:val="00F56B67"/>
    <w:rsid w:val="00F56C31"/>
    <w:rsid w:val="00F56C3A"/>
    <w:rsid w:val="00F56D32"/>
    <w:rsid w:val="00F56FA3"/>
    <w:rsid w:val="00F56FBA"/>
    <w:rsid w:val="00F57209"/>
    <w:rsid w:val="00F5729C"/>
    <w:rsid w:val="00F572F2"/>
    <w:rsid w:val="00F5730F"/>
    <w:rsid w:val="00F57365"/>
    <w:rsid w:val="00F57387"/>
    <w:rsid w:val="00F57402"/>
    <w:rsid w:val="00F57413"/>
    <w:rsid w:val="00F574C5"/>
    <w:rsid w:val="00F575AE"/>
    <w:rsid w:val="00F575C5"/>
    <w:rsid w:val="00F575D0"/>
    <w:rsid w:val="00F5760D"/>
    <w:rsid w:val="00F57716"/>
    <w:rsid w:val="00F57818"/>
    <w:rsid w:val="00F57BF9"/>
    <w:rsid w:val="00F57D3D"/>
    <w:rsid w:val="00F6007A"/>
    <w:rsid w:val="00F600C3"/>
    <w:rsid w:val="00F601A5"/>
    <w:rsid w:val="00F602E4"/>
    <w:rsid w:val="00F60458"/>
    <w:rsid w:val="00F60734"/>
    <w:rsid w:val="00F60B01"/>
    <w:rsid w:val="00F60B4F"/>
    <w:rsid w:val="00F60B7A"/>
    <w:rsid w:val="00F60BF7"/>
    <w:rsid w:val="00F60C10"/>
    <w:rsid w:val="00F60FA8"/>
    <w:rsid w:val="00F60FB9"/>
    <w:rsid w:val="00F610E6"/>
    <w:rsid w:val="00F61139"/>
    <w:rsid w:val="00F612C0"/>
    <w:rsid w:val="00F612CF"/>
    <w:rsid w:val="00F612D9"/>
    <w:rsid w:val="00F612DF"/>
    <w:rsid w:val="00F613AE"/>
    <w:rsid w:val="00F614AF"/>
    <w:rsid w:val="00F6151C"/>
    <w:rsid w:val="00F6153E"/>
    <w:rsid w:val="00F61662"/>
    <w:rsid w:val="00F6195A"/>
    <w:rsid w:val="00F619B9"/>
    <w:rsid w:val="00F61C5C"/>
    <w:rsid w:val="00F61C69"/>
    <w:rsid w:val="00F61CA3"/>
    <w:rsid w:val="00F61D22"/>
    <w:rsid w:val="00F61D34"/>
    <w:rsid w:val="00F61E6E"/>
    <w:rsid w:val="00F61F15"/>
    <w:rsid w:val="00F621E3"/>
    <w:rsid w:val="00F62300"/>
    <w:rsid w:val="00F6267C"/>
    <w:rsid w:val="00F62773"/>
    <w:rsid w:val="00F629A5"/>
    <w:rsid w:val="00F62C75"/>
    <w:rsid w:val="00F62E17"/>
    <w:rsid w:val="00F62E56"/>
    <w:rsid w:val="00F62E78"/>
    <w:rsid w:val="00F62E9E"/>
    <w:rsid w:val="00F631DB"/>
    <w:rsid w:val="00F632A6"/>
    <w:rsid w:val="00F632C9"/>
    <w:rsid w:val="00F63488"/>
    <w:rsid w:val="00F63491"/>
    <w:rsid w:val="00F63523"/>
    <w:rsid w:val="00F6362F"/>
    <w:rsid w:val="00F636DE"/>
    <w:rsid w:val="00F63876"/>
    <w:rsid w:val="00F6399E"/>
    <w:rsid w:val="00F63A8D"/>
    <w:rsid w:val="00F63AE9"/>
    <w:rsid w:val="00F63CE3"/>
    <w:rsid w:val="00F63CFB"/>
    <w:rsid w:val="00F63D97"/>
    <w:rsid w:val="00F63DAC"/>
    <w:rsid w:val="00F63E1F"/>
    <w:rsid w:val="00F64214"/>
    <w:rsid w:val="00F64362"/>
    <w:rsid w:val="00F647E5"/>
    <w:rsid w:val="00F6496D"/>
    <w:rsid w:val="00F64B36"/>
    <w:rsid w:val="00F64D19"/>
    <w:rsid w:val="00F64E3F"/>
    <w:rsid w:val="00F64EF7"/>
    <w:rsid w:val="00F652EC"/>
    <w:rsid w:val="00F6554D"/>
    <w:rsid w:val="00F6560F"/>
    <w:rsid w:val="00F6575C"/>
    <w:rsid w:val="00F658FB"/>
    <w:rsid w:val="00F65A4C"/>
    <w:rsid w:val="00F65BB5"/>
    <w:rsid w:val="00F65BBD"/>
    <w:rsid w:val="00F65C37"/>
    <w:rsid w:val="00F65C96"/>
    <w:rsid w:val="00F65C9F"/>
    <w:rsid w:val="00F65CB9"/>
    <w:rsid w:val="00F65D4C"/>
    <w:rsid w:val="00F65D53"/>
    <w:rsid w:val="00F65E13"/>
    <w:rsid w:val="00F65F0F"/>
    <w:rsid w:val="00F65F7A"/>
    <w:rsid w:val="00F66040"/>
    <w:rsid w:val="00F662BF"/>
    <w:rsid w:val="00F6645C"/>
    <w:rsid w:val="00F6653E"/>
    <w:rsid w:val="00F667AD"/>
    <w:rsid w:val="00F66855"/>
    <w:rsid w:val="00F66A80"/>
    <w:rsid w:val="00F66AE8"/>
    <w:rsid w:val="00F66B3C"/>
    <w:rsid w:val="00F66B42"/>
    <w:rsid w:val="00F66CD3"/>
    <w:rsid w:val="00F66DE0"/>
    <w:rsid w:val="00F66DFB"/>
    <w:rsid w:val="00F66E0C"/>
    <w:rsid w:val="00F66EA4"/>
    <w:rsid w:val="00F67042"/>
    <w:rsid w:val="00F670D8"/>
    <w:rsid w:val="00F670EA"/>
    <w:rsid w:val="00F67192"/>
    <w:rsid w:val="00F671FB"/>
    <w:rsid w:val="00F67324"/>
    <w:rsid w:val="00F67346"/>
    <w:rsid w:val="00F67351"/>
    <w:rsid w:val="00F6735E"/>
    <w:rsid w:val="00F6741A"/>
    <w:rsid w:val="00F67434"/>
    <w:rsid w:val="00F67573"/>
    <w:rsid w:val="00F6776C"/>
    <w:rsid w:val="00F677FA"/>
    <w:rsid w:val="00F6780B"/>
    <w:rsid w:val="00F679F8"/>
    <w:rsid w:val="00F67A68"/>
    <w:rsid w:val="00F67BE0"/>
    <w:rsid w:val="00F67BF8"/>
    <w:rsid w:val="00F67CF0"/>
    <w:rsid w:val="00F67F4D"/>
    <w:rsid w:val="00F70093"/>
    <w:rsid w:val="00F7015D"/>
    <w:rsid w:val="00F70380"/>
    <w:rsid w:val="00F703DF"/>
    <w:rsid w:val="00F70416"/>
    <w:rsid w:val="00F7041B"/>
    <w:rsid w:val="00F7066B"/>
    <w:rsid w:val="00F707A2"/>
    <w:rsid w:val="00F708F4"/>
    <w:rsid w:val="00F70A42"/>
    <w:rsid w:val="00F70AB5"/>
    <w:rsid w:val="00F70FB6"/>
    <w:rsid w:val="00F7100A"/>
    <w:rsid w:val="00F710CF"/>
    <w:rsid w:val="00F71174"/>
    <w:rsid w:val="00F71431"/>
    <w:rsid w:val="00F716D7"/>
    <w:rsid w:val="00F718DD"/>
    <w:rsid w:val="00F71A0F"/>
    <w:rsid w:val="00F71CB4"/>
    <w:rsid w:val="00F71D47"/>
    <w:rsid w:val="00F71D9A"/>
    <w:rsid w:val="00F71DBB"/>
    <w:rsid w:val="00F71E4E"/>
    <w:rsid w:val="00F71F87"/>
    <w:rsid w:val="00F72043"/>
    <w:rsid w:val="00F7212D"/>
    <w:rsid w:val="00F72286"/>
    <w:rsid w:val="00F722B4"/>
    <w:rsid w:val="00F72389"/>
    <w:rsid w:val="00F7240A"/>
    <w:rsid w:val="00F7244A"/>
    <w:rsid w:val="00F7250D"/>
    <w:rsid w:val="00F726CD"/>
    <w:rsid w:val="00F7273B"/>
    <w:rsid w:val="00F72A86"/>
    <w:rsid w:val="00F72CAA"/>
    <w:rsid w:val="00F72D30"/>
    <w:rsid w:val="00F72E6C"/>
    <w:rsid w:val="00F7319E"/>
    <w:rsid w:val="00F73206"/>
    <w:rsid w:val="00F73465"/>
    <w:rsid w:val="00F7348F"/>
    <w:rsid w:val="00F73641"/>
    <w:rsid w:val="00F736A7"/>
    <w:rsid w:val="00F73706"/>
    <w:rsid w:val="00F73775"/>
    <w:rsid w:val="00F737D0"/>
    <w:rsid w:val="00F738E0"/>
    <w:rsid w:val="00F73A43"/>
    <w:rsid w:val="00F73B20"/>
    <w:rsid w:val="00F73E01"/>
    <w:rsid w:val="00F73E88"/>
    <w:rsid w:val="00F73FBD"/>
    <w:rsid w:val="00F741B7"/>
    <w:rsid w:val="00F743AA"/>
    <w:rsid w:val="00F7448C"/>
    <w:rsid w:val="00F744D7"/>
    <w:rsid w:val="00F7476A"/>
    <w:rsid w:val="00F748E4"/>
    <w:rsid w:val="00F74976"/>
    <w:rsid w:val="00F74BDD"/>
    <w:rsid w:val="00F74CCC"/>
    <w:rsid w:val="00F753D4"/>
    <w:rsid w:val="00F754D2"/>
    <w:rsid w:val="00F755E4"/>
    <w:rsid w:val="00F7560C"/>
    <w:rsid w:val="00F75736"/>
    <w:rsid w:val="00F759B8"/>
    <w:rsid w:val="00F75AA3"/>
    <w:rsid w:val="00F75C0F"/>
    <w:rsid w:val="00F75C94"/>
    <w:rsid w:val="00F75D0F"/>
    <w:rsid w:val="00F75E8D"/>
    <w:rsid w:val="00F75EBD"/>
    <w:rsid w:val="00F75F85"/>
    <w:rsid w:val="00F76034"/>
    <w:rsid w:val="00F76091"/>
    <w:rsid w:val="00F761E0"/>
    <w:rsid w:val="00F76217"/>
    <w:rsid w:val="00F7650D"/>
    <w:rsid w:val="00F767B4"/>
    <w:rsid w:val="00F769E4"/>
    <w:rsid w:val="00F76BCF"/>
    <w:rsid w:val="00F76CE6"/>
    <w:rsid w:val="00F76CF3"/>
    <w:rsid w:val="00F76D46"/>
    <w:rsid w:val="00F76ECF"/>
    <w:rsid w:val="00F76FDB"/>
    <w:rsid w:val="00F77043"/>
    <w:rsid w:val="00F77069"/>
    <w:rsid w:val="00F7741A"/>
    <w:rsid w:val="00F77757"/>
    <w:rsid w:val="00F7779B"/>
    <w:rsid w:val="00F77997"/>
    <w:rsid w:val="00F77B78"/>
    <w:rsid w:val="00F77CA9"/>
    <w:rsid w:val="00F77DB8"/>
    <w:rsid w:val="00F77E2A"/>
    <w:rsid w:val="00F77E2B"/>
    <w:rsid w:val="00F77F00"/>
    <w:rsid w:val="00F77F6C"/>
    <w:rsid w:val="00F77FB1"/>
    <w:rsid w:val="00F80094"/>
    <w:rsid w:val="00F80550"/>
    <w:rsid w:val="00F80601"/>
    <w:rsid w:val="00F807CF"/>
    <w:rsid w:val="00F80AD8"/>
    <w:rsid w:val="00F80CF6"/>
    <w:rsid w:val="00F80D4F"/>
    <w:rsid w:val="00F80EB7"/>
    <w:rsid w:val="00F81119"/>
    <w:rsid w:val="00F81226"/>
    <w:rsid w:val="00F81282"/>
    <w:rsid w:val="00F813D0"/>
    <w:rsid w:val="00F814B5"/>
    <w:rsid w:val="00F81603"/>
    <w:rsid w:val="00F817BC"/>
    <w:rsid w:val="00F81895"/>
    <w:rsid w:val="00F8190C"/>
    <w:rsid w:val="00F81A95"/>
    <w:rsid w:val="00F81BC1"/>
    <w:rsid w:val="00F81C8C"/>
    <w:rsid w:val="00F81E28"/>
    <w:rsid w:val="00F82146"/>
    <w:rsid w:val="00F82192"/>
    <w:rsid w:val="00F824B5"/>
    <w:rsid w:val="00F826C3"/>
    <w:rsid w:val="00F82A56"/>
    <w:rsid w:val="00F82AF8"/>
    <w:rsid w:val="00F82B61"/>
    <w:rsid w:val="00F82DDE"/>
    <w:rsid w:val="00F83056"/>
    <w:rsid w:val="00F83124"/>
    <w:rsid w:val="00F83140"/>
    <w:rsid w:val="00F832DB"/>
    <w:rsid w:val="00F83386"/>
    <w:rsid w:val="00F833E3"/>
    <w:rsid w:val="00F835C9"/>
    <w:rsid w:val="00F836AF"/>
    <w:rsid w:val="00F836CB"/>
    <w:rsid w:val="00F83853"/>
    <w:rsid w:val="00F83A42"/>
    <w:rsid w:val="00F83B00"/>
    <w:rsid w:val="00F83B11"/>
    <w:rsid w:val="00F83C95"/>
    <w:rsid w:val="00F83DE2"/>
    <w:rsid w:val="00F83EF7"/>
    <w:rsid w:val="00F83F55"/>
    <w:rsid w:val="00F84054"/>
    <w:rsid w:val="00F8423B"/>
    <w:rsid w:val="00F842A5"/>
    <w:rsid w:val="00F84324"/>
    <w:rsid w:val="00F8457A"/>
    <w:rsid w:val="00F845A1"/>
    <w:rsid w:val="00F84652"/>
    <w:rsid w:val="00F84677"/>
    <w:rsid w:val="00F8469B"/>
    <w:rsid w:val="00F8471F"/>
    <w:rsid w:val="00F84837"/>
    <w:rsid w:val="00F8491F"/>
    <w:rsid w:val="00F849D3"/>
    <w:rsid w:val="00F84BCE"/>
    <w:rsid w:val="00F84BE6"/>
    <w:rsid w:val="00F84C6C"/>
    <w:rsid w:val="00F85098"/>
    <w:rsid w:val="00F852CE"/>
    <w:rsid w:val="00F852D5"/>
    <w:rsid w:val="00F852EC"/>
    <w:rsid w:val="00F852EE"/>
    <w:rsid w:val="00F8537B"/>
    <w:rsid w:val="00F853B6"/>
    <w:rsid w:val="00F854D6"/>
    <w:rsid w:val="00F855F6"/>
    <w:rsid w:val="00F85635"/>
    <w:rsid w:val="00F85813"/>
    <w:rsid w:val="00F8588E"/>
    <w:rsid w:val="00F85D24"/>
    <w:rsid w:val="00F85EFD"/>
    <w:rsid w:val="00F85F42"/>
    <w:rsid w:val="00F85FFD"/>
    <w:rsid w:val="00F86004"/>
    <w:rsid w:val="00F8625D"/>
    <w:rsid w:val="00F8625F"/>
    <w:rsid w:val="00F86336"/>
    <w:rsid w:val="00F863CB"/>
    <w:rsid w:val="00F8649A"/>
    <w:rsid w:val="00F86502"/>
    <w:rsid w:val="00F8679C"/>
    <w:rsid w:val="00F867F0"/>
    <w:rsid w:val="00F8683D"/>
    <w:rsid w:val="00F86986"/>
    <w:rsid w:val="00F8698E"/>
    <w:rsid w:val="00F869C9"/>
    <w:rsid w:val="00F86AB4"/>
    <w:rsid w:val="00F86C21"/>
    <w:rsid w:val="00F86D09"/>
    <w:rsid w:val="00F86E42"/>
    <w:rsid w:val="00F87249"/>
    <w:rsid w:val="00F8734C"/>
    <w:rsid w:val="00F87388"/>
    <w:rsid w:val="00F87546"/>
    <w:rsid w:val="00F8756E"/>
    <w:rsid w:val="00F876FA"/>
    <w:rsid w:val="00F87701"/>
    <w:rsid w:val="00F8779D"/>
    <w:rsid w:val="00F877DB"/>
    <w:rsid w:val="00F8783E"/>
    <w:rsid w:val="00F8786A"/>
    <w:rsid w:val="00F87A54"/>
    <w:rsid w:val="00F87A56"/>
    <w:rsid w:val="00F906E1"/>
    <w:rsid w:val="00F90B69"/>
    <w:rsid w:val="00F90ECC"/>
    <w:rsid w:val="00F90F27"/>
    <w:rsid w:val="00F9107E"/>
    <w:rsid w:val="00F912E2"/>
    <w:rsid w:val="00F91436"/>
    <w:rsid w:val="00F914FC"/>
    <w:rsid w:val="00F915CB"/>
    <w:rsid w:val="00F915EB"/>
    <w:rsid w:val="00F91690"/>
    <w:rsid w:val="00F916E0"/>
    <w:rsid w:val="00F917AE"/>
    <w:rsid w:val="00F91C50"/>
    <w:rsid w:val="00F91C8A"/>
    <w:rsid w:val="00F91DF2"/>
    <w:rsid w:val="00F9205E"/>
    <w:rsid w:val="00F92159"/>
    <w:rsid w:val="00F92181"/>
    <w:rsid w:val="00F922A2"/>
    <w:rsid w:val="00F922FD"/>
    <w:rsid w:val="00F9235F"/>
    <w:rsid w:val="00F9236A"/>
    <w:rsid w:val="00F923A3"/>
    <w:rsid w:val="00F92693"/>
    <w:rsid w:val="00F92734"/>
    <w:rsid w:val="00F9277F"/>
    <w:rsid w:val="00F927A7"/>
    <w:rsid w:val="00F927FE"/>
    <w:rsid w:val="00F92936"/>
    <w:rsid w:val="00F92B60"/>
    <w:rsid w:val="00F92BD9"/>
    <w:rsid w:val="00F92C54"/>
    <w:rsid w:val="00F92E2D"/>
    <w:rsid w:val="00F9302E"/>
    <w:rsid w:val="00F9307A"/>
    <w:rsid w:val="00F931F8"/>
    <w:rsid w:val="00F933F1"/>
    <w:rsid w:val="00F93419"/>
    <w:rsid w:val="00F93428"/>
    <w:rsid w:val="00F936D7"/>
    <w:rsid w:val="00F937D7"/>
    <w:rsid w:val="00F93829"/>
    <w:rsid w:val="00F9397F"/>
    <w:rsid w:val="00F93A00"/>
    <w:rsid w:val="00F93A4F"/>
    <w:rsid w:val="00F93A86"/>
    <w:rsid w:val="00F93AD9"/>
    <w:rsid w:val="00F93B29"/>
    <w:rsid w:val="00F93B3E"/>
    <w:rsid w:val="00F93DAC"/>
    <w:rsid w:val="00F93E74"/>
    <w:rsid w:val="00F93F3F"/>
    <w:rsid w:val="00F940EC"/>
    <w:rsid w:val="00F941C3"/>
    <w:rsid w:val="00F94326"/>
    <w:rsid w:val="00F9438E"/>
    <w:rsid w:val="00F946D9"/>
    <w:rsid w:val="00F949BA"/>
    <w:rsid w:val="00F94A39"/>
    <w:rsid w:val="00F94B4A"/>
    <w:rsid w:val="00F94BCC"/>
    <w:rsid w:val="00F94CDB"/>
    <w:rsid w:val="00F94EAB"/>
    <w:rsid w:val="00F94F2C"/>
    <w:rsid w:val="00F94FC1"/>
    <w:rsid w:val="00F950B8"/>
    <w:rsid w:val="00F9521C"/>
    <w:rsid w:val="00F95230"/>
    <w:rsid w:val="00F9528F"/>
    <w:rsid w:val="00F9535E"/>
    <w:rsid w:val="00F9543A"/>
    <w:rsid w:val="00F954FD"/>
    <w:rsid w:val="00F9550B"/>
    <w:rsid w:val="00F9572E"/>
    <w:rsid w:val="00F957DA"/>
    <w:rsid w:val="00F9583A"/>
    <w:rsid w:val="00F959FE"/>
    <w:rsid w:val="00F95B63"/>
    <w:rsid w:val="00F95BB2"/>
    <w:rsid w:val="00F95C68"/>
    <w:rsid w:val="00F95D22"/>
    <w:rsid w:val="00F95E46"/>
    <w:rsid w:val="00F95ECD"/>
    <w:rsid w:val="00F960B0"/>
    <w:rsid w:val="00F96247"/>
    <w:rsid w:val="00F963FB"/>
    <w:rsid w:val="00F9645C"/>
    <w:rsid w:val="00F96551"/>
    <w:rsid w:val="00F96994"/>
    <w:rsid w:val="00F96C2A"/>
    <w:rsid w:val="00F96C89"/>
    <w:rsid w:val="00F96D08"/>
    <w:rsid w:val="00F96EEE"/>
    <w:rsid w:val="00F96F6F"/>
    <w:rsid w:val="00F973D2"/>
    <w:rsid w:val="00F97405"/>
    <w:rsid w:val="00F97558"/>
    <w:rsid w:val="00F9763C"/>
    <w:rsid w:val="00F978F4"/>
    <w:rsid w:val="00F9796B"/>
    <w:rsid w:val="00F97A88"/>
    <w:rsid w:val="00F97A99"/>
    <w:rsid w:val="00F97D07"/>
    <w:rsid w:val="00F97D22"/>
    <w:rsid w:val="00F97D63"/>
    <w:rsid w:val="00F97D75"/>
    <w:rsid w:val="00F97F00"/>
    <w:rsid w:val="00FA0096"/>
    <w:rsid w:val="00FA0110"/>
    <w:rsid w:val="00FA0202"/>
    <w:rsid w:val="00FA03A3"/>
    <w:rsid w:val="00FA043F"/>
    <w:rsid w:val="00FA05C3"/>
    <w:rsid w:val="00FA075A"/>
    <w:rsid w:val="00FA0E8C"/>
    <w:rsid w:val="00FA0EBD"/>
    <w:rsid w:val="00FA10BB"/>
    <w:rsid w:val="00FA1238"/>
    <w:rsid w:val="00FA1272"/>
    <w:rsid w:val="00FA158D"/>
    <w:rsid w:val="00FA18EC"/>
    <w:rsid w:val="00FA19B5"/>
    <w:rsid w:val="00FA1A0D"/>
    <w:rsid w:val="00FA1AF1"/>
    <w:rsid w:val="00FA1BB7"/>
    <w:rsid w:val="00FA1FFE"/>
    <w:rsid w:val="00FA204E"/>
    <w:rsid w:val="00FA2067"/>
    <w:rsid w:val="00FA210A"/>
    <w:rsid w:val="00FA2146"/>
    <w:rsid w:val="00FA218E"/>
    <w:rsid w:val="00FA24AD"/>
    <w:rsid w:val="00FA254D"/>
    <w:rsid w:val="00FA26B3"/>
    <w:rsid w:val="00FA26C6"/>
    <w:rsid w:val="00FA2700"/>
    <w:rsid w:val="00FA2ABB"/>
    <w:rsid w:val="00FA2B92"/>
    <w:rsid w:val="00FA2C8F"/>
    <w:rsid w:val="00FA2F3C"/>
    <w:rsid w:val="00FA30D9"/>
    <w:rsid w:val="00FA3133"/>
    <w:rsid w:val="00FA3151"/>
    <w:rsid w:val="00FA32AA"/>
    <w:rsid w:val="00FA357A"/>
    <w:rsid w:val="00FA3590"/>
    <w:rsid w:val="00FA363C"/>
    <w:rsid w:val="00FA3816"/>
    <w:rsid w:val="00FA38B3"/>
    <w:rsid w:val="00FA3909"/>
    <w:rsid w:val="00FA39DE"/>
    <w:rsid w:val="00FA3AF3"/>
    <w:rsid w:val="00FA3B2E"/>
    <w:rsid w:val="00FA3E87"/>
    <w:rsid w:val="00FA3EAB"/>
    <w:rsid w:val="00FA4047"/>
    <w:rsid w:val="00FA42DC"/>
    <w:rsid w:val="00FA4339"/>
    <w:rsid w:val="00FA4352"/>
    <w:rsid w:val="00FA43BA"/>
    <w:rsid w:val="00FA45AF"/>
    <w:rsid w:val="00FA46FA"/>
    <w:rsid w:val="00FA4718"/>
    <w:rsid w:val="00FA4754"/>
    <w:rsid w:val="00FA4806"/>
    <w:rsid w:val="00FA4A4B"/>
    <w:rsid w:val="00FA4B0D"/>
    <w:rsid w:val="00FA4C05"/>
    <w:rsid w:val="00FA4CC5"/>
    <w:rsid w:val="00FA4CEF"/>
    <w:rsid w:val="00FA4DDF"/>
    <w:rsid w:val="00FA4E13"/>
    <w:rsid w:val="00FA50B8"/>
    <w:rsid w:val="00FA53C4"/>
    <w:rsid w:val="00FA550E"/>
    <w:rsid w:val="00FA5526"/>
    <w:rsid w:val="00FA57F2"/>
    <w:rsid w:val="00FA5968"/>
    <w:rsid w:val="00FA59CD"/>
    <w:rsid w:val="00FA5AD5"/>
    <w:rsid w:val="00FA5BB0"/>
    <w:rsid w:val="00FA5DBA"/>
    <w:rsid w:val="00FA5EC2"/>
    <w:rsid w:val="00FA5F53"/>
    <w:rsid w:val="00FA5FED"/>
    <w:rsid w:val="00FA6064"/>
    <w:rsid w:val="00FA60BF"/>
    <w:rsid w:val="00FA60CA"/>
    <w:rsid w:val="00FA61E5"/>
    <w:rsid w:val="00FA61ED"/>
    <w:rsid w:val="00FA6275"/>
    <w:rsid w:val="00FA6635"/>
    <w:rsid w:val="00FA675D"/>
    <w:rsid w:val="00FA692A"/>
    <w:rsid w:val="00FA6BDA"/>
    <w:rsid w:val="00FA6FAA"/>
    <w:rsid w:val="00FA7332"/>
    <w:rsid w:val="00FA747E"/>
    <w:rsid w:val="00FA7498"/>
    <w:rsid w:val="00FA758B"/>
    <w:rsid w:val="00FA7648"/>
    <w:rsid w:val="00FA7807"/>
    <w:rsid w:val="00FA787F"/>
    <w:rsid w:val="00FA7944"/>
    <w:rsid w:val="00FA799E"/>
    <w:rsid w:val="00FA79F9"/>
    <w:rsid w:val="00FA7A54"/>
    <w:rsid w:val="00FA7CD6"/>
    <w:rsid w:val="00FA7CFA"/>
    <w:rsid w:val="00FA7D65"/>
    <w:rsid w:val="00FA7EF5"/>
    <w:rsid w:val="00FB0079"/>
    <w:rsid w:val="00FB05DB"/>
    <w:rsid w:val="00FB063C"/>
    <w:rsid w:val="00FB06CA"/>
    <w:rsid w:val="00FB06F7"/>
    <w:rsid w:val="00FB0846"/>
    <w:rsid w:val="00FB08C9"/>
    <w:rsid w:val="00FB09FB"/>
    <w:rsid w:val="00FB0AD3"/>
    <w:rsid w:val="00FB0B37"/>
    <w:rsid w:val="00FB0D2F"/>
    <w:rsid w:val="00FB0E40"/>
    <w:rsid w:val="00FB0E63"/>
    <w:rsid w:val="00FB0EC5"/>
    <w:rsid w:val="00FB0FEC"/>
    <w:rsid w:val="00FB1328"/>
    <w:rsid w:val="00FB14F5"/>
    <w:rsid w:val="00FB158F"/>
    <w:rsid w:val="00FB1716"/>
    <w:rsid w:val="00FB1728"/>
    <w:rsid w:val="00FB198A"/>
    <w:rsid w:val="00FB1AE7"/>
    <w:rsid w:val="00FB1C21"/>
    <w:rsid w:val="00FB1D74"/>
    <w:rsid w:val="00FB2117"/>
    <w:rsid w:val="00FB23C2"/>
    <w:rsid w:val="00FB2442"/>
    <w:rsid w:val="00FB248D"/>
    <w:rsid w:val="00FB24A6"/>
    <w:rsid w:val="00FB26FB"/>
    <w:rsid w:val="00FB2819"/>
    <w:rsid w:val="00FB28F4"/>
    <w:rsid w:val="00FB2A5F"/>
    <w:rsid w:val="00FB2AD5"/>
    <w:rsid w:val="00FB2B98"/>
    <w:rsid w:val="00FB2CA9"/>
    <w:rsid w:val="00FB2DE9"/>
    <w:rsid w:val="00FB2EFD"/>
    <w:rsid w:val="00FB2F0A"/>
    <w:rsid w:val="00FB2F79"/>
    <w:rsid w:val="00FB3162"/>
    <w:rsid w:val="00FB3236"/>
    <w:rsid w:val="00FB350D"/>
    <w:rsid w:val="00FB3558"/>
    <w:rsid w:val="00FB36A6"/>
    <w:rsid w:val="00FB36E5"/>
    <w:rsid w:val="00FB370C"/>
    <w:rsid w:val="00FB39AF"/>
    <w:rsid w:val="00FB3A39"/>
    <w:rsid w:val="00FB3A86"/>
    <w:rsid w:val="00FB3A9F"/>
    <w:rsid w:val="00FB3B01"/>
    <w:rsid w:val="00FB3B03"/>
    <w:rsid w:val="00FB3C46"/>
    <w:rsid w:val="00FB3DCC"/>
    <w:rsid w:val="00FB3FDF"/>
    <w:rsid w:val="00FB4022"/>
    <w:rsid w:val="00FB407E"/>
    <w:rsid w:val="00FB40DF"/>
    <w:rsid w:val="00FB4270"/>
    <w:rsid w:val="00FB4556"/>
    <w:rsid w:val="00FB45AD"/>
    <w:rsid w:val="00FB4886"/>
    <w:rsid w:val="00FB4AC9"/>
    <w:rsid w:val="00FB4C02"/>
    <w:rsid w:val="00FB4E1F"/>
    <w:rsid w:val="00FB4E50"/>
    <w:rsid w:val="00FB4EC8"/>
    <w:rsid w:val="00FB4FC3"/>
    <w:rsid w:val="00FB5010"/>
    <w:rsid w:val="00FB505D"/>
    <w:rsid w:val="00FB5225"/>
    <w:rsid w:val="00FB541F"/>
    <w:rsid w:val="00FB59B6"/>
    <w:rsid w:val="00FB59C8"/>
    <w:rsid w:val="00FB5A23"/>
    <w:rsid w:val="00FB5BC9"/>
    <w:rsid w:val="00FB5DA1"/>
    <w:rsid w:val="00FB62C2"/>
    <w:rsid w:val="00FB663A"/>
    <w:rsid w:val="00FB6856"/>
    <w:rsid w:val="00FB69D1"/>
    <w:rsid w:val="00FB6C66"/>
    <w:rsid w:val="00FB6EB3"/>
    <w:rsid w:val="00FB702A"/>
    <w:rsid w:val="00FB7213"/>
    <w:rsid w:val="00FB7330"/>
    <w:rsid w:val="00FB748A"/>
    <w:rsid w:val="00FB7500"/>
    <w:rsid w:val="00FB75AF"/>
    <w:rsid w:val="00FB7602"/>
    <w:rsid w:val="00FB76AE"/>
    <w:rsid w:val="00FB7701"/>
    <w:rsid w:val="00FB7720"/>
    <w:rsid w:val="00FB776F"/>
    <w:rsid w:val="00FB77D7"/>
    <w:rsid w:val="00FB7872"/>
    <w:rsid w:val="00FB7893"/>
    <w:rsid w:val="00FB7929"/>
    <w:rsid w:val="00FB7B27"/>
    <w:rsid w:val="00FB7C08"/>
    <w:rsid w:val="00FB7C5F"/>
    <w:rsid w:val="00FB7D85"/>
    <w:rsid w:val="00FB7E34"/>
    <w:rsid w:val="00FB7FF4"/>
    <w:rsid w:val="00FC02DF"/>
    <w:rsid w:val="00FC036D"/>
    <w:rsid w:val="00FC03D4"/>
    <w:rsid w:val="00FC0698"/>
    <w:rsid w:val="00FC0864"/>
    <w:rsid w:val="00FC0872"/>
    <w:rsid w:val="00FC0D02"/>
    <w:rsid w:val="00FC0F3C"/>
    <w:rsid w:val="00FC11D6"/>
    <w:rsid w:val="00FC18CB"/>
    <w:rsid w:val="00FC1A3A"/>
    <w:rsid w:val="00FC1C14"/>
    <w:rsid w:val="00FC1F62"/>
    <w:rsid w:val="00FC201C"/>
    <w:rsid w:val="00FC20E2"/>
    <w:rsid w:val="00FC2347"/>
    <w:rsid w:val="00FC23D3"/>
    <w:rsid w:val="00FC282B"/>
    <w:rsid w:val="00FC2930"/>
    <w:rsid w:val="00FC2975"/>
    <w:rsid w:val="00FC2C13"/>
    <w:rsid w:val="00FC2C1D"/>
    <w:rsid w:val="00FC2CB9"/>
    <w:rsid w:val="00FC2D44"/>
    <w:rsid w:val="00FC2EBF"/>
    <w:rsid w:val="00FC33D3"/>
    <w:rsid w:val="00FC356E"/>
    <w:rsid w:val="00FC3641"/>
    <w:rsid w:val="00FC3721"/>
    <w:rsid w:val="00FC388D"/>
    <w:rsid w:val="00FC3C84"/>
    <w:rsid w:val="00FC3CC3"/>
    <w:rsid w:val="00FC3CF0"/>
    <w:rsid w:val="00FC3DDA"/>
    <w:rsid w:val="00FC3EC4"/>
    <w:rsid w:val="00FC4105"/>
    <w:rsid w:val="00FC420B"/>
    <w:rsid w:val="00FC424C"/>
    <w:rsid w:val="00FC43E0"/>
    <w:rsid w:val="00FC46A9"/>
    <w:rsid w:val="00FC46E1"/>
    <w:rsid w:val="00FC46FB"/>
    <w:rsid w:val="00FC4700"/>
    <w:rsid w:val="00FC4762"/>
    <w:rsid w:val="00FC48D8"/>
    <w:rsid w:val="00FC49E3"/>
    <w:rsid w:val="00FC4A56"/>
    <w:rsid w:val="00FC4D29"/>
    <w:rsid w:val="00FC4E33"/>
    <w:rsid w:val="00FC4F2D"/>
    <w:rsid w:val="00FC4FD0"/>
    <w:rsid w:val="00FC5047"/>
    <w:rsid w:val="00FC5068"/>
    <w:rsid w:val="00FC5132"/>
    <w:rsid w:val="00FC5259"/>
    <w:rsid w:val="00FC52B1"/>
    <w:rsid w:val="00FC52E7"/>
    <w:rsid w:val="00FC5319"/>
    <w:rsid w:val="00FC53D7"/>
    <w:rsid w:val="00FC5414"/>
    <w:rsid w:val="00FC55EB"/>
    <w:rsid w:val="00FC5604"/>
    <w:rsid w:val="00FC5944"/>
    <w:rsid w:val="00FC5A21"/>
    <w:rsid w:val="00FC5C7B"/>
    <w:rsid w:val="00FC5E9E"/>
    <w:rsid w:val="00FC5F7E"/>
    <w:rsid w:val="00FC5FE8"/>
    <w:rsid w:val="00FC60A3"/>
    <w:rsid w:val="00FC6317"/>
    <w:rsid w:val="00FC6564"/>
    <w:rsid w:val="00FC6584"/>
    <w:rsid w:val="00FC660A"/>
    <w:rsid w:val="00FC661D"/>
    <w:rsid w:val="00FC6667"/>
    <w:rsid w:val="00FC6703"/>
    <w:rsid w:val="00FC6880"/>
    <w:rsid w:val="00FC6A6A"/>
    <w:rsid w:val="00FC6B46"/>
    <w:rsid w:val="00FC6B8F"/>
    <w:rsid w:val="00FC6C53"/>
    <w:rsid w:val="00FC6CC3"/>
    <w:rsid w:val="00FC6D1B"/>
    <w:rsid w:val="00FC6D5A"/>
    <w:rsid w:val="00FC6ED8"/>
    <w:rsid w:val="00FC6F09"/>
    <w:rsid w:val="00FC6F2B"/>
    <w:rsid w:val="00FC7009"/>
    <w:rsid w:val="00FC717C"/>
    <w:rsid w:val="00FC719B"/>
    <w:rsid w:val="00FC71A7"/>
    <w:rsid w:val="00FC7208"/>
    <w:rsid w:val="00FC747D"/>
    <w:rsid w:val="00FC74DF"/>
    <w:rsid w:val="00FC75F7"/>
    <w:rsid w:val="00FC7617"/>
    <w:rsid w:val="00FC768D"/>
    <w:rsid w:val="00FC76A6"/>
    <w:rsid w:val="00FC76EF"/>
    <w:rsid w:val="00FC7ADC"/>
    <w:rsid w:val="00FC7B5C"/>
    <w:rsid w:val="00FC7C53"/>
    <w:rsid w:val="00FD024A"/>
    <w:rsid w:val="00FD0262"/>
    <w:rsid w:val="00FD0344"/>
    <w:rsid w:val="00FD06DF"/>
    <w:rsid w:val="00FD0757"/>
    <w:rsid w:val="00FD09E3"/>
    <w:rsid w:val="00FD0D15"/>
    <w:rsid w:val="00FD1013"/>
    <w:rsid w:val="00FD1115"/>
    <w:rsid w:val="00FD112D"/>
    <w:rsid w:val="00FD11AE"/>
    <w:rsid w:val="00FD1444"/>
    <w:rsid w:val="00FD146E"/>
    <w:rsid w:val="00FD1543"/>
    <w:rsid w:val="00FD15C1"/>
    <w:rsid w:val="00FD1614"/>
    <w:rsid w:val="00FD16B8"/>
    <w:rsid w:val="00FD1FB6"/>
    <w:rsid w:val="00FD20DA"/>
    <w:rsid w:val="00FD21BE"/>
    <w:rsid w:val="00FD2633"/>
    <w:rsid w:val="00FD2644"/>
    <w:rsid w:val="00FD290C"/>
    <w:rsid w:val="00FD291C"/>
    <w:rsid w:val="00FD2A97"/>
    <w:rsid w:val="00FD2CD8"/>
    <w:rsid w:val="00FD2D2F"/>
    <w:rsid w:val="00FD2DBF"/>
    <w:rsid w:val="00FD2E26"/>
    <w:rsid w:val="00FD2E87"/>
    <w:rsid w:val="00FD2FAF"/>
    <w:rsid w:val="00FD2FE2"/>
    <w:rsid w:val="00FD3146"/>
    <w:rsid w:val="00FD331D"/>
    <w:rsid w:val="00FD33D7"/>
    <w:rsid w:val="00FD3421"/>
    <w:rsid w:val="00FD35F1"/>
    <w:rsid w:val="00FD35F8"/>
    <w:rsid w:val="00FD3C00"/>
    <w:rsid w:val="00FD3D73"/>
    <w:rsid w:val="00FD3DA1"/>
    <w:rsid w:val="00FD3F8E"/>
    <w:rsid w:val="00FD3FB6"/>
    <w:rsid w:val="00FD3FCB"/>
    <w:rsid w:val="00FD430F"/>
    <w:rsid w:val="00FD4400"/>
    <w:rsid w:val="00FD4404"/>
    <w:rsid w:val="00FD447B"/>
    <w:rsid w:val="00FD4510"/>
    <w:rsid w:val="00FD470C"/>
    <w:rsid w:val="00FD48A9"/>
    <w:rsid w:val="00FD4A23"/>
    <w:rsid w:val="00FD4C81"/>
    <w:rsid w:val="00FD4E28"/>
    <w:rsid w:val="00FD4EC6"/>
    <w:rsid w:val="00FD4F32"/>
    <w:rsid w:val="00FD4FB0"/>
    <w:rsid w:val="00FD5010"/>
    <w:rsid w:val="00FD52DB"/>
    <w:rsid w:val="00FD52ED"/>
    <w:rsid w:val="00FD5613"/>
    <w:rsid w:val="00FD562A"/>
    <w:rsid w:val="00FD5707"/>
    <w:rsid w:val="00FD5AD8"/>
    <w:rsid w:val="00FD5CE3"/>
    <w:rsid w:val="00FD5DAE"/>
    <w:rsid w:val="00FD5F49"/>
    <w:rsid w:val="00FD6155"/>
    <w:rsid w:val="00FD6224"/>
    <w:rsid w:val="00FD628E"/>
    <w:rsid w:val="00FD62A0"/>
    <w:rsid w:val="00FD62EB"/>
    <w:rsid w:val="00FD631B"/>
    <w:rsid w:val="00FD6324"/>
    <w:rsid w:val="00FD6413"/>
    <w:rsid w:val="00FD668D"/>
    <w:rsid w:val="00FD6692"/>
    <w:rsid w:val="00FD66DB"/>
    <w:rsid w:val="00FD6859"/>
    <w:rsid w:val="00FD6B78"/>
    <w:rsid w:val="00FD6B8D"/>
    <w:rsid w:val="00FD6E57"/>
    <w:rsid w:val="00FD6EC3"/>
    <w:rsid w:val="00FD6F0D"/>
    <w:rsid w:val="00FD7064"/>
    <w:rsid w:val="00FD72F8"/>
    <w:rsid w:val="00FD7600"/>
    <w:rsid w:val="00FD760A"/>
    <w:rsid w:val="00FD76EB"/>
    <w:rsid w:val="00FD774F"/>
    <w:rsid w:val="00FD787B"/>
    <w:rsid w:val="00FD7901"/>
    <w:rsid w:val="00FD7926"/>
    <w:rsid w:val="00FD7C1B"/>
    <w:rsid w:val="00FE0037"/>
    <w:rsid w:val="00FE0038"/>
    <w:rsid w:val="00FE0125"/>
    <w:rsid w:val="00FE0143"/>
    <w:rsid w:val="00FE0260"/>
    <w:rsid w:val="00FE03F0"/>
    <w:rsid w:val="00FE04D3"/>
    <w:rsid w:val="00FE0676"/>
    <w:rsid w:val="00FE0906"/>
    <w:rsid w:val="00FE09A6"/>
    <w:rsid w:val="00FE0C59"/>
    <w:rsid w:val="00FE0D42"/>
    <w:rsid w:val="00FE0DC8"/>
    <w:rsid w:val="00FE0E58"/>
    <w:rsid w:val="00FE0FE6"/>
    <w:rsid w:val="00FE1047"/>
    <w:rsid w:val="00FE1057"/>
    <w:rsid w:val="00FE1237"/>
    <w:rsid w:val="00FE126F"/>
    <w:rsid w:val="00FE14A1"/>
    <w:rsid w:val="00FE15CB"/>
    <w:rsid w:val="00FE19CE"/>
    <w:rsid w:val="00FE1A33"/>
    <w:rsid w:val="00FE1A53"/>
    <w:rsid w:val="00FE1B4D"/>
    <w:rsid w:val="00FE1BAE"/>
    <w:rsid w:val="00FE1CE5"/>
    <w:rsid w:val="00FE1E55"/>
    <w:rsid w:val="00FE1FE7"/>
    <w:rsid w:val="00FE1FF1"/>
    <w:rsid w:val="00FE22A8"/>
    <w:rsid w:val="00FE25C5"/>
    <w:rsid w:val="00FE266C"/>
    <w:rsid w:val="00FE26DA"/>
    <w:rsid w:val="00FE2819"/>
    <w:rsid w:val="00FE28FD"/>
    <w:rsid w:val="00FE2ABA"/>
    <w:rsid w:val="00FE2C9C"/>
    <w:rsid w:val="00FE2E83"/>
    <w:rsid w:val="00FE2F58"/>
    <w:rsid w:val="00FE2FB4"/>
    <w:rsid w:val="00FE3316"/>
    <w:rsid w:val="00FE35FC"/>
    <w:rsid w:val="00FE36A4"/>
    <w:rsid w:val="00FE36D5"/>
    <w:rsid w:val="00FE376A"/>
    <w:rsid w:val="00FE38D8"/>
    <w:rsid w:val="00FE3A37"/>
    <w:rsid w:val="00FE3D23"/>
    <w:rsid w:val="00FE3DAC"/>
    <w:rsid w:val="00FE400D"/>
    <w:rsid w:val="00FE4129"/>
    <w:rsid w:val="00FE41CF"/>
    <w:rsid w:val="00FE4200"/>
    <w:rsid w:val="00FE425E"/>
    <w:rsid w:val="00FE42A4"/>
    <w:rsid w:val="00FE45FB"/>
    <w:rsid w:val="00FE4631"/>
    <w:rsid w:val="00FE4649"/>
    <w:rsid w:val="00FE4929"/>
    <w:rsid w:val="00FE49BB"/>
    <w:rsid w:val="00FE4B55"/>
    <w:rsid w:val="00FE4CD0"/>
    <w:rsid w:val="00FE4D7A"/>
    <w:rsid w:val="00FE4DE1"/>
    <w:rsid w:val="00FE4E78"/>
    <w:rsid w:val="00FE50EB"/>
    <w:rsid w:val="00FE514E"/>
    <w:rsid w:val="00FE577E"/>
    <w:rsid w:val="00FE5901"/>
    <w:rsid w:val="00FE5904"/>
    <w:rsid w:val="00FE595D"/>
    <w:rsid w:val="00FE5DC7"/>
    <w:rsid w:val="00FE5ED3"/>
    <w:rsid w:val="00FE614C"/>
    <w:rsid w:val="00FE6208"/>
    <w:rsid w:val="00FE6328"/>
    <w:rsid w:val="00FE638A"/>
    <w:rsid w:val="00FE64CD"/>
    <w:rsid w:val="00FE670B"/>
    <w:rsid w:val="00FE67DA"/>
    <w:rsid w:val="00FE68A0"/>
    <w:rsid w:val="00FE69C1"/>
    <w:rsid w:val="00FE6BE8"/>
    <w:rsid w:val="00FE6C23"/>
    <w:rsid w:val="00FE6D2A"/>
    <w:rsid w:val="00FE6EF0"/>
    <w:rsid w:val="00FE6F7C"/>
    <w:rsid w:val="00FE7290"/>
    <w:rsid w:val="00FE72A1"/>
    <w:rsid w:val="00FE74EC"/>
    <w:rsid w:val="00FE771B"/>
    <w:rsid w:val="00FE7831"/>
    <w:rsid w:val="00FE79BC"/>
    <w:rsid w:val="00FE7AAE"/>
    <w:rsid w:val="00FE7B5F"/>
    <w:rsid w:val="00FE7C2D"/>
    <w:rsid w:val="00FE7CC9"/>
    <w:rsid w:val="00FE7DC5"/>
    <w:rsid w:val="00FE7FA3"/>
    <w:rsid w:val="00FE7FE7"/>
    <w:rsid w:val="00FF0258"/>
    <w:rsid w:val="00FF02AC"/>
    <w:rsid w:val="00FF043C"/>
    <w:rsid w:val="00FF04A4"/>
    <w:rsid w:val="00FF057E"/>
    <w:rsid w:val="00FF05E8"/>
    <w:rsid w:val="00FF062F"/>
    <w:rsid w:val="00FF0715"/>
    <w:rsid w:val="00FF07D6"/>
    <w:rsid w:val="00FF093F"/>
    <w:rsid w:val="00FF095D"/>
    <w:rsid w:val="00FF0A4B"/>
    <w:rsid w:val="00FF0BB2"/>
    <w:rsid w:val="00FF0BE7"/>
    <w:rsid w:val="00FF0C54"/>
    <w:rsid w:val="00FF0C79"/>
    <w:rsid w:val="00FF0D3B"/>
    <w:rsid w:val="00FF0D41"/>
    <w:rsid w:val="00FF0EFE"/>
    <w:rsid w:val="00FF10B2"/>
    <w:rsid w:val="00FF10D7"/>
    <w:rsid w:val="00FF14E6"/>
    <w:rsid w:val="00FF176E"/>
    <w:rsid w:val="00FF17D1"/>
    <w:rsid w:val="00FF17D5"/>
    <w:rsid w:val="00FF1807"/>
    <w:rsid w:val="00FF1A8D"/>
    <w:rsid w:val="00FF1AE0"/>
    <w:rsid w:val="00FF1BCC"/>
    <w:rsid w:val="00FF1D54"/>
    <w:rsid w:val="00FF213E"/>
    <w:rsid w:val="00FF2196"/>
    <w:rsid w:val="00FF2287"/>
    <w:rsid w:val="00FF231D"/>
    <w:rsid w:val="00FF2346"/>
    <w:rsid w:val="00FF23BC"/>
    <w:rsid w:val="00FF241A"/>
    <w:rsid w:val="00FF25AF"/>
    <w:rsid w:val="00FF29C2"/>
    <w:rsid w:val="00FF2CD2"/>
    <w:rsid w:val="00FF2D67"/>
    <w:rsid w:val="00FF2F54"/>
    <w:rsid w:val="00FF3008"/>
    <w:rsid w:val="00FF33BE"/>
    <w:rsid w:val="00FF376F"/>
    <w:rsid w:val="00FF37FD"/>
    <w:rsid w:val="00FF3841"/>
    <w:rsid w:val="00FF38CD"/>
    <w:rsid w:val="00FF3BCC"/>
    <w:rsid w:val="00FF3C98"/>
    <w:rsid w:val="00FF3CD2"/>
    <w:rsid w:val="00FF3CE3"/>
    <w:rsid w:val="00FF3FC9"/>
    <w:rsid w:val="00FF426B"/>
    <w:rsid w:val="00FF43CD"/>
    <w:rsid w:val="00FF4467"/>
    <w:rsid w:val="00FF4542"/>
    <w:rsid w:val="00FF464D"/>
    <w:rsid w:val="00FF4711"/>
    <w:rsid w:val="00FF476B"/>
    <w:rsid w:val="00FF4992"/>
    <w:rsid w:val="00FF4B1B"/>
    <w:rsid w:val="00FF4B23"/>
    <w:rsid w:val="00FF4CBC"/>
    <w:rsid w:val="00FF4DA5"/>
    <w:rsid w:val="00FF4E56"/>
    <w:rsid w:val="00FF4F67"/>
    <w:rsid w:val="00FF5051"/>
    <w:rsid w:val="00FF512C"/>
    <w:rsid w:val="00FF5424"/>
    <w:rsid w:val="00FF5514"/>
    <w:rsid w:val="00FF575B"/>
    <w:rsid w:val="00FF5801"/>
    <w:rsid w:val="00FF5B51"/>
    <w:rsid w:val="00FF5DC8"/>
    <w:rsid w:val="00FF5EDF"/>
    <w:rsid w:val="00FF5EEA"/>
    <w:rsid w:val="00FF6039"/>
    <w:rsid w:val="00FF62A9"/>
    <w:rsid w:val="00FF6E28"/>
    <w:rsid w:val="00FF6FB6"/>
    <w:rsid w:val="00FF70CA"/>
    <w:rsid w:val="00FF71B0"/>
    <w:rsid w:val="00FF71E1"/>
    <w:rsid w:val="00FF722F"/>
    <w:rsid w:val="00FF73FE"/>
    <w:rsid w:val="00FF7560"/>
    <w:rsid w:val="00FF75A9"/>
    <w:rsid w:val="00FF7624"/>
    <w:rsid w:val="00FF7652"/>
    <w:rsid w:val="00FF7672"/>
    <w:rsid w:val="00FF7694"/>
    <w:rsid w:val="00FF77E0"/>
    <w:rsid w:val="00FF78A3"/>
    <w:rsid w:val="00FF79B8"/>
    <w:rsid w:val="00FF7A2E"/>
    <w:rsid w:val="00FF7AFB"/>
    <w:rsid w:val="00FF7B1E"/>
    <w:rsid w:val="00FF7C46"/>
    <w:rsid w:val="00FF7E2E"/>
    <w:rsid w:val="010A51EF"/>
    <w:rsid w:val="01357BA1"/>
    <w:rsid w:val="0138BB87"/>
    <w:rsid w:val="0156E42F"/>
    <w:rsid w:val="0157E9C9"/>
    <w:rsid w:val="015FD028"/>
    <w:rsid w:val="01603FD0"/>
    <w:rsid w:val="01659B02"/>
    <w:rsid w:val="01681CC4"/>
    <w:rsid w:val="01844FD3"/>
    <w:rsid w:val="019B1586"/>
    <w:rsid w:val="01C9FA73"/>
    <w:rsid w:val="01EC2212"/>
    <w:rsid w:val="021513CC"/>
    <w:rsid w:val="0223CC58"/>
    <w:rsid w:val="0230D35C"/>
    <w:rsid w:val="02481638"/>
    <w:rsid w:val="0296417C"/>
    <w:rsid w:val="02DD096F"/>
    <w:rsid w:val="02E42729"/>
    <w:rsid w:val="02F913C4"/>
    <w:rsid w:val="02FBB40D"/>
    <w:rsid w:val="02FFC965"/>
    <w:rsid w:val="03230897"/>
    <w:rsid w:val="03447A52"/>
    <w:rsid w:val="0352CEB2"/>
    <w:rsid w:val="036005BC"/>
    <w:rsid w:val="037797FD"/>
    <w:rsid w:val="03985B55"/>
    <w:rsid w:val="039FD799"/>
    <w:rsid w:val="03B152C3"/>
    <w:rsid w:val="03DD89E8"/>
    <w:rsid w:val="040E57AE"/>
    <w:rsid w:val="040FBB26"/>
    <w:rsid w:val="041B663F"/>
    <w:rsid w:val="04270C4B"/>
    <w:rsid w:val="042C42B5"/>
    <w:rsid w:val="043984FF"/>
    <w:rsid w:val="043F826E"/>
    <w:rsid w:val="047616BB"/>
    <w:rsid w:val="04AA5EE6"/>
    <w:rsid w:val="04C731F6"/>
    <w:rsid w:val="04D25638"/>
    <w:rsid w:val="04D9E4F9"/>
    <w:rsid w:val="04E301FA"/>
    <w:rsid w:val="04F6FAD4"/>
    <w:rsid w:val="0522AC14"/>
    <w:rsid w:val="054221CA"/>
    <w:rsid w:val="0552325E"/>
    <w:rsid w:val="05616F48"/>
    <w:rsid w:val="0566559D"/>
    <w:rsid w:val="05A18CAF"/>
    <w:rsid w:val="05AE7779"/>
    <w:rsid w:val="05CA0EAF"/>
    <w:rsid w:val="05CA356F"/>
    <w:rsid w:val="05D6A403"/>
    <w:rsid w:val="05EED5EA"/>
    <w:rsid w:val="0615B7EC"/>
    <w:rsid w:val="06577CE1"/>
    <w:rsid w:val="06606317"/>
    <w:rsid w:val="06628AC5"/>
    <w:rsid w:val="0690C79A"/>
    <w:rsid w:val="06A9B565"/>
    <w:rsid w:val="0708ED17"/>
    <w:rsid w:val="071B5DC8"/>
    <w:rsid w:val="071BC519"/>
    <w:rsid w:val="073BA115"/>
    <w:rsid w:val="0772A43D"/>
    <w:rsid w:val="07A30E9D"/>
    <w:rsid w:val="07DFB734"/>
    <w:rsid w:val="07E78F84"/>
    <w:rsid w:val="0801CF0E"/>
    <w:rsid w:val="083146A9"/>
    <w:rsid w:val="084DF1FD"/>
    <w:rsid w:val="0881FD43"/>
    <w:rsid w:val="089ED792"/>
    <w:rsid w:val="08A4886A"/>
    <w:rsid w:val="08A6E586"/>
    <w:rsid w:val="08BB9E7A"/>
    <w:rsid w:val="08C0C02B"/>
    <w:rsid w:val="08D07BA0"/>
    <w:rsid w:val="09101746"/>
    <w:rsid w:val="091F39CC"/>
    <w:rsid w:val="092920E1"/>
    <w:rsid w:val="092C4276"/>
    <w:rsid w:val="092FB077"/>
    <w:rsid w:val="0943FA06"/>
    <w:rsid w:val="098AC36F"/>
    <w:rsid w:val="09A51601"/>
    <w:rsid w:val="09A7DD88"/>
    <w:rsid w:val="09F1CE89"/>
    <w:rsid w:val="0A005147"/>
    <w:rsid w:val="0A01B61E"/>
    <w:rsid w:val="0A03D874"/>
    <w:rsid w:val="0A0EF0F1"/>
    <w:rsid w:val="0A217C8B"/>
    <w:rsid w:val="0A54F839"/>
    <w:rsid w:val="0A72E47B"/>
    <w:rsid w:val="0AA797A6"/>
    <w:rsid w:val="0AB446CC"/>
    <w:rsid w:val="0AC0C166"/>
    <w:rsid w:val="0AC1C2A6"/>
    <w:rsid w:val="0AD55C37"/>
    <w:rsid w:val="0AF7935F"/>
    <w:rsid w:val="0AF8FED6"/>
    <w:rsid w:val="0B132567"/>
    <w:rsid w:val="0B20B2D7"/>
    <w:rsid w:val="0B30FE6D"/>
    <w:rsid w:val="0B375942"/>
    <w:rsid w:val="0B4E469C"/>
    <w:rsid w:val="0B6ECFA8"/>
    <w:rsid w:val="0B74EF60"/>
    <w:rsid w:val="0B905D21"/>
    <w:rsid w:val="0BBAE5E5"/>
    <w:rsid w:val="0BC04589"/>
    <w:rsid w:val="0BDC1D6F"/>
    <w:rsid w:val="0BF3B2C3"/>
    <w:rsid w:val="0BFA07AD"/>
    <w:rsid w:val="0C39DA40"/>
    <w:rsid w:val="0C47CF41"/>
    <w:rsid w:val="0C51D526"/>
    <w:rsid w:val="0C5CB0B3"/>
    <w:rsid w:val="0C68EC0D"/>
    <w:rsid w:val="0C89B8C4"/>
    <w:rsid w:val="0C8B7DDA"/>
    <w:rsid w:val="0CB2B224"/>
    <w:rsid w:val="0CD7FFE9"/>
    <w:rsid w:val="0CE9040A"/>
    <w:rsid w:val="0CEB33C5"/>
    <w:rsid w:val="0D0E0BB6"/>
    <w:rsid w:val="0D1C2C64"/>
    <w:rsid w:val="0D206D0B"/>
    <w:rsid w:val="0D27A861"/>
    <w:rsid w:val="0D3E0B0E"/>
    <w:rsid w:val="0D4A6B5F"/>
    <w:rsid w:val="0D806E47"/>
    <w:rsid w:val="0D91A421"/>
    <w:rsid w:val="0D924B60"/>
    <w:rsid w:val="0D96CAE4"/>
    <w:rsid w:val="0D98CA73"/>
    <w:rsid w:val="0DB8696C"/>
    <w:rsid w:val="0DBDC55D"/>
    <w:rsid w:val="0DC6A71B"/>
    <w:rsid w:val="0E054C02"/>
    <w:rsid w:val="0E06FD6B"/>
    <w:rsid w:val="0E0A4229"/>
    <w:rsid w:val="0E109D24"/>
    <w:rsid w:val="0E2B7A40"/>
    <w:rsid w:val="0E4B1B65"/>
    <w:rsid w:val="0E4E54DC"/>
    <w:rsid w:val="0E7DF4C8"/>
    <w:rsid w:val="0E8ECE39"/>
    <w:rsid w:val="0ED16407"/>
    <w:rsid w:val="0EDF3A7A"/>
    <w:rsid w:val="0EE93C55"/>
    <w:rsid w:val="0EE9551A"/>
    <w:rsid w:val="0EEDE72C"/>
    <w:rsid w:val="0F151066"/>
    <w:rsid w:val="0F1F17D5"/>
    <w:rsid w:val="0F3CF8F0"/>
    <w:rsid w:val="0F6F95F2"/>
    <w:rsid w:val="0F7088DB"/>
    <w:rsid w:val="0F814904"/>
    <w:rsid w:val="0F90FE3F"/>
    <w:rsid w:val="0FBBD338"/>
    <w:rsid w:val="0FBC6ED4"/>
    <w:rsid w:val="0FEA54BE"/>
    <w:rsid w:val="10117907"/>
    <w:rsid w:val="10136A01"/>
    <w:rsid w:val="101B045C"/>
    <w:rsid w:val="106F69B8"/>
    <w:rsid w:val="10B7A621"/>
    <w:rsid w:val="10C25CBD"/>
    <w:rsid w:val="10D0AFCC"/>
    <w:rsid w:val="10F85741"/>
    <w:rsid w:val="1129D1FB"/>
    <w:rsid w:val="113018A1"/>
    <w:rsid w:val="1145B5E9"/>
    <w:rsid w:val="11815549"/>
    <w:rsid w:val="11B99421"/>
    <w:rsid w:val="11C1F523"/>
    <w:rsid w:val="11DB63BB"/>
    <w:rsid w:val="11F77C47"/>
    <w:rsid w:val="12219BB9"/>
    <w:rsid w:val="1230F940"/>
    <w:rsid w:val="128D644B"/>
    <w:rsid w:val="12C85E35"/>
    <w:rsid w:val="12FB56D4"/>
    <w:rsid w:val="1313EACC"/>
    <w:rsid w:val="13182712"/>
    <w:rsid w:val="131B2773"/>
    <w:rsid w:val="1336C7F7"/>
    <w:rsid w:val="1348D986"/>
    <w:rsid w:val="135FE446"/>
    <w:rsid w:val="1381658C"/>
    <w:rsid w:val="13B165B9"/>
    <w:rsid w:val="13E35206"/>
    <w:rsid w:val="13EA25CB"/>
    <w:rsid w:val="13F3A449"/>
    <w:rsid w:val="140E6D95"/>
    <w:rsid w:val="14143893"/>
    <w:rsid w:val="14145C96"/>
    <w:rsid w:val="141DF063"/>
    <w:rsid w:val="142206FD"/>
    <w:rsid w:val="1425C055"/>
    <w:rsid w:val="14574274"/>
    <w:rsid w:val="1490527D"/>
    <w:rsid w:val="149E0B02"/>
    <w:rsid w:val="14DC7975"/>
    <w:rsid w:val="15064831"/>
    <w:rsid w:val="152FD2DE"/>
    <w:rsid w:val="1548CCEE"/>
    <w:rsid w:val="1571326E"/>
    <w:rsid w:val="1586B765"/>
    <w:rsid w:val="15A203DF"/>
    <w:rsid w:val="15A4311E"/>
    <w:rsid w:val="15C6A19B"/>
    <w:rsid w:val="15DCA1CF"/>
    <w:rsid w:val="1636B6C4"/>
    <w:rsid w:val="1644C12F"/>
    <w:rsid w:val="166F07F3"/>
    <w:rsid w:val="16835EF4"/>
    <w:rsid w:val="16A6C7A1"/>
    <w:rsid w:val="16B3D493"/>
    <w:rsid w:val="16B532A9"/>
    <w:rsid w:val="16C45281"/>
    <w:rsid w:val="16E39929"/>
    <w:rsid w:val="170CC52A"/>
    <w:rsid w:val="17160A08"/>
    <w:rsid w:val="171CB154"/>
    <w:rsid w:val="171DB39E"/>
    <w:rsid w:val="1729FE13"/>
    <w:rsid w:val="172F23B4"/>
    <w:rsid w:val="1752F015"/>
    <w:rsid w:val="17A36FB4"/>
    <w:rsid w:val="17B0FAC6"/>
    <w:rsid w:val="17F6B0A7"/>
    <w:rsid w:val="1821707B"/>
    <w:rsid w:val="1899414D"/>
    <w:rsid w:val="18995F2A"/>
    <w:rsid w:val="18CB6F2B"/>
    <w:rsid w:val="18D753B2"/>
    <w:rsid w:val="18EA5A07"/>
    <w:rsid w:val="191BCECC"/>
    <w:rsid w:val="192CBEB7"/>
    <w:rsid w:val="19AF61D3"/>
    <w:rsid w:val="19C3B526"/>
    <w:rsid w:val="19DCFAC1"/>
    <w:rsid w:val="19ED404A"/>
    <w:rsid w:val="19F8A025"/>
    <w:rsid w:val="1A0A294B"/>
    <w:rsid w:val="1A1236E0"/>
    <w:rsid w:val="1A23E33C"/>
    <w:rsid w:val="1A364501"/>
    <w:rsid w:val="1A472744"/>
    <w:rsid w:val="1A5654F8"/>
    <w:rsid w:val="1A62D79E"/>
    <w:rsid w:val="1AC73D08"/>
    <w:rsid w:val="1AC7A7B8"/>
    <w:rsid w:val="1AEB353C"/>
    <w:rsid w:val="1B25DC62"/>
    <w:rsid w:val="1B5E84E7"/>
    <w:rsid w:val="1B6AF4B2"/>
    <w:rsid w:val="1BCCE406"/>
    <w:rsid w:val="1BFCA91D"/>
    <w:rsid w:val="1C0F3E91"/>
    <w:rsid w:val="1C1CF845"/>
    <w:rsid w:val="1C49ABA8"/>
    <w:rsid w:val="1C51BCFE"/>
    <w:rsid w:val="1C58F21A"/>
    <w:rsid w:val="1C66ADD4"/>
    <w:rsid w:val="1C771810"/>
    <w:rsid w:val="1CA90A7E"/>
    <w:rsid w:val="1CBB0BEC"/>
    <w:rsid w:val="1CCAC14E"/>
    <w:rsid w:val="1CE21E72"/>
    <w:rsid w:val="1D12BF61"/>
    <w:rsid w:val="1D420800"/>
    <w:rsid w:val="1D4C609A"/>
    <w:rsid w:val="1D78B49B"/>
    <w:rsid w:val="1D954094"/>
    <w:rsid w:val="1DF29974"/>
    <w:rsid w:val="1E078073"/>
    <w:rsid w:val="1E2282A0"/>
    <w:rsid w:val="1E28D087"/>
    <w:rsid w:val="1E291A98"/>
    <w:rsid w:val="1E5145C7"/>
    <w:rsid w:val="1E54F9C7"/>
    <w:rsid w:val="1E7BB518"/>
    <w:rsid w:val="1E82938C"/>
    <w:rsid w:val="1E95CE72"/>
    <w:rsid w:val="1EA8C723"/>
    <w:rsid w:val="1ECC6BAB"/>
    <w:rsid w:val="1EF02E92"/>
    <w:rsid w:val="1F294178"/>
    <w:rsid w:val="1F3C4604"/>
    <w:rsid w:val="1F588921"/>
    <w:rsid w:val="1F6542B7"/>
    <w:rsid w:val="1F78E16F"/>
    <w:rsid w:val="1FA83078"/>
    <w:rsid w:val="1FAB262A"/>
    <w:rsid w:val="1FB6B771"/>
    <w:rsid w:val="1FCD3D26"/>
    <w:rsid w:val="1FD64323"/>
    <w:rsid w:val="1FE583EF"/>
    <w:rsid w:val="1FF7C698"/>
    <w:rsid w:val="1FFB61F6"/>
    <w:rsid w:val="20027CA1"/>
    <w:rsid w:val="2026ABE0"/>
    <w:rsid w:val="2051D544"/>
    <w:rsid w:val="207915C5"/>
    <w:rsid w:val="2081F3ED"/>
    <w:rsid w:val="208581A8"/>
    <w:rsid w:val="20A9C3D2"/>
    <w:rsid w:val="20B05B1E"/>
    <w:rsid w:val="20DFB95C"/>
    <w:rsid w:val="20DFC486"/>
    <w:rsid w:val="20F2ACCD"/>
    <w:rsid w:val="212C3F51"/>
    <w:rsid w:val="216D8999"/>
    <w:rsid w:val="216DD05C"/>
    <w:rsid w:val="216E5D9F"/>
    <w:rsid w:val="2183ED23"/>
    <w:rsid w:val="21859980"/>
    <w:rsid w:val="21960B09"/>
    <w:rsid w:val="21D2B218"/>
    <w:rsid w:val="2232C2A9"/>
    <w:rsid w:val="2247FEE1"/>
    <w:rsid w:val="224E4061"/>
    <w:rsid w:val="22A0926E"/>
    <w:rsid w:val="22B6A4E8"/>
    <w:rsid w:val="22C0B42D"/>
    <w:rsid w:val="22C3E643"/>
    <w:rsid w:val="22D03C3F"/>
    <w:rsid w:val="22DEC46E"/>
    <w:rsid w:val="22FF637B"/>
    <w:rsid w:val="23304C09"/>
    <w:rsid w:val="235DA9FC"/>
    <w:rsid w:val="23617A02"/>
    <w:rsid w:val="2390D2D4"/>
    <w:rsid w:val="23B21B4D"/>
    <w:rsid w:val="23DBE926"/>
    <w:rsid w:val="23E482EE"/>
    <w:rsid w:val="23F57250"/>
    <w:rsid w:val="24057F89"/>
    <w:rsid w:val="241B89FE"/>
    <w:rsid w:val="241FBC1C"/>
    <w:rsid w:val="24317442"/>
    <w:rsid w:val="24461A82"/>
    <w:rsid w:val="244AFC11"/>
    <w:rsid w:val="244FA319"/>
    <w:rsid w:val="2474B3EC"/>
    <w:rsid w:val="247611E2"/>
    <w:rsid w:val="249D443C"/>
    <w:rsid w:val="24A941FD"/>
    <w:rsid w:val="24B63E72"/>
    <w:rsid w:val="24F07B2F"/>
    <w:rsid w:val="24FE5E74"/>
    <w:rsid w:val="251E3550"/>
    <w:rsid w:val="254965FE"/>
    <w:rsid w:val="258B262B"/>
    <w:rsid w:val="25CF1AD6"/>
    <w:rsid w:val="25DB650D"/>
    <w:rsid w:val="26247996"/>
    <w:rsid w:val="262EB34F"/>
    <w:rsid w:val="26517E18"/>
    <w:rsid w:val="265902E4"/>
    <w:rsid w:val="26674E95"/>
    <w:rsid w:val="2687920D"/>
    <w:rsid w:val="26894194"/>
    <w:rsid w:val="2694B741"/>
    <w:rsid w:val="26A68085"/>
    <w:rsid w:val="26DFC9F6"/>
    <w:rsid w:val="26ED54D0"/>
    <w:rsid w:val="2716534B"/>
    <w:rsid w:val="274399B9"/>
    <w:rsid w:val="27642013"/>
    <w:rsid w:val="27720F46"/>
    <w:rsid w:val="27780228"/>
    <w:rsid w:val="278B2EB0"/>
    <w:rsid w:val="27C23436"/>
    <w:rsid w:val="27FD0B78"/>
    <w:rsid w:val="28304F5D"/>
    <w:rsid w:val="28337377"/>
    <w:rsid w:val="285F6250"/>
    <w:rsid w:val="288DD012"/>
    <w:rsid w:val="2894FBE7"/>
    <w:rsid w:val="28BBB703"/>
    <w:rsid w:val="28CA1C9C"/>
    <w:rsid w:val="28DB8AA3"/>
    <w:rsid w:val="28F07343"/>
    <w:rsid w:val="295105F1"/>
    <w:rsid w:val="2991670B"/>
    <w:rsid w:val="2A3E7380"/>
    <w:rsid w:val="2A5AEC86"/>
    <w:rsid w:val="2A768F4B"/>
    <w:rsid w:val="2A813410"/>
    <w:rsid w:val="2A921A0A"/>
    <w:rsid w:val="2AD2AE0B"/>
    <w:rsid w:val="2AE5C17B"/>
    <w:rsid w:val="2B1E47DB"/>
    <w:rsid w:val="2B35F2B5"/>
    <w:rsid w:val="2BB08BD3"/>
    <w:rsid w:val="2BE446F4"/>
    <w:rsid w:val="2BECEB7E"/>
    <w:rsid w:val="2C5B999F"/>
    <w:rsid w:val="2CB4C39B"/>
    <w:rsid w:val="2CC0CEA9"/>
    <w:rsid w:val="2CED55E6"/>
    <w:rsid w:val="2CF12B0B"/>
    <w:rsid w:val="2D0081A9"/>
    <w:rsid w:val="2D032ED3"/>
    <w:rsid w:val="2D13CB28"/>
    <w:rsid w:val="2D3C1BFF"/>
    <w:rsid w:val="2D43E9A6"/>
    <w:rsid w:val="2D44FE2A"/>
    <w:rsid w:val="2DE8AC2B"/>
    <w:rsid w:val="2DEEC231"/>
    <w:rsid w:val="2E1A7985"/>
    <w:rsid w:val="2E21D5E8"/>
    <w:rsid w:val="2E68B972"/>
    <w:rsid w:val="2E79ED9F"/>
    <w:rsid w:val="2E8043DA"/>
    <w:rsid w:val="2E9A3822"/>
    <w:rsid w:val="2EA26FF0"/>
    <w:rsid w:val="2ED4BF71"/>
    <w:rsid w:val="2EEAC9AE"/>
    <w:rsid w:val="2EF3EC94"/>
    <w:rsid w:val="2F0EB8A2"/>
    <w:rsid w:val="2F173A8D"/>
    <w:rsid w:val="2F1BC52F"/>
    <w:rsid w:val="2F259C21"/>
    <w:rsid w:val="2F2CC7D5"/>
    <w:rsid w:val="2F3675A0"/>
    <w:rsid w:val="2F681CCA"/>
    <w:rsid w:val="2F725CE6"/>
    <w:rsid w:val="2F7B7406"/>
    <w:rsid w:val="2F88D16C"/>
    <w:rsid w:val="2FAFB49D"/>
    <w:rsid w:val="2FFDAFBB"/>
    <w:rsid w:val="30098611"/>
    <w:rsid w:val="301CFE3B"/>
    <w:rsid w:val="30581C8B"/>
    <w:rsid w:val="30703E41"/>
    <w:rsid w:val="309C6EDD"/>
    <w:rsid w:val="30C035C2"/>
    <w:rsid w:val="314654D9"/>
    <w:rsid w:val="3156AC56"/>
    <w:rsid w:val="318AAD44"/>
    <w:rsid w:val="319BCD34"/>
    <w:rsid w:val="319BDCBE"/>
    <w:rsid w:val="319C4F53"/>
    <w:rsid w:val="319CF070"/>
    <w:rsid w:val="31A78326"/>
    <w:rsid w:val="31AA9F72"/>
    <w:rsid w:val="31E55A6D"/>
    <w:rsid w:val="3205FB3C"/>
    <w:rsid w:val="322388B5"/>
    <w:rsid w:val="3247A535"/>
    <w:rsid w:val="326BAF69"/>
    <w:rsid w:val="32BD9ED3"/>
    <w:rsid w:val="32DBFF10"/>
    <w:rsid w:val="32E65941"/>
    <w:rsid w:val="33AD1601"/>
    <w:rsid w:val="33BB6BE2"/>
    <w:rsid w:val="33C13203"/>
    <w:rsid w:val="33E49D3E"/>
    <w:rsid w:val="3429F313"/>
    <w:rsid w:val="3473990A"/>
    <w:rsid w:val="3488B155"/>
    <w:rsid w:val="34C12543"/>
    <w:rsid w:val="34DBD867"/>
    <w:rsid w:val="34DC8F52"/>
    <w:rsid w:val="34FDCA4C"/>
    <w:rsid w:val="35007AB7"/>
    <w:rsid w:val="351D6072"/>
    <w:rsid w:val="3533EA67"/>
    <w:rsid w:val="3577B6B6"/>
    <w:rsid w:val="357D5197"/>
    <w:rsid w:val="3581A472"/>
    <w:rsid w:val="3587C880"/>
    <w:rsid w:val="358AE51A"/>
    <w:rsid w:val="359E3F43"/>
    <w:rsid w:val="35A6A040"/>
    <w:rsid w:val="35C482CE"/>
    <w:rsid w:val="35D37276"/>
    <w:rsid w:val="35E655C8"/>
    <w:rsid w:val="35FA0C6C"/>
    <w:rsid w:val="3619C2BB"/>
    <w:rsid w:val="363F3E06"/>
    <w:rsid w:val="36402416"/>
    <w:rsid w:val="36B453D7"/>
    <w:rsid w:val="36E026BF"/>
    <w:rsid w:val="36FEB1A0"/>
    <w:rsid w:val="3719253F"/>
    <w:rsid w:val="371E2C38"/>
    <w:rsid w:val="374D9E67"/>
    <w:rsid w:val="3762BC68"/>
    <w:rsid w:val="37644649"/>
    <w:rsid w:val="376628FE"/>
    <w:rsid w:val="376F9E70"/>
    <w:rsid w:val="377E8520"/>
    <w:rsid w:val="37B2B64F"/>
    <w:rsid w:val="37BD2F6D"/>
    <w:rsid w:val="37C6DD36"/>
    <w:rsid w:val="37C9FEFB"/>
    <w:rsid w:val="3801DFBD"/>
    <w:rsid w:val="38160A9C"/>
    <w:rsid w:val="382A40B4"/>
    <w:rsid w:val="382D34AF"/>
    <w:rsid w:val="384379E1"/>
    <w:rsid w:val="38B51A3D"/>
    <w:rsid w:val="38D52F3D"/>
    <w:rsid w:val="38F0D859"/>
    <w:rsid w:val="390C03D9"/>
    <w:rsid w:val="3926CB4B"/>
    <w:rsid w:val="394019C1"/>
    <w:rsid w:val="39783506"/>
    <w:rsid w:val="399FAE2C"/>
    <w:rsid w:val="39A0FCE4"/>
    <w:rsid w:val="39B8C554"/>
    <w:rsid w:val="39F0FCB9"/>
    <w:rsid w:val="39F27F2C"/>
    <w:rsid w:val="39FAB303"/>
    <w:rsid w:val="3A2126D6"/>
    <w:rsid w:val="3A2DC5AE"/>
    <w:rsid w:val="3A32C76F"/>
    <w:rsid w:val="3A4302D1"/>
    <w:rsid w:val="3A55B394"/>
    <w:rsid w:val="3A673BC4"/>
    <w:rsid w:val="3A77E32D"/>
    <w:rsid w:val="3AA082F7"/>
    <w:rsid w:val="3AA2548D"/>
    <w:rsid w:val="3AC5E997"/>
    <w:rsid w:val="3AC927A5"/>
    <w:rsid w:val="3ACE482F"/>
    <w:rsid w:val="3B009821"/>
    <w:rsid w:val="3B2DF2A6"/>
    <w:rsid w:val="3B3069DA"/>
    <w:rsid w:val="3B35A2C1"/>
    <w:rsid w:val="3B363DE7"/>
    <w:rsid w:val="3B4F2BCF"/>
    <w:rsid w:val="3B63318F"/>
    <w:rsid w:val="3BA01AF3"/>
    <w:rsid w:val="3BA07FF1"/>
    <w:rsid w:val="3BB65C2C"/>
    <w:rsid w:val="3BBD1C3A"/>
    <w:rsid w:val="3BBF0E4A"/>
    <w:rsid w:val="3BCA9333"/>
    <w:rsid w:val="3BD07452"/>
    <w:rsid w:val="3BEEAE46"/>
    <w:rsid w:val="3C22C657"/>
    <w:rsid w:val="3C2C34DB"/>
    <w:rsid w:val="3C39E9CB"/>
    <w:rsid w:val="3C3AC162"/>
    <w:rsid w:val="3C3F38F5"/>
    <w:rsid w:val="3C5BD93D"/>
    <w:rsid w:val="3C7F7538"/>
    <w:rsid w:val="3C83BE70"/>
    <w:rsid w:val="3CA0F8EB"/>
    <w:rsid w:val="3CA67E6D"/>
    <w:rsid w:val="3CB4406D"/>
    <w:rsid w:val="3CB5E44E"/>
    <w:rsid w:val="3CBE1F47"/>
    <w:rsid w:val="3CDC21E6"/>
    <w:rsid w:val="3D0633B2"/>
    <w:rsid w:val="3D1B2C33"/>
    <w:rsid w:val="3D28926F"/>
    <w:rsid w:val="3D3F5651"/>
    <w:rsid w:val="3D6A12FF"/>
    <w:rsid w:val="3D84D348"/>
    <w:rsid w:val="3DC5D419"/>
    <w:rsid w:val="3DCCB409"/>
    <w:rsid w:val="3DDAEF92"/>
    <w:rsid w:val="3DF79518"/>
    <w:rsid w:val="3E0BC2B3"/>
    <w:rsid w:val="3E185BFE"/>
    <w:rsid w:val="3E2221C1"/>
    <w:rsid w:val="3E3BBA2D"/>
    <w:rsid w:val="3E484ED8"/>
    <w:rsid w:val="3E5295F4"/>
    <w:rsid w:val="3E6A363E"/>
    <w:rsid w:val="3E7BD72A"/>
    <w:rsid w:val="3E8D7C72"/>
    <w:rsid w:val="3E9E3676"/>
    <w:rsid w:val="3EC10A4F"/>
    <w:rsid w:val="3EC6A5C0"/>
    <w:rsid w:val="3EC94754"/>
    <w:rsid w:val="3EDD1815"/>
    <w:rsid w:val="3EED60BA"/>
    <w:rsid w:val="400E0491"/>
    <w:rsid w:val="4010A7F7"/>
    <w:rsid w:val="401F9259"/>
    <w:rsid w:val="40523FE7"/>
    <w:rsid w:val="4061EE17"/>
    <w:rsid w:val="40866479"/>
    <w:rsid w:val="409597F9"/>
    <w:rsid w:val="409E8635"/>
    <w:rsid w:val="40B2852B"/>
    <w:rsid w:val="40EFDFA1"/>
    <w:rsid w:val="4109F31A"/>
    <w:rsid w:val="413B4F54"/>
    <w:rsid w:val="4151A01B"/>
    <w:rsid w:val="418E0D8F"/>
    <w:rsid w:val="4195E0F3"/>
    <w:rsid w:val="41A53267"/>
    <w:rsid w:val="41AE44D4"/>
    <w:rsid w:val="41B30643"/>
    <w:rsid w:val="41B91B41"/>
    <w:rsid w:val="41BBFCE4"/>
    <w:rsid w:val="41CF2E5B"/>
    <w:rsid w:val="41FAC748"/>
    <w:rsid w:val="420351B3"/>
    <w:rsid w:val="420F9178"/>
    <w:rsid w:val="421754C1"/>
    <w:rsid w:val="421CC1C5"/>
    <w:rsid w:val="4235C776"/>
    <w:rsid w:val="423A2727"/>
    <w:rsid w:val="423CD3D4"/>
    <w:rsid w:val="4283FA57"/>
    <w:rsid w:val="42946D66"/>
    <w:rsid w:val="4296D2D1"/>
    <w:rsid w:val="429A61AA"/>
    <w:rsid w:val="429F80DF"/>
    <w:rsid w:val="42B9AEE0"/>
    <w:rsid w:val="42C8EA5C"/>
    <w:rsid w:val="4308E7CF"/>
    <w:rsid w:val="430B7087"/>
    <w:rsid w:val="430C7D62"/>
    <w:rsid w:val="433CD635"/>
    <w:rsid w:val="433F24B8"/>
    <w:rsid w:val="434615E8"/>
    <w:rsid w:val="4358429C"/>
    <w:rsid w:val="43977A24"/>
    <w:rsid w:val="43A5A5F7"/>
    <w:rsid w:val="43C027C6"/>
    <w:rsid w:val="43CAAAFB"/>
    <w:rsid w:val="4405CE2B"/>
    <w:rsid w:val="440BFCC8"/>
    <w:rsid w:val="4417156A"/>
    <w:rsid w:val="441F37E0"/>
    <w:rsid w:val="4436015F"/>
    <w:rsid w:val="444C7578"/>
    <w:rsid w:val="4467F579"/>
    <w:rsid w:val="44C1C4FB"/>
    <w:rsid w:val="44D4AC79"/>
    <w:rsid w:val="44E6A05B"/>
    <w:rsid w:val="4514F1E9"/>
    <w:rsid w:val="4520BCD6"/>
    <w:rsid w:val="4531A3E0"/>
    <w:rsid w:val="45471581"/>
    <w:rsid w:val="454EC215"/>
    <w:rsid w:val="45847E98"/>
    <w:rsid w:val="45AA40C2"/>
    <w:rsid w:val="45F2626A"/>
    <w:rsid w:val="45FA47C5"/>
    <w:rsid w:val="460E8DE3"/>
    <w:rsid w:val="462C4347"/>
    <w:rsid w:val="464F0590"/>
    <w:rsid w:val="4667F5D4"/>
    <w:rsid w:val="4670C9ED"/>
    <w:rsid w:val="467E26EC"/>
    <w:rsid w:val="467EB88C"/>
    <w:rsid w:val="46891B75"/>
    <w:rsid w:val="46C8E4DB"/>
    <w:rsid w:val="46EC2B6F"/>
    <w:rsid w:val="472FA573"/>
    <w:rsid w:val="473AA7F1"/>
    <w:rsid w:val="477B7A7D"/>
    <w:rsid w:val="477EAE25"/>
    <w:rsid w:val="4797E7E8"/>
    <w:rsid w:val="47B51D64"/>
    <w:rsid w:val="47BD430A"/>
    <w:rsid w:val="47DCCB4F"/>
    <w:rsid w:val="47F45F34"/>
    <w:rsid w:val="47F4FA0A"/>
    <w:rsid w:val="4829D4C6"/>
    <w:rsid w:val="48476DA3"/>
    <w:rsid w:val="48511681"/>
    <w:rsid w:val="486E5193"/>
    <w:rsid w:val="48709ED3"/>
    <w:rsid w:val="4879FB9D"/>
    <w:rsid w:val="4883B42D"/>
    <w:rsid w:val="48B65427"/>
    <w:rsid w:val="48B794BE"/>
    <w:rsid w:val="48CBE9A9"/>
    <w:rsid w:val="48D19D6B"/>
    <w:rsid w:val="48D61855"/>
    <w:rsid w:val="48E1E184"/>
    <w:rsid w:val="48EC55F6"/>
    <w:rsid w:val="4907B829"/>
    <w:rsid w:val="4909083E"/>
    <w:rsid w:val="491D850F"/>
    <w:rsid w:val="491F5857"/>
    <w:rsid w:val="4971BBD7"/>
    <w:rsid w:val="497D8BB0"/>
    <w:rsid w:val="499A1630"/>
    <w:rsid w:val="49B78B7D"/>
    <w:rsid w:val="49B9F5D8"/>
    <w:rsid w:val="49DD8005"/>
    <w:rsid w:val="49DE5E63"/>
    <w:rsid w:val="49E6C94D"/>
    <w:rsid w:val="49F5A4B7"/>
    <w:rsid w:val="4A287530"/>
    <w:rsid w:val="4A3E7D85"/>
    <w:rsid w:val="4A5F4BB3"/>
    <w:rsid w:val="4A6718E0"/>
    <w:rsid w:val="4A9FE74C"/>
    <w:rsid w:val="4AC86BCC"/>
    <w:rsid w:val="4ADDD759"/>
    <w:rsid w:val="4AEA800E"/>
    <w:rsid w:val="4AFBE13E"/>
    <w:rsid w:val="4B2A8284"/>
    <w:rsid w:val="4B378988"/>
    <w:rsid w:val="4B47F160"/>
    <w:rsid w:val="4B59D63A"/>
    <w:rsid w:val="4B800340"/>
    <w:rsid w:val="4BB15D98"/>
    <w:rsid w:val="4C15694E"/>
    <w:rsid w:val="4C3724A6"/>
    <w:rsid w:val="4C5546C3"/>
    <w:rsid w:val="4C560E7F"/>
    <w:rsid w:val="4C99BE6A"/>
    <w:rsid w:val="4CF68472"/>
    <w:rsid w:val="4D1C9F03"/>
    <w:rsid w:val="4D5878B9"/>
    <w:rsid w:val="4D6AE4C3"/>
    <w:rsid w:val="4D7BC348"/>
    <w:rsid w:val="4D91543D"/>
    <w:rsid w:val="4DAF752A"/>
    <w:rsid w:val="4DB57CD9"/>
    <w:rsid w:val="4DBE2A48"/>
    <w:rsid w:val="4DCC58DF"/>
    <w:rsid w:val="4DDB492A"/>
    <w:rsid w:val="4DDD7450"/>
    <w:rsid w:val="4DF91AA6"/>
    <w:rsid w:val="4E22253D"/>
    <w:rsid w:val="4E235C2B"/>
    <w:rsid w:val="4E5D43B2"/>
    <w:rsid w:val="4E632D78"/>
    <w:rsid w:val="4EBF001E"/>
    <w:rsid w:val="4ECF67E4"/>
    <w:rsid w:val="4EDABC18"/>
    <w:rsid w:val="4EE46E51"/>
    <w:rsid w:val="4F113B68"/>
    <w:rsid w:val="4F1A5240"/>
    <w:rsid w:val="4F2EAA83"/>
    <w:rsid w:val="4F37D379"/>
    <w:rsid w:val="4F3C9366"/>
    <w:rsid w:val="4F460687"/>
    <w:rsid w:val="4F696B1B"/>
    <w:rsid w:val="4FBCB357"/>
    <w:rsid w:val="4FCEADA4"/>
    <w:rsid w:val="50052695"/>
    <w:rsid w:val="5006229A"/>
    <w:rsid w:val="5013FECA"/>
    <w:rsid w:val="50417D96"/>
    <w:rsid w:val="5041AFF5"/>
    <w:rsid w:val="5065BBF8"/>
    <w:rsid w:val="509934F6"/>
    <w:rsid w:val="50EAE109"/>
    <w:rsid w:val="511B1ED7"/>
    <w:rsid w:val="5146D5E4"/>
    <w:rsid w:val="5179C457"/>
    <w:rsid w:val="51A09A47"/>
    <w:rsid w:val="51D39FDA"/>
    <w:rsid w:val="51DBCA25"/>
    <w:rsid w:val="51FF1F77"/>
    <w:rsid w:val="52069DF5"/>
    <w:rsid w:val="52481018"/>
    <w:rsid w:val="524A4081"/>
    <w:rsid w:val="52513A64"/>
    <w:rsid w:val="525FCF77"/>
    <w:rsid w:val="5273001D"/>
    <w:rsid w:val="52B244DB"/>
    <w:rsid w:val="52C46E5B"/>
    <w:rsid w:val="52C616C9"/>
    <w:rsid w:val="52D321D6"/>
    <w:rsid w:val="52E0C6BA"/>
    <w:rsid w:val="52E3E475"/>
    <w:rsid w:val="52EAF7F6"/>
    <w:rsid w:val="52EEC00F"/>
    <w:rsid w:val="53185A9B"/>
    <w:rsid w:val="5319DE9B"/>
    <w:rsid w:val="5325383F"/>
    <w:rsid w:val="533355CD"/>
    <w:rsid w:val="5335534A"/>
    <w:rsid w:val="53721FEF"/>
    <w:rsid w:val="53792078"/>
    <w:rsid w:val="53865AB6"/>
    <w:rsid w:val="53938DC1"/>
    <w:rsid w:val="53DD2F97"/>
    <w:rsid w:val="53E8E065"/>
    <w:rsid w:val="53E96940"/>
    <w:rsid w:val="5401D7DA"/>
    <w:rsid w:val="54047874"/>
    <w:rsid w:val="54181D8C"/>
    <w:rsid w:val="541E9FBB"/>
    <w:rsid w:val="542B42CC"/>
    <w:rsid w:val="54316AD1"/>
    <w:rsid w:val="547489CD"/>
    <w:rsid w:val="547F9440"/>
    <w:rsid w:val="548BEEFD"/>
    <w:rsid w:val="54BE3FA2"/>
    <w:rsid w:val="54C6CA1C"/>
    <w:rsid w:val="54D92704"/>
    <w:rsid w:val="550584B4"/>
    <w:rsid w:val="551D6C98"/>
    <w:rsid w:val="55294F17"/>
    <w:rsid w:val="5529BB38"/>
    <w:rsid w:val="554171D3"/>
    <w:rsid w:val="554CCB74"/>
    <w:rsid w:val="55771AF5"/>
    <w:rsid w:val="558CCC1B"/>
    <w:rsid w:val="55D6F5EF"/>
    <w:rsid w:val="55E32805"/>
    <w:rsid w:val="55FE50E0"/>
    <w:rsid w:val="560BDA8E"/>
    <w:rsid w:val="560CA513"/>
    <w:rsid w:val="567789F8"/>
    <w:rsid w:val="5692666F"/>
    <w:rsid w:val="56BF703F"/>
    <w:rsid w:val="56FD8C44"/>
    <w:rsid w:val="570F0B7D"/>
    <w:rsid w:val="575645F3"/>
    <w:rsid w:val="57688FD9"/>
    <w:rsid w:val="579849D7"/>
    <w:rsid w:val="57B75761"/>
    <w:rsid w:val="57DA8DBD"/>
    <w:rsid w:val="57DD536E"/>
    <w:rsid w:val="582D45B1"/>
    <w:rsid w:val="58873A7C"/>
    <w:rsid w:val="58961A23"/>
    <w:rsid w:val="58CFBB87"/>
    <w:rsid w:val="58D52153"/>
    <w:rsid w:val="590A1FEC"/>
    <w:rsid w:val="592995AB"/>
    <w:rsid w:val="594486BD"/>
    <w:rsid w:val="5974E515"/>
    <w:rsid w:val="598B8FEE"/>
    <w:rsid w:val="59A46873"/>
    <w:rsid w:val="59C3A01A"/>
    <w:rsid w:val="59CD7E6F"/>
    <w:rsid w:val="59D5577B"/>
    <w:rsid w:val="5A0C7DC5"/>
    <w:rsid w:val="5A1B024F"/>
    <w:rsid w:val="5A3DE31E"/>
    <w:rsid w:val="5A43A4E6"/>
    <w:rsid w:val="5A659F38"/>
    <w:rsid w:val="5AB477C1"/>
    <w:rsid w:val="5ABE2464"/>
    <w:rsid w:val="5AD9E177"/>
    <w:rsid w:val="5AF642A4"/>
    <w:rsid w:val="5AF966DE"/>
    <w:rsid w:val="5AFF9DE4"/>
    <w:rsid w:val="5B7BAEF4"/>
    <w:rsid w:val="5B8E01C1"/>
    <w:rsid w:val="5B98FAE8"/>
    <w:rsid w:val="5BCA2E5D"/>
    <w:rsid w:val="5BCED922"/>
    <w:rsid w:val="5BE8E4AF"/>
    <w:rsid w:val="5C52E91F"/>
    <w:rsid w:val="5C6345C5"/>
    <w:rsid w:val="5C654886"/>
    <w:rsid w:val="5C71F748"/>
    <w:rsid w:val="5C72E969"/>
    <w:rsid w:val="5C7C68C8"/>
    <w:rsid w:val="5C8759A2"/>
    <w:rsid w:val="5CA437B6"/>
    <w:rsid w:val="5CB21C67"/>
    <w:rsid w:val="5CDD9E93"/>
    <w:rsid w:val="5CF70B56"/>
    <w:rsid w:val="5D13FED4"/>
    <w:rsid w:val="5D5756B9"/>
    <w:rsid w:val="5D5B7CC8"/>
    <w:rsid w:val="5D76C677"/>
    <w:rsid w:val="5DA25185"/>
    <w:rsid w:val="5DAA4025"/>
    <w:rsid w:val="5DB47E34"/>
    <w:rsid w:val="5DC87E78"/>
    <w:rsid w:val="5DCA601A"/>
    <w:rsid w:val="5DD45379"/>
    <w:rsid w:val="5DDC439E"/>
    <w:rsid w:val="5DE48D03"/>
    <w:rsid w:val="5E129DF9"/>
    <w:rsid w:val="5E134CB7"/>
    <w:rsid w:val="5E587D6D"/>
    <w:rsid w:val="5E76D58A"/>
    <w:rsid w:val="5E9611D0"/>
    <w:rsid w:val="5EB71F4D"/>
    <w:rsid w:val="5EC7D42C"/>
    <w:rsid w:val="5F4C4425"/>
    <w:rsid w:val="5F5281BD"/>
    <w:rsid w:val="5F838905"/>
    <w:rsid w:val="5FA3A53E"/>
    <w:rsid w:val="5FA76699"/>
    <w:rsid w:val="5FE9F276"/>
    <w:rsid w:val="602E7DA6"/>
    <w:rsid w:val="602EEBFF"/>
    <w:rsid w:val="603AE4F4"/>
    <w:rsid w:val="6075CD26"/>
    <w:rsid w:val="60C40F3E"/>
    <w:rsid w:val="612B65E0"/>
    <w:rsid w:val="61336F46"/>
    <w:rsid w:val="614325ED"/>
    <w:rsid w:val="6148CE50"/>
    <w:rsid w:val="615D3D56"/>
    <w:rsid w:val="6178996F"/>
    <w:rsid w:val="617C6B68"/>
    <w:rsid w:val="61A62C89"/>
    <w:rsid w:val="61C83084"/>
    <w:rsid w:val="61CD1CDC"/>
    <w:rsid w:val="61EC9C1A"/>
    <w:rsid w:val="622179C8"/>
    <w:rsid w:val="623AA627"/>
    <w:rsid w:val="624DD627"/>
    <w:rsid w:val="6254AD23"/>
    <w:rsid w:val="6290B00A"/>
    <w:rsid w:val="62B5C4AF"/>
    <w:rsid w:val="62BC55A2"/>
    <w:rsid w:val="62BE7128"/>
    <w:rsid w:val="62C3BFB6"/>
    <w:rsid w:val="62DF03EC"/>
    <w:rsid w:val="62FE70CD"/>
    <w:rsid w:val="631579D8"/>
    <w:rsid w:val="633872FC"/>
    <w:rsid w:val="634D0397"/>
    <w:rsid w:val="6350C0A2"/>
    <w:rsid w:val="63527887"/>
    <w:rsid w:val="635344BA"/>
    <w:rsid w:val="636236A3"/>
    <w:rsid w:val="6393AF40"/>
    <w:rsid w:val="63E128E1"/>
    <w:rsid w:val="63F72260"/>
    <w:rsid w:val="64126E05"/>
    <w:rsid w:val="64214874"/>
    <w:rsid w:val="6431E4BE"/>
    <w:rsid w:val="64565304"/>
    <w:rsid w:val="6461774D"/>
    <w:rsid w:val="646FC668"/>
    <w:rsid w:val="64862125"/>
    <w:rsid w:val="64939E51"/>
    <w:rsid w:val="649D4F0A"/>
    <w:rsid w:val="64A803D9"/>
    <w:rsid w:val="64C92F3E"/>
    <w:rsid w:val="64CD19C5"/>
    <w:rsid w:val="64D6E769"/>
    <w:rsid w:val="64FD7156"/>
    <w:rsid w:val="6510A21B"/>
    <w:rsid w:val="651162FB"/>
    <w:rsid w:val="654839EC"/>
    <w:rsid w:val="65ACF610"/>
    <w:rsid w:val="65C2348C"/>
    <w:rsid w:val="65D94D23"/>
    <w:rsid w:val="65E753C1"/>
    <w:rsid w:val="6619F734"/>
    <w:rsid w:val="6625D31F"/>
    <w:rsid w:val="664A3F21"/>
    <w:rsid w:val="664CB857"/>
    <w:rsid w:val="664CFB55"/>
    <w:rsid w:val="669987CF"/>
    <w:rsid w:val="66FD1A4F"/>
    <w:rsid w:val="6703DE45"/>
    <w:rsid w:val="67155B99"/>
    <w:rsid w:val="67182E56"/>
    <w:rsid w:val="676E326C"/>
    <w:rsid w:val="67D3BF3C"/>
    <w:rsid w:val="67DF3363"/>
    <w:rsid w:val="67E725C3"/>
    <w:rsid w:val="67FDC136"/>
    <w:rsid w:val="680E4D55"/>
    <w:rsid w:val="681E0380"/>
    <w:rsid w:val="682470D5"/>
    <w:rsid w:val="683138DC"/>
    <w:rsid w:val="68320632"/>
    <w:rsid w:val="685FFAF9"/>
    <w:rsid w:val="68629D58"/>
    <w:rsid w:val="68A16F94"/>
    <w:rsid w:val="68C94897"/>
    <w:rsid w:val="68E0A736"/>
    <w:rsid w:val="68E6D0AF"/>
    <w:rsid w:val="68FCA9A5"/>
    <w:rsid w:val="690BCB66"/>
    <w:rsid w:val="69242CCC"/>
    <w:rsid w:val="695615CB"/>
    <w:rsid w:val="698BA64C"/>
    <w:rsid w:val="6996062F"/>
    <w:rsid w:val="699C8162"/>
    <w:rsid w:val="69B81DF4"/>
    <w:rsid w:val="69C25BEC"/>
    <w:rsid w:val="6A06C7D6"/>
    <w:rsid w:val="6A0FA15B"/>
    <w:rsid w:val="6A298C00"/>
    <w:rsid w:val="6A3D3FF5"/>
    <w:rsid w:val="6A68EE02"/>
    <w:rsid w:val="6A7C814F"/>
    <w:rsid w:val="6A975720"/>
    <w:rsid w:val="6AB25ED6"/>
    <w:rsid w:val="6AF2D386"/>
    <w:rsid w:val="6AFB3609"/>
    <w:rsid w:val="6B25F07E"/>
    <w:rsid w:val="6B2C1418"/>
    <w:rsid w:val="6B7006C5"/>
    <w:rsid w:val="6B82E0EE"/>
    <w:rsid w:val="6BB94099"/>
    <w:rsid w:val="6BF01329"/>
    <w:rsid w:val="6C323820"/>
    <w:rsid w:val="6C7023DE"/>
    <w:rsid w:val="6C81E3E5"/>
    <w:rsid w:val="6C87B180"/>
    <w:rsid w:val="6CE083E6"/>
    <w:rsid w:val="6CE2418A"/>
    <w:rsid w:val="6CFA71A2"/>
    <w:rsid w:val="6D303777"/>
    <w:rsid w:val="6D4F97B2"/>
    <w:rsid w:val="6D683AB6"/>
    <w:rsid w:val="6D7E885A"/>
    <w:rsid w:val="6D9C0C45"/>
    <w:rsid w:val="6DB4730D"/>
    <w:rsid w:val="6DBD41C2"/>
    <w:rsid w:val="6DDB582E"/>
    <w:rsid w:val="6DE1B70B"/>
    <w:rsid w:val="6DEBD2DB"/>
    <w:rsid w:val="6E046099"/>
    <w:rsid w:val="6E15528D"/>
    <w:rsid w:val="6E27DCEA"/>
    <w:rsid w:val="6E44F4D1"/>
    <w:rsid w:val="6E49F818"/>
    <w:rsid w:val="6EC896BD"/>
    <w:rsid w:val="6EFE6AB5"/>
    <w:rsid w:val="6F178FFA"/>
    <w:rsid w:val="6F44D75C"/>
    <w:rsid w:val="6F48CB4A"/>
    <w:rsid w:val="6F7BF14D"/>
    <w:rsid w:val="6FBA3CF0"/>
    <w:rsid w:val="6FF47D12"/>
    <w:rsid w:val="70355CCC"/>
    <w:rsid w:val="7067A528"/>
    <w:rsid w:val="7087AA09"/>
    <w:rsid w:val="70931B39"/>
    <w:rsid w:val="70994BEB"/>
    <w:rsid w:val="71450B9F"/>
    <w:rsid w:val="7180CC7A"/>
    <w:rsid w:val="71894A33"/>
    <w:rsid w:val="71A0AE98"/>
    <w:rsid w:val="71A2049C"/>
    <w:rsid w:val="71A6F4A3"/>
    <w:rsid w:val="71C23969"/>
    <w:rsid w:val="71DD10A3"/>
    <w:rsid w:val="7205F783"/>
    <w:rsid w:val="721AE979"/>
    <w:rsid w:val="7238A462"/>
    <w:rsid w:val="72580B17"/>
    <w:rsid w:val="72673997"/>
    <w:rsid w:val="72765100"/>
    <w:rsid w:val="7277C3C1"/>
    <w:rsid w:val="728061AD"/>
    <w:rsid w:val="72828AD6"/>
    <w:rsid w:val="72963417"/>
    <w:rsid w:val="729A5D15"/>
    <w:rsid w:val="72F032F7"/>
    <w:rsid w:val="72FC1B41"/>
    <w:rsid w:val="7327389E"/>
    <w:rsid w:val="73461987"/>
    <w:rsid w:val="73540BF3"/>
    <w:rsid w:val="73769CFE"/>
    <w:rsid w:val="737CB46B"/>
    <w:rsid w:val="73870920"/>
    <w:rsid w:val="73A2A0DE"/>
    <w:rsid w:val="73B16CDE"/>
    <w:rsid w:val="73BA0D93"/>
    <w:rsid w:val="73C0C07E"/>
    <w:rsid w:val="73C7F6A9"/>
    <w:rsid w:val="73EC471C"/>
    <w:rsid w:val="7415E1DC"/>
    <w:rsid w:val="742BB5C2"/>
    <w:rsid w:val="745C175D"/>
    <w:rsid w:val="74689FF2"/>
    <w:rsid w:val="7486ACE5"/>
    <w:rsid w:val="749DD056"/>
    <w:rsid w:val="74BD4CBE"/>
    <w:rsid w:val="74D214EA"/>
    <w:rsid w:val="74F36032"/>
    <w:rsid w:val="7522B8FB"/>
    <w:rsid w:val="752FBAD4"/>
    <w:rsid w:val="754A8134"/>
    <w:rsid w:val="755E2CEA"/>
    <w:rsid w:val="76078B64"/>
    <w:rsid w:val="7617F900"/>
    <w:rsid w:val="76267360"/>
    <w:rsid w:val="763F49F0"/>
    <w:rsid w:val="767ECA4B"/>
    <w:rsid w:val="76BC169A"/>
    <w:rsid w:val="76BDD700"/>
    <w:rsid w:val="76C0C3B6"/>
    <w:rsid w:val="77108C67"/>
    <w:rsid w:val="7728C4A8"/>
    <w:rsid w:val="7739556F"/>
    <w:rsid w:val="775B0830"/>
    <w:rsid w:val="7795321B"/>
    <w:rsid w:val="77CFD3C3"/>
    <w:rsid w:val="77EE0D4A"/>
    <w:rsid w:val="77F7CE80"/>
    <w:rsid w:val="7820AB9A"/>
    <w:rsid w:val="78262985"/>
    <w:rsid w:val="782D243F"/>
    <w:rsid w:val="7862B777"/>
    <w:rsid w:val="78640BD6"/>
    <w:rsid w:val="7882577B"/>
    <w:rsid w:val="78B9C310"/>
    <w:rsid w:val="78BFE673"/>
    <w:rsid w:val="79148462"/>
    <w:rsid w:val="7927C6EC"/>
    <w:rsid w:val="793790A3"/>
    <w:rsid w:val="7975C715"/>
    <w:rsid w:val="79D73259"/>
    <w:rsid w:val="79EC5C82"/>
    <w:rsid w:val="79F0B645"/>
    <w:rsid w:val="79F77602"/>
    <w:rsid w:val="7A816E78"/>
    <w:rsid w:val="7A8F2390"/>
    <w:rsid w:val="7A9AB27B"/>
    <w:rsid w:val="7AA5AA8E"/>
    <w:rsid w:val="7AE3DD73"/>
    <w:rsid w:val="7AFB6CA6"/>
    <w:rsid w:val="7B3EA9BB"/>
    <w:rsid w:val="7B4C8049"/>
    <w:rsid w:val="7B56688C"/>
    <w:rsid w:val="7B9CF865"/>
    <w:rsid w:val="7BEB1A74"/>
    <w:rsid w:val="7BEEAA4F"/>
    <w:rsid w:val="7C008E9A"/>
    <w:rsid w:val="7C02CC6A"/>
    <w:rsid w:val="7C1675AB"/>
    <w:rsid w:val="7C200065"/>
    <w:rsid w:val="7C4A098A"/>
    <w:rsid w:val="7C4AA6A6"/>
    <w:rsid w:val="7C5750D4"/>
    <w:rsid w:val="7C62F690"/>
    <w:rsid w:val="7C654342"/>
    <w:rsid w:val="7C68B5FA"/>
    <w:rsid w:val="7C96B85C"/>
    <w:rsid w:val="7CB678D8"/>
    <w:rsid w:val="7CD02FD9"/>
    <w:rsid w:val="7CD7AFB9"/>
    <w:rsid w:val="7CE7919E"/>
    <w:rsid w:val="7CED3E13"/>
    <w:rsid w:val="7CFB9B3A"/>
    <w:rsid w:val="7D27D053"/>
    <w:rsid w:val="7D287F42"/>
    <w:rsid w:val="7D314770"/>
    <w:rsid w:val="7D3BC803"/>
    <w:rsid w:val="7D48CCDE"/>
    <w:rsid w:val="7D4BB85C"/>
    <w:rsid w:val="7D6EBE01"/>
    <w:rsid w:val="7DAB6C68"/>
    <w:rsid w:val="7DC42655"/>
    <w:rsid w:val="7DD8AFE4"/>
    <w:rsid w:val="7DFE5573"/>
    <w:rsid w:val="7E3FF80A"/>
    <w:rsid w:val="7E72EFCA"/>
    <w:rsid w:val="7E7A20DD"/>
    <w:rsid w:val="7E91DF6B"/>
    <w:rsid w:val="7E952124"/>
    <w:rsid w:val="7E9DD454"/>
    <w:rsid w:val="7ED343EA"/>
    <w:rsid w:val="7ED43917"/>
    <w:rsid w:val="7F35D9B1"/>
    <w:rsid w:val="7F728A67"/>
    <w:rsid w:val="7F796EA5"/>
    <w:rsid w:val="7F9ADC0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271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Verdana"/>
        <w:color w:val="404040"/>
        <w:lang w:val="da-DK"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qFormat="1"/>
    <w:lsdException w:name="heading 8" w:semiHidden="1" w:uiPriority="1" w:qFormat="1"/>
    <w:lsdException w:name="heading 9" w:semiHidden="1" w:uiPriority="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7"/>
    <w:lsdException w:name="annotation text" w:semiHidden="1"/>
    <w:lsdException w:name="header" w:semiHidden="1" w:uiPriority="11"/>
    <w:lsdException w:name="footer" w:semiHidden="1"/>
    <w:lsdException w:name="index heading" w:semiHidden="1"/>
    <w:lsdException w:name="caption" w:semiHidden="1" w:uiPriority="4" w:qFormat="1"/>
    <w:lsdException w:name="table of figures" w:semiHidden="1"/>
    <w:lsdException w:name="envelope address" w:semiHidden="1"/>
    <w:lsdException w:name="envelope return" w:semiHidden="1"/>
    <w:lsdException w:name="footnote reference" w:semiHidden="1" w:uiPriority="7"/>
    <w:lsdException w:name="annotation reference" w:semiHidden="1"/>
    <w:lsdException w:name="line number" w:semiHidden="1"/>
    <w:lsdException w:name="page number" w:semiHidden="1" w:uiPriority="21"/>
    <w:lsdException w:name="endnote reference" w:semiHidden="1" w:uiPriority="21"/>
    <w:lsdException w:name="endnote text" w:semiHidden="1" w:uiPriority="21"/>
    <w:lsdException w:name="table of authorities" w:semiHidden="1" w:uiPriority="10"/>
    <w:lsdException w:name="macro" w:semiHidden="1"/>
    <w:lsdException w:name="toa heading" w:semiHidden="1" w:uiPriority="39"/>
    <w:lsdException w:name="List" w:semiHidden="1"/>
    <w:lsdException w:name="List Bullet" w:semiHidden="1" w:uiPriority="3" w:qFormat="1"/>
    <w:lsdException w:name="List Number" w:uiPriority="3" w:qFormat="1"/>
    <w:lsdException w:name="List 2" w:semiHidden="1"/>
    <w:lsdException w:name="List 3" w:semiHidden="1"/>
    <w:lsdException w:name="List 4" w:semiHidden="1"/>
    <w:lsdException w:name="List 5" w:semiHidden="1"/>
    <w:lsdException w:name="List Bullet 2" w:semiHidden="1" w:uiPriority="3" w:qFormat="1"/>
    <w:lsdException w:name="List Bullet 3" w:semiHidden="1" w:uiPriority="3" w:qFormat="1"/>
    <w:lsdException w:name="List Bullet 4" w:semiHidden="1" w:uiPriority="3"/>
    <w:lsdException w:name="List Bullet 5" w:uiPriority="3"/>
    <w:lsdException w:name="List Number 2" w:semiHidden="1" w:uiPriority="3"/>
    <w:lsdException w:name="List Number 3" w:semiHidden="1" w:uiPriority="3"/>
    <w:lsdException w:name="List Number 4" w:semiHidden="1" w:uiPriority="3"/>
    <w:lsdException w:name="List Number 5" w:semiHidden="1"/>
    <w:lsdException w:name="Title" w:uiPriority="19"/>
    <w:lsdException w:name="Closing" w:semiHidden="1"/>
    <w:lsdException w:name="Signature" w:semiHidden="1" w:uiPriority="10"/>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uiPriority="21"/>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Subtle Reference" w:qFormat="1"/>
    <w:lsdException w:name="Intense Reference" w:qFormat="1"/>
    <w:lsdException w:name="Book Title" w:qFormat="1"/>
    <w:lsdException w:name="Bibliography" w:semiHidden="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56E"/>
    <w:rPr>
      <w:color w:val="auto"/>
      <w:sz w:val="22"/>
      <w:lang w:val="en-GB"/>
    </w:rPr>
  </w:style>
  <w:style w:type="paragraph" w:styleId="Heading1">
    <w:name w:val="heading 1"/>
    <w:basedOn w:val="Normal"/>
    <w:next w:val="Normal"/>
    <w:link w:val="Heading1Char"/>
    <w:uiPriority w:val="1"/>
    <w:qFormat/>
    <w:rsid w:val="00421773"/>
    <w:pPr>
      <w:keepNext/>
      <w:keepLines/>
      <w:pageBreakBefore/>
      <w:numPr>
        <w:numId w:val="56"/>
      </w:numPr>
      <w:spacing w:line="192" w:lineRule="auto"/>
      <w:outlineLvl w:val="0"/>
    </w:pPr>
    <w:rPr>
      <w:rFonts w:eastAsia="Times New Roman" w:cs="Arial"/>
      <w:b/>
      <w:bCs/>
      <w:sz w:val="48"/>
      <w:szCs w:val="40"/>
      <w:lang w:val="en-AU"/>
    </w:rPr>
  </w:style>
  <w:style w:type="paragraph" w:styleId="Heading2">
    <w:name w:val="heading 2"/>
    <w:basedOn w:val="Normal"/>
    <w:next w:val="Normal"/>
    <w:link w:val="Heading2Char"/>
    <w:uiPriority w:val="1"/>
    <w:qFormat/>
    <w:rsid w:val="00075BD2"/>
    <w:pPr>
      <w:keepNext/>
      <w:keepLines/>
      <w:numPr>
        <w:ilvl w:val="1"/>
        <w:numId w:val="56"/>
      </w:numPr>
      <w:spacing w:before="240" w:line="192" w:lineRule="auto"/>
      <w:outlineLvl w:val="1"/>
    </w:pPr>
    <w:rPr>
      <w:rFonts w:eastAsia="Times New Roman" w:cs="Arial"/>
      <w:b/>
      <w:bCs/>
      <w:sz w:val="36"/>
      <w:szCs w:val="32"/>
      <w:lang w:val="en-AU"/>
    </w:rPr>
  </w:style>
  <w:style w:type="paragraph" w:styleId="Heading3">
    <w:name w:val="heading 3"/>
    <w:basedOn w:val="Normal"/>
    <w:next w:val="Normal"/>
    <w:link w:val="Heading3Char"/>
    <w:uiPriority w:val="1"/>
    <w:qFormat/>
    <w:rsid w:val="00421773"/>
    <w:pPr>
      <w:keepNext/>
      <w:keepLines/>
      <w:numPr>
        <w:ilvl w:val="2"/>
        <w:numId w:val="56"/>
      </w:numPr>
      <w:spacing w:line="320" w:lineRule="atLeast"/>
      <w:outlineLvl w:val="2"/>
    </w:pPr>
    <w:rPr>
      <w:rFonts w:eastAsia="Times New Roman" w:cs="Courier New"/>
      <w:b/>
      <w:sz w:val="28"/>
      <w:szCs w:val="32"/>
    </w:rPr>
  </w:style>
  <w:style w:type="paragraph" w:styleId="Heading4">
    <w:name w:val="heading 4"/>
    <w:basedOn w:val="Normal"/>
    <w:next w:val="Normal"/>
    <w:link w:val="Heading4Char"/>
    <w:uiPriority w:val="1"/>
    <w:qFormat/>
    <w:rsid w:val="00421773"/>
    <w:pPr>
      <w:keepNext/>
      <w:keepLines/>
      <w:numPr>
        <w:ilvl w:val="3"/>
        <w:numId w:val="56"/>
      </w:numPr>
      <w:spacing w:line="260" w:lineRule="atLeast"/>
      <w:outlineLvl w:val="3"/>
    </w:pPr>
    <w:rPr>
      <w:rFonts w:eastAsia="Times New Roman" w:cs="Courier New"/>
      <w:b/>
      <w:iCs/>
      <w:szCs w:val="30"/>
    </w:rPr>
  </w:style>
  <w:style w:type="paragraph" w:styleId="Heading5">
    <w:name w:val="heading 5"/>
    <w:basedOn w:val="Normal"/>
    <w:next w:val="Normal"/>
    <w:link w:val="Heading5Char"/>
    <w:uiPriority w:val="1"/>
    <w:semiHidden/>
    <w:qFormat/>
    <w:rsid w:val="00421773"/>
    <w:pPr>
      <w:keepNext/>
      <w:keepLines/>
      <w:spacing w:line="260" w:lineRule="atLeast"/>
      <w:outlineLvl w:val="4"/>
    </w:pPr>
    <w:rPr>
      <w:rFonts w:eastAsia="Times New Roman" w:cs="Arial"/>
      <w:b/>
      <w:szCs w:val="28"/>
    </w:rPr>
  </w:style>
  <w:style w:type="paragraph" w:styleId="Heading6">
    <w:name w:val="heading 6"/>
    <w:basedOn w:val="Normal"/>
    <w:next w:val="Normal"/>
    <w:link w:val="Heading6Char"/>
    <w:uiPriority w:val="1"/>
    <w:semiHidden/>
    <w:qFormat/>
    <w:rsid w:val="00421773"/>
    <w:pPr>
      <w:keepNext/>
      <w:keepLines/>
      <w:spacing w:line="260" w:lineRule="atLeast"/>
      <w:outlineLvl w:val="5"/>
    </w:pPr>
    <w:rPr>
      <w:rFonts w:eastAsia="Times New Roman" w:cs="Arial"/>
      <w:b/>
      <w:iCs/>
      <w:szCs w:val="26"/>
    </w:rPr>
  </w:style>
  <w:style w:type="paragraph" w:styleId="Heading7">
    <w:name w:val="heading 7"/>
    <w:basedOn w:val="Normal"/>
    <w:next w:val="Normal"/>
    <w:link w:val="Heading7Char"/>
    <w:uiPriority w:val="1"/>
    <w:semiHidden/>
    <w:qFormat/>
    <w:rsid w:val="00421773"/>
    <w:pPr>
      <w:keepNext/>
      <w:keepLines/>
      <w:spacing w:line="260" w:lineRule="atLeast"/>
      <w:outlineLvl w:val="6"/>
    </w:pPr>
    <w:rPr>
      <w:rFonts w:eastAsia="Times New Roman" w:cs="Arial"/>
      <w:b/>
      <w:szCs w:val="24"/>
    </w:rPr>
  </w:style>
  <w:style w:type="paragraph" w:styleId="Heading8">
    <w:name w:val="heading 8"/>
    <w:basedOn w:val="Normal"/>
    <w:next w:val="Normal"/>
    <w:link w:val="Heading8Char"/>
    <w:uiPriority w:val="1"/>
    <w:semiHidden/>
    <w:qFormat/>
    <w:rsid w:val="00421773"/>
    <w:pPr>
      <w:keepNext/>
      <w:keepLines/>
      <w:spacing w:line="260" w:lineRule="atLeast"/>
      <w:outlineLvl w:val="7"/>
    </w:pPr>
    <w:rPr>
      <w:rFonts w:eastAsia="Times New Roman" w:cs="Arial"/>
      <w:b/>
      <w:iCs/>
      <w:szCs w:val="22"/>
    </w:rPr>
  </w:style>
  <w:style w:type="paragraph" w:styleId="Heading9">
    <w:name w:val="heading 9"/>
    <w:basedOn w:val="Normal"/>
    <w:next w:val="Normal"/>
    <w:link w:val="Heading9Char"/>
    <w:uiPriority w:val="1"/>
    <w:semiHidden/>
    <w:qFormat/>
    <w:rsid w:val="00421773"/>
    <w:pPr>
      <w:keepNext/>
      <w:keepLines/>
      <w:spacing w:line="260" w:lineRule="atLeast"/>
      <w:outlineLvl w:val="8"/>
    </w:pPr>
    <w:rPr>
      <w:rFonts w:eastAsia="Times New Roman" w:cs="Arial"/>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21773"/>
    <w:rPr>
      <w:rFonts w:cs="Arial"/>
    </w:rPr>
  </w:style>
  <w:style w:type="character" w:customStyle="1" w:styleId="BalloonTextChar">
    <w:name w:val="Balloon Text Char"/>
    <w:basedOn w:val="DefaultParagraphFont"/>
    <w:link w:val="BalloonText"/>
    <w:uiPriority w:val="99"/>
    <w:semiHidden/>
    <w:rsid w:val="00421773"/>
    <w:rPr>
      <w:rFonts w:cs="Arial"/>
      <w:lang w:val="en-GB"/>
    </w:rPr>
  </w:style>
  <w:style w:type="paragraph" w:styleId="Bibliography">
    <w:name w:val="Bibliography"/>
    <w:basedOn w:val="Normal"/>
    <w:next w:val="Normal"/>
    <w:uiPriority w:val="99"/>
    <w:semiHidden/>
    <w:rsid w:val="00421773"/>
  </w:style>
  <w:style w:type="table" w:customStyle="1" w:styleId="Blank">
    <w:name w:val="Blank"/>
    <w:basedOn w:val="TableNormal"/>
    <w:uiPriority w:val="99"/>
    <w:rsid w:val="00421773"/>
    <w:pPr>
      <w:spacing w:after="0"/>
    </w:pPr>
    <w:rPr>
      <w:rFonts w:eastAsiaTheme="minorHAnsi"/>
      <w:szCs w:val="18"/>
    </w:rPr>
    <w:tblPr>
      <w:tblCellMar>
        <w:left w:w="0" w:type="dxa"/>
        <w:right w:w="0" w:type="dxa"/>
      </w:tblCellMar>
    </w:tblPr>
    <w:tblStylePr w:type="firstRow">
      <w:pPr>
        <w:wordWrap/>
        <w:spacing w:beforeLines="0" w:before="0" w:beforeAutospacing="0" w:afterLines="0" w:after="0" w:afterAutospacing="0" w:line="240" w:lineRule="auto"/>
        <w:ind w:leftChars="0" w:left="0" w:rightChars="0" w:right="0"/>
      </w:pPr>
    </w:tblStylePr>
    <w:tblStylePr w:type="lastRow">
      <w:pPr>
        <w:spacing w:before="0" w:after="0" w:line="240" w:lineRule="auto"/>
      </w:pPr>
    </w:tblStylePr>
  </w:style>
  <w:style w:type="character" w:customStyle="1" w:styleId="Heading1Char">
    <w:name w:val="Heading 1 Char"/>
    <w:link w:val="Heading1"/>
    <w:uiPriority w:val="1"/>
    <w:rsid w:val="00421773"/>
    <w:rPr>
      <w:rFonts w:eastAsia="Times New Roman" w:cs="Arial"/>
      <w:b/>
      <w:bCs/>
      <w:color w:val="auto"/>
      <w:sz w:val="48"/>
      <w:szCs w:val="40"/>
      <w:lang w:val="en-AU"/>
    </w:rPr>
  </w:style>
  <w:style w:type="character" w:customStyle="1" w:styleId="Heading2Char">
    <w:name w:val="Heading 2 Char"/>
    <w:link w:val="Heading2"/>
    <w:uiPriority w:val="1"/>
    <w:rsid w:val="00075BD2"/>
    <w:rPr>
      <w:rFonts w:eastAsia="Times New Roman" w:cs="Arial"/>
      <w:b/>
      <w:bCs/>
      <w:color w:val="auto"/>
      <w:sz w:val="36"/>
      <w:szCs w:val="32"/>
      <w:lang w:val="en-AU"/>
    </w:rPr>
  </w:style>
  <w:style w:type="character" w:customStyle="1" w:styleId="Heading3Char">
    <w:name w:val="Heading 3 Char"/>
    <w:link w:val="Heading3"/>
    <w:uiPriority w:val="1"/>
    <w:rsid w:val="00421773"/>
    <w:rPr>
      <w:rFonts w:eastAsia="Times New Roman" w:cs="Courier New"/>
      <w:b/>
      <w:color w:val="auto"/>
      <w:sz w:val="28"/>
      <w:szCs w:val="32"/>
      <w:lang w:val="en-GB"/>
    </w:rPr>
  </w:style>
  <w:style w:type="character" w:customStyle="1" w:styleId="Heading4Char">
    <w:name w:val="Heading 4 Char"/>
    <w:link w:val="Heading4"/>
    <w:uiPriority w:val="1"/>
    <w:rsid w:val="00421773"/>
    <w:rPr>
      <w:rFonts w:eastAsia="Times New Roman" w:cs="Courier New"/>
      <w:b/>
      <w:iCs/>
      <w:color w:val="auto"/>
      <w:sz w:val="22"/>
      <w:szCs w:val="30"/>
      <w:lang w:val="en-GB"/>
    </w:rPr>
  </w:style>
  <w:style w:type="character" w:customStyle="1" w:styleId="Heading5Char">
    <w:name w:val="Heading 5 Char"/>
    <w:link w:val="Heading5"/>
    <w:uiPriority w:val="1"/>
    <w:semiHidden/>
    <w:rsid w:val="00421773"/>
    <w:rPr>
      <w:rFonts w:eastAsia="Times New Roman" w:cs="Arial"/>
      <w:b/>
      <w:sz w:val="22"/>
      <w:szCs w:val="28"/>
      <w:lang w:val="en-GB"/>
    </w:rPr>
  </w:style>
  <w:style w:type="character" w:customStyle="1" w:styleId="Heading6Char">
    <w:name w:val="Heading 6 Char"/>
    <w:link w:val="Heading6"/>
    <w:uiPriority w:val="1"/>
    <w:semiHidden/>
    <w:rsid w:val="00421773"/>
    <w:rPr>
      <w:rFonts w:eastAsia="Times New Roman" w:cs="Arial"/>
      <w:b/>
      <w:iCs/>
      <w:sz w:val="22"/>
      <w:szCs w:val="26"/>
      <w:lang w:val="en-GB"/>
    </w:rPr>
  </w:style>
  <w:style w:type="character" w:customStyle="1" w:styleId="Heading7Char">
    <w:name w:val="Heading 7 Char"/>
    <w:link w:val="Heading7"/>
    <w:uiPriority w:val="1"/>
    <w:semiHidden/>
    <w:rsid w:val="00421773"/>
    <w:rPr>
      <w:rFonts w:eastAsia="Times New Roman" w:cs="Arial"/>
      <w:b/>
      <w:sz w:val="22"/>
      <w:szCs w:val="24"/>
      <w:lang w:val="en-GB"/>
    </w:rPr>
  </w:style>
  <w:style w:type="character" w:customStyle="1" w:styleId="Heading8Char">
    <w:name w:val="Heading 8 Char"/>
    <w:link w:val="Heading8"/>
    <w:uiPriority w:val="1"/>
    <w:semiHidden/>
    <w:rsid w:val="00421773"/>
    <w:rPr>
      <w:rFonts w:eastAsia="Times New Roman" w:cs="Arial"/>
      <w:b/>
      <w:iCs/>
      <w:sz w:val="22"/>
      <w:szCs w:val="22"/>
      <w:lang w:val="en-GB"/>
    </w:rPr>
  </w:style>
  <w:style w:type="character" w:customStyle="1" w:styleId="Heading9Char">
    <w:name w:val="Heading 9 Char"/>
    <w:link w:val="Heading9"/>
    <w:uiPriority w:val="1"/>
    <w:semiHidden/>
    <w:rsid w:val="00421773"/>
    <w:rPr>
      <w:rFonts w:eastAsia="Times New Roman" w:cs="Arial"/>
      <w:b/>
      <w:bCs/>
      <w:iCs/>
      <w:sz w:val="22"/>
      <w:lang w:val="en-GB"/>
    </w:rPr>
  </w:style>
  <w:style w:type="paragraph" w:styleId="BlockText">
    <w:name w:val="Block Text"/>
    <w:basedOn w:val="Normal"/>
    <w:uiPriority w:val="99"/>
    <w:semiHidden/>
    <w:rsid w:val="00421773"/>
    <w:pPr>
      <w:pBdr>
        <w:top w:val="single" w:sz="2" w:space="10" w:color="8E8989" w:themeColor="text1" w:themeTint="80"/>
        <w:left w:val="single" w:sz="2" w:space="10" w:color="8E8989" w:themeColor="text1" w:themeTint="80"/>
        <w:bottom w:val="single" w:sz="2" w:space="10" w:color="8E8989" w:themeColor="text1" w:themeTint="80"/>
        <w:right w:val="single" w:sz="2" w:space="10" w:color="8E8989" w:themeColor="text1" w:themeTint="80"/>
      </w:pBdr>
      <w:ind w:left="1151" w:right="1151"/>
    </w:pPr>
    <w:rPr>
      <w:i/>
      <w:iCs/>
    </w:rPr>
  </w:style>
  <w:style w:type="paragraph" w:styleId="BodyText">
    <w:name w:val="Body Text"/>
    <w:basedOn w:val="Normal"/>
    <w:link w:val="BodyTextChar"/>
    <w:uiPriority w:val="99"/>
    <w:semiHidden/>
    <w:rsid w:val="00421773"/>
    <w:pPr>
      <w:spacing w:after="120"/>
    </w:pPr>
  </w:style>
  <w:style w:type="character" w:customStyle="1" w:styleId="BodyTextChar">
    <w:name w:val="Body Text Char"/>
    <w:basedOn w:val="DefaultParagraphFont"/>
    <w:link w:val="BodyText"/>
    <w:uiPriority w:val="99"/>
    <w:semiHidden/>
    <w:rsid w:val="00421773"/>
    <w:rPr>
      <w:lang w:val="en-GB"/>
    </w:rPr>
  </w:style>
  <w:style w:type="paragraph" w:styleId="BodyText2">
    <w:name w:val="Body Text 2"/>
    <w:basedOn w:val="Normal"/>
    <w:link w:val="BodyText2Char"/>
    <w:uiPriority w:val="99"/>
    <w:semiHidden/>
    <w:rsid w:val="00421773"/>
    <w:pPr>
      <w:spacing w:after="120" w:line="480" w:lineRule="auto"/>
    </w:pPr>
  </w:style>
  <w:style w:type="character" w:customStyle="1" w:styleId="BodyText2Char">
    <w:name w:val="Body Text 2 Char"/>
    <w:basedOn w:val="DefaultParagraphFont"/>
    <w:link w:val="BodyText2"/>
    <w:uiPriority w:val="99"/>
    <w:semiHidden/>
    <w:rsid w:val="00421773"/>
    <w:rPr>
      <w:lang w:val="en-GB"/>
    </w:rPr>
  </w:style>
  <w:style w:type="paragraph" w:styleId="BodyText3">
    <w:name w:val="Body Text 3"/>
    <w:basedOn w:val="Normal"/>
    <w:link w:val="BodyText3Char"/>
    <w:uiPriority w:val="99"/>
    <w:semiHidden/>
    <w:rsid w:val="00421773"/>
    <w:pPr>
      <w:spacing w:after="120"/>
    </w:pPr>
    <w:rPr>
      <w:sz w:val="16"/>
      <w:szCs w:val="16"/>
    </w:rPr>
  </w:style>
  <w:style w:type="character" w:customStyle="1" w:styleId="BodyText3Char">
    <w:name w:val="Body Text 3 Char"/>
    <w:basedOn w:val="DefaultParagraphFont"/>
    <w:link w:val="BodyText3"/>
    <w:uiPriority w:val="99"/>
    <w:semiHidden/>
    <w:rsid w:val="00421773"/>
    <w:rPr>
      <w:sz w:val="16"/>
      <w:szCs w:val="16"/>
      <w:lang w:val="en-GB"/>
    </w:rPr>
  </w:style>
  <w:style w:type="paragraph" w:styleId="BodyTextFirstIndent">
    <w:name w:val="Body Text First Indent"/>
    <w:basedOn w:val="BodyText"/>
    <w:link w:val="BodyTextFirstIndentChar"/>
    <w:uiPriority w:val="99"/>
    <w:semiHidden/>
    <w:rsid w:val="00421773"/>
    <w:pPr>
      <w:spacing w:after="0"/>
      <w:ind w:firstLine="360"/>
    </w:pPr>
  </w:style>
  <w:style w:type="character" w:customStyle="1" w:styleId="BodyTextFirstIndentChar">
    <w:name w:val="Body Text First Indent Char"/>
    <w:basedOn w:val="BodyTextChar"/>
    <w:link w:val="BodyTextFirstIndent"/>
    <w:uiPriority w:val="99"/>
    <w:semiHidden/>
    <w:rsid w:val="00421773"/>
    <w:rPr>
      <w:lang w:val="en-GB"/>
    </w:rPr>
  </w:style>
  <w:style w:type="paragraph" w:styleId="BodyTextIndent">
    <w:name w:val="Body Text Indent"/>
    <w:basedOn w:val="Normal"/>
    <w:link w:val="BodyTextIndentChar"/>
    <w:uiPriority w:val="99"/>
    <w:semiHidden/>
    <w:rsid w:val="00421773"/>
    <w:pPr>
      <w:spacing w:after="120"/>
      <w:ind w:left="283"/>
    </w:pPr>
  </w:style>
  <w:style w:type="character" w:customStyle="1" w:styleId="BodyTextIndentChar">
    <w:name w:val="Body Text Indent Char"/>
    <w:basedOn w:val="DefaultParagraphFont"/>
    <w:link w:val="BodyTextIndent"/>
    <w:uiPriority w:val="99"/>
    <w:semiHidden/>
    <w:rsid w:val="00421773"/>
    <w:rPr>
      <w:lang w:val="en-GB"/>
    </w:rPr>
  </w:style>
  <w:style w:type="paragraph" w:styleId="BodyTextFirstIndent2">
    <w:name w:val="Body Text First Indent 2"/>
    <w:basedOn w:val="BodyTextIndent"/>
    <w:link w:val="BodyTextFirstIndent2Char"/>
    <w:uiPriority w:val="99"/>
    <w:semiHidden/>
    <w:rsid w:val="00421773"/>
    <w:pPr>
      <w:spacing w:after="0"/>
      <w:ind w:left="360" w:firstLine="360"/>
    </w:pPr>
  </w:style>
  <w:style w:type="character" w:customStyle="1" w:styleId="BodyTextFirstIndent2Char">
    <w:name w:val="Body Text First Indent 2 Char"/>
    <w:basedOn w:val="BodyTextIndentChar"/>
    <w:link w:val="BodyTextFirstIndent2"/>
    <w:uiPriority w:val="99"/>
    <w:semiHidden/>
    <w:rsid w:val="00421773"/>
    <w:rPr>
      <w:lang w:val="en-GB"/>
    </w:rPr>
  </w:style>
  <w:style w:type="paragraph" w:styleId="BodyTextIndent2">
    <w:name w:val="Body Text Indent 2"/>
    <w:basedOn w:val="Normal"/>
    <w:link w:val="BodyTextIndent2Char"/>
    <w:uiPriority w:val="99"/>
    <w:semiHidden/>
    <w:rsid w:val="00421773"/>
    <w:pPr>
      <w:spacing w:after="120" w:line="480" w:lineRule="auto"/>
      <w:ind w:left="283"/>
    </w:pPr>
  </w:style>
  <w:style w:type="character" w:customStyle="1" w:styleId="BodyTextIndent2Char">
    <w:name w:val="Body Text Indent 2 Char"/>
    <w:basedOn w:val="DefaultParagraphFont"/>
    <w:link w:val="BodyTextIndent2"/>
    <w:uiPriority w:val="99"/>
    <w:semiHidden/>
    <w:rsid w:val="00421773"/>
    <w:rPr>
      <w:lang w:val="en-GB"/>
    </w:rPr>
  </w:style>
  <w:style w:type="paragraph" w:styleId="BodyTextIndent3">
    <w:name w:val="Body Text Indent 3"/>
    <w:basedOn w:val="Normal"/>
    <w:link w:val="BodyTextIndent3Char"/>
    <w:uiPriority w:val="99"/>
    <w:semiHidden/>
    <w:rsid w:val="0042177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21773"/>
    <w:rPr>
      <w:sz w:val="16"/>
      <w:szCs w:val="16"/>
      <w:lang w:val="en-GB"/>
    </w:rPr>
  </w:style>
  <w:style w:type="character" w:styleId="BookTitle">
    <w:name w:val="Book Title"/>
    <w:basedOn w:val="DefaultParagraphFont"/>
    <w:uiPriority w:val="99"/>
    <w:semiHidden/>
    <w:qFormat/>
    <w:rsid w:val="00421773"/>
    <w:rPr>
      <w:b/>
      <w:bCs/>
      <w:caps w:val="0"/>
      <w:smallCaps w:val="0"/>
      <w:spacing w:val="5"/>
    </w:rPr>
  </w:style>
  <w:style w:type="paragraph" w:styleId="Caption">
    <w:name w:val="caption"/>
    <w:basedOn w:val="Normal"/>
    <w:next w:val="Normal"/>
    <w:uiPriority w:val="4"/>
    <w:qFormat/>
    <w:rsid w:val="00421773"/>
    <w:rPr>
      <w:rFonts w:eastAsia="Times New Roman" w:cs="Courier New"/>
    </w:rPr>
  </w:style>
  <w:style w:type="paragraph" w:styleId="Closing">
    <w:name w:val="Closing"/>
    <w:basedOn w:val="Normal"/>
    <w:link w:val="ClosingChar"/>
    <w:uiPriority w:val="99"/>
    <w:semiHidden/>
    <w:rsid w:val="00421773"/>
    <w:pPr>
      <w:ind w:left="4252"/>
    </w:pPr>
  </w:style>
  <w:style w:type="character" w:customStyle="1" w:styleId="ClosingChar">
    <w:name w:val="Closing Char"/>
    <w:basedOn w:val="DefaultParagraphFont"/>
    <w:link w:val="Closing"/>
    <w:uiPriority w:val="99"/>
    <w:semiHidden/>
    <w:rsid w:val="00421773"/>
    <w:rPr>
      <w:lang w:val="en-GB"/>
    </w:rPr>
  </w:style>
  <w:style w:type="table" w:styleId="ColorfulGrid">
    <w:name w:val="Colorful Grid"/>
    <w:basedOn w:val="TableNormal"/>
    <w:uiPriority w:val="73"/>
    <w:semiHidden/>
    <w:unhideWhenUsed/>
    <w:rsid w:val="00421773"/>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D2D0D0" w:themeFill="text1" w:themeFillTint="33"/>
    </w:tcPr>
    <w:tblStylePr w:type="firstRow">
      <w:rPr>
        <w:b/>
        <w:bCs/>
      </w:rPr>
      <w:tblPr/>
      <w:tcPr>
        <w:shd w:val="clear" w:color="auto" w:fill="A5A1A1" w:themeFill="text1" w:themeFillTint="66"/>
      </w:tcPr>
    </w:tblStylePr>
    <w:tblStylePr w:type="lastRow">
      <w:rPr>
        <w:b/>
        <w:bCs/>
        <w:color w:val="1A1919" w:themeColor="text1"/>
      </w:rPr>
      <w:tblPr/>
      <w:tcPr>
        <w:shd w:val="clear" w:color="auto" w:fill="A5A1A1" w:themeFill="text1" w:themeFillTint="66"/>
      </w:tcPr>
    </w:tblStylePr>
    <w:tblStylePr w:type="firstCol">
      <w:rPr>
        <w:color w:val="FFFFFF" w:themeColor="background1"/>
      </w:rPr>
      <w:tblPr/>
      <w:tcPr>
        <w:shd w:val="clear" w:color="auto" w:fill="131212" w:themeFill="text1" w:themeFillShade="BF"/>
      </w:tcPr>
    </w:tblStylePr>
    <w:tblStylePr w:type="lastCol">
      <w:rPr>
        <w:color w:val="FFFFFF" w:themeColor="background1"/>
      </w:rPr>
      <w:tblPr/>
      <w:tcPr>
        <w:shd w:val="clear" w:color="auto" w:fill="131212" w:themeFill="text1" w:themeFillShade="BF"/>
      </w:tcPr>
    </w:tblStylePr>
    <w:tblStylePr w:type="band1Vert">
      <w:tblPr/>
      <w:tcPr>
        <w:shd w:val="clear" w:color="auto" w:fill="8F8A8A" w:themeFill="text1" w:themeFillTint="7F"/>
      </w:tcPr>
    </w:tblStylePr>
    <w:tblStylePr w:type="band1Horz">
      <w:tblPr/>
      <w:tcPr>
        <w:shd w:val="clear" w:color="auto" w:fill="8F8A8A" w:themeFill="text1" w:themeFillTint="7F"/>
      </w:tcPr>
    </w:tblStylePr>
  </w:style>
  <w:style w:type="table" w:styleId="ColorfulGrid-Accent1">
    <w:name w:val="Colorful Grid Accent 1"/>
    <w:basedOn w:val="TableNormal"/>
    <w:uiPriority w:val="73"/>
    <w:semiHidden/>
    <w:unhideWhenUsed/>
    <w:rsid w:val="00421773"/>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E0F2F0" w:themeFill="accent1" w:themeFillTint="33"/>
    </w:tcPr>
    <w:tblStylePr w:type="firstRow">
      <w:rPr>
        <w:b/>
        <w:bCs/>
      </w:rPr>
      <w:tblPr/>
      <w:tcPr>
        <w:shd w:val="clear" w:color="auto" w:fill="C2E5E1" w:themeFill="accent1" w:themeFillTint="66"/>
      </w:tcPr>
    </w:tblStylePr>
    <w:tblStylePr w:type="lastRow">
      <w:rPr>
        <w:b/>
        <w:bCs/>
        <w:color w:val="1A1919" w:themeColor="text1"/>
      </w:rPr>
      <w:tblPr/>
      <w:tcPr>
        <w:shd w:val="clear" w:color="auto" w:fill="C2E5E1" w:themeFill="accent1" w:themeFillTint="66"/>
      </w:tcPr>
    </w:tblStylePr>
    <w:tblStylePr w:type="firstCol">
      <w:rPr>
        <w:color w:val="FFFFFF" w:themeColor="background1"/>
      </w:rPr>
      <w:tblPr/>
      <w:tcPr>
        <w:shd w:val="clear" w:color="auto" w:fill="419C90" w:themeFill="accent1" w:themeFillShade="BF"/>
      </w:tcPr>
    </w:tblStylePr>
    <w:tblStylePr w:type="lastCol">
      <w:rPr>
        <w:color w:val="FFFFFF" w:themeColor="background1"/>
      </w:rPr>
      <w:tblPr/>
      <w:tcPr>
        <w:shd w:val="clear" w:color="auto" w:fill="419C90" w:themeFill="accent1" w:themeFillShade="BF"/>
      </w:tcPr>
    </w:tblStylePr>
    <w:tblStylePr w:type="band1Vert">
      <w:tblPr/>
      <w:tcPr>
        <w:shd w:val="clear" w:color="auto" w:fill="B3DFDA" w:themeFill="accent1" w:themeFillTint="7F"/>
      </w:tcPr>
    </w:tblStylePr>
    <w:tblStylePr w:type="band1Horz">
      <w:tblPr/>
      <w:tcPr>
        <w:shd w:val="clear" w:color="auto" w:fill="B3DFDA" w:themeFill="accent1" w:themeFillTint="7F"/>
      </w:tcPr>
    </w:tblStylePr>
  </w:style>
  <w:style w:type="table" w:styleId="ColorfulGrid-Accent2">
    <w:name w:val="Colorful Grid Accent 2"/>
    <w:basedOn w:val="TableNormal"/>
    <w:uiPriority w:val="73"/>
    <w:semiHidden/>
    <w:unhideWhenUsed/>
    <w:rsid w:val="00421773"/>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E0EEF8" w:themeFill="accent2" w:themeFillTint="33"/>
    </w:tcPr>
    <w:tblStylePr w:type="firstRow">
      <w:rPr>
        <w:b/>
        <w:bCs/>
      </w:rPr>
      <w:tblPr/>
      <w:tcPr>
        <w:shd w:val="clear" w:color="auto" w:fill="C2DDF2" w:themeFill="accent2" w:themeFillTint="66"/>
      </w:tcPr>
    </w:tblStylePr>
    <w:tblStylePr w:type="lastRow">
      <w:rPr>
        <w:b/>
        <w:bCs/>
        <w:color w:val="1A1919" w:themeColor="text1"/>
      </w:rPr>
      <w:tblPr/>
      <w:tcPr>
        <w:shd w:val="clear" w:color="auto" w:fill="C2DDF2" w:themeFill="accent2" w:themeFillTint="66"/>
      </w:tcPr>
    </w:tblStylePr>
    <w:tblStylePr w:type="firstCol">
      <w:rPr>
        <w:color w:val="FFFFFF" w:themeColor="background1"/>
      </w:rPr>
      <w:tblPr/>
      <w:tcPr>
        <w:shd w:val="clear" w:color="auto" w:fill="2B85CA" w:themeFill="accent2" w:themeFillShade="BF"/>
      </w:tcPr>
    </w:tblStylePr>
    <w:tblStylePr w:type="lastCol">
      <w:rPr>
        <w:color w:val="FFFFFF" w:themeColor="background1"/>
      </w:rPr>
      <w:tblPr/>
      <w:tcPr>
        <w:shd w:val="clear" w:color="auto" w:fill="2B85CA" w:themeFill="accent2" w:themeFillShade="BF"/>
      </w:tcPr>
    </w:tblStylePr>
    <w:tblStylePr w:type="band1Vert">
      <w:tblPr/>
      <w:tcPr>
        <w:shd w:val="clear" w:color="auto" w:fill="B4D5EF" w:themeFill="accent2" w:themeFillTint="7F"/>
      </w:tcPr>
    </w:tblStylePr>
    <w:tblStylePr w:type="band1Horz">
      <w:tblPr/>
      <w:tcPr>
        <w:shd w:val="clear" w:color="auto" w:fill="B4D5EF" w:themeFill="accent2" w:themeFillTint="7F"/>
      </w:tcPr>
    </w:tblStylePr>
  </w:style>
  <w:style w:type="table" w:styleId="ColorfulGrid-Accent3">
    <w:name w:val="Colorful Grid Accent 3"/>
    <w:basedOn w:val="TableNormal"/>
    <w:uiPriority w:val="73"/>
    <w:semiHidden/>
    <w:unhideWhenUsed/>
    <w:rsid w:val="00421773"/>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DFE1EF" w:themeFill="accent3" w:themeFillTint="33"/>
    </w:tcPr>
    <w:tblStylePr w:type="firstRow">
      <w:rPr>
        <w:b/>
        <w:bCs/>
      </w:rPr>
      <w:tblPr/>
      <w:tcPr>
        <w:shd w:val="clear" w:color="auto" w:fill="C0C3DF" w:themeFill="accent3" w:themeFillTint="66"/>
      </w:tcPr>
    </w:tblStylePr>
    <w:tblStylePr w:type="lastRow">
      <w:rPr>
        <w:b/>
        <w:bCs/>
        <w:color w:val="1A1919" w:themeColor="text1"/>
      </w:rPr>
      <w:tblPr/>
      <w:tcPr>
        <w:shd w:val="clear" w:color="auto" w:fill="C0C3DF" w:themeFill="accent3" w:themeFillTint="66"/>
      </w:tcPr>
    </w:tblStylePr>
    <w:tblStylePr w:type="firstCol">
      <w:rPr>
        <w:color w:val="FFFFFF" w:themeColor="background1"/>
      </w:rPr>
      <w:tblPr/>
      <w:tcPr>
        <w:shd w:val="clear" w:color="auto" w:fill="454B87" w:themeFill="accent3" w:themeFillShade="BF"/>
      </w:tcPr>
    </w:tblStylePr>
    <w:tblStylePr w:type="lastCol">
      <w:rPr>
        <w:color w:val="FFFFFF" w:themeColor="background1"/>
      </w:rPr>
      <w:tblPr/>
      <w:tcPr>
        <w:shd w:val="clear" w:color="auto" w:fill="454B87" w:themeFill="accent3" w:themeFillShade="BF"/>
      </w:tcPr>
    </w:tblStylePr>
    <w:tblStylePr w:type="band1Vert">
      <w:tblPr/>
      <w:tcPr>
        <w:shd w:val="clear" w:color="auto" w:fill="B1B4D7" w:themeFill="accent3" w:themeFillTint="7F"/>
      </w:tcPr>
    </w:tblStylePr>
    <w:tblStylePr w:type="band1Horz">
      <w:tblPr/>
      <w:tcPr>
        <w:shd w:val="clear" w:color="auto" w:fill="B1B4D7" w:themeFill="accent3" w:themeFillTint="7F"/>
      </w:tcPr>
    </w:tblStylePr>
  </w:style>
  <w:style w:type="table" w:styleId="ColorfulGrid-Accent4">
    <w:name w:val="Colorful Grid Accent 4"/>
    <w:basedOn w:val="TableNormal"/>
    <w:uiPriority w:val="73"/>
    <w:semiHidden/>
    <w:unhideWhenUsed/>
    <w:rsid w:val="00421773"/>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EFE1EE" w:themeFill="accent4" w:themeFillTint="33"/>
    </w:tcPr>
    <w:tblStylePr w:type="firstRow">
      <w:rPr>
        <w:b/>
        <w:bCs/>
      </w:rPr>
      <w:tblPr/>
      <w:tcPr>
        <w:shd w:val="clear" w:color="auto" w:fill="E0C4DD" w:themeFill="accent4" w:themeFillTint="66"/>
      </w:tcPr>
    </w:tblStylePr>
    <w:tblStylePr w:type="lastRow">
      <w:rPr>
        <w:b/>
        <w:bCs/>
        <w:color w:val="1A1919" w:themeColor="text1"/>
      </w:rPr>
      <w:tblPr/>
      <w:tcPr>
        <w:shd w:val="clear" w:color="auto" w:fill="E0C4DD" w:themeFill="accent4" w:themeFillTint="66"/>
      </w:tcPr>
    </w:tblStylePr>
    <w:tblStylePr w:type="firstCol">
      <w:rPr>
        <w:color w:val="FFFFFF" w:themeColor="background1"/>
      </w:rPr>
      <w:tblPr/>
      <w:tcPr>
        <w:shd w:val="clear" w:color="auto" w:fill="8C4A85" w:themeFill="accent4" w:themeFillShade="BF"/>
      </w:tcPr>
    </w:tblStylePr>
    <w:tblStylePr w:type="lastCol">
      <w:rPr>
        <w:color w:val="FFFFFF" w:themeColor="background1"/>
      </w:rPr>
      <w:tblPr/>
      <w:tcPr>
        <w:shd w:val="clear" w:color="auto" w:fill="8C4A85" w:themeFill="accent4" w:themeFillShade="BF"/>
      </w:tcPr>
    </w:tblStylePr>
    <w:tblStylePr w:type="band1Vert">
      <w:tblPr/>
      <w:tcPr>
        <w:shd w:val="clear" w:color="auto" w:fill="D8B6D5" w:themeFill="accent4" w:themeFillTint="7F"/>
      </w:tcPr>
    </w:tblStylePr>
    <w:tblStylePr w:type="band1Horz">
      <w:tblPr/>
      <w:tcPr>
        <w:shd w:val="clear" w:color="auto" w:fill="D8B6D5" w:themeFill="accent4" w:themeFillTint="7F"/>
      </w:tcPr>
    </w:tblStylePr>
  </w:style>
  <w:style w:type="table" w:styleId="ColorfulGrid-Accent5">
    <w:name w:val="Colorful Grid Accent 5"/>
    <w:basedOn w:val="TableNormal"/>
    <w:uiPriority w:val="73"/>
    <w:semiHidden/>
    <w:unhideWhenUsed/>
    <w:rsid w:val="00421773"/>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FAECF3" w:themeFill="accent5" w:themeFillTint="33"/>
    </w:tcPr>
    <w:tblStylePr w:type="firstRow">
      <w:rPr>
        <w:b/>
        <w:bCs/>
      </w:rPr>
      <w:tblPr/>
      <w:tcPr>
        <w:shd w:val="clear" w:color="auto" w:fill="F5D9E8" w:themeFill="accent5" w:themeFillTint="66"/>
      </w:tcPr>
    </w:tblStylePr>
    <w:tblStylePr w:type="lastRow">
      <w:rPr>
        <w:b/>
        <w:bCs/>
        <w:color w:val="1A1919" w:themeColor="text1"/>
      </w:rPr>
      <w:tblPr/>
      <w:tcPr>
        <w:shd w:val="clear" w:color="auto" w:fill="F5D9E8" w:themeFill="accent5" w:themeFillTint="66"/>
      </w:tcPr>
    </w:tblStylePr>
    <w:tblStylePr w:type="firstCol">
      <w:rPr>
        <w:color w:val="FFFFFF" w:themeColor="background1"/>
      </w:rPr>
      <w:tblPr/>
      <w:tcPr>
        <w:shd w:val="clear" w:color="auto" w:fill="D25399" w:themeFill="accent5" w:themeFillShade="BF"/>
      </w:tcPr>
    </w:tblStylePr>
    <w:tblStylePr w:type="lastCol">
      <w:rPr>
        <w:color w:val="FFFFFF" w:themeColor="background1"/>
      </w:rPr>
      <w:tblPr/>
      <w:tcPr>
        <w:shd w:val="clear" w:color="auto" w:fill="D25399" w:themeFill="accent5" w:themeFillShade="BF"/>
      </w:tcPr>
    </w:tblStylePr>
    <w:tblStylePr w:type="band1Vert">
      <w:tblPr/>
      <w:tcPr>
        <w:shd w:val="clear" w:color="auto" w:fill="F3D0E3" w:themeFill="accent5" w:themeFillTint="7F"/>
      </w:tcPr>
    </w:tblStylePr>
    <w:tblStylePr w:type="band1Horz">
      <w:tblPr/>
      <w:tcPr>
        <w:shd w:val="clear" w:color="auto" w:fill="F3D0E3" w:themeFill="accent5" w:themeFillTint="7F"/>
      </w:tcPr>
    </w:tblStylePr>
  </w:style>
  <w:style w:type="table" w:styleId="ColorfulGrid-Accent6">
    <w:name w:val="Colorful Grid Accent 6"/>
    <w:basedOn w:val="TableNormal"/>
    <w:uiPriority w:val="73"/>
    <w:semiHidden/>
    <w:unhideWhenUsed/>
    <w:rsid w:val="00421773"/>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EBF5FC" w:themeFill="accent6" w:themeFillTint="33"/>
    </w:tcPr>
    <w:tblStylePr w:type="firstRow">
      <w:rPr>
        <w:b/>
        <w:bCs/>
      </w:rPr>
      <w:tblPr/>
      <w:tcPr>
        <w:shd w:val="clear" w:color="auto" w:fill="D7ECFA" w:themeFill="accent6" w:themeFillTint="66"/>
      </w:tcPr>
    </w:tblStylePr>
    <w:tblStylePr w:type="lastRow">
      <w:rPr>
        <w:b/>
        <w:bCs/>
        <w:color w:val="1A1919" w:themeColor="text1"/>
      </w:rPr>
      <w:tblPr/>
      <w:tcPr>
        <w:shd w:val="clear" w:color="auto" w:fill="D7ECFA" w:themeFill="accent6" w:themeFillTint="66"/>
      </w:tcPr>
    </w:tblStylePr>
    <w:tblStylePr w:type="firstCol">
      <w:rPr>
        <w:color w:val="FFFFFF" w:themeColor="background1"/>
      </w:rPr>
      <w:tblPr/>
      <w:tcPr>
        <w:shd w:val="clear" w:color="auto" w:fill="41A8EA" w:themeFill="accent6" w:themeFillShade="BF"/>
      </w:tcPr>
    </w:tblStylePr>
    <w:tblStylePr w:type="lastCol">
      <w:rPr>
        <w:color w:val="FFFFFF" w:themeColor="background1"/>
      </w:rPr>
      <w:tblPr/>
      <w:tcPr>
        <w:shd w:val="clear" w:color="auto" w:fill="41A8EA" w:themeFill="accent6" w:themeFillShade="BF"/>
      </w:tcPr>
    </w:tblStylePr>
    <w:tblStylePr w:type="band1Vert">
      <w:tblPr/>
      <w:tcPr>
        <w:shd w:val="clear" w:color="auto" w:fill="CDE8F9" w:themeFill="accent6" w:themeFillTint="7F"/>
      </w:tcPr>
    </w:tblStylePr>
    <w:tblStylePr w:type="band1Horz">
      <w:tblPr/>
      <w:tcPr>
        <w:shd w:val="clear" w:color="auto" w:fill="CDE8F9" w:themeFill="accent6" w:themeFillTint="7F"/>
      </w:tcPr>
    </w:tblStylePr>
  </w:style>
  <w:style w:type="table" w:styleId="ColorfulList">
    <w:name w:val="Colorful List"/>
    <w:basedOn w:val="TableNormal"/>
    <w:uiPriority w:val="72"/>
    <w:semiHidden/>
    <w:unhideWhenUsed/>
    <w:rsid w:val="00421773"/>
    <w:pPr>
      <w:spacing w:after="0"/>
    </w:pPr>
    <w:rPr>
      <w:rFonts w:eastAsiaTheme="minorHAnsi" w:cs="Arial"/>
      <w:color w:val="1A1919" w:themeColor="text1"/>
      <w:sz w:val="18"/>
      <w:szCs w:val="18"/>
    </w:rPr>
    <w:tblPr>
      <w:tblStyleRowBandSize w:val="1"/>
      <w:tblStyleColBandSize w:val="1"/>
    </w:tblPr>
    <w:tcPr>
      <w:shd w:val="clear" w:color="auto" w:fill="E9E8E8" w:themeFill="text1" w:themeFillTint="19"/>
    </w:tcPr>
    <w:tblStylePr w:type="firstRow">
      <w:rPr>
        <w:b/>
        <w:bCs/>
        <w:color w:val="FFFFFF" w:themeColor="background1"/>
      </w:rPr>
      <w:tblPr/>
      <w:tcPr>
        <w:tcBorders>
          <w:bottom w:val="single" w:sz="12" w:space="0" w:color="FFFFFF" w:themeColor="background1"/>
        </w:tcBorders>
        <w:shd w:val="clear" w:color="auto" w:fill="328DD3" w:themeFill="accent2" w:themeFillShade="CC"/>
      </w:tcPr>
    </w:tblStylePr>
    <w:tblStylePr w:type="lastRow">
      <w:rPr>
        <w:b/>
        <w:bCs/>
        <w:color w:val="328DD3" w:themeColor="accent2"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5C5" w:themeFill="text1" w:themeFillTint="3F"/>
      </w:tcPr>
    </w:tblStylePr>
    <w:tblStylePr w:type="band1Horz">
      <w:tblPr/>
      <w:tcPr>
        <w:shd w:val="clear" w:color="auto" w:fill="D2D0D0" w:themeFill="text1" w:themeFillTint="33"/>
      </w:tcPr>
    </w:tblStylePr>
  </w:style>
  <w:style w:type="table" w:styleId="ColorfulList-Accent1">
    <w:name w:val="Colorful List Accent 1"/>
    <w:basedOn w:val="TableNormal"/>
    <w:uiPriority w:val="72"/>
    <w:semiHidden/>
    <w:unhideWhenUsed/>
    <w:rsid w:val="00421773"/>
    <w:pPr>
      <w:spacing w:after="0"/>
    </w:pPr>
    <w:rPr>
      <w:rFonts w:eastAsiaTheme="minorHAnsi" w:cs="Arial"/>
      <w:color w:val="1A1919" w:themeColor="text1"/>
      <w:sz w:val="18"/>
      <w:szCs w:val="18"/>
    </w:rPr>
    <w:tblPr>
      <w:tblStyleRowBandSize w:val="1"/>
      <w:tblStyleColBandSize w:val="1"/>
    </w:tblPr>
    <w:tcPr>
      <w:shd w:val="clear" w:color="auto" w:fill="F0F8F7" w:themeFill="accent1" w:themeFillTint="19"/>
    </w:tcPr>
    <w:tblStylePr w:type="firstRow">
      <w:rPr>
        <w:b/>
        <w:bCs/>
        <w:color w:val="FFFFFF" w:themeColor="background1"/>
      </w:rPr>
      <w:tblPr/>
      <w:tcPr>
        <w:tcBorders>
          <w:bottom w:val="single" w:sz="12" w:space="0" w:color="FFFFFF" w:themeColor="background1"/>
        </w:tcBorders>
        <w:shd w:val="clear" w:color="auto" w:fill="328DD3" w:themeFill="accent2" w:themeFillShade="CC"/>
      </w:tcPr>
    </w:tblStylePr>
    <w:tblStylePr w:type="lastRow">
      <w:rPr>
        <w:b/>
        <w:bCs/>
        <w:color w:val="328DD3" w:themeColor="accent2"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FEC" w:themeFill="accent1" w:themeFillTint="3F"/>
      </w:tcPr>
    </w:tblStylePr>
    <w:tblStylePr w:type="band1Horz">
      <w:tblPr/>
      <w:tcPr>
        <w:shd w:val="clear" w:color="auto" w:fill="E0F2F0" w:themeFill="accent1" w:themeFillTint="33"/>
      </w:tcPr>
    </w:tblStylePr>
  </w:style>
  <w:style w:type="table" w:styleId="ColorfulList-Accent2">
    <w:name w:val="Colorful List Accent 2"/>
    <w:basedOn w:val="TableNormal"/>
    <w:uiPriority w:val="72"/>
    <w:semiHidden/>
    <w:unhideWhenUsed/>
    <w:rsid w:val="00421773"/>
    <w:pPr>
      <w:spacing w:after="0"/>
    </w:pPr>
    <w:rPr>
      <w:rFonts w:eastAsiaTheme="minorHAnsi" w:cs="Arial"/>
      <w:color w:val="1A1919" w:themeColor="text1"/>
      <w:sz w:val="18"/>
      <w:szCs w:val="18"/>
    </w:rPr>
    <w:tblPr>
      <w:tblStyleRowBandSize w:val="1"/>
      <w:tblStyleColBandSize w:val="1"/>
    </w:tblPr>
    <w:tcPr>
      <w:shd w:val="clear" w:color="auto" w:fill="F0F6FB" w:themeFill="accent2" w:themeFillTint="19"/>
    </w:tcPr>
    <w:tblStylePr w:type="firstRow">
      <w:rPr>
        <w:b/>
        <w:bCs/>
        <w:color w:val="FFFFFF" w:themeColor="background1"/>
      </w:rPr>
      <w:tblPr/>
      <w:tcPr>
        <w:tcBorders>
          <w:bottom w:val="single" w:sz="12" w:space="0" w:color="FFFFFF" w:themeColor="background1"/>
        </w:tcBorders>
        <w:shd w:val="clear" w:color="auto" w:fill="328DD3" w:themeFill="accent2" w:themeFillShade="CC"/>
      </w:tcPr>
    </w:tblStylePr>
    <w:tblStylePr w:type="lastRow">
      <w:rPr>
        <w:b/>
        <w:bCs/>
        <w:color w:val="328DD3" w:themeColor="accent2"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AF7" w:themeFill="accent2" w:themeFillTint="3F"/>
      </w:tcPr>
    </w:tblStylePr>
    <w:tblStylePr w:type="band1Horz">
      <w:tblPr/>
      <w:tcPr>
        <w:shd w:val="clear" w:color="auto" w:fill="E0EEF8" w:themeFill="accent2" w:themeFillTint="33"/>
      </w:tcPr>
    </w:tblStylePr>
  </w:style>
  <w:style w:type="table" w:styleId="ColorfulList-Accent3">
    <w:name w:val="Colorful List Accent 3"/>
    <w:basedOn w:val="TableNormal"/>
    <w:uiPriority w:val="72"/>
    <w:semiHidden/>
    <w:unhideWhenUsed/>
    <w:rsid w:val="00421773"/>
    <w:pPr>
      <w:spacing w:after="0"/>
    </w:pPr>
    <w:rPr>
      <w:rFonts w:eastAsiaTheme="minorHAnsi" w:cs="Arial"/>
      <w:color w:val="1A1919" w:themeColor="text1"/>
      <w:sz w:val="18"/>
      <w:szCs w:val="18"/>
    </w:rPr>
    <w:tblPr>
      <w:tblStyleRowBandSize w:val="1"/>
      <w:tblStyleColBandSize w:val="1"/>
    </w:tblPr>
    <w:tcPr>
      <w:shd w:val="clear" w:color="auto" w:fill="EFF0F7" w:themeFill="accent3" w:themeFillTint="19"/>
    </w:tcPr>
    <w:tblStylePr w:type="firstRow">
      <w:rPr>
        <w:b/>
        <w:bCs/>
        <w:color w:val="FFFFFF" w:themeColor="background1"/>
      </w:rPr>
      <w:tblPr/>
      <w:tcPr>
        <w:tcBorders>
          <w:bottom w:val="single" w:sz="12" w:space="0" w:color="FFFFFF" w:themeColor="background1"/>
        </w:tcBorders>
        <w:shd w:val="clear" w:color="auto" w:fill="964F8E" w:themeFill="accent4" w:themeFillShade="CC"/>
      </w:tcPr>
    </w:tblStylePr>
    <w:tblStylePr w:type="lastRow">
      <w:rPr>
        <w:b/>
        <w:bCs/>
        <w:color w:val="964F8E" w:themeColor="accent4"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AEB" w:themeFill="accent3" w:themeFillTint="3F"/>
      </w:tcPr>
    </w:tblStylePr>
    <w:tblStylePr w:type="band1Horz">
      <w:tblPr/>
      <w:tcPr>
        <w:shd w:val="clear" w:color="auto" w:fill="DFE1EF" w:themeFill="accent3" w:themeFillTint="33"/>
      </w:tcPr>
    </w:tblStylePr>
  </w:style>
  <w:style w:type="table" w:styleId="ColorfulList-Accent4">
    <w:name w:val="Colorful List Accent 4"/>
    <w:basedOn w:val="TableNormal"/>
    <w:uiPriority w:val="72"/>
    <w:semiHidden/>
    <w:unhideWhenUsed/>
    <w:rsid w:val="00421773"/>
    <w:pPr>
      <w:spacing w:after="0"/>
    </w:pPr>
    <w:rPr>
      <w:rFonts w:eastAsiaTheme="minorHAnsi" w:cs="Arial"/>
      <w:color w:val="1A1919" w:themeColor="text1"/>
      <w:sz w:val="18"/>
      <w:szCs w:val="18"/>
    </w:rPr>
    <w:tblPr>
      <w:tblStyleRowBandSize w:val="1"/>
      <w:tblStyleColBandSize w:val="1"/>
    </w:tblPr>
    <w:tcPr>
      <w:shd w:val="clear" w:color="auto" w:fill="F7F0F6" w:themeFill="accent4" w:themeFillTint="19"/>
    </w:tcPr>
    <w:tblStylePr w:type="firstRow">
      <w:rPr>
        <w:b/>
        <w:bCs/>
        <w:color w:val="FFFFFF" w:themeColor="background1"/>
      </w:rPr>
      <w:tblPr/>
      <w:tcPr>
        <w:tcBorders>
          <w:bottom w:val="single" w:sz="12" w:space="0" w:color="FFFFFF" w:themeColor="background1"/>
        </w:tcBorders>
        <w:shd w:val="clear" w:color="auto" w:fill="4A5090" w:themeFill="accent3" w:themeFillShade="CC"/>
      </w:tcPr>
    </w:tblStylePr>
    <w:tblStylePr w:type="lastRow">
      <w:rPr>
        <w:b/>
        <w:bCs/>
        <w:color w:val="4A5090" w:themeColor="accent3"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AEA" w:themeFill="accent4" w:themeFillTint="3F"/>
      </w:tcPr>
    </w:tblStylePr>
    <w:tblStylePr w:type="band1Horz">
      <w:tblPr/>
      <w:tcPr>
        <w:shd w:val="clear" w:color="auto" w:fill="EFE1EE" w:themeFill="accent4" w:themeFillTint="33"/>
      </w:tcPr>
    </w:tblStylePr>
  </w:style>
  <w:style w:type="table" w:styleId="ColorfulList-Accent5">
    <w:name w:val="Colorful List Accent 5"/>
    <w:basedOn w:val="TableNormal"/>
    <w:uiPriority w:val="72"/>
    <w:semiHidden/>
    <w:unhideWhenUsed/>
    <w:rsid w:val="00421773"/>
    <w:pPr>
      <w:spacing w:after="0"/>
    </w:pPr>
    <w:rPr>
      <w:rFonts w:eastAsiaTheme="minorHAnsi" w:cs="Arial"/>
      <w:color w:val="1A1919" w:themeColor="text1"/>
      <w:sz w:val="18"/>
      <w:szCs w:val="18"/>
    </w:rPr>
    <w:tblPr>
      <w:tblStyleRowBandSize w:val="1"/>
      <w:tblStyleColBandSize w:val="1"/>
    </w:tblPr>
    <w:tcPr>
      <w:shd w:val="clear" w:color="auto" w:fill="FCF5F9" w:themeFill="accent5" w:themeFillTint="19"/>
    </w:tcPr>
    <w:tblStylePr w:type="firstRow">
      <w:rPr>
        <w:b/>
        <w:bCs/>
        <w:color w:val="FFFFFF" w:themeColor="background1"/>
      </w:rPr>
      <w:tblPr/>
      <w:tcPr>
        <w:tcBorders>
          <w:bottom w:val="single" w:sz="12" w:space="0" w:color="FFFFFF" w:themeColor="background1"/>
        </w:tcBorders>
        <w:shd w:val="clear" w:color="auto" w:fill="54B0EC" w:themeFill="accent6" w:themeFillShade="CC"/>
      </w:tcPr>
    </w:tblStylePr>
    <w:tblStylePr w:type="lastRow">
      <w:rPr>
        <w:b/>
        <w:bCs/>
        <w:color w:val="54B0EC" w:themeColor="accent6"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7F1" w:themeFill="accent5" w:themeFillTint="3F"/>
      </w:tcPr>
    </w:tblStylePr>
    <w:tblStylePr w:type="band1Horz">
      <w:tblPr/>
      <w:tcPr>
        <w:shd w:val="clear" w:color="auto" w:fill="FAECF3" w:themeFill="accent5" w:themeFillTint="33"/>
      </w:tcPr>
    </w:tblStylePr>
  </w:style>
  <w:style w:type="table" w:styleId="ColorfulList-Accent6">
    <w:name w:val="Colorful List Accent 6"/>
    <w:basedOn w:val="TableNormal"/>
    <w:uiPriority w:val="72"/>
    <w:semiHidden/>
    <w:unhideWhenUsed/>
    <w:rsid w:val="00421773"/>
    <w:pPr>
      <w:spacing w:after="0"/>
    </w:pPr>
    <w:rPr>
      <w:rFonts w:eastAsiaTheme="minorHAnsi" w:cs="Arial"/>
      <w:color w:val="1A1919" w:themeColor="text1"/>
      <w:sz w:val="18"/>
      <w:szCs w:val="18"/>
    </w:rPr>
    <w:tblPr>
      <w:tblStyleRowBandSize w:val="1"/>
      <w:tblStyleColBandSize w:val="1"/>
    </w:tblPr>
    <w:tcPr>
      <w:shd w:val="clear" w:color="auto" w:fill="F5FAFE" w:themeFill="accent6" w:themeFillTint="19"/>
    </w:tcPr>
    <w:tblStylePr w:type="firstRow">
      <w:rPr>
        <w:b/>
        <w:bCs/>
        <w:color w:val="FFFFFF" w:themeColor="background1"/>
      </w:rPr>
      <w:tblPr/>
      <w:tcPr>
        <w:tcBorders>
          <w:bottom w:val="single" w:sz="12" w:space="0" w:color="FFFFFF" w:themeColor="background1"/>
        </w:tcBorders>
        <w:shd w:val="clear" w:color="auto" w:fill="D763A2" w:themeFill="accent5" w:themeFillShade="CC"/>
      </w:tcPr>
    </w:tblStylePr>
    <w:tblStylePr w:type="lastRow">
      <w:rPr>
        <w:b/>
        <w:bCs/>
        <w:color w:val="D763A2" w:themeColor="accent5"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F3FC" w:themeFill="accent6" w:themeFillTint="3F"/>
      </w:tcPr>
    </w:tblStylePr>
    <w:tblStylePr w:type="band1Horz">
      <w:tblPr/>
      <w:tcPr>
        <w:shd w:val="clear" w:color="auto" w:fill="EBF5FC" w:themeFill="accent6" w:themeFillTint="33"/>
      </w:tcPr>
    </w:tblStylePr>
  </w:style>
  <w:style w:type="table" w:styleId="ColorfulShading">
    <w:name w:val="Colorful Shading"/>
    <w:basedOn w:val="TableNormal"/>
    <w:uiPriority w:val="71"/>
    <w:semiHidden/>
    <w:unhideWhenUsed/>
    <w:rsid w:val="00421773"/>
    <w:pPr>
      <w:spacing w:after="0"/>
    </w:pPr>
    <w:rPr>
      <w:rFonts w:eastAsiaTheme="minorHAnsi" w:cs="Arial"/>
      <w:color w:val="1A1919" w:themeColor="text1"/>
      <w:sz w:val="18"/>
      <w:szCs w:val="18"/>
    </w:rPr>
    <w:tblPr>
      <w:tblStyleRowBandSize w:val="1"/>
      <w:tblStyleColBandSize w:val="1"/>
      <w:tblBorders>
        <w:top w:val="single" w:sz="24" w:space="0" w:color="69ACDF" w:themeColor="accent2"/>
        <w:left w:val="single" w:sz="4" w:space="0" w:color="1A1919" w:themeColor="text1"/>
        <w:bottom w:val="single" w:sz="4" w:space="0" w:color="1A1919" w:themeColor="text1"/>
        <w:right w:val="single" w:sz="4" w:space="0" w:color="1A1919" w:themeColor="text1"/>
        <w:insideH w:val="single" w:sz="4" w:space="0" w:color="FFFFFF" w:themeColor="background1"/>
        <w:insideV w:val="single" w:sz="4" w:space="0" w:color="FFFFFF" w:themeColor="background1"/>
      </w:tblBorders>
    </w:tblPr>
    <w:tcPr>
      <w:shd w:val="clear" w:color="auto" w:fill="E9E8E8" w:themeFill="text1" w:themeFillTint="19"/>
    </w:tcPr>
    <w:tblStylePr w:type="firstRow">
      <w:rPr>
        <w:b/>
        <w:bCs/>
      </w:rPr>
      <w:tblPr/>
      <w:tcPr>
        <w:tcBorders>
          <w:top w:val="nil"/>
          <w:left w:val="nil"/>
          <w:bottom w:val="single" w:sz="24" w:space="0" w:color="69AC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0F0F" w:themeFill="text1" w:themeFillShade="99"/>
      </w:tcPr>
    </w:tblStylePr>
    <w:tblStylePr w:type="firstCol">
      <w:rPr>
        <w:color w:val="FFFFFF" w:themeColor="background1"/>
      </w:rPr>
      <w:tblPr/>
      <w:tcPr>
        <w:tcBorders>
          <w:top w:val="nil"/>
          <w:left w:val="nil"/>
          <w:bottom w:val="nil"/>
          <w:right w:val="nil"/>
          <w:insideH w:val="single" w:sz="4" w:space="0" w:color="0F0F0F" w:themeColor="text1" w:themeShade="99"/>
          <w:insideV w:val="nil"/>
        </w:tcBorders>
        <w:shd w:val="clear" w:color="auto" w:fill="0F0F0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31212" w:themeFill="text1" w:themeFillShade="BF"/>
      </w:tcPr>
    </w:tblStylePr>
    <w:tblStylePr w:type="band1Vert">
      <w:tblPr/>
      <w:tcPr>
        <w:shd w:val="clear" w:color="auto" w:fill="A5A1A1" w:themeFill="text1" w:themeFillTint="66"/>
      </w:tcPr>
    </w:tblStylePr>
    <w:tblStylePr w:type="band1Horz">
      <w:tblPr/>
      <w:tcPr>
        <w:shd w:val="clear" w:color="auto" w:fill="8F8A8A" w:themeFill="text1" w:themeFillTint="7F"/>
      </w:tcPr>
    </w:tblStylePr>
    <w:tblStylePr w:type="neCell">
      <w:rPr>
        <w:color w:val="1A1919" w:themeColor="text1"/>
      </w:rPr>
    </w:tblStylePr>
    <w:tblStylePr w:type="nwCell">
      <w:rPr>
        <w:color w:val="1A1919" w:themeColor="text1"/>
      </w:rPr>
    </w:tblStylePr>
  </w:style>
  <w:style w:type="table" w:styleId="ColorfulShading-Accent1">
    <w:name w:val="Colorful Shading Accent 1"/>
    <w:basedOn w:val="TableNormal"/>
    <w:uiPriority w:val="71"/>
    <w:semiHidden/>
    <w:unhideWhenUsed/>
    <w:rsid w:val="00421773"/>
    <w:pPr>
      <w:spacing w:after="0"/>
    </w:pPr>
    <w:rPr>
      <w:rFonts w:eastAsiaTheme="minorHAnsi" w:cs="Arial"/>
      <w:color w:val="1A1919" w:themeColor="text1"/>
      <w:sz w:val="18"/>
      <w:szCs w:val="18"/>
    </w:rPr>
    <w:tblPr>
      <w:tblStyleRowBandSize w:val="1"/>
      <w:tblStyleColBandSize w:val="1"/>
      <w:tblBorders>
        <w:top w:val="single" w:sz="24" w:space="0" w:color="69ACDF" w:themeColor="accent2"/>
        <w:left w:val="single" w:sz="4" w:space="0" w:color="68C0B5" w:themeColor="accent1"/>
        <w:bottom w:val="single" w:sz="4" w:space="0" w:color="68C0B5" w:themeColor="accent1"/>
        <w:right w:val="single" w:sz="4" w:space="0" w:color="68C0B5" w:themeColor="accent1"/>
        <w:insideH w:val="single" w:sz="4" w:space="0" w:color="FFFFFF" w:themeColor="background1"/>
        <w:insideV w:val="single" w:sz="4" w:space="0" w:color="FFFFFF" w:themeColor="background1"/>
      </w:tblBorders>
    </w:tblPr>
    <w:tcPr>
      <w:shd w:val="clear" w:color="auto" w:fill="F0F8F7" w:themeFill="accent1" w:themeFillTint="19"/>
    </w:tcPr>
    <w:tblStylePr w:type="firstRow">
      <w:rPr>
        <w:b/>
        <w:bCs/>
      </w:rPr>
      <w:tblPr/>
      <w:tcPr>
        <w:tcBorders>
          <w:top w:val="nil"/>
          <w:left w:val="nil"/>
          <w:bottom w:val="single" w:sz="24" w:space="0" w:color="69AC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7D73" w:themeFill="accent1" w:themeFillShade="99"/>
      </w:tcPr>
    </w:tblStylePr>
    <w:tblStylePr w:type="firstCol">
      <w:rPr>
        <w:color w:val="FFFFFF" w:themeColor="background1"/>
      </w:rPr>
      <w:tblPr/>
      <w:tcPr>
        <w:tcBorders>
          <w:top w:val="nil"/>
          <w:left w:val="nil"/>
          <w:bottom w:val="nil"/>
          <w:right w:val="nil"/>
          <w:insideH w:val="single" w:sz="4" w:space="0" w:color="347D73" w:themeColor="accent1" w:themeShade="99"/>
          <w:insideV w:val="nil"/>
        </w:tcBorders>
        <w:shd w:val="clear" w:color="auto" w:fill="347D7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7D73" w:themeFill="accent1" w:themeFillShade="99"/>
      </w:tcPr>
    </w:tblStylePr>
    <w:tblStylePr w:type="band1Vert">
      <w:tblPr/>
      <w:tcPr>
        <w:shd w:val="clear" w:color="auto" w:fill="C2E5E1" w:themeFill="accent1" w:themeFillTint="66"/>
      </w:tcPr>
    </w:tblStylePr>
    <w:tblStylePr w:type="band1Horz">
      <w:tblPr/>
      <w:tcPr>
        <w:shd w:val="clear" w:color="auto" w:fill="B3DFDA" w:themeFill="accent1" w:themeFillTint="7F"/>
      </w:tcPr>
    </w:tblStylePr>
    <w:tblStylePr w:type="neCell">
      <w:rPr>
        <w:color w:val="1A1919" w:themeColor="text1"/>
      </w:rPr>
    </w:tblStylePr>
    <w:tblStylePr w:type="nwCell">
      <w:rPr>
        <w:color w:val="1A1919" w:themeColor="text1"/>
      </w:rPr>
    </w:tblStylePr>
  </w:style>
  <w:style w:type="table" w:styleId="ColorfulShading-Accent2">
    <w:name w:val="Colorful Shading Accent 2"/>
    <w:basedOn w:val="TableNormal"/>
    <w:uiPriority w:val="71"/>
    <w:semiHidden/>
    <w:unhideWhenUsed/>
    <w:rsid w:val="00421773"/>
    <w:pPr>
      <w:spacing w:after="0"/>
    </w:pPr>
    <w:rPr>
      <w:rFonts w:eastAsiaTheme="minorHAnsi" w:cs="Arial"/>
      <w:color w:val="1A1919" w:themeColor="text1"/>
      <w:sz w:val="18"/>
      <w:szCs w:val="18"/>
    </w:rPr>
    <w:tblPr>
      <w:tblStyleRowBandSize w:val="1"/>
      <w:tblStyleColBandSize w:val="1"/>
      <w:tblBorders>
        <w:top w:val="single" w:sz="24" w:space="0" w:color="69ACDF" w:themeColor="accent2"/>
        <w:left w:val="single" w:sz="4" w:space="0" w:color="69ACDF" w:themeColor="accent2"/>
        <w:bottom w:val="single" w:sz="4" w:space="0" w:color="69ACDF" w:themeColor="accent2"/>
        <w:right w:val="single" w:sz="4" w:space="0" w:color="69ACDF" w:themeColor="accent2"/>
        <w:insideH w:val="single" w:sz="4" w:space="0" w:color="FFFFFF" w:themeColor="background1"/>
        <w:insideV w:val="single" w:sz="4" w:space="0" w:color="FFFFFF" w:themeColor="background1"/>
      </w:tblBorders>
    </w:tblPr>
    <w:tcPr>
      <w:shd w:val="clear" w:color="auto" w:fill="F0F6FB" w:themeFill="accent2" w:themeFillTint="19"/>
    </w:tcPr>
    <w:tblStylePr w:type="firstRow">
      <w:rPr>
        <w:b/>
        <w:bCs/>
      </w:rPr>
      <w:tblPr/>
      <w:tcPr>
        <w:tcBorders>
          <w:top w:val="nil"/>
          <w:left w:val="nil"/>
          <w:bottom w:val="single" w:sz="24" w:space="0" w:color="69AC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6AA2" w:themeFill="accent2" w:themeFillShade="99"/>
      </w:tcPr>
    </w:tblStylePr>
    <w:tblStylePr w:type="firstCol">
      <w:rPr>
        <w:color w:val="FFFFFF" w:themeColor="background1"/>
      </w:rPr>
      <w:tblPr/>
      <w:tcPr>
        <w:tcBorders>
          <w:top w:val="nil"/>
          <w:left w:val="nil"/>
          <w:bottom w:val="nil"/>
          <w:right w:val="nil"/>
          <w:insideH w:val="single" w:sz="4" w:space="0" w:color="226AA2" w:themeColor="accent2" w:themeShade="99"/>
          <w:insideV w:val="nil"/>
        </w:tcBorders>
        <w:shd w:val="clear" w:color="auto" w:fill="226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26AA2" w:themeFill="accent2" w:themeFillShade="99"/>
      </w:tcPr>
    </w:tblStylePr>
    <w:tblStylePr w:type="band1Vert">
      <w:tblPr/>
      <w:tcPr>
        <w:shd w:val="clear" w:color="auto" w:fill="C2DDF2" w:themeFill="accent2" w:themeFillTint="66"/>
      </w:tcPr>
    </w:tblStylePr>
    <w:tblStylePr w:type="band1Horz">
      <w:tblPr/>
      <w:tcPr>
        <w:shd w:val="clear" w:color="auto" w:fill="B4D5EF" w:themeFill="accent2" w:themeFillTint="7F"/>
      </w:tcPr>
    </w:tblStylePr>
    <w:tblStylePr w:type="neCell">
      <w:rPr>
        <w:color w:val="1A1919" w:themeColor="text1"/>
      </w:rPr>
    </w:tblStylePr>
    <w:tblStylePr w:type="nwCell">
      <w:rPr>
        <w:color w:val="1A1919" w:themeColor="text1"/>
      </w:rPr>
    </w:tblStylePr>
  </w:style>
  <w:style w:type="table" w:styleId="ColorfulShading-Accent3">
    <w:name w:val="Colorful Shading Accent 3"/>
    <w:basedOn w:val="TableNormal"/>
    <w:uiPriority w:val="71"/>
    <w:semiHidden/>
    <w:unhideWhenUsed/>
    <w:rsid w:val="00421773"/>
    <w:pPr>
      <w:spacing w:after="0"/>
    </w:pPr>
    <w:rPr>
      <w:rFonts w:eastAsiaTheme="minorHAnsi" w:cs="Arial"/>
      <w:color w:val="1A1919" w:themeColor="text1"/>
      <w:sz w:val="18"/>
      <w:szCs w:val="18"/>
    </w:rPr>
    <w:tblPr>
      <w:tblStyleRowBandSize w:val="1"/>
      <w:tblStyleColBandSize w:val="1"/>
      <w:tblBorders>
        <w:top w:val="single" w:sz="24" w:space="0" w:color="B26DAB" w:themeColor="accent4"/>
        <w:left w:val="single" w:sz="4" w:space="0" w:color="636AAF" w:themeColor="accent3"/>
        <w:bottom w:val="single" w:sz="4" w:space="0" w:color="636AAF" w:themeColor="accent3"/>
        <w:right w:val="single" w:sz="4" w:space="0" w:color="636AAF" w:themeColor="accent3"/>
        <w:insideH w:val="single" w:sz="4" w:space="0" w:color="FFFFFF" w:themeColor="background1"/>
        <w:insideV w:val="single" w:sz="4" w:space="0" w:color="FFFFFF" w:themeColor="background1"/>
      </w:tblBorders>
    </w:tblPr>
    <w:tcPr>
      <w:shd w:val="clear" w:color="auto" w:fill="EFF0F7" w:themeFill="accent3" w:themeFillTint="19"/>
    </w:tcPr>
    <w:tblStylePr w:type="firstRow">
      <w:rPr>
        <w:b/>
        <w:bCs/>
      </w:rPr>
      <w:tblPr/>
      <w:tcPr>
        <w:tcBorders>
          <w:top w:val="nil"/>
          <w:left w:val="nil"/>
          <w:bottom w:val="single" w:sz="24" w:space="0" w:color="B26DA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3C6C" w:themeFill="accent3" w:themeFillShade="99"/>
      </w:tcPr>
    </w:tblStylePr>
    <w:tblStylePr w:type="firstCol">
      <w:rPr>
        <w:color w:val="FFFFFF" w:themeColor="background1"/>
      </w:rPr>
      <w:tblPr/>
      <w:tcPr>
        <w:tcBorders>
          <w:top w:val="nil"/>
          <w:left w:val="nil"/>
          <w:bottom w:val="nil"/>
          <w:right w:val="nil"/>
          <w:insideH w:val="single" w:sz="4" w:space="0" w:color="373C6C" w:themeColor="accent3" w:themeShade="99"/>
          <w:insideV w:val="nil"/>
        </w:tcBorders>
        <w:shd w:val="clear" w:color="auto" w:fill="373C6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73C6C" w:themeFill="accent3" w:themeFillShade="99"/>
      </w:tcPr>
    </w:tblStylePr>
    <w:tblStylePr w:type="band1Vert">
      <w:tblPr/>
      <w:tcPr>
        <w:shd w:val="clear" w:color="auto" w:fill="C0C3DF" w:themeFill="accent3" w:themeFillTint="66"/>
      </w:tcPr>
    </w:tblStylePr>
    <w:tblStylePr w:type="band1Horz">
      <w:tblPr/>
      <w:tcPr>
        <w:shd w:val="clear" w:color="auto" w:fill="B1B4D7" w:themeFill="accent3" w:themeFillTint="7F"/>
      </w:tcPr>
    </w:tblStylePr>
  </w:style>
  <w:style w:type="table" w:styleId="ColorfulShading-Accent4">
    <w:name w:val="Colorful Shading Accent 4"/>
    <w:basedOn w:val="TableNormal"/>
    <w:uiPriority w:val="71"/>
    <w:semiHidden/>
    <w:unhideWhenUsed/>
    <w:rsid w:val="00421773"/>
    <w:pPr>
      <w:spacing w:after="0"/>
    </w:pPr>
    <w:rPr>
      <w:rFonts w:eastAsiaTheme="minorHAnsi" w:cs="Arial"/>
      <w:color w:val="1A1919" w:themeColor="text1"/>
      <w:sz w:val="18"/>
      <w:szCs w:val="18"/>
    </w:rPr>
    <w:tblPr>
      <w:tblStyleRowBandSize w:val="1"/>
      <w:tblStyleColBandSize w:val="1"/>
      <w:tblBorders>
        <w:top w:val="single" w:sz="24" w:space="0" w:color="636AAF" w:themeColor="accent3"/>
        <w:left w:val="single" w:sz="4" w:space="0" w:color="B26DAB" w:themeColor="accent4"/>
        <w:bottom w:val="single" w:sz="4" w:space="0" w:color="B26DAB" w:themeColor="accent4"/>
        <w:right w:val="single" w:sz="4" w:space="0" w:color="B26DAB" w:themeColor="accent4"/>
        <w:insideH w:val="single" w:sz="4" w:space="0" w:color="FFFFFF" w:themeColor="background1"/>
        <w:insideV w:val="single" w:sz="4" w:space="0" w:color="FFFFFF" w:themeColor="background1"/>
      </w:tblBorders>
    </w:tblPr>
    <w:tcPr>
      <w:shd w:val="clear" w:color="auto" w:fill="F7F0F6" w:themeFill="accent4" w:themeFillTint="19"/>
    </w:tcPr>
    <w:tblStylePr w:type="firstRow">
      <w:rPr>
        <w:b/>
        <w:bCs/>
      </w:rPr>
      <w:tblPr/>
      <w:tcPr>
        <w:tcBorders>
          <w:top w:val="nil"/>
          <w:left w:val="nil"/>
          <w:bottom w:val="single" w:sz="24" w:space="0" w:color="636AA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3B6B" w:themeFill="accent4" w:themeFillShade="99"/>
      </w:tcPr>
    </w:tblStylePr>
    <w:tblStylePr w:type="firstCol">
      <w:rPr>
        <w:color w:val="FFFFFF" w:themeColor="background1"/>
      </w:rPr>
      <w:tblPr/>
      <w:tcPr>
        <w:tcBorders>
          <w:top w:val="nil"/>
          <w:left w:val="nil"/>
          <w:bottom w:val="nil"/>
          <w:right w:val="nil"/>
          <w:insideH w:val="single" w:sz="4" w:space="0" w:color="703B6B" w:themeColor="accent4" w:themeShade="99"/>
          <w:insideV w:val="nil"/>
        </w:tcBorders>
        <w:shd w:val="clear" w:color="auto" w:fill="703B6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03B6B" w:themeFill="accent4" w:themeFillShade="99"/>
      </w:tcPr>
    </w:tblStylePr>
    <w:tblStylePr w:type="band1Vert">
      <w:tblPr/>
      <w:tcPr>
        <w:shd w:val="clear" w:color="auto" w:fill="E0C4DD" w:themeFill="accent4" w:themeFillTint="66"/>
      </w:tcPr>
    </w:tblStylePr>
    <w:tblStylePr w:type="band1Horz">
      <w:tblPr/>
      <w:tcPr>
        <w:shd w:val="clear" w:color="auto" w:fill="D8B6D5" w:themeFill="accent4" w:themeFillTint="7F"/>
      </w:tcPr>
    </w:tblStylePr>
    <w:tblStylePr w:type="neCell">
      <w:rPr>
        <w:color w:val="1A1919" w:themeColor="text1"/>
      </w:rPr>
    </w:tblStylePr>
    <w:tblStylePr w:type="nwCell">
      <w:rPr>
        <w:color w:val="1A1919" w:themeColor="text1"/>
      </w:rPr>
    </w:tblStylePr>
  </w:style>
  <w:style w:type="table" w:styleId="ColorfulShading-Accent5">
    <w:name w:val="Colorful Shading Accent 5"/>
    <w:basedOn w:val="TableNormal"/>
    <w:uiPriority w:val="71"/>
    <w:semiHidden/>
    <w:unhideWhenUsed/>
    <w:rsid w:val="00421773"/>
    <w:pPr>
      <w:spacing w:after="0"/>
    </w:pPr>
    <w:rPr>
      <w:rFonts w:eastAsiaTheme="minorHAnsi" w:cs="Arial"/>
      <w:color w:val="1A1919" w:themeColor="text1"/>
      <w:sz w:val="18"/>
      <w:szCs w:val="18"/>
    </w:rPr>
    <w:tblPr>
      <w:tblStyleRowBandSize w:val="1"/>
      <w:tblStyleColBandSize w:val="1"/>
      <w:tblBorders>
        <w:top w:val="single" w:sz="24" w:space="0" w:color="9CD2F4" w:themeColor="accent6"/>
        <w:left w:val="single" w:sz="4" w:space="0" w:color="E7A2C8" w:themeColor="accent5"/>
        <w:bottom w:val="single" w:sz="4" w:space="0" w:color="E7A2C8" w:themeColor="accent5"/>
        <w:right w:val="single" w:sz="4" w:space="0" w:color="E7A2C8" w:themeColor="accent5"/>
        <w:insideH w:val="single" w:sz="4" w:space="0" w:color="FFFFFF" w:themeColor="background1"/>
        <w:insideV w:val="single" w:sz="4" w:space="0" w:color="FFFFFF" w:themeColor="background1"/>
      </w:tblBorders>
    </w:tblPr>
    <w:tcPr>
      <w:shd w:val="clear" w:color="auto" w:fill="FCF5F9" w:themeFill="accent5" w:themeFillTint="19"/>
    </w:tcPr>
    <w:tblStylePr w:type="firstRow">
      <w:rPr>
        <w:b/>
        <w:bCs/>
      </w:rPr>
      <w:tblPr/>
      <w:tcPr>
        <w:tcBorders>
          <w:top w:val="nil"/>
          <w:left w:val="nil"/>
          <w:bottom w:val="single" w:sz="24" w:space="0" w:color="9CD2F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B307C" w:themeFill="accent5" w:themeFillShade="99"/>
      </w:tcPr>
    </w:tblStylePr>
    <w:tblStylePr w:type="firstCol">
      <w:rPr>
        <w:color w:val="FFFFFF" w:themeColor="background1"/>
      </w:rPr>
      <w:tblPr/>
      <w:tcPr>
        <w:tcBorders>
          <w:top w:val="nil"/>
          <w:left w:val="nil"/>
          <w:bottom w:val="nil"/>
          <w:right w:val="nil"/>
          <w:insideH w:val="single" w:sz="4" w:space="0" w:color="BB307C" w:themeColor="accent5" w:themeShade="99"/>
          <w:insideV w:val="nil"/>
        </w:tcBorders>
        <w:shd w:val="clear" w:color="auto" w:fill="BB30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B307C" w:themeFill="accent5" w:themeFillShade="99"/>
      </w:tcPr>
    </w:tblStylePr>
    <w:tblStylePr w:type="band1Vert">
      <w:tblPr/>
      <w:tcPr>
        <w:shd w:val="clear" w:color="auto" w:fill="F5D9E8" w:themeFill="accent5" w:themeFillTint="66"/>
      </w:tcPr>
    </w:tblStylePr>
    <w:tblStylePr w:type="band1Horz">
      <w:tblPr/>
      <w:tcPr>
        <w:shd w:val="clear" w:color="auto" w:fill="F3D0E3" w:themeFill="accent5" w:themeFillTint="7F"/>
      </w:tcPr>
    </w:tblStylePr>
    <w:tblStylePr w:type="neCell">
      <w:rPr>
        <w:color w:val="1A1919" w:themeColor="text1"/>
      </w:rPr>
    </w:tblStylePr>
    <w:tblStylePr w:type="nwCell">
      <w:rPr>
        <w:color w:val="1A1919" w:themeColor="text1"/>
      </w:rPr>
    </w:tblStylePr>
  </w:style>
  <w:style w:type="table" w:styleId="ColorfulShading-Accent6">
    <w:name w:val="Colorful Shading Accent 6"/>
    <w:basedOn w:val="TableNormal"/>
    <w:uiPriority w:val="71"/>
    <w:semiHidden/>
    <w:unhideWhenUsed/>
    <w:rsid w:val="00421773"/>
    <w:pPr>
      <w:spacing w:after="0"/>
    </w:pPr>
    <w:rPr>
      <w:rFonts w:eastAsiaTheme="minorHAnsi" w:cs="Arial"/>
      <w:color w:val="1A1919" w:themeColor="text1"/>
      <w:sz w:val="18"/>
      <w:szCs w:val="18"/>
    </w:rPr>
    <w:tblPr>
      <w:tblStyleRowBandSize w:val="1"/>
      <w:tblStyleColBandSize w:val="1"/>
      <w:tblBorders>
        <w:top w:val="single" w:sz="24" w:space="0" w:color="E7A2C8" w:themeColor="accent5"/>
        <w:left w:val="single" w:sz="4" w:space="0" w:color="9CD2F4" w:themeColor="accent6"/>
        <w:bottom w:val="single" w:sz="4" w:space="0" w:color="9CD2F4" w:themeColor="accent6"/>
        <w:right w:val="single" w:sz="4" w:space="0" w:color="9CD2F4" w:themeColor="accent6"/>
        <w:insideH w:val="single" w:sz="4" w:space="0" w:color="FFFFFF" w:themeColor="background1"/>
        <w:insideV w:val="single" w:sz="4" w:space="0" w:color="FFFFFF" w:themeColor="background1"/>
      </w:tblBorders>
    </w:tblPr>
    <w:tcPr>
      <w:shd w:val="clear" w:color="auto" w:fill="F5FAFE" w:themeFill="accent6" w:themeFillTint="19"/>
    </w:tcPr>
    <w:tblStylePr w:type="firstRow">
      <w:rPr>
        <w:b/>
        <w:bCs/>
      </w:rPr>
      <w:tblPr/>
      <w:tcPr>
        <w:tcBorders>
          <w:top w:val="nil"/>
          <w:left w:val="nil"/>
          <w:bottom w:val="single" w:sz="24" w:space="0" w:color="E7A2C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8DD8" w:themeFill="accent6" w:themeFillShade="99"/>
      </w:tcPr>
    </w:tblStylePr>
    <w:tblStylePr w:type="firstCol">
      <w:rPr>
        <w:color w:val="FFFFFF" w:themeColor="background1"/>
      </w:rPr>
      <w:tblPr/>
      <w:tcPr>
        <w:tcBorders>
          <w:top w:val="nil"/>
          <w:left w:val="nil"/>
          <w:bottom w:val="nil"/>
          <w:right w:val="nil"/>
          <w:insideH w:val="single" w:sz="4" w:space="0" w:color="188DD8" w:themeColor="accent6" w:themeShade="99"/>
          <w:insideV w:val="nil"/>
        </w:tcBorders>
        <w:shd w:val="clear" w:color="auto" w:fill="188DD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88DD8" w:themeFill="accent6" w:themeFillShade="99"/>
      </w:tcPr>
    </w:tblStylePr>
    <w:tblStylePr w:type="band1Vert">
      <w:tblPr/>
      <w:tcPr>
        <w:shd w:val="clear" w:color="auto" w:fill="D7ECFA" w:themeFill="accent6" w:themeFillTint="66"/>
      </w:tcPr>
    </w:tblStylePr>
    <w:tblStylePr w:type="band1Horz">
      <w:tblPr/>
      <w:tcPr>
        <w:shd w:val="clear" w:color="auto" w:fill="CDE8F9" w:themeFill="accent6" w:themeFillTint="7F"/>
      </w:tcPr>
    </w:tblStylePr>
    <w:tblStylePr w:type="neCell">
      <w:rPr>
        <w:color w:val="1A1919" w:themeColor="text1"/>
      </w:rPr>
    </w:tblStylePr>
    <w:tblStylePr w:type="nwCell">
      <w:rPr>
        <w:color w:val="1A1919" w:themeColor="text1"/>
      </w:rPr>
    </w:tblStylePr>
  </w:style>
  <w:style w:type="character" w:styleId="CommentReference">
    <w:name w:val="annotation reference"/>
    <w:basedOn w:val="DefaultParagraphFont"/>
    <w:uiPriority w:val="99"/>
    <w:semiHidden/>
    <w:rsid w:val="00421773"/>
    <w:rPr>
      <w:sz w:val="16"/>
      <w:szCs w:val="16"/>
    </w:rPr>
  </w:style>
  <w:style w:type="paragraph" w:styleId="CommentText">
    <w:name w:val="annotation text"/>
    <w:basedOn w:val="Normal"/>
    <w:link w:val="CommentTextChar"/>
    <w:uiPriority w:val="99"/>
    <w:semiHidden/>
    <w:rsid w:val="00421773"/>
  </w:style>
  <w:style w:type="character" w:customStyle="1" w:styleId="CommentTextChar">
    <w:name w:val="Comment Text Char"/>
    <w:basedOn w:val="DefaultParagraphFont"/>
    <w:link w:val="CommentText"/>
    <w:uiPriority w:val="99"/>
    <w:semiHidden/>
    <w:rsid w:val="00421773"/>
    <w:rPr>
      <w:lang w:val="en-GB"/>
    </w:rPr>
  </w:style>
  <w:style w:type="paragraph" w:styleId="CommentSubject">
    <w:name w:val="annotation subject"/>
    <w:basedOn w:val="CommentText"/>
    <w:next w:val="CommentText"/>
    <w:link w:val="CommentSubjectChar"/>
    <w:uiPriority w:val="99"/>
    <w:semiHidden/>
    <w:rsid w:val="00421773"/>
    <w:rPr>
      <w:b/>
      <w:bCs/>
    </w:rPr>
  </w:style>
  <w:style w:type="character" w:customStyle="1" w:styleId="CommentSubjectChar">
    <w:name w:val="Comment Subject Char"/>
    <w:basedOn w:val="CommentTextChar"/>
    <w:link w:val="CommentSubject"/>
    <w:uiPriority w:val="99"/>
    <w:semiHidden/>
    <w:rsid w:val="00421773"/>
    <w:rPr>
      <w:b/>
      <w:bCs/>
      <w:lang w:val="en-GB"/>
    </w:rPr>
  </w:style>
  <w:style w:type="table" w:styleId="DarkList">
    <w:name w:val="Dark List"/>
    <w:basedOn w:val="TableNormal"/>
    <w:uiPriority w:val="70"/>
    <w:semiHidden/>
    <w:unhideWhenUsed/>
    <w:rsid w:val="00421773"/>
    <w:pPr>
      <w:spacing w:after="0"/>
    </w:pPr>
    <w:rPr>
      <w:rFonts w:eastAsiaTheme="minorHAnsi" w:cs="Arial"/>
      <w:color w:val="FFFFFF" w:themeColor="background1"/>
      <w:sz w:val="18"/>
      <w:szCs w:val="18"/>
    </w:rPr>
    <w:tblPr>
      <w:tblStyleRowBandSize w:val="1"/>
      <w:tblStyleColBandSize w:val="1"/>
    </w:tblPr>
    <w:tcPr>
      <w:shd w:val="clear" w:color="auto" w:fill="1A1919" w:themeFill="text1"/>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0C0C0C"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3121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31212" w:themeFill="text1" w:themeFillShade="BF"/>
      </w:tcPr>
    </w:tblStylePr>
    <w:tblStylePr w:type="band1Vert">
      <w:tblPr/>
      <w:tcPr>
        <w:tcBorders>
          <w:top w:val="nil"/>
          <w:left w:val="nil"/>
          <w:bottom w:val="nil"/>
          <w:right w:val="nil"/>
          <w:insideH w:val="nil"/>
          <w:insideV w:val="nil"/>
        </w:tcBorders>
        <w:shd w:val="clear" w:color="auto" w:fill="131212" w:themeFill="text1" w:themeFillShade="BF"/>
      </w:tcPr>
    </w:tblStylePr>
    <w:tblStylePr w:type="band1Horz">
      <w:tblPr/>
      <w:tcPr>
        <w:tcBorders>
          <w:top w:val="nil"/>
          <w:left w:val="nil"/>
          <w:bottom w:val="nil"/>
          <w:right w:val="nil"/>
          <w:insideH w:val="nil"/>
          <w:insideV w:val="nil"/>
        </w:tcBorders>
        <w:shd w:val="clear" w:color="auto" w:fill="131212" w:themeFill="text1" w:themeFillShade="BF"/>
      </w:tcPr>
    </w:tblStylePr>
  </w:style>
  <w:style w:type="table" w:styleId="DarkList-Accent1">
    <w:name w:val="Dark List Accent 1"/>
    <w:basedOn w:val="TableNormal"/>
    <w:uiPriority w:val="70"/>
    <w:semiHidden/>
    <w:unhideWhenUsed/>
    <w:rsid w:val="00421773"/>
    <w:pPr>
      <w:spacing w:after="0"/>
    </w:pPr>
    <w:rPr>
      <w:rFonts w:eastAsiaTheme="minorHAnsi" w:cs="Arial"/>
      <w:color w:val="FFFFFF" w:themeColor="background1"/>
      <w:sz w:val="18"/>
      <w:szCs w:val="18"/>
    </w:rPr>
    <w:tblPr>
      <w:tblStyleRowBandSize w:val="1"/>
      <w:tblStyleColBandSize w:val="1"/>
    </w:tblPr>
    <w:tcPr>
      <w:shd w:val="clear" w:color="auto" w:fill="68C0B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2B67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9C9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9C90" w:themeFill="accent1" w:themeFillShade="BF"/>
      </w:tcPr>
    </w:tblStylePr>
    <w:tblStylePr w:type="band1Vert">
      <w:tblPr/>
      <w:tcPr>
        <w:tcBorders>
          <w:top w:val="nil"/>
          <w:left w:val="nil"/>
          <w:bottom w:val="nil"/>
          <w:right w:val="nil"/>
          <w:insideH w:val="nil"/>
          <w:insideV w:val="nil"/>
        </w:tcBorders>
        <w:shd w:val="clear" w:color="auto" w:fill="419C90" w:themeFill="accent1" w:themeFillShade="BF"/>
      </w:tcPr>
    </w:tblStylePr>
    <w:tblStylePr w:type="band1Horz">
      <w:tblPr/>
      <w:tcPr>
        <w:tcBorders>
          <w:top w:val="nil"/>
          <w:left w:val="nil"/>
          <w:bottom w:val="nil"/>
          <w:right w:val="nil"/>
          <w:insideH w:val="nil"/>
          <w:insideV w:val="nil"/>
        </w:tcBorders>
        <w:shd w:val="clear" w:color="auto" w:fill="419C90" w:themeFill="accent1" w:themeFillShade="BF"/>
      </w:tcPr>
    </w:tblStylePr>
  </w:style>
  <w:style w:type="table" w:styleId="DarkList-Accent2">
    <w:name w:val="Dark List Accent 2"/>
    <w:basedOn w:val="TableNormal"/>
    <w:uiPriority w:val="70"/>
    <w:semiHidden/>
    <w:unhideWhenUsed/>
    <w:rsid w:val="00421773"/>
    <w:pPr>
      <w:spacing w:after="0"/>
    </w:pPr>
    <w:rPr>
      <w:rFonts w:eastAsiaTheme="minorHAnsi" w:cs="Arial"/>
      <w:color w:val="FFFFFF" w:themeColor="background1"/>
      <w:sz w:val="18"/>
      <w:szCs w:val="18"/>
    </w:rPr>
    <w:tblPr>
      <w:tblStyleRowBandSize w:val="1"/>
      <w:tblStyleColBandSize w:val="1"/>
    </w:tblPr>
    <w:tcPr>
      <w:shd w:val="clear" w:color="auto" w:fill="69AC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1C58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B85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B85CA" w:themeFill="accent2" w:themeFillShade="BF"/>
      </w:tcPr>
    </w:tblStylePr>
    <w:tblStylePr w:type="band1Vert">
      <w:tblPr/>
      <w:tcPr>
        <w:tcBorders>
          <w:top w:val="nil"/>
          <w:left w:val="nil"/>
          <w:bottom w:val="nil"/>
          <w:right w:val="nil"/>
          <w:insideH w:val="nil"/>
          <w:insideV w:val="nil"/>
        </w:tcBorders>
        <w:shd w:val="clear" w:color="auto" w:fill="2B85CA" w:themeFill="accent2" w:themeFillShade="BF"/>
      </w:tcPr>
    </w:tblStylePr>
    <w:tblStylePr w:type="band1Horz">
      <w:tblPr/>
      <w:tcPr>
        <w:tcBorders>
          <w:top w:val="nil"/>
          <w:left w:val="nil"/>
          <w:bottom w:val="nil"/>
          <w:right w:val="nil"/>
          <w:insideH w:val="nil"/>
          <w:insideV w:val="nil"/>
        </w:tcBorders>
        <w:shd w:val="clear" w:color="auto" w:fill="2B85CA" w:themeFill="accent2" w:themeFillShade="BF"/>
      </w:tcPr>
    </w:tblStylePr>
  </w:style>
  <w:style w:type="table" w:styleId="DarkList-Accent3">
    <w:name w:val="Dark List Accent 3"/>
    <w:basedOn w:val="TableNormal"/>
    <w:uiPriority w:val="70"/>
    <w:semiHidden/>
    <w:unhideWhenUsed/>
    <w:rsid w:val="00421773"/>
    <w:pPr>
      <w:spacing w:after="0"/>
    </w:pPr>
    <w:rPr>
      <w:rFonts w:eastAsiaTheme="minorHAnsi" w:cs="Arial"/>
      <w:color w:val="FFFFFF" w:themeColor="background1"/>
      <w:sz w:val="18"/>
      <w:szCs w:val="18"/>
    </w:rPr>
    <w:tblPr>
      <w:tblStyleRowBandSize w:val="1"/>
      <w:tblStyleColBandSize w:val="1"/>
    </w:tblPr>
    <w:tcPr>
      <w:shd w:val="clear" w:color="auto" w:fill="636AA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2E325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54B8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54B87" w:themeFill="accent3" w:themeFillShade="BF"/>
      </w:tcPr>
    </w:tblStylePr>
    <w:tblStylePr w:type="band1Vert">
      <w:tblPr/>
      <w:tcPr>
        <w:tcBorders>
          <w:top w:val="nil"/>
          <w:left w:val="nil"/>
          <w:bottom w:val="nil"/>
          <w:right w:val="nil"/>
          <w:insideH w:val="nil"/>
          <w:insideV w:val="nil"/>
        </w:tcBorders>
        <w:shd w:val="clear" w:color="auto" w:fill="454B87" w:themeFill="accent3" w:themeFillShade="BF"/>
      </w:tcPr>
    </w:tblStylePr>
    <w:tblStylePr w:type="band1Horz">
      <w:tblPr/>
      <w:tcPr>
        <w:tcBorders>
          <w:top w:val="nil"/>
          <w:left w:val="nil"/>
          <w:bottom w:val="nil"/>
          <w:right w:val="nil"/>
          <w:insideH w:val="nil"/>
          <w:insideV w:val="nil"/>
        </w:tcBorders>
        <w:shd w:val="clear" w:color="auto" w:fill="454B87" w:themeFill="accent3" w:themeFillShade="BF"/>
      </w:tcPr>
    </w:tblStylePr>
  </w:style>
  <w:style w:type="table" w:styleId="DarkList-Accent4">
    <w:name w:val="Dark List Accent 4"/>
    <w:basedOn w:val="TableNormal"/>
    <w:uiPriority w:val="70"/>
    <w:semiHidden/>
    <w:unhideWhenUsed/>
    <w:rsid w:val="00421773"/>
    <w:pPr>
      <w:spacing w:after="0"/>
    </w:pPr>
    <w:rPr>
      <w:rFonts w:eastAsiaTheme="minorHAnsi" w:cs="Arial"/>
      <w:color w:val="FFFFFF" w:themeColor="background1"/>
      <w:sz w:val="18"/>
      <w:szCs w:val="18"/>
    </w:rPr>
    <w:tblPr>
      <w:tblStyleRowBandSize w:val="1"/>
      <w:tblStyleColBandSize w:val="1"/>
    </w:tblPr>
    <w:tcPr>
      <w:shd w:val="clear" w:color="auto" w:fill="B26DA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5D31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C4A8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C4A85" w:themeFill="accent4" w:themeFillShade="BF"/>
      </w:tcPr>
    </w:tblStylePr>
    <w:tblStylePr w:type="band1Vert">
      <w:tblPr/>
      <w:tcPr>
        <w:tcBorders>
          <w:top w:val="nil"/>
          <w:left w:val="nil"/>
          <w:bottom w:val="nil"/>
          <w:right w:val="nil"/>
          <w:insideH w:val="nil"/>
          <w:insideV w:val="nil"/>
        </w:tcBorders>
        <w:shd w:val="clear" w:color="auto" w:fill="8C4A85" w:themeFill="accent4" w:themeFillShade="BF"/>
      </w:tcPr>
    </w:tblStylePr>
    <w:tblStylePr w:type="band1Horz">
      <w:tblPr/>
      <w:tcPr>
        <w:tcBorders>
          <w:top w:val="nil"/>
          <w:left w:val="nil"/>
          <w:bottom w:val="nil"/>
          <w:right w:val="nil"/>
          <w:insideH w:val="nil"/>
          <w:insideV w:val="nil"/>
        </w:tcBorders>
        <w:shd w:val="clear" w:color="auto" w:fill="8C4A85" w:themeFill="accent4" w:themeFillShade="BF"/>
      </w:tcPr>
    </w:tblStylePr>
  </w:style>
  <w:style w:type="table" w:styleId="DarkList-Accent5">
    <w:name w:val="Dark List Accent 5"/>
    <w:basedOn w:val="TableNormal"/>
    <w:uiPriority w:val="70"/>
    <w:semiHidden/>
    <w:unhideWhenUsed/>
    <w:rsid w:val="00421773"/>
    <w:pPr>
      <w:spacing w:after="0"/>
    </w:pPr>
    <w:rPr>
      <w:rFonts w:eastAsiaTheme="minorHAnsi" w:cs="Arial"/>
      <w:color w:val="FFFFFF" w:themeColor="background1"/>
      <w:sz w:val="18"/>
      <w:szCs w:val="18"/>
    </w:rPr>
    <w:tblPr>
      <w:tblStyleRowBandSize w:val="1"/>
      <w:tblStyleColBandSize w:val="1"/>
    </w:tblPr>
    <w:tcPr>
      <w:shd w:val="clear" w:color="auto" w:fill="E7A2C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9B2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2539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25399" w:themeFill="accent5" w:themeFillShade="BF"/>
      </w:tcPr>
    </w:tblStylePr>
    <w:tblStylePr w:type="band1Vert">
      <w:tblPr/>
      <w:tcPr>
        <w:tcBorders>
          <w:top w:val="nil"/>
          <w:left w:val="nil"/>
          <w:bottom w:val="nil"/>
          <w:right w:val="nil"/>
          <w:insideH w:val="nil"/>
          <w:insideV w:val="nil"/>
        </w:tcBorders>
        <w:shd w:val="clear" w:color="auto" w:fill="D25399" w:themeFill="accent5" w:themeFillShade="BF"/>
      </w:tcPr>
    </w:tblStylePr>
    <w:tblStylePr w:type="band1Horz">
      <w:tblPr/>
      <w:tcPr>
        <w:tcBorders>
          <w:top w:val="nil"/>
          <w:left w:val="nil"/>
          <w:bottom w:val="nil"/>
          <w:right w:val="nil"/>
          <w:insideH w:val="nil"/>
          <w:insideV w:val="nil"/>
        </w:tcBorders>
        <w:shd w:val="clear" w:color="auto" w:fill="D25399" w:themeFill="accent5" w:themeFillShade="BF"/>
      </w:tcPr>
    </w:tblStylePr>
  </w:style>
  <w:style w:type="table" w:styleId="DarkList-Accent6">
    <w:name w:val="Dark List Accent 6"/>
    <w:basedOn w:val="TableNormal"/>
    <w:uiPriority w:val="70"/>
    <w:semiHidden/>
    <w:unhideWhenUsed/>
    <w:rsid w:val="00421773"/>
    <w:pPr>
      <w:spacing w:after="0"/>
    </w:pPr>
    <w:rPr>
      <w:rFonts w:eastAsiaTheme="minorHAnsi" w:cs="Arial"/>
      <w:color w:val="FFFFFF" w:themeColor="background1"/>
      <w:sz w:val="18"/>
      <w:szCs w:val="18"/>
    </w:rPr>
    <w:tblPr>
      <w:tblStyleRowBandSize w:val="1"/>
      <w:tblStyleColBandSize w:val="1"/>
    </w:tblPr>
    <w:tcPr>
      <w:shd w:val="clear" w:color="auto" w:fill="9CD2F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1475B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1A8E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1A8EA" w:themeFill="accent6" w:themeFillShade="BF"/>
      </w:tcPr>
    </w:tblStylePr>
    <w:tblStylePr w:type="band1Vert">
      <w:tblPr/>
      <w:tcPr>
        <w:tcBorders>
          <w:top w:val="nil"/>
          <w:left w:val="nil"/>
          <w:bottom w:val="nil"/>
          <w:right w:val="nil"/>
          <w:insideH w:val="nil"/>
          <w:insideV w:val="nil"/>
        </w:tcBorders>
        <w:shd w:val="clear" w:color="auto" w:fill="41A8EA" w:themeFill="accent6" w:themeFillShade="BF"/>
      </w:tcPr>
    </w:tblStylePr>
    <w:tblStylePr w:type="band1Horz">
      <w:tblPr/>
      <w:tcPr>
        <w:tcBorders>
          <w:top w:val="nil"/>
          <w:left w:val="nil"/>
          <w:bottom w:val="nil"/>
          <w:right w:val="nil"/>
          <w:insideH w:val="nil"/>
          <w:insideV w:val="nil"/>
        </w:tcBorders>
        <w:shd w:val="clear" w:color="auto" w:fill="41A8EA" w:themeFill="accent6" w:themeFillShade="BF"/>
      </w:tcPr>
    </w:tblStylePr>
  </w:style>
  <w:style w:type="paragraph" w:styleId="Date">
    <w:name w:val="Date"/>
    <w:basedOn w:val="Normal"/>
    <w:next w:val="Normal"/>
    <w:link w:val="DateChar"/>
    <w:uiPriority w:val="99"/>
    <w:semiHidden/>
    <w:rsid w:val="00421773"/>
  </w:style>
  <w:style w:type="character" w:customStyle="1" w:styleId="DateChar">
    <w:name w:val="Date Char"/>
    <w:basedOn w:val="DefaultParagraphFont"/>
    <w:link w:val="Date"/>
    <w:uiPriority w:val="99"/>
    <w:semiHidden/>
    <w:rsid w:val="00421773"/>
    <w:rPr>
      <w:lang w:val="en-GB"/>
    </w:rPr>
  </w:style>
  <w:style w:type="paragraph" w:customStyle="1" w:styleId="DocumentHeading">
    <w:name w:val="Document Heading"/>
    <w:basedOn w:val="Heading1"/>
    <w:uiPriority w:val="99"/>
    <w:semiHidden/>
    <w:rsid w:val="00421773"/>
    <w:pPr>
      <w:numPr>
        <w:numId w:val="0"/>
      </w:numPr>
      <w:spacing w:after="260" w:line="300" w:lineRule="atLeast"/>
      <w:ind w:left="851" w:hanging="851"/>
    </w:pPr>
  </w:style>
  <w:style w:type="paragraph" w:styleId="DocumentMap">
    <w:name w:val="Document Map"/>
    <w:basedOn w:val="Normal"/>
    <w:link w:val="DocumentMapChar"/>
    <w:uiPriority w:val="99"/>
    <w:semiHidden/>
    <w:rsid w:val="00421773"/>
    <w:rPr>
      <w:rFonts w:cs="Arial"/>
      <w:sz w:val="16"/>
      <w:szCs w:val="16"/>
    </w:rPr>
  </w:style>
  <w:style w:type="character" w:customStyle="1" w:styleId="DocumentMapChar">
    <w:name w:val="Document Map Char"/>
    <w:basedOn w:val="DefaultParagraphFont"/>
    <w:link w:val="DocumentMap"/>
    <w:uiPriority w:val="99"/>
    <w:semiHidden/>
    <w:rsid w:val="00421773"/>
    <w:rPr>
      <w:rFonts w:cs="Arial"/>
      <w:sz w:val="16"/>
      <w:szCs w:val="16"/>
      <w:lang w:val="en-GB"/>
    </w:rPr>
  </w:style>
  <w:style w:type="paragraph" w:styleId="Title">
    <w:name w:val="Title"/>
    <w:basedOn w:val="Normal"/>
    <w:next w:val="Normal"/>
    <w:link w:val="TitleChar"/>
    <w:uiPriority w:val="19"/>
    <w:semiHidden/>
    <w:rsid w:val="00421773"/>
    <w:pPr>
      <w:spacing w:before="220" w:after="220" w:line="840" w:lineRule="atLeast"/>
      <w:contextualSpacing/>
    </w:pPr>
    <w:rPr>
      <w:rFonts w:eastAsiaTheme="majorEastAsia" w:cs="Arial"/>
      <w:caps/>
      <w:spacing w:val="5"/>
      <w:kern w:val="28"/>
      <w:sz w:val="84"/>
      <w:szCs w:val="52"/>
    </w:rPr>
  </w:style>
  <w:style w:type="character" w:customStyle="1" w:styleId="TitleChar">
    <w:name w:val="Title Char"/>
    <w:basedOn w:val="DefaultParagraphFont"/>
    <w:link w:val="Title"/>
    <w:uiPriority w:val="19"/>
    <w:semiHidden/>
    <w:rsid w:val="00421773"/>
    <w:rPr>
      <w:rFonts w:eastAsiaTheme="majorEastAsia" w:cs="Arial"/>
      <w:caps/>
      <w:color w:val="auto"/>
      <w:spacing w:val="5"/>
      <w:kern w:val="28"/>
      <w:sz w:val="84"/>
      <w:szCs w:val="52"/>
      <w:lang w:val="en-GB"/>
    </w:rPr>
  </w:style>
  <w:style w:type="paragraph" w:customStyle="1" w:styleId="DocumentName">
    <w:name w:val="Document Name"/>
    <w:basedOn w:val="Title"/>
    <w:uiPriority w:val="99"/>
    <w:semiHidden/>
    <w:rsid w:val="00421773"/>
    <w:pPr>
      <w:spacing w:line="360" w:lineRule="atLeast"/>
    </w:pPr>
    <w:rPr>
      <w:caps w:val="0"/>
      <w:sz w:val="28"/>
    </w:rPr>
  </w:style>
  <w:style w:type="paragraph" w:styleId="E-mailSignature">
    <w:name w:val="E-mail Signature"/>
    <w:basedOn w:val="Normal"/>
    <w:link w:val="E-mailSignatureChar"/>
    <w:uiPriority w:val="99"/>
    <w:semiHidden/>
    <w:rsid w:val="00421773"/>
  </w:style>
  <w:style w:type="character" w:customStyle="1" w:styleId="E-mailSignatureChar">
    <w:name w:val="E-mail Signature Char"/>
    <w:basedOn w:val="DefaultParagraphFont"/>
    <w:link w:val="E-mailSignature"/>
    <w:uiPriority w:val="99"/>
    <w:semiHidden/>
    <w:rsid w:val="00421773"/>
    <w:rPr>
      <w:lang w:val="en-GB"/>
    </w:rPr>
  </w:style>
  <w:style w:type="character" w:styleId="Emphasis">
    <w:name w:val="Emphasis"/>
    <w:basedOn w:val="DefaultParagraphFont"/>
    <w:uiPriority w:val="19"/>
    <w:semiHidden/>
    <w:rsid w:val="00421773"/>
    <w:rPr>
      <w:i/>
      <w:iCs/>
    </w:rPr>
  </w:style>
  <w:style w:type="character" w:styleId="EndnoteReference">
    <w:name w:val="endnote reference"/>
    <w:basedOn w:val="DefaultParagraphFont"/>
    <w:uiPriority w:val="21"/>
    <w:semiHidden/>
    <w:rsid w:val="00421773"/>
    <w:rPr>
      <w:vertAlign w:val="superscript"/>
    </w:rPr>
  </w:style>
  <w:style w:type="paragraph" w:styleId="EndnoteText">
    <w:name w:val="endnote text"/>
    <w:basedOn w:val="Normal"/>
    <w:link w:val="EndnoteTextChar"/>
    <w:uiPriority w:val="21"/>
    <w:semiHidden/>
    <w:rsid w:val="00421773"/>
    <w:pPr>
      <w:spacing w:after="120" w:line="240" w:lineRule="atLeast"/>
      <w:ind w:left="85" w:hanging="85"/>
    </w:pPr>
    <w:rPr>
      <w:sz w:val="16"/>
    </w:rPr>
  </w:style>
  <w:style w:type="character" w:customStyle="1" w:styleId="EndnoteTextChar">
    <w:name w:val="Endnote Text Char"/>
    <w:basedOn w:val="DefaultParagraphFont"/>
    <w:link w:val="EndnoteText"/>
    <w:uiPriority w:val="21"/>
    <w:semiHidden/>
    <w:rsid w:val="00421773"/>
    <w:rPr>
      <w:sz w:val="16"/>
      <w:lang w:val="en-GB"/>
    </w:rPr>
  </w:style>
  <w:style w:type="paragraph" w:styleId="EnvelopeAddress">
    <w:name w:val="envelope address"/>
    <w:basedOn w:val="Normal"/>
    <w:uiPriority w:val="99"/>
    <w:semiHidden/>
    <w:rsid w:val="00421773"/>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21773"/>
    <w:rPr>
      <w:rFonts w:asciiTheme="majorHAnsi" w:eastAsiaTheme="majorEastAsia" w:hAnsiTheme="majorHAnsi" w:cstheme="majorBidi"/>
    </w:rPr>
  </w:style>
  <w:style w:type="character" w:styleId="FollowedHyperlink">
    <w:name w:val="FollowedHyperlink"/>
    <w:basedOn w:val="DefaultParagraphFont"/>
    <w:uiPriority w:val="21"/>
    <w:semiHidden/>
    <w:rsid w:val="00421773"/>
    <w:rPr>
      <w:color w:val="B26DAB" w:themeColor="followedHyperlink"/>
      <w:u w:val="single"/>
    </w:rPr>
  </w:style>
  <w:style w:type="paragraph" w:styleId="Footer">
    <w:name w:val="footer"/>
    <w:basedOn w:val="Normal"/>
    <w:link w:val="FooterChar"/>
    <w:uiPriority w:val="99"/>
    <w:rsid w:val="00421773"/>
    <w:pPr>
      <w:tabs>
        <w:tab w:val="center" w:pos="4513"/>
        <w:tab w:val="right" w:pos="9026"/>
      </w:tabs>
      <w:spacing w:after="0" w:line="280" w:lineRule="exact"/>
    </w:pPr>
    <w:rPr>
      <w:rFonts w:eastAsia="Times New Roman" w:cs="Courier New"/>
    </w:rPr>
  </w:style>
  <w:style w:type="character" w:customStyle="1" w:styleId="FooterChar">
    <w:name w:val="Footer Char"/>
    <w:basedOn w:val="DefaultParagraphFont"/>
    <w:link w:val="Footer"/>
    <w:uiPriority w:val="99"/>
    <w:rsid w:val="00421773"/>
    <w:rPr>
      <w:rFonts w:eastAsia="Times New Roman" w:cs="Courier New"/>
      <w:lang w:val="en-GB"/>
    </w:rPr>
  </w:style>
  <w:style w:type="character" w:styleId="FootnoteReference">
    <w:name w:val="footnote reference"/>
    <w:basedOn w:val="DefaultParagraphFont"/>
    <w:uiPriority w:val="7"/>
    <w:semiHidden/>
    <w:rsid w:val="00421773"/>
    <w:rPr>
      <w:color w:val="404040"/>
      <w:vertAlign w:val="superscript"/>
    </w:rPr>
  </w:style>
  <w:style w:type="paragraph" w:styleId="FootnoteText">
    <w:name w:val="footnote text"/>
    <w:basedOn w:val="Normal"/>
    <w:link w:val="FootnoteTextChar"/>
    <w:uiPriority w:val="7"/>
    <w:semiHidden/>
    <w:rsid w:val="00421773"/>
    <w:pPr>
      <w:spacing w:after="0" w:line="240" w:lineRule="atLeast"/>
      <w:ind w:left="85" w:hanging="85"/>
    </w:pPr>
    <w:rPr>
      <w:rFonts w:eastAsia="Times New Roman" w:cs="Courier New"/>
      <w:sz w:val="16"/>
    </w:rPr>
  </w:style>
  <w:style w:type="character" w:customStyle="1" w:styleId="FootnoteTextChar">
    <w:name w:val="Footnote Text Char"/>
    <w:basedOn w:val="DefaultParagraphFont"/>
    <w:link w:val="FootnoteText"/>
    <w:uiPriority w:val="7"/>
    <w:semiHidden/>
    <w:rsid w:val="00421773"/>
    <w:rPr>
      <w:rFonts w:eastAsia="Times New Roman" w:cs="Courier New"/>
      <w:sz w:val="16"/>
      <w:lang w:val="en-GB"/>
    </w:rPr>
  </w:style>
  <w:style w:type="table" w:styleId="GridTable1Light">
    <w:name w:val="Grid Table 1 Light"/>
    <w:basedOn w:val="TableNormal"/>
    <w:uiPriority w:val="46"/>
    <w:rsid w:val="00421773"/>
    <w:pPr>
      <w:spacing w:after="0"/>
    </w:pPr>
    <w:rPr>
      <w:rFonts w:eastAsiaTheme="minorHAnsi" w:cs="Arial"/>
      <w:sz w:val="18"/>
      <w:szCs w:val="18"/>
    </w:rPr>
    <w:tblPr>
      <w:tblStyleRowBandSize w:val="1"/>
      <w:tblStyleColBandSize w:val="1"/>
      <w:tblBorders>
        <w:top w:val="single" w:sz="4" w:space="0" w:color="A5A1A1" w:themeColor="text1" w:themeTint="66"/>
        <w:left w:val="single" w:sz="4" w:space="0" w:color="A5A1A1" w:themeColor="text1" w:themeTint="66"/>
        <w:bottom w:val="single" w:sz="4" w:space="0" w:color="A5A1A1" w:themeColor="text1" w:themeTint="66"/>
        <w:right w:val="single" w:sz="4" w:space="0" w:color="A5A1A1" w:themeColor="text1" w:themeTint="66"/>
        <w:insideH w:val="single" w:sz="4" w:space="0" w:color="A5A1A1" w:themeColor="text1" w:themeTint="66"/>
        <w:insideV w:val="single" w:sz="4" w:space="0" w:color="A5A1A1" w:themeColor="text1" w:themeTint="66"/>
      </w:tblBorders>
    </w:tblPr>
    <w:tblStylePr w:type="firstRow">
      <w:rPr>
        <w:b/>
        <w:bCs/>
      </w:rPr>
      <w:tblPr/>
      <w:tcPr>
        <w:tcBorders>
          <w:bottom w:val="single" w:sz="12" w:space="0" w:color="777373" w:themeColor="text1" w:themeTint="99"/>
        </w:tcBorders>
      </w:tcPr>
    </w:tblStylePr>
    <w:tblStylePr w:type="lastRow">
      <w:rPr>
        <w:b/>
        <w:bCs/>
      </w:rPr>
      <w:tblPr/>
      <w:tcPr>
        <w:tcBorders>
          <w:top w:val="double" w:sz="2" w:space="0" w:color="77737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1773"/>
    <w:pPr>
      <w:spacing w:after="0"/>
    </w:pPr>
    <w:rPr>
      <w:rFonts w:eastAsiaTheme="minorHAnsi" w:cs="Arial"/>
      <w:sz w:val="18"/>
      <w:szCs w:val="18"/>
    </w:rPr>
    <w:tblPr>
      <w:tblStyleRowBandSize w:val="1"/>
      <w:tblStyleColBandSize w:val="1"/>
      <w:tblBorders>
        <w:top w:val="single" w:sz="4" w:space="0" w:color="C2E5E1" w:themeColor="accent1" w:themeTint="66"/>
        <w:left w:val="single" w:sz="4" w:space="0" w:color="C2E5E1" w:themeColor="accent1" w:themeTint="66"/>
        <w:bottom w:val="single" w:sz="4" w:space="0" w:color="C2E5E1" w:themeColor="accent1" w:themeTint="66"/>
        <w:right w:val="single" w:sz="4" w:space="0" w:color="C2E5E1" w:themeColor="accent1" w:themeTint="66"/>
        <w:insideH w:val="single" w:sz="4" w:space="0" w:color="C2E5E1" w:themeColor="accent1" w:themeTint="66"/>
        <w:insideV w:val="single" w:sz="4" w:space="0" w:color="C2E5E1" w:themeColor="accent1" w:themeTint="66"/>
      </w:tblBorders>
    </w:tblPr>
    <w:tblStylePr w:type="firstRow">
      <w:rPr>
        <w:b/>
        <w:bCs/>
      </w:rPr>
      <w:tblPr/>
      <w:tcPr>
        <w:tcBorders>
          <w:bottom w:val="single" w:sz="12" w:space="0" w:color="A4D9D2" w:themeColor="accent1" w:themeTint="99"/>
        </w:tcBorders>
      </w:tcPr>
    </w:tblStylePr>
    <w:tblStylePr w:type="lastRow">
      <w:rPr>
        <w:b/>
        <w:bCs/>
      </w:rPr>
      <w:tblPr/>
      <w:tcPr>
        <w:tcBorders>
          <w:top w:val="double" w:sz="2" w:space="0" w:color="A4D9D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1773"/>
    <w:pPr>
      <w:spacing w:after="0"/>
    </w:pPr>
    <w:rPr>
      <w:rFonts w:eastAsiaTheme="minorHAnsi" w:cs="Arial"/>
      <w:sz w:val="18"/>
      <w:szCs w:val="18"/>
    </w:rPr>
    <w:tblPr>
      <w:tblStyleRowBandSize w:val="1"/>
      <w:tblStyleColBandSize w:val="1"/>
      <w:tblBorders>
        <w:top w:val="single" w:sz="4" w:space="0" w:color="C2DDF2" w:themeColor="accent2" w:themeTint="66"/>
        <w:left w:val="single" w:sz="4" w:space="0" w:color="C2DDF2" w:themeColor="accent2" w:themeTint="66"/>
        <w:bottom w:val="single" w:sz="4" w:space="0" w:color="C2DDF2" w:themeColor="accent2" w:themeTint="66"/>
        <w:right w:val="single" w:sz="4" w:space="0" w:color="C2DDF2" w:themeColor="accent2" w:themeTint="66"/>
        <w:insideH w:val="single" w:sz="4" w:space="0" w:color="C2DDF2" w:themeColor="accent2" w:themeTint="66"/>
        <w:insideV w:val="single" w:sz="4" w:space="0" w:color="C2DDF2" w:themeColor="accent2" w:themeTint="66"/>
      </w:tblBorders>
    </w:tblPr>
    <w:tblStylePr w:type="firstRow">
      <w:rPr>
        <w:b/>
        <w:bCs/>
      </w:rPr>
      <w:tblPr/>
      <w:tcPr>
        <w:tcBorders>
          <w:bottom w:val="single" w:sz="12" w:space="0" w:color="A4CCEB" w:themeColor="accent2" w:themeTint="99"/>
        </w:tcBorders>
      </w:tcPr>
    </w:tblStylePr>
    <w:tblStylePr w:type="lastRow">
      <w:rPr>
        <w:b/>
        <w:bCs/>
      </w:rPr>
      <w:tblPr/>
      <w:tcPr>
        <w:tcBorders>
          <w:top w:val="double" w:sz="2" w:space="0" w:color="A4CC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1773"/>
    <w:pPr>
      <w:spacing w:after="0"/>
    </w:pPr>
    <w:rPr>
      <w:rFonts w:eastAsiaTheme="minorHAnsi" w:cs="Arial"/>
      <w:sz w:val="18"/>
      <w:szCs w:val="18"/>
    </w:rPr>
    <w:tblPr>
      <w:tblStyleRowBandSize w:val="1"/>
      <w:tblStyleColBandSize w:val="1"/>
      <w:tblBorders>
        <w:top w:val="single" w:sz="4" w:space="0" w:color="C0C3DF" w:themeColor="accent3" w:themeTint="66"/>
        <w:left w:val="single" w:sz="4" w:space="0" w:color="C0C3DF" w:themeColor="accent3" w:themeTint="66"/>
        <w:bottom w:val="single" w:sz="4" w:space="0" w:color="C0C3DF" w:themeColor="accent3" w:themeTint="66"/>
        <w:right w:val="single" w:sz="4" w:space="0" w:color="C0C3DF" w:themeColor="accent3" w:themeTint="66"/>
        <w:insideH w:val="single" w:sz="4" w:space="0" w:color="C0C3DF" w:themeColor="accent3" w:themeTint="66"/>
        <w:insideV w:val="single" w:sz="4" w:space="0" w:color="C0C3DF" w:themeColor="accent3" w:themeTint="66"/>
      </w:tblBorders>
    </w:tblPr>
    <w:tblStylePr w:type="firstRow">
      <w:rPr>
        <w:b/>
        <w:bCs/>
      </w:rPr>
      <w:tblPr/>
      <w:tcPr>
        <w:tcBorders>
          <w:bottom w:val="single" w:sz="12" w:space="0" w:color="A1A5CF" w:themeColor="accent3" w:themeTint="99"/>
        </w:tcBorders>
      </w:tcPr>
    </w:tblStylePr>
    <w:tblStylePr w:type="lastRow">
      <w:rPr>
        <w:b/>
        <w:bCs/>
      </w:rPr>
      <w:tblPr/>
      <w:tcPr>
        <w:tcBorders>
          <w:top w:val="double" w:sz="2" w:space="0" w:color="A1A5C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1773"/>
    <w:pPr>
      <w:spacing w:after="0"/>
    </w:pPr>
    <w:rPr>
      <w:rFonts w:eastAsiaTheme="minorHAnsi" w:cs="Arial"/>
      <w:sz w:val="18"/>
      <w:szCs w:val="18"/>
    </w:rPr>
    <w:tblPr>
      <w:tblStyleRowBandSize w:val="1"/>
      <w:tblStyleColBandSize w:val="1"/>
      <w:tblBorders>
        <w:top w:val="single" w:sz="4" w:space="0" w:color="E0C4DD" w:themeColor="accent4" w:themeTint="66"/>
        <w:left w:val="single" w:sz="4" w:space="0" w:color="E0C4DD" w:themeColor="accent4" w:themeTint="66"/>
        <w:bottom w:val="single" w:sz="4" w:space="0" w:color="E0C4DD" w:themeColor="accent4" w:themeTint="66"/>
        <w:right w:val="single" w:sz="4" w:space="0" w:color="E0C4DD" w:themeColor="accent4" w:themeTint="66"/>
        <w:insideH w:val="single" w:sz="4" w:space="0" w:color="E0C4DD" w:themeColor="accent4" w:themeTint="66"/>
        <w:insideV w:val="single" w:sz="4" w:space="0" w:color="E0C4DD" w:themeColor="accent4" w:themeTint="66"/>
      </w:tblBorders>
    </w:tblPr>
    <w:tblStylePr w:type="firstRow">
      <w:rPr>
        <w:b/>
        <w:bCs/>
      </w:rPr>
      <w:tblPr/>
      <w:tcPr>
        <w:tcBorders>
          <w:bottom w:val="single" w:sz="12" w:space="0" w:color="D0A7CC" w:themeColor="accent4" w:themeTint="99"/>
        </w:tcBorders>
      </w:tcPr>
    </w:tblStylePr>
    <w:tblStylePr w:type="lastRow">
      <w:rPr>
        <w:b/>
        <w:bCs/>
      </w:rPr>
      <w:tblPr/>
      <w:tcPr>
        <w:tcBorders>
          <w:top w:val="double" w:sz="2" w:space="0" w:color="D0A7C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1773"/>
    <w:pPr>
      <w:spacing w:after="0"/>
    </w:pPr>
    <w:rPr>
      <w:rFonts w:eastAsiaTheme="minorHAnsi" w:cs="Arial"/>
      <w:sz w:val="18"/>
      <w:szCs w:val="18"/>
    </w:rPr>
    <w:tblPr>
      <w:tblStyleRowBandSize w:val="1"/>
      <w:tblStyleColBandSize w:val="1"/>
      <w:tblBorders>
        <w:top w:val="single" w:sz="4" w:space="0" w:color="F5D9E8" w:themeColor="accent5" w:themeTint="66"/>
        <w:left w:val="single" w:sz="4" w:space="0" w:color="F5D9E8" w:themeColor="accent5" w:themeTint="66"/>
        <w:bottom w:val="single" w:sz="4" w:space="0" w:color="F5D9E8" w:themeColor="accent5" w:themeTint="66"/>
        <w:right w:val="single" w:sz="4" w:space="0" w:color="F5D9E8" w:themeColor="accent5" w:themeTint="66"/>
        <w:insideH w:val="single" w:sz="4" w:space="0" w:color="F5D9E8" w:themeColor="accent5" w:themeTint="66"/>
        <w:insideV w:val="single" w:sz="4" w:space="0" w:color="F5D9E8" w:themeColor="accent5" w:themeTint="66"/>
      </w:tblBorders>
    </w:tblPr>
    <w:tblStylePr w:type="firstRow">
      <w:rPr>
        <w:b/>
        <w:bCs/>
      </w:rPr>
      <w:tblPr/>
      <w:tcPr>
        <w:tcBorders>
          <w:bottom w:val="single" w:sz="12" w:space="0" w:color="F0C7DD" w:themeColor="accent5" w:themeTint="99"/>
        </w:tcBorders>
      </w:tcPr>
    </w:tblStylePr>
    <w:tblStylePr w:type="lastRow">
      <w:rPr>
        <w:b/>
        <w:bCs/>
      </w:rPr>
      <w:tblPr/>
      <w:tcPr>
        <w:tcBorders>
          <w:top w:val="double" w:sz="2" w:space="0" w:color="F0C7D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1773"/>
    <w:pPr>
      <w:spacing w:after="0"/>
    </w:pPr>
    <w:rPr>
      <w:rFonts w:eastAsiaTheme="minorHAnsi" w:cs="Arial"/>
      <w:sz w:val="18"/>
      <w:szCs w:val="18"/>
    </w:rPr>
    <w:tblPr>
      <w:tblStyleRowBandSize w:val="1"/>
      <w:tblStyleColBandSize w:val="1"/>
      <w:tblBorders>
        <w:top w:val="single" w:sz="4" w:space="0" w:color="D7ECFA" w:themeColor="accent6" w:themeTint="66"/>
        <w:left w:val="single" w:sz="4" w:space="0" w:color="D7ECFA" w:themeColor="accent6" w:themeTint="66"/>
        <w:bottom w:val="single" w:sz="4" w:space="0" w:color="D7ECFA" w:themeColor="accent6" w:themeTint="66"/>
        <w:right w:val="single" w:sz="4" w:space="0" w:color="D7ECFA" w:themeColor="accent6" w:themeTint="66"/>
        <w:insideH w:val="single" w:sz="4" w:space="0" w:color="D7ECFA" w:themeColor="accent6" w:themeTint="66"/>
        <w:insideV w:val="single" w:sz="4" w:space="0" w:color="D7ECFA" w:themeColor="accent6" w:themeTint="66"/>
      </w:tblBorders>
    </w:tblPr>
    <w:tblStylePr w:type="firstRow">
      <w:rPr>
        <w:b/>
        <w:bCs/>
      </w:rPr>
      <w:tblPr/>
      <w:tcPr>
        <w:tcBorders>
          <w:bottom w:val="single" w:sz="12" w:space="0" w:color="C3E3F8" w:themeColor="accent6" w:themeTint="99"/>
        </w:tcBorders>
      </w:tcPr>
    </w:tblStylePr>
    <w:tblStylePr w:type="lastRow">
      <w:rPr>
        <w:b/>
        <w:bCs/>
      </w:rPr>
      <w:tblPr/>
      <w:tcPr>
        <w:tcBorders>
          <w:top w:val="double" w:sz="2" w:space="0" w:color="C3E3F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1773"/>
    <w:pPr>
      <w:spacing w:after="0"/>
    </w:pPr>
    <w:rPr>
      <w:rFonts w:eastAsiaTheme="minorHAnsi" w:cs="Arial"/>
      <w:sz w:val="18"/>
      <w:szCs w:val="18"/>
    </w:rPr>
    <w:tblPr>
      <w:tblStyleRowBandSize w:val="1"/>
      <w:tblStyleColBandSize w:val="1"/>
      <w:tblBorders>
        <w:top w:val="single" w:sz="2" w:space="0" w:color="777373" w:themeColor="text1" w:themeTint="99"/>
        <w:bottom w:val="single" w:sz="2" w:space="0" w:color="777373" w:themeColor="text1" w:themeTint="99"/>
        <w:insideH w:val="single" w:sz="2" w:space="0" w:color="777373" w:themeColor="text1" w:themeTint="99"/>
        <w:insideV w:val="single" w:sz="2" w:space="0" w:color="777373" w:themeColor="text1" w:themeTint="99"/>
      </w:tblBorders>
    </w:tblPr>
    <w:tblStylePr w:type="firstRow">
      <w:rPr>
        <w:b/>
        <w:bCs/>
      </w:rPr>
      <w:tblPr/>
      <w:tcPr>
        <w:tcBorders>
          <w:top w:val="nil"/>
          <w:bottom w:val="single" w:sz="12" w:space="0" w:color="777373" w:themeColor="text1" w:themeTint="99"/>
          <w:insideH w:val="nil"/>
          <w:insideV w:val="nil"/>
        </w:tcBorders>
        <w:shd w:val="clear" w:color="auto" w:fill="FFFFFF" w:themeFill="background1"/>
      </w:tcPr>
    </w:tblStylePr>
    <w:tblStylePr w:type="lastRow">
      <w:rPr>
        <w:b/>
        <w:bCs/>
      </w:rPr>
      <w:tblPr/>
      <w:tcPr>
        <w:tcBorders>
          <w:top w:val="double" w:sz="2" w:space="0" w:color="77737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GridTable2-Accent1">
    <w:name w:val="Grid Table 2 Accent 1"/>
    <w:basedOn w:val="TableNormal"/>
    <w:uiPriority w:val="47"/>
    <w:rsid w:val="00421773"/>
    <w:pPr>
      <w:spacing w:after="0"/>
    </w:pPr>
    <w:rPr>
      <w:rFonts w:eastAsiaTheme="minorHAnsi" w:cs="Arial"/>
      <w:sz w:val="18"/>
      <w:szCs w:val="18"/>
    </w:rPr>
    <w:tblPr>
      <w:tblStyleRowBandSize w:val="1"/>
      <w:tblStyleColBandSize w:val="1"/>
      <w:tblBorders>
        <w:top w:val="single" w:sz="2" w:space="0" w:color="A4D9D2" w:themeColor="accent1" w:themeTint="99"/>
        <w:bottom w:val="single" w:sz="2" w:space="0" w:color="A4D9D2" w:themeColor="accent1" w:themeTint="99"/>
        <w:insideH w:val="single" w:sz="2" w:space="0" w:color="A4D9D2" w:themeColor="accent1" w:themeTint="99"/>
        <w:insideV w:val="single" w:sz="2" w:space="0" w:color="A4D9D2" w:themeColor="accent1" w:themeTint="99"/>
      </w:tblBorders>
    </w:tblPr>
    <w:tblStylePr w:type="firstRow">
      <w:rPr>
        <w:b/>
        <w:bCs/>
      </w:rPr>
      <w:tblPr/>
      <w:tcPr>
        <w:tcBorders>
          <w:top w:val="nil"/>
          <w:bottom w:val="single" w:sz="12" w:space="0" w:color="A4D9D2" w:themeColor="accent1" w:themeTint="99"/>
          <w:insideH w:val="nil"/>
          <w:insideV w:val="nil"/>
        </w:tcBorders>
        <w:shd w:val="clear" w:color="auto" w:fill="FFFFFF" w:themeFill="background1"/>
      </w:tcPr>
    </w:tblStylePr>
    <w:tblStylePr w:type="lastRow">
      <w:rPr>
        <w:b/>
        <w:bCs/>
      </w:rPr>
      <w:tblPr/>
      <w:tcPr>
        <w:tcBorders>
          <w:top w:val="double" w:sz="2" w:space="0" w:color="A4D9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GridTable2-Accent2">
    <w:name w:val="Grid Table 2 Accent 2"/>
    <w:basedOn w:val="TableNormal"/>
    <w:uiPriority w:val="47"/>
    <w:rsid w:val="00421773"/>
    <w:pPr>
      <w:spacing w:after="0"/>
    </w:pPr>
    <w:rPr>
      <w:rFonts w:eastAsiaTheme="minorHAnsi" w:cs="Arial"/>
      <w:sz w:val="18"/>
      <w:szCs w:val="18"/>
    </w:rPr>
    <w:tblPr>
      <w:tblStyleRowBandSize w:val="1"/>
      <w:tblStyleColBandSize w:val="1"/>
      <w:tblBorders>
        <w:top w:val="single" w:sz="2" w:space="0" w:color="A4CCEB" w:themeColor="accent2" w:themeTint="99"/>
        <w:bottom w:val="single" w:sz="2" w:space="0" w:color="A4CCEB" w:themeColor="accent2" w:themeTint="99"/>
        <w:insideH w:val="single" w:sz="2" w:space="0" w:color="A4CCEB" w:themeColor="accent2" w:themeTint="99"/>
        <w:insideV w:val="single" w:sz="2" w:space="0" w:color="A4CCEB" w:themeColor="accent2" w:themeTint="99"/>
      </w:tblBorders>
    </w:tblPr>
    <w:tblStylePr w:type="firstRow">
      <w:rPr>
        <w:b/>
        <w:bCs/>
      </w:rPr>
      <w:tblPr/>
      <w:tcPr>
        <w:tcBorders>
          <w:top w:val="nil"/>
          <w:bottom w:val="single" w:sz="12" w:space="0" w:color="A4CCEB" w:themeColor="accent2" w:themeTint="99"/>
          <w:insideH w:val="nil"/>
          <w:insideV w:val="nil"/>
        </w:tcBorders>
        <w:shd w:val="clear" w:color="auto" w:fill="FFFFFF" w:themeFill="background1"/>
      </w:tcPr>
    </w:tblStylePr>
    <w:tblStylePr w:type="lastRow">
      <w:rPr>
        <w:b/>
        <w:bCs/>
      </w:rPr>
      <w:tblPr/>
      <w:tcPr>
        <w:tcBorders>
          <w:top w:val="double" w:sz="2" w:space="0" w:color="A4CC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GridTable2-Accent3">
    <w:name w:val="Grid Table 2 Accent 3"/>
    <w:basedOn w:val="TableNormal"/>
    <w:uiPriority w:val="47"/>
    <w:rsid w:val="00421773"/>
    <w:pPr>
      <w:spacing w:after="0"/>
    </w:pPr>
    <w:rPr>
      <w:rFonts w:eastAsiaTheme="minorHAnsi" w:cs="Arial"/>
      <w:sz w:val="18"/>
      <w:szCs w:val="18"/>
    </w:rPr>
    <w:tblPr>
      <w:tblStyleRowBandSize w:val="1"/>
      <w:tblStyleColBandSize w:val="1"/>
      <w:tblBorders>
        <w:top w:val="single" w:sz="2" w:space="0" w:color="A1A5CF" w:themeColor="accent3" w:themeTint="99"/>
        <w:bottom w:val="single" w:sz="2" w:space="0" w:color="A1A5CF" w:themeColor="accent3" w:themeTint="99"/>
        <w:insideH w:val="single" w:sz="2" w:space="0" w:color="A1A5CF" w:themeColor="accent3" w:themeTint="99"/>
        <w:insideV w:val="single" w:sz="2" w:space="0" w:color="A1A5CF" w:themeColor="accent3" w:themeTint="99"/>
      </w:tblBorders>
    </w:tblPr>
    <w:tblStylePr w:type="firstRow">
      <w:rPr>
        <w:b/>
        <w:bCs/>
      </w:rPr>
      <w:tblPr/>
      <w:tcPr>
        <w:tcBorders>
          <w:top w:val="nil"/>
          <w:bottom w:val="single" w:sz="12" w:space="0" w:color="A1A5CF" w:themeColor="accent3" w:themeTint="99"/>
          <w:insideH w:val="nil"/>
          <w:insideV w:val="nil"/>
        </w:tcBorders>
        <w:shd w:val="clear" w:color="auto" w:fill="FFFFFF" w:themeFill="background1"/>
      </w:tcPr>
    </w:tblStylePr>
    <w:tblStylePr w:type="lastRow">
      <w:rPr>
        <w:b/>
        <w:bCs/>
      </w:rPr>
      <w:tblPr/>
      <w:tcPr>
        <w:tcBorders>
          <w:top w:val="double" w:sz="2" w:space="0" w:color="A1A5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GridTable2-Accent4">
    <w:name w:val="Grid Table 2 Accent 4"/>
    <w:basedOn w:val="TableNormal"/>
    <w:uiPriority w:val="47"/>
    <w:rsid w:val="00421773"/>
    <w:pPr>
      <w:spacing w:after="0"/>
    </w:pPr>
    <w:rPr>
      <w:rFonts w:eastAsiaTheme="minorHAnsi" w:cs="Arial"/>
      <w:sz w:val="18"/>
      <w:szCs w:val="18"/>
    </w:rPr>
    <w:tblPr>
      <w:tblStyleRowBandSize w:val="1"/>
      <w:tblStyleColBandSize w:val="1"/>
      <w:tblBorders>
        <w:top w:val="single" w:sz="2" w:space="0" w:color="D0A7CC" w:themeColor="accent4" w:themeTint="99"/>
        <w:bottom w:val="single" w:sz="2" w:space="0" w:color="D0A7CC" w:themeColor="accent4" w:themeTint="99"/>
        <w:insideH w:val="single" w:sz="2" w:space="0" w:color="D0A7CC" w:themeColor="accent4" w:themeTint="99"/>
        <w:insideV w:val="single" w:sz="2" w:space="0" w:color="D0A7CC" w:themeColor="accent4" w:themeTint="99"/>
      </w:tblBorders>
    </w:tblPr>
    <w:tblStylePr w:type="firstRow">
      <w:rPr>
        <w:b/>
        <w:bCs/>
      </w:rPr>
      <w:tblPr/>
      <w:tcPr>
        <w:tcBorders>
          <w:top w:val="nil"/>
          <w:bottom w:val="single" w:sz="12" w:space="0" w:color="D0A7CC" w:themeColor="accent4" w:themeTint="99"/>
          <w:insideH w:val="nil"/>
          <w:insideV w:val="nil"/>
        </w:tcBorders>
        <w:shd w:val="clear" w:color="auto" w:fill="FFFFFF" w:themeFill="background1"/>
      </w:tcPr>
    </w:tblStylePr>
    <w:tblStylePr w:type="lastRow">
      <w:rPr>
        <w:b/>
        <w:bCs/>
      </w:rPr>
      <w:tblPr/>
      <w:tcPr>
        <w:tcBorders>
          <w:top w:val="double" w:sz="2" w:space="0" w:color="D0A7C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GridTable2-Accent5">
    <w:name w:val="Grid Table 2 Accent 5"/>
    <w:basedOn w:val="TableNormal"/>
    <w:uiPriority w:val="47"/>
    <w:rsid w:val="00421773"/>
    <w:pPr>
      <w:spacing w:after="0"/>
    </w:pPr>
    <w:rPr>
      <w:rFonts w:eastAsiaTheme="minorHAnsi" w:cs="Arial"/>
      <w:sz w:val="18"/>
      <w:szCs w:val="18"/>
    </w:rPr>
    <w:tblPr>
      <w:tblStyleRowBandSize w:val="1"/>
      <w:tblStyleColBandSize w:val="1"/>
      <w:tblBorders>
        <w:top w:val="single" w:sz="2" w:space="0" w:color="F0C7DD" w:themeColor="accent5" w:themeTint="99"/>
        <w:bottom w:val="single" w:sz="2" w:space="0" w:color="F0C7DD" w:themeColor="accent5" w:themeTint="99"/>
        <w:insideH w:val="single" w:sz="2" w:space="0" w:color="F0C7DD" w:themeColor="accent5" w:themeTint="99"/>
        <w:insideV w:val="single" w:sz="2" w:space="0" w:color="F0C7DD" w:themeColor="accent5" w:themeTint="99"/>
      </w:tblBorders>
    </w:tblPr>
    <w:tblStylePr w:type="firstRow">
      <w:rPr>
        <w:b/>
        <w:bCs/>
      </w:rPr>
      <w:tblPr/>
      <w:tcPr>
        <w:tcBorders>
          <w:top w:val="nil"/>
          <w:bottom w:val="single" w:sz="12" w:space="0" w:color="F0C7DD" w:themeColor="accent5" w:themeTint="99"/>
          <w:insideH w:val="nil"/>
          <w:insideV w:val="nil"/>
        </w:tcBorders>
        <w:shd w:val="clear" w:color="auto" w:fill="FFFFFF" w:themeFill="background1"/>
      </w:tcPr>
    </w:tblStylePr>
    <w:tblStylePr w:type="lastRow">
      <w:rPr>
        <w:b/>
        <w:bCs/>
      </w:rPr>
      <w:tblPr/>
      <w:tcPr>
        <w:tcBorders>
          <w:top w:val="double" w:sz="2" w:space="0" w:color="F0C7D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GridTable2-Accent6">
    <w:name w:val="Grid Table 2 Accent 6"/>
    <w:basedOn w:val="TableNormal"/>
    <w:uiPriority w:val="47"/>
    <w:rsid w:val="00421773"/>
    <w:pPr>
      <w:spacing w:after="0"/>
    </w:pPr>
    <w:rPr>
      <w:rFonts w:eastAsiaTheme="minorHAnsi" w:cs="Arial"/>
      <w:sz w:val="18"/>
      <w:szCs w:val="18"/>
    </w:rPr>
    <w:tblPr>
      <w:tblStyleRowBandSize w:val="1"/>
      <w:tblStyleColBandSize w:val="1"/>
      <w:tblBorders>
        <w:top w:val="single" w:sz="2" w:space="0" w:color="C3E3F8" w:themeColor="accent6" w:themeTint="99"/>
        <w:bottom w:val="single" w:sz="2" w:space="0" w:color="C3E3F8" w:themeColor="accent6" w:themeTint="99"/>
        <w:insideH w:val="single" w:sz="2" w:space="0" w:color="C3E3F8" w:themeColor="accent6" w:themeTint="99"/>
        <w:insideV w:val="single" w:sz="2" w:space="0" w:color="C3E3F8" w:themeColor="accent6" w:themeTint="99"/>
      </w:tblBorders>
    </w:tblPr>
    <w:tblStylePr w:type="firstRow">
      <w:rPr>
        <w:b/>
        <w:bCs/>
      </w:rPr>
      <w:tblPr/>
      <w:tcPr>
        <w:tcBorders>
          <w:top w:val="nil"/>
          <w:bottom w:val="single" w:sz="12" w:space="0" w:color="C3E3F8" w:themeColor="accent6" w:themeTint="99"/>
          <w:insideH w:val="nil"/>
          <w:insideV w:val="nil"/>
        </w:tcBorders>
        <w:shd w:val="clear" w:color="auto" w:fill="FFFFFF" w:themeFill="background1"/>
      </w:tcPr>
    </w:tblStylePr>
    <w:tblStylePr w:type="lastRow">
      <w:rPr>
        <w:b/>
        <w:bCs/>
      </w:rPr>
      <w:tblPr/>
      <w:tcPr>
        <w:tcBorders>
          <w:top w:val="double" w:sz="2" w:space="0" w:color="C3E3F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GridTable3">
    <w:name w:val="Grid Table 3"/>
    <w:basedOn w:val="TableNormal"/>
    <w:uiPriority w:val="48"/>
    <w:rsid w:val="00421773"/>
    <w:pPr>
      <w:spacing w:after="0"/>
    </w:pPr>
    <w:rPr>
      <w:rFonts w:eastAsiaTheme="minorHAnsi" w:cs="Arial"/>
      <w:sz w:val="18"/>
      <w:szCs w:val="18"/>
    </w:rPr>
    <w:tblPr>
      <w:tblStyleRowBandSize w:val="1"/>
      <w:tblStyleColBandSize w:val="1"/>
      <w:tblBorders>
        <w:top w:val="single" w:sz="4" w:space="0" w:color="777373" w:themeColor="text1" w:themeTint="99"/>
        <w:left w:val="single" w:sz="4" w:space="0" w:color="777373" w:themeColor="text1" w:themeTint="99"/>
        <w:bottom w:val="single" w:sz="4" w:space="0" w:color="777373" w:themeColor="text1" w:themeTint="99"/>
        <w:right w:val="single" w:sz="4" w:space="0" w:color="777373" w:themeColor="text1" w:themeTint="99"/>
        <w:insideH w:val="single" w:sz="4" w:space="0" w:color="777373" w:themeColor="text1" w:themeTint="99"/>
        <w:insideV w:val="single" w:sz="4" w:space="0" w:color="77737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0D0" w:themeFill="text1" w:themeFillTint="33"/>
      </w:tcPr>
    </w:tblStylePr>
    <w:tblStylePr w:type="band1Horz">
      <w:tblPr/>
      <w:tcPr>
        <w:shd w:val="clear" w:color="auto" w:fill="D2D0D0" w:themeFill="text1" w:themeFillTint="33"/>
      </w:tcPr>
    </w:tblStylePr>
    <w:tblStylePr w:type="neCell">
      <w:tblPr/>
      <w:tcPr>
        <w:tcBorders>
          <w:bottom w:val="single" w:sz="4" w:space="0" w:color="777373" w:themeColor="text1" w:themeTint="99"/>
        </w:tcBorders>
      </w:tcPr>
    </w:tblStylePr>
    <w:tblStylePr w:type="nwCell">
      <w:tblPr/>
      <w:tcPr>
        <w:tcBorders>
          <w:bottom w:val="single" w:sz="4" w:space="0" w:color="777373" w:themeColor="text1" w:themeTint="99"/>
        </w:tcBorders>
      </w:tcPr>
    </w:tblStylePr>
    <w:tblStylePr w:type="seCell">
      <w:tblPr/>
      <w:tcPr>
        <w:tcBorders>
          <w:top w:val="single" w:sz="4" w:space="0" w:color="777373" w:themeColor="text1" w:themeTint="99"/>
        </w:tcBorders>
      </w:tcPr>
    </w:tblStylePr>
    <w:tblStylePr w:type="swCell">
      <w:tblPr/>
      <w:tcPr>
        <w:tcBorders>
          <w:top w:val="single" w:sz="4" w:space="0" w:color="777373" w:themeColor="text1" w:themeTint="99"/>
        </w:tcBorders>
      </w:tcPr>
    </w:tblStylePr>
  </w:style>
  <w:style w:type="table" w:styleId="GridTable3-Accent1">
    <w:name w:val="Grid Table 3 Accent 1"/>
    <w:basedOn w:val="TableNormal"/>
    <w:uiPriority w:val="48"/>
    <w:rsid w:val="00421773"/>
    <w:pPr>
      <w:spacing w:after="0"/>
    </w:pPr>
    <w:rPr>
      <w:rFonts w:eastAsiaTheme="minorHAnsi" w:cs="Arial"/>
      <w:sz w:val="18"/>
      <w:szCs w:val="18"/>
    </w:rPr>
    <w:tblPr>
      <w:tblStyleRowBandSize w:val="1"/>
      <w:tblStyleColBandSize w:val="1"/>
      <w:tblBorders>
        <w:top w:val="single" w:sz="4" w:space="0" w:color="A4D9D2" w:themeColor="accent1" w:themeTint="99"/>
        <w:left w:val="single" w:sz="4" w:space="0" w:color="A4D9D2" w:themeColor="accent1" w:themeTint="99"/>
        <w:bottom w:val="single" w:sz="4" w:space="0" w:color="A4D9D2" w:themeColor="accent1" w:themeTint="99"/>
        <w:right w:val="single" w:sz="4" w:space="0" w:color="A4D9D2" w:themeColor="accent1" w:themeTint="99"/>
        <w:insideH w:val="single" w:sz="4" w:space="0" w:color="A4D9D2" w:themeColor="accent1" w:themeTint="99"/>
        <w:insideV w:val="single" w:sz="4" w:space="0" w:color="A4D9D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2F0" w:themeFill="accent1" w:themeFillTint="33"/>
      </w:tcPr>
    </w:tblStylePr>
    <w:tblStylePr w:type="band1Horz">
      <w:tblPr/>
      <w:tcPr>
        <w:shd w:val="clear" w:color="auto" w:fill="E0F2F0" w:themeFill="accent1" w:themeFillTint="33"/>
      </w:tcPr>
    </w:tblStylePr>
    <w:tblStylePr w:type="neCell">
      <w:tblPr/>
      <w:tcPr>
        <w:tcBorders>
          <w:bottom w:val="single" w:sz="4" w:space="0" w:color="A4D9D2" w:themeColor="accent1" w:themeTint="99"/>
        </w:tcBorders>
      </w:tcPr>
    </w:tblStylePr>
    <w:tblStylePr w:type="nwCell">
      <w:tblPr/>
      <w:tcPr>
        <w:tcBorders>
          <w:bottom w:val="single" w:sz="4" w:space="0" w:color="A4D9D2" w:themeColor="accent1" w:themeTint="99"/>
        </w:tcBorders>
      </w:tcPr>
    </w:tblStylePr>
    <w:tblStylePr w:type="seCell">
      <w:tblPr/>
      <w:tcPr>
        <w:tcBorders>
          <w:top w:val="single" w:sz="4" w:space="0" w:color="A4D9D2" w:themeColor="accent1" w:themeTint="99"/>
        </w:tcBorders>
      </w:tcPr>
    </w:tblStylePr>
    <w:tblStylePr w:type="swCell">
      <w:tblPr/>
      <w:tcPr>
        <w:tcBorders>
          <w:top w:val="single" w:sz="4" w:space="0" w:color="A4D9D2" w:themeColor="accent1" w:themeTint="99"/>
        </w:tcBorders>
      </w:tcPr>
    </w:tblStylePr>
  </w:style>
  <w:style w:type="table" w:styleId="GridTable3-Accent2">
    <w:name w:val="Grid Table 3 Accent 2"/>
    <w:basedOn w:val="TableNormal"/>
    <w:uiPriority w:val="48"/>
    <w:rsid w:val="00421773"/>
    <w:pPr>
      <w:spacing w:after="0"/>
    </w:pPr>
    <w:rPr>
      <w:rFonts w:eastAsiaTheme="minorHAnsi" w:cs="Arial"/>
      <w:sz w:val="18"/>
      <w:szCs w:val="18"/>
    </w:rPr>
    <w:tblPr>
      <w:tblStyleRowBandSize w:val="1"/>
      <w:tblStyleColBandSize w:val="1"/>
      <w:tblBorders>
        <w:top w:val="single" w:sz="4" w:space="0" w:color="A4CCEB" w:themeColor="accent2" w:themeTint="99"/>
        <w:left w:val="single" w:sz="4" w:space="0" w:color="A4CCEB" w:themeColor="accent2" w:themeTint="99"/>
        <w:bottom w:val="single" w:sz="4" w:space="0" w:color="A4CCEB" w:themeColor="accent2" w:themeTint="99"/>
        <w:right w:val="single" w:sz="4" w:space="0" w:color="A4CCEB" w:themeColor="accent2" w:themeTint="99"/>
        <w:insideH w:val="single" w:sz="4" w:space="0" w:color="A4CCEB" w:themeColor="accent2" w:themeTint="99"/>
        <w:insideV w:val="single" w:sz="4" w:space="0" w:color="A4CC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EF8" w:themeFill="accent2" w:themeFillTint="33"/>
      </w:tcPr>
    </w:tblStylePr>
    <w:tblStylePr w:type="band1Horz">
      <w:tblPr/>
      <w:tcPr>
        <w:shd w:val="clear" w:color="auto" w:fill="E0EEF8" w:themeFill="accent2" w:themeFillTint="33"/>
      </w:tcPr>
    </w:tblStylePr>
    <w:tblStylePr w:type="neCell">
      <w:tblPr/>
      <w:tcPr>
        <w:tcBorders>
          <w:bottom w:val="single" w:sz="4" w:space="0" w:color="A4CCEB" w:themeColor="accent2" w:themeTint="99"/>
        </w:tcBorders>
      </w:tcPr>
    </w:tblStylePr>
    <w:tblStylePr w:type="nwCell">
      <w:tblPr/>
      <w:tcPr>
        <w:tcBorders>
          <w:bottom w:val="single" w:sz="4" w:space="0" w:color="A4CCEB" w:themeColor="accent2" w:themeTint="99"/>
        </w:tcBorders>
      </w:tcPr>
    </w:tblStylePr>
    <w:tblStylePr w:type="seCell">
      <w:tblPr/>
      <w:tcPr>
        <w:tcBorders>
          <w:top w:val="single" w:sz="4" w:space="0" w:color="A4CCEB" w:themeColor="accent2" w:themeTint="99"/>
        </w:tcBorders>
      </w:tcPr>
    </w:tblStylePr>
    <w:tblStylePr w:type="swCell">
      <w:tblPr/>
      <w:tcPr>
        <w:tcBorders>
          <w:top w:val="single" w:sz="4" w:space="0" w:color="A4CCEB" w:themeColor="accent2" w:themeTint="99"/>
        </w:tcBorders>
      </w:tcPr>
    </w:tblStylePr>
  </w:style>
  <w:style w:type="table" w:styleId="GridTable3-Accent3">
    <w:name w:val="Grid Table 3 Accent 3"/>
    <w:basedOn w:val="TableNormal"/>
    <w:uiPriority w:val="48"/>
    <w:rsid w:val="00421773"/>
    <w:pPr>
      <w:spacing w:after="0"/>
    </w:pPr>
    <w:rPr>
      <w:rFonts w:eastAsiaTheme="minorHAnsi" w:cs="Arial"/>
      <w:sz w:val="18"/>
      <w:szCs w:val="18"/>
    </w:rPr>
    <w:tblPr>
      <w:tblStyleRowBandSize w:val="1"/>
      <w:tblStyleColBandSize w:val="1"/>
      <w:tblBorders>
        <w:top w:val="single" w:sz="4" w:space="0" w:color="A1A5CF" w:themeColor="accent3" w:themeTint="99"/>
        <w:left w:val="single" w:sz="4" w:space="0" w:color="A1A5CF" w:themeColor="accent3" w:themeTint="99"/>
        <w:bottom w:val="single" w:sz="4" w:space="0" w:color="A1A5CF" w:themeColor="accent3" w:themeTint="99"/>
        <w:right w:val="single" w:sz="4" w:space="0" w:color="A1A5CF" w:themeColor="accent3" w:themeTint="99"/>
        <w:insideH w:val="single" w:sz="4" w:space="0" w:color="A1A5CF" w:themeColor="accent3" w:themeTint="99"/>
        <w:insideV w:val="single" w:sz="4" w:space="0" w:color="A1A5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1EF" w:themeFill="accent3" w:themeFillTint="33"/>
      </w:tcPr>
    </w:tblStylePr>
    <w:tblStylePr w:type="band1Horz">
      <w:tblPr/>
      <w:tcPr>
        <w:shd w:val="clear" w:color="auto" w:fill="DFE1EF" w:themeFill="accent3" w:themeFillTint="33"/>
      </w:tcPr>
    </w:tblStylePr>
    <w:tblStylePr w:type="neCell">
      <w:tblPr/>
      <w:tcPr>
        <w:tcBorders>
          <w:bottom w:val="single" w:sz="4" w:space="0" w:color="A1A5CF" w:themeColor="accent3" w:themeTint="99"/>
        </w:tcBorders>
      </w:tcPr>
    </w:tblStylePr>
    <w:tblStylePr w:type="nwCell">
      <w:tblPr/>
      <w:tcPr>
        <w:tcBorders>
          <w:bottom w:val="single" w:sz="4" w:space="0" w:color="A1A5CF" w:themeColor="accent3" w:themeTint="99"/>
        </w:tcBorders>
      </w:tcPr>
    </w:tblStylePr>
    <w:tblStylePr w:type="seCell">
      <w:tblPr/>
      <w:tcPr>
        <w:tcBorders>
          <w:top w:val="single" w:sz="4" w:space="0" w:color="A1A5CF" w:themeColor="accent3" w:themeTint="99"/>
        </w:tcBorders>
      </w:tcPr>
    </w:tblStylePr>
    <w:tblStylePr w:type="swCell">
      <w:tblPr/>
      <w:tcPr>
        <w:tcBorders>
          <w:top w:val="single" w:sz="4" w:space="0" w:color="A1A5CF" w:themeColor="accent3" w:themeTint="99"/>
        </w:tcBorders>
      </w:tcPr>
    </w:tblStylePr>
  </w:style>
  <w:style w:type="table" w:styleId="GridTable3-Accent4">
    <w:name w:val="Grid Table 3 Accent 4"/>
    <w:basedOn w:val="TableNormal"/>
    <w:uiPriority w:val="48"/>
    <w:rsid w:val="00421773"/>
    <w:pPr>
      <w:spacing w:after="0"/>
    </w:pPr>
    <w:rPr>
      <w:rFonts w:eastAsiaTheme="minorHAnsi" w:cs="Arial"/>
      <w:sz w:val="18"/>
      <w:szCs w:val="18"/>
    </w:rPr>
    <w:tblPr>
      <w:tblStyleRowBandSize w:val="1"/>
      <w:tblStyleColBandSize w:val="1"/>
      <w:tblBorders>
        <w:top w:val="single" w:sz="4" w:space="0" w:color="D0A7CC" w:themeColor="accent4" w:themeTint="99"/>
        <w:left w:val="single" w:sz="4" w:space="0" w:color="D0A7CC" w:themeColor="accent4" w:themeTint="99"/>
        <w:bottom w:val="single" w:sz="4" w:space="0" w:color="D0A7CC" w:themeColor="accent4" w:themeTint="99"/>
        <w:right w:val="single" w:sz="4" w:space="0" w:color="D0A7CC" w:themeColor="accent4" w:themeTint="99"/>
        <w:insideH w:val="single" w:sz="4" w:space="0" w:color="D0A7CC" w:themeColor="accent4" w:themeTint="99"/>
        <w:insideV w:val="single" w:sz="4" w:space="0" w:color="D0A7C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1EE" w:themeFill="accent4" w:themeFillTint="33"/>
      </w:tcPr>
    </w:tblStylePr>
    <w:tblStylePr w:type="band1Horz">
      <w:tblPr/>
      <w:tcPr>
        <w:shd w:val="clear" w:color="auto" w:fill="EFE1EE" w:themeFill="accent4" w:themeFillTint="33"/>
      </w:tcPr>
    </w:tblStylePr>
    <w:tblStylePr w:type="neCell">
      <w:tblPr/>
      <w:tcPr>
        <w:tcBorders>
          <w:bottom w:val="single" w:sz="4" w:space="0" w:color="D0A7CC" w:themeColor="accent4" w:themeTint="99"/>
        </w:tcBorders>
      </w:tcPr>
    </w:tblStylePr>
    <w:tblStylePr w:type="nwCell">
      <w:tblPr/>
      <w:tcPr>
        <w:tcBorders>
          <w:bottom w:val="single" w:sz="4" w:space="0" w:color="D0A7CC" w:themeColor="accent4" w:themeTint="99"/>
        </w:tcBorders>
      </w:tcPr>
    </w:tblStylePr>
    <w:tblStylePr w:type="seCell">
      <w:tblPr/>
      <w:tcPr>
        <w:tcBorders>
          <w:top w:val="single" w:sz="4" w:space="0" w:color="D0A7CC" w:themeColor="accent4" w:themeTint="99"/>
        </w:tcBorders>
      </w:tcPr>
    </w:tblStylePr>
    <w:tblStylePr w:type="swCell">
      <w:tblPr/>
      <w:tcPr>
        <w:tcBorders>
          <w:top w:val="single" w:sz="4" w:space="0" w:color="D0A7CC" w:themeColor="accent4" w:themeTint="99"/>
        </w:tcBorders>
      </w:tcPr>
    </w:tblStylePr>
  </w:style>
  <w:style w:type="table" w:styleId="GridTable3-Accent5">
    <w:name w:val="Grid Table 3 Accent 5"/>
    <w:basedOn w:val="TableNormal"/>
    <w:uiPriority w:val="48"/>
    <w:rsid w:val="00421773"/>
    <w:pPr>
      <w:spacing w:after="0"/>
    </w:pPr>
    <w:rPr>
      <w:rFonts w:eastAsiaTheme="minorHAnsi" w:cs="Arial"/>
      <w:sz w:val="18"/>
      <w:szCs w:val="18"/>
    </w:rPr>
    <w:tblPr>
      <w:tblStyleRowBandSize w:val="1"/>
      <w:tblStyleColBandSize w:val="1"/>
      <w:tblBorders>
        <w:top w:val="single" w:sz="4" w:space="0" w:color="F0C7DD" w:themeColor="accent5" w:themeTint="99"/>
        <w:left w:val="single" w:sz="4" w:space="0" w:color="F0C7DD" w:themeColor="accent5" w:themeTint="99"/>
        <w:bottom w:val="single" w:sz="4" w:space="0" w:color="F0C7DD" w:themeColor="accent5" w:themeTint="99"/>
        <w:right w:val="single" w:sz="4" w:space="0" w:color="F0C7DD" w:themeColor="accent5" w:themeTint="99"/>
        <w:insideH w:val="single" w:sz="4" w:space="0" w:color="F0C7DD" w:themeColor="accent5" w:themeTint="99"/>
        <w:insideV w:val="single" w:sz="4" w:space="0" w:color="F0C7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CF3" w:themeFill="accent5" w:themeFillTint="33"/>
      </w:tcPr>
    </w:tblStylePr>
    <w:tblStylePr w:type="band1Horz">
      <w:tblPr/>
      <w:tcPr>
        <w:shd w:val="clear" w:color="auto" w:fill="FAECF3" w:themeFill="accent5" w:themeFillTint="33"/>
      </w:tcPr>
    </w:tblStylePr>
    <w:tblStylePr w:type="neCell">
      <w:tblPr/>
      <w:tcPr>
        <w:tcBorders>
          <w:bottom w:val="single" w:sz="4" w:space="0" w:color="F0C7DD" w:themeColor="accent5" w:themeTint="99"/>
        </w:tcBorders>
      </w:tcPr>
    </w:tblStylePr>
    <w:tblStylePr w:type="nwCell">
      <w:tblPr/>
      <w:tcPr>
        <w:tcBorders>
          <w:bottom w:val="single" w:sz="4" w:space="0" w:color="F0C7DD" w:themeColor="accent5" w:themeTint="99"/>
        </w:tcBorders>
      </w:tcPr>
    </w:tblStylePr>
    <w:tblStylePr w:type="seCell">
      <w:tblPr/>
      <w:tcPr>
        <w:tcBorders>
          <w:top w:val="single" w:sz="4" w:space="0" w:color="F0C7DD" w:themeColor="accent5" w:themeTint="99"/>
        </w:tcBorders>
      </w:tcPr>
    </w:tblStylePr>
    <w:tblStylePr w:type="swCell">
      <w:tblPr/>
      <w:tcPr>
        <w:tcBorders>
          <w:top w:val="single" w:sz="4" w:space="0" w:color="F0C7DD" w:themeColor="accent5" w:themeTint="99"/>
        </w:tcBorders>
      </w:tcPr>
    </w:tblStylePr>
  </w:style>
  <w:style w:type="table" w:styleId="GridTable3-Accent6">
    <w:name w:val="Grid Table 3 Accent 6"/>
    <w:basedOn w:val="TableNormal"/>
    <w:uiPriority w:val="48"/>
    <w:rsid w:val="00421773"/>
    <w:pPr>
      <w:spacing w:after="0"/>
    </w:pPr>
    <w:rPr>
      <w:rFonts w:eastAsiaTheme="minorHAnsi" w:cs="Arial"/>
      <w:sz w:val="18"/>
      <w:szCs w:val="18"/>
    </w:rPr>
    <w:tblPr>
      <w:tblStyleRowBandSize w:val="1"/>
      <w:tblStyleColBandSize w:val="1"/>
      <w:tblBorders>
        <w:top w:val="single" w:sz="4" w:space="0" w:color="C3E3F8" w:themeColor="accent6" w:themeTint="99"/>
        <w:left w:val="single" w:sz="4" w:space="0" w:color="C3E3F8" w:themeColor="accent6" w:themeTint="99"/>
        <w:bottom w:val="single" w:sz="4" w:space="0" w:color="C3E3F8" w:themeColor="accent6" w:themeTint="99"/>
        <w:right w:val="single" w:sz="4" w:space="0" w:color="C3E3F8" w:themeColor="accent6" w:themeTint="99"/>
        <w:insideH w:val="single" w:sz="4" w:space="0" w:color="C3E3F8" w:themeColor="accent6" w:themeTint="99"/>
        <w:insideV w:val="single" w:sz="4" w:space="0" w:color="C3E3F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F5FC" w:themeFill="accent6" w:themeFillTint="33"/>
      </w:tcPr>
    </w:tblStylePr>
    <w:tblStylePr w:type="band1Horz">
      <w:tblPr/>
      <w:tcPr>
        <w:shd w:val="clear" w:color="auto" w:fill="EBF5FC" w:themeFill="accent6" w:themeFillTint="33"/>
      </w:tcPr>
    </w:tblStylePr>
    <w:tblStylePr w:type="neCell">
      <w:tblPr/>
      <w:tcPr>
        <w:tcBorders>
          <w:bottom w:val="single" w:sz="4" w:space="0" w:color="C3E3F8" w:themeColor="accent6" w:themeTint="99"/>
        </w:tcBorders>
      </w:tcPr>
    </w:tblStylePr>
    <w:tblStylePr w:type="nwCell">
      <w:tblPr/>
      <w:tcPr>
        <w:tcBorders>
          <w:bottom w:val="single" w:sz="4" w:space="0" w:color="C3E3F8" w:themeColor="accent6" w:themeTint="99"/>
        </w:tcBorders>
      </w:tcPr>
    </w:tblStylePr>
    <w:tblStylePr w:type="seCell">
      <w:tblPr/>
      <w:tcPr>
        <w:tcBorders>
          <w:top w:val="single" w:sz="4" w:space="0" w:color="C3E3F8" w:themeColor="accent6" w:themeTint="99"/>
        </w:tcBorders>
      </w:tcPr>
    </w:tblStylePr>
    <w:tblStylePr w:type="swCell">
      <w:tblPr/>
      <w:tcPr>
        <w:tcBorders>
          <w:top w:val="single" w:sz="4" w:space="0" w:color="C3E3F8" w:themeColor="accent6" w:themeTint="99"/>
        </w:tcBorders>
      </w:tcPr>
    </w:tblStylePr>
  </w:style>
  <w:style w:type="table" w:styleId="GridTable4">
    <w:name w:val="Grid Table 4"/>
    <w:basedOn w:val="TableNormal"/>
    <w:uiPriority w:val="49"/>
    <w:rsid w:val="00421773"/>
    <w:pPr>
      <w:spacing w:after="0"/>
    </w:pPr>
    <w:rPr>
      <w:rFonts w:eastAsiaTheme="minorHAnsi" w:cs="Arial"/>
      <w:sz w:val="18"/>
      <w:szCs w:val="18"/>
    </w:rPr>
    <w:tblPr>
      <w:tblStyleRowBandSize w:val="1"/>
      <w:tblStyleColBandSize w:val="1"/>
      <w:tblBorders>
        <w:top w:val="single" w:sz="4" w:space="0" w:color="777373" w:themeColor="text1" w:themeTint="99"/>
        <w:left w:val="single" w:sz="4" w:space="0" w:color="777373" w:themeColor="text1" w:themeTint="99"/>
        <w:bottom w:val="single" w:sz="4" w:space="0" w:color="777373" w:themeColor="text1" w:themeTint="99"/>
        <w:right w:val="single" w:sz="4" w:space="0" w:color="777373" w:themeColor="text1" w:themeTint="99"/>
        <w:insideH w:val="single" w:sz="4" w:space="0" w:color="777373" w:themeColor="text1" w:themeTint="99"/>
        <w:insideV w:val="single" w:sz="4" w:space="0" w:color="777373" w:themeColor="text1" w:themeTint="99"/>
      </w:tblBorders>
    </w:tblPr>
    <w:tblStylePr w:type="firstRow">
      <w:rPr>
        <w:b/>
        <w:bCs/>
        <w:color w:val="FFFFFF" w:themeColor="background1"/>
      </w:rPr>
      <w:tblPr/>
      <w:tcPr>
        <w:tcBorders>
          <w:top w:val="single" w:sz="4" w:space="0" w:color="1A1919" w:themeColor="text1"/>
          <w:left w:val="single" w:sz="4" w:space="0" w:color="1A1919" w:themeColor="text1"/>
          <w:bottom w:val="single" w:sz="4" w:space="0" w:color="1A1919" w:themeColor="text1"/>
          <w:right w:val="single" w:sz="4" w:space="0" w:color="1A1919" w:themeColor="text1"/>
          <w:insideH w:val="nil"/>
          <w:insideV w:val="nil"/>
        </w:tcBorders>
        <w:shd w:val="clear" w:color="auto" w:fill="1A1919" w:themeFill="text1"/>
      </w:tcPr>
    </w:tblStylePr>
    <w:tblStylePr w:type="lastRow">
      <w:rPr>
        <w:b/>
        <w:bCs/>
      </w:rPr>
      <w:tblPr/>
      <w:tcPr>
        <w:tcBorders>
          <w:top w:val="double" w:sz="4" w:space="0" w:color="1A1919" w:themeColor="text1"/>
        </w:tcBorders>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GridTable4-Accent1">
    <w:name w:val="Grid Table 4 Accent 1"/>
    <w:basedOn w:val="TableNormal"/>
    <w:uiPriority w:val="49"/>
    <w:rsid w:val="00421773"/>
    <w:pPr>
      <w:spacing w:after="0"/>
    </w:pPr>
    <w:rPr>
      <w:rFonts w:eastAsiaTheme="minorHAnsi" w:cs="Arial"/>
      <w:sz w:val="18"/>
      <w:szCs w:val="18"/>
    </w:rPr>
    <w:tblPr>
      <w:tblStyleRowBandSize w:val="1"/>
      <w:tblStyleColBandSize w:val="1"/>
      <w:tblBorders>
        <w:top w:val="single" w:sz="4" w:space="0" w:color="A4D9D2" w:themeColor="accent1" w:themeTint="99"/>
        <w:left w:val="single" w:sz="4" w:space="0" w:color="A4D9D2" w:themeColor="accent1" w:themeTint="99"/>
        <w:bottom w:val="single" w:sz="4" w:space="0" w:color="A4D9D2" w:themeColor="accent1" w:themeTint="99"/>
        <w:right w:val="single" w:sz="4" w:space="0" w:color="A4D9D2" w:themeColor="accent1" w:themeTint="99"/>
        <w:insideH w:val="single" w:sz="4" w:space="0" w:color="A4D9D2" w:themeColor="accent1" w:themeTint="99"/>
        <w:insideV w:val="single" w:sz="4" w:space="0" w:color="A4D9D2" w:themeColor="accent1" w:themeTint="99"/>
      </w:tblBorders>
    </w:tblPr>
    <w:tblStylePr w:type="firstRow">
      <w:rPr>
        <w:b/>
        <w:bCs/>
        <w:color w:val="FFFFFF" w:themeColor="background1"/>
      </w:rPr>
      <w:tblPr/>
      <w:tcPr>
        <w:tcBorders>
          <w:top w:val="single" w:sz="4" w:space="0" w:color="68C0B5" w:themeColor="accent1"/>
          <w:left w:val="single" w:sz="4" w:space="0" w:color="68C0B5" w:themeColor="accent1"/>
          <w:bottom w:val="single" w:sz="4" w:space="0" w:color="68C0B5" w:themeColor="accent1"/>
          <w:right w:val="single" w:sz="4" w:space="0" w:color="68C0B5" w:themeColor="accent1"/>
          <w:insideH w:val="nil"/>
          <w:insideV w:val="nil"/>
        </w:tcBorders>
        <w:shd w:val="clear" w:color="auto" w:fill="68C0B5" w:themeFill="accent1"/>
      </w:tcPr>
    </w:tblStylePr>
    <w:tblStylePr w:type="lastRow">
      <w:rPr>
        <w:b/>
        <w:bCs/>
      </w:rPr>
      <w:tblPr/>
      <w:tcPr>
        <w:tcBorders>
          <w:top w:val="double" w:sz="4" w:space="0" w:color="68C0B5" w:themeColor="accent1"/>
        </w:tcBorders>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GridTable4-Accent2">
    <w:name w:val="Grid Table 4 Accent 2"/>
    <w:basedOn w:val="TableNormal"/>
    <w:uiPriority w:val="49"/>
    <w:rsid w:val="00421773"/>
    <w:pPr>
      <w:spacing w:after="0"/>
    </w:pPr>
    <w:rPr>
      <w:rFonts w:eastAsiaTheme="minorHAnsi" w:cs="Arial"/>
      <w:sz w:val="18"/>
      <w:szCs w:val="18"/>
    </w:rPr>
    <w:tblPr>
      <w:tblStyleRowBandSize w:val="1"/>
      <w:tblStyleColBandSize w:val="1"/>
      <w:tblBorders>
        <w:top w:val="single" w:sz="4" w:space="0" w:color="A4CCEB" w:themeColor="accent2" w:themeTint="99"/>
        <w:left w:val="single" w:sz="4" w:space="0" w:color="A4CCEB" w:themeColor="accent2" w:themeTint="99"/>
        <w:bottom w:val="single" w:sz="4" w:space="0" w:color="A4CCEB" w:themeColor="accent2" w:themeTint="99"/>
        <w:right w:val="single" w:sz="4" w:space="0" w:color="A4CCEB" w:themeColor="accent2" w:themeTint="99"/>
        <w:insideH w:val="single" w:sz="4" w:space="0" w:color="A4CCEB" w:themeColor="accent2" w:themeTint="99"/>
        <w:insideV w:val="single" w:sz="4" w:space="0" w:color="A4CCEB" w:themeColor="accent2" w:themeTint="99"/>
      </w:tblBorders>
    </w:tblPr>
    <w:tblStylePr w:type="firstRow">
      <w:rPr>
        <w:b/>
        <w:bCs/>
        <w:color w:val="FFFFFF" w:themeColor="background1"/>
      </w:rPr>
      <w:tblPr/>
      <w:tcPr>
        <w:tcBorders>
          <w:top w:val="single" w:sz="4" w:space="0" w:color="69ACDF" w:themeColor="accent2"/>
          <w:left w:val="single" w:sz="4" w:space="0" w:color="69ACDF" w:themeColor="accent2"/>
          <w:bottom w:val="single" w:sz="4" w:space="0" w:color="69ACDF" w:themeColor="accent2"/>
          <w:right w:val="single" w:sz="4" w:space="0" w:color="69ACDF" w:themeColor="accent2"/>
          <w:insideH w:val="nil"/>
          <w:insideV w:val="nil"/>
        </w:tcBorders>
        <w:shd w:val="clear" w:color="auto" w:fill="69ACDF" w:themeFill="accent2"/>
      </w:tcPr>
    </w:tblStylePr>
    <w:tblStylePr w:type="lastRow">
      <w:rPr>
        <w:b/>
        <w:bCs/>
      </w:rPr>
      <w:tblPr/>
      <w:tcPr>
        <w:tcBorders>
          <w:top w:val="double" w:sz="4" w:space="0" w:color="69ACDF" w:themeColor="accent2"/>
        </w:tcBorders>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GridTable4-Accent3">
    <w:name w:val="Grid Table 4 Accent 3"/>
    <w:basedOn w:val="TableNormal"/>
    <w:uiPriority w:val="49"/>
    <w:rsid w:val="00421773"/>
    <w:pPr>
      <w:spacing w:after="0"/>
    </w:pPr>
    <w:rPr>
      <w:rFonts w:eastAsiaTheme="minorHAnsi" w:cs="Arial"/>
      <w:sz w:val="18"/>
      <w:szCs w:val="18"/>
    </w:rPr>
    <w:tblPr>
      <w:tblStyleRowBandSize w:val="1"/>
      <w:tblStyleColBandSize w:val="1"/>
      <w:tblBorders>
        <w:top w:val="single" w:sz="4" w:space="0" w:color="A1A5CF" w:themeColor="accent3" w:themeTint="99"/>
        <w:left w:val="single" w:sz="4" w:space="0" w:color="A1A5CF" w:themeColor="accent3" w:themeTint="99"/>
        <w:bottom w:val="single" w:sz="4" w:space="0" w:color="A1A5CF" w:themeColor="accent3" w:themeTint="99"/>
        <w:right w:val="single" w:sz="4" w:space="0" w:color="A1A5CF" w:themeColor="accent3" w:themeTint="99"/>
        <w:insideH w:val="single" w:sz="4" w:space="0" w:color="A1A5CF" w:themeColor="accent3" w:themeTint="99"/>
        <w:insideV w:val="single" w:sz="4" w:space="0" w:color="A1A5CF" w:themeColor="accent3" w:themeTint="99"/>
      </w:tblBorders>
    </w:tblPr>
    <w:tblStylePr w:type="firstRow">
      <w:rPr>
        <w:b/>
        <w:bCs/>
        <w:color w:val="FFFFFF" w:themeColor="background1"/>
      </w:rPr>
      <w:tblPr/>
      <w:tcPr>
        <w:tcBorders>
          <w:top w:val="single" w:sz="4" w:space="0" w:color="636AAF" w:themeColor="accent3"/>
          <w:left w:val="single" w:sz="4" w:space="0" w:color="636AAF" w:themeColor="accent3"/>
          <w:bottom w:val="single" w:sz="4" w:space="0" w:color="636AAF" w:themeColor="accent3"/>
          <w:right w:val="single" w:sz="4" w:space="0" w:color="636AAF" w:themeColor="accent3"/>
          <w:insideH w:val="nil"/>
          <w:insideV w:val="nil"/>
        </w:tcBorders>
        <w:shd w:val="clear" w:color="auto" w:fill="636AAF" w:themeFill="accent3"/>
      </w:tcPr>
    </w:tblStylePr>
    <w:tblStylePr w:type="lastRow">
      <w:rPr>
        <w:b/>
        <w:bCs/>
      </w:rPr>
      <w:tblPr/>
      <w:tcPr>
        <w:tcBorders>
          <w:top w:val="double" w:sz="4" w:space="0" w:color="636AAF" w:themeColor="accent3"/>
        </w:tcBorders>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GridTable4-Accent4">
    <w:name w:val="Grid Table 4 Accent 4"/>
    <w:basedOn w:val="TableNormal"/>
    <w:uiPriority w:val="49"/>
    <w:rsid w:val="00421773"/>
    <w:pPr>
      <w:spacing w:after="0"/>
    </w:pPr>
    <w:rPr>
      <w:rFonts w:eastAsiaTheme="minorHAnsi" w:cs="Arial"/>
      <w:sz w:val="18"/>
      <w:szCs w:val="18"/>
    </w:rPr>
    <w:tblPr>
      <w:tblStyleRowBandSize w:val="1"/>
      <w:tblStyleColBandSize w:val="1"/>
      <w:tblBorders>
        <w:top w:val="single" w:sz="4" w:space="0" w:color="D0A7CC" w:themeColor="accent4" w:themeTint="99"/>
        <w:left w:val="single" w:sz="4" w:space="0" w:color="D0A7CC" w:themeColor="accent4" w:themeTint="99"/>
        <w:bottom w:val="single" w:sz="4" w:space="0" w:color="D0A7CC" w:themeColor="accent4" w:themeTint="99"/>
        <w:right w:val="single" w:sz="4" w:space="0" w:color="D0A7CC" w:themeColor="accent4" w:themeTint="99"/>
        <w:insideH w:val="single" w:sz="4" w:space="0" w:color="D0A7CC" w:themeColor="accent4" w:themeTint="99"/>
        <w:insideV w:val="single" w:sz="4" w:space="0" w:color="D0A7CC" w:themeColor="accent4" w:themeTint="99"/>
      </w:tblBorders>
    </w:tblPr>
    <w:tblStylePr w:type="firstRow">
      <w:rPr>
        <w:b/>
        <w:bCs/>
        <w:color w:val="FFFFFF" w:themeColor="background1"/>
      </w:rPr>
      <w:tblPr/>
      <w:tcPr>
        <w:tcBorders>
          <w:top w:val="single" w:sz="4" w:space="0" w:color="B26DAB" w:themeColor="accent4"/>
          <w:left w:val="single" w:sz="4" w:space="0" w:color="B26DAB" w:themeColor="accent4"/>
          <w:bottom w:val="single" w:sz="4" w:space="0" w:color="B26DAB" w:themeColor="accent4"/>
          <w:right w:val="single" w:sz="4" w:space="0" w:color="B26DAB" w:themeColor="accent4"/>
          <w:insideH w:val="nil"/>
          <w:insideV w:val="nil"/>
        </w:tcBorders>
        <w:shd w:val="clear" w:color="auto" w:fill="B26DAB" w:themeFill="accent4"/>
      </w:tcPr>
    </w:tblStylePr>
    <w:tblStylePr w:type="lastRow">
      <w:rPr>
        <w:b/>
        <w:bCs/>
      </w:rPr>
      <w:tblPr/>
      <w:tcPr>
        <w:tcBorders>
          <w:top w:val="double" w:sz="4" w:space="0" w:color="B26DAB" w:themeColor="accent4"/>
        </w:tcBorders>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GridTable4-Accent5">
    <w:name w:val="Grid Table 4 Accent 5"/>
    <w:basedOn w:val="TableNormal"/>
    <w:uiPriority w:val="49"/>
    <w:rsid w:val="00421773"/>
    <w:pPr>
      <w:spacing w:after="0"/>
    </w:pPr>
    <w:rPr>
      <w:rFonts w:eastAsiaTheme="minorHAnsi" w:cs="Arial"/>
      <w:sz w:val="18"/>
      <w:szCs w:val="18"/>
    </w:rPr>
    <w:tblPr>
      <w:tblStyleRowBandSize w:val="1"/>
      <w:tblStyleColBandSize w:val="1"/>
      <w:tblBorders>
        <w:top w:val="single" w:sz="4" w:space="0" w:color="F0C7DD" w:themeColor="accent5" w:themeTint="99"/>
        <w:left w:val="single" w:sz="4" w:space="0" w:color="F0C7DD" w:themeColor="accent5" w:themeTint="99"/>
        <w:bottom w:val="single" w:sz="4" w:space="0" w:color="F0C7DD" w:themeColor="accent5" w:themeTint="99"/>
        <w:right w:val="single" w:sz="4" w:space="0" w:color="F0C7DD" w:themeColor="accent5" w:themeTint="99"/>
        <w:insideH w:val="single" w:sz="4" w:space="0" w:color="F0C7DD" w:themeColor="accent5" w:themeTint="99"/>
        <w:insideV w:val="single" w:sz="4" w:space="0" w:color="F0C7DD" w:themeColor="accent5" w:themeTint="99"/>
      </w:tblBorders>
    </w:tblPr>
    <w:tblStylePr w:type="firstRow">
      <w:rPr>
        <w:b/>
        <w:bCs/>
        <w:color w:val="FFFFFF" w:themeColor="background1"/>
      </w:rPr>
      <w:tblPr/>
      <w:tcPr>
        <w:tcBorders>
          <w:top w:val="single" w:sz="4" w:space="0" w:color="E7A2C8" w:themeColor="accent5"/>
          <w:left w:val="single" w:sz="4" w:space="0" w:color="E7A2C8" w:themeColor="accent5"/>
          <w:bottom w:val="single" w:sz="4" w:space="0" w:color="E7A2C8" w:themeColor="accent5"/>
          <w:right w:val="single" w:sz="4" w:space="0" w:color="E7A2C8" w:themeColor="accent5"/>
          <w:insideH w:val="nil"/>
          <w:insideV w:val="nil"/>
        </w:tcBorders>
        <w:shd w:val="clear" w:color="auto" w:fill="E7A2C8" w:themeFill="accent5"/>
      </w:tcPr>
    </w:tblStylePr>
    <w:tblStylePr w:type="lastRow">
      <w:rPr>
        <w:b/>
        <w:bCs/>
      </w:rPr>
      <w:tblPr/>
      <w:tcPr>
        <w:tcBorders>
          <w:top w:val="double" w:sz="4" w:space="0" w:color="E7A2C8" w:themeColor="accent5"/>
        </w:tcBorders>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GridTable4-Accent6">
    <w:name w:val="Grid Table 4 Accent 6"/>
    <w:basedOn w:val="TableNormal"/>
    <w:uiPriority w:val="49"/>
    <w:rsid w:val="00421773"/>
    <w:pPr>
      <w:spacing w:after="0"/>
    </w:pPr>
    <w:rPr>
      <w:rFonts w:eastAsiaTheme="minorHAnsi" w:cs="Arial"/>
      <w:sz w:val="18"/>
      <w:szCs w:val="18"/>
    </w:rPr>
    <w:tblPr>
      <w:tblStyleRowBandSize w:val="1"/>
      <w:tblStyleColBandSize w:val="1"/>
      <w:tblBorders>
        <w:top w:val="single" w:sz="4" w:space="0" w:color="C3E3F8" w:themeColor="accent6" w:themeTint="99"/>
        <w:left w:val="single" w:sz="4" w:space="0" w:color="C3E3F8" w:themeColor="accent6" w:themeTint="99"/>
        <w:bottom w:val="single" w:sz="4" w:space="0" w:color="C3E3F8" w:themeColor="accent6" w:themeTint="99"/>
        <w:right w:val="single" w:sz="4" w:space="0" w:color="C3E3F8" w:themeColor="accent6" w:themeTint="99"/>
        <w:insideH w:val="single" w:sz="4" w:space="0" w:color="C3E3F8" w:themeColor="accent6" w:themeTint="99"/>
        <w:insideV w:val="single" w:sz="4" w:space="0" w:color="C3E3F8" w:themeColor="accent6" w:themeTint="99"/>
      </w:tblBorders>
    </w:tblPr>
    <w:tblStylePr w:type="firstRow">
      <w:rPr>
        <w:b/>
        <w:bCs/>
        <w:color w:val="FFFFFF" w:themeColor="background1"/>
      </w:rPr>
      <w:tblPr/>
      <w:tcPr>
        <w:tcBorders>
          <w:top w:val="single" w:sz="4" w:space="0" w:color="9CD2F4" w:themeColor="accent6"/>
          <w:left w:val="single" w:sz="4" w:space="0" w:color="9CD2F4" w:themeColor="accent6"/>
          <w:bottom w:val="single" w:sz="4" w:space="0" w:color="9CD2F4" w:themeColor="accent6"/>
          <w:right w:val="single" w:sz="4" w:space="0" w:color="9CD2F4" w:themeColor="accent6"/>
          <w:insideH w:val="nil"/>
          <w:insideV w:val="nil"/>
        </w:tcBorders>
        <w:shd w:val="clear" w:color="auto" w:fill="9CD2F4" w:themeFill="accent6"/>
      </w:tcPr>
    </w:tblStylePr>
    <w:tblStylePr w:type="lastRow">
      <w:rPr>
        <w:b/>
        <w:bCs/>
      </w:rPr>
      <w:tblPr/>
      <w:tcPr>
        <w:tcBorders>
          <w:top w:val="double" w:sz="4" w:space="0" w:color="9CD2F4" w:themeColor="accent6"/>
        </w:tcBorders>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GridTable5Dark">
    <w:name w:val="Grid Table 5 Dark"/>
    <w:basedOn w:val="TableNormal"/>
    <w:uiPriority w:val="50"/>
    <w:rsid w:val="00421773"/>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0D0"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A191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A191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A191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A1919" w:themeFill="text1"/>
      </w:tcPr>
    </w:tblStylePr>
    <w:tblStylePr w:type="band1Vert">
      <w:tblPr/>
      <w:tcPr>
        <w:shd w:val="clear" w:color="auto" w:fill="A5A1A1" w:themeFill="text1" w:themeFillTint="66"/>
      </w:tcPr>
    </w:tblStylePr>
    <w:tblStylePr w:type="band1Horz">
      <w:tblPr/>
      <w:tcPr>
        <w:shd w:val="clear" w:color="auto" w:fill="A5A1A1" w:themeFill="text1" w:themeFillTint="66"/>
      </w:tcPr>
    </w:tblStylePr>
  </w:style>
  <w:style w:type="table" w:styleId="GridTable5Dark-Accent1">
    <w:name w:val="Grid Table 5 Dark Accent 1"/>
    <w:basedOn w:val="TableNormal"/>
    <w:uiPriority w:val="50"/>
    <w:rsid w:val="00421773"/>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2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C0B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C0B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C0B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C0B5" w:themeFill="accent1"/>
      </w:tcPr>
    </w:tblStylePr>
    <w:tblStylePr w:type="band1Vert">
      <w:tblPr/>
      <w:tcPr>
        <w:shd w:val="clear" w:color="auto" w:fill="C2E5E1" w:themeFill="accent1" w:themeFillTint="66"/>
      </w:tcPr>
    </w:tblStylePr>
    <w:tblStylePr w:type="band1Horz">
      <w:tblPr/>
      <w:tcPr>
        <w:shd w:val="clear" w:color="auto" w:fill="C2E5E1" w:themeFill="accent1" w:themeFillTint="66"/>
      </w:tcPr>
    </w:tblStylePr>
  </w:style>
  <w:style w:type="table" w:styleId="GridTable5Dark-Accent2">
    <w:name w:val="Grid Table 5 Dark Accent 2"/>
    <w:basedOn w:val="TableNormal"/>
    <w:uiPriority w:val="50"/>
    <w:rsid w:val="00421773"/>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E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9AC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9AC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9AC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9ACDF" w:themeFill="accent2"/>
      </w:tcPr>
    </w:tblStylePr>
    <w:tblStylePr w:type="band1Vert">
      <w:tblPr/>
      <w:tcPr>
        <w:shd w:val="clear" w:color="auto" w:fill="C2DDF2" w:themeFill="accent2" w:themeFillTint="66"/>
      </w:tcPr>
    </w:tblStylePr>
    <w:tblStylePr w:type="band1Horz">
      <w:tblPr/>
      <w:tcPr>
        <w:shd w:val="clear" w:color="auto" w:fill="C2DDF2" w:themeFill="accent2" w:themeFillTint="66"/>
      </w:tcPr>
    </w:tblStylePr>
  </w:style>
  <w:style w:type="table" w:styleId="GridTable5Dark-Accent3">
    <w:name w:val="Grid Table 5 Dark Accent 3"/>
    <w:basedOn w:val="TableNormal"/>
    <w:uiPriority w:val="50"/>
    <w:rsid w:val="00421773"/>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6AA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6AA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6AA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6AAF" w:themeFill="accent3"/>
      </w:tcPr>
    </w:tblStylePr>
    <w:tblStylePr w:type="band1Vert">
      <w:tblPr/>
      <w:tcPr>
        <w:shd w:val="clear" w:color="auto" w:fill="C0C3DF" w:themeFill="accent3" w:themeFillTint="66"/>
      </w:tcPr>
    </w:tblStylePr>
    <w:tblStylePr w:type="band1Horz">
      <w:tblPr/>
      <w:tcPr>
        <w:shd w:val="clear" w:color="auto" w:fill="C0C3DF" w:themeFill="accent3" w:themeFillTint="66"/>
      </w:tcPr>
    </w:tblStylePr>
  </w:style>
  <w:style w:type="table" w:styleId="GridTable5Dark-Accent4">
    <w:name w:val="Grid Table 5 Dark Accent 4"/>
    <w:basedOn w:val="TableNormal"/>
    <w:uiPriority w:val="50"/>
    <w:rsid w:val="00421773"/>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1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DA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DA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DA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DAB" w:themeFill="accent4"/>
      </w:tcPr>
    </w:tblStylePr>
    <w:tblStylePr w:type="band1Vert">
      <w:tblPr/>
      <w:tcPr>
        <w:shd w:val="clear" w:color="auto" w:fill="E0C4DD" w:themeFill="accent4" w:themeFillTint="66"/>
      </w:tcPr>
    </w:tblStylePr>
    <w:tblStylePr w:type="band1Horz">
      <w:tblPr/>
      <w:tcPr>
        <w:shd w:val="clear" w:color="auto" w:fill="E0C4DD" w:themeFill="accent4" w:themeFillTint="66"/>
      </w:tcPr>
    </w:tblStylePr>
  </w:style>
  <w:style w:type="table" w:styleId="GridTable5Dark-Accent5">
    <w:name w:val="Grid Table 5 Dark Accent 5"/>
    <w:basedOn w:val="TableNormal"/>
    <w:uiPriority w:val="50"/>
    <w:rsid w:val="00421773"/>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C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A2C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A2C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A2C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A2C8" w:themeFill="accent5"/>
      </w:tcPr>
    </w:tblStylePr>
    <w:tblStylePr w:type="band1Vert">
      <w:tblPr/>
      <w:tcPr>
        <w:shd w:val="clear" w:color="auto" w:fill="F5D9E8" w:themeFill="accent5" w:themeFillTint="66"/>
      </w:tcPr>
    </w:tblStylePr>
    <w:tblStylePr w:type="band1Horz">
      <w:tblPr/>
      <w:tcPr>
        <w:shd w:val="clear" w:color="auto" w:fill="F5D9E8" w:themeFill="accent5" w:themeFillTint="66"/>
      </w:tcPr>
    </w:tblStylePr>
  </w:style>
  <w:style w:type="table" w:styleId="GridTable5Dark-Accent6">
    <w:name w:val="Grid Table 5 Dark Accent 6"/>
    <w:basedOn w:val="TableNormal"/>
    <w:uiPriority w:val="50"/>
    <w:rsid w:val="00421773"/>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F5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D2F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D2F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D2F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D2F4" w:themeFill="accent6"/>
      </w:tcPr>
    </w:tblStylePr>
    <w:tblStylePr w:type="band1Vert">
      <w:tblPr/>
      <w:tcPr>
        <w:shd w:val="clear" w:color="auto" w:fill="D7ECFA" w:themeFill="accent6" w:themeFillTint="66"/>
      </w:tcPr>
    </w:tblStylePr>
    <w:tblStylePr w:type="band1Horz">
      <w:tblPr/>
      <w:tcPr>
        <w:shd w:val="clear" w:color="auto" w:fill="D7ECFA" w:themeFill="accent6" w:themeFillTint="66"/>
      </w:tcPr>
    </w:tblStylePr>
  </w:style>
  <w:style w:type="table" w:styleId="GridTable6Colorful">
    <w:name w:val="Grid Table 6 Colorful"/>
    <w:basedOn w:val="TableNormal"/>
    <w:uiPriority w:val="51"/>
    <w:rsid w:val="00421773"/>
    <w:pPr>
      <w:spacing w:after="0"/>
    </w:pPr>
    <w:rPr>
      <w:rFonts w:eastAsiaTheme="minorHAnsi" w:cs="Arial"/>
      <w:color w:val="1A1919" w:themeColor="text1"/>
      <w:sz w:val="18"/>
      <w:szCs w:val="18"/>
    </w:rPr>
    <w:tblPr>
      <w:tblStyleRowBandSize w:val="1"/>
      <w:tblStyleColBandSize w:val="1"/>
      <w:tblBorders>
        <w:top w:val="single" w:sz="4" w:space="0" w:color="777373" w:themeColor="text1" w:themeTint="99"/>
        <w:left w:val="single" w:sz="4" w:space="0" w:color="777373" w:themeColor="text1" w:themeTint="99"/>
        <w:bottom w:val="single" w:sz="4" w:space="0" w:color="777373" w:themeColor="text1" w:themeTint="99"/>
        <w:right w:val="single" w:sz="4" w:space="0" w:color="777373" w:themeColor="text1" w:themeTint="99"/>
        <w:insideH w:val="single" w:sz="4" w:space="0" w:color="777373" w:themeColor="text1" w:themeTint="99"/>
        <w:insideV w:val="single" w:sz="4" w:space="0" w:color="777373" w:themeColor="text1" w:themeTint="99"/>
      </w:tblBorders>
    </w:tblPr>
    <w:tblStylePr w:type="firstRow">
      <w:rPr>
        <w:b/>
        <w:bCs/>
      </w:rPr>
      <w:tblPr/>
      <w:tcPr>
        <w:tcBorders>
          <w:bottom w:val="single" w:sz="12" w:space="0" w:color="777373" w:themeColor="text1" w:themeTint="99"/>
        </w:tcBorders>
      </w:tcPr>
    </w:tblStylePr>
    <w:tblStylePr w:type="lastRow">
      <w:rPr>
        <w:b/>
        <w:bCs/>
      </w:rPr>
      <w:tblPr/>
      <w:tcPr>
        <w:tcBorders>
          <w:top w:val="double" w:sz="4" w:space="0" w:color="777373" w:themeColor="text1" w:themeTint="99"/>
        </w:tcBorders>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GridTable6Colorful-Accent1">
    <w:name w:val="Grid Table 6 Colorful Accent 1"/>
    <w:basedOn w:val="TableNormal"/>
    <w:uiPriority w:val="51"/>
    <w:rsid w:val="00421773"/>
    <w:pPr>
      <w:spacing w:after="0"/>
    </w:pPr>
    <w:rPr>
      <w:rFonts w:eastAsiaTheme="minorHAnsi" w:cs="Arial"/>
      <w:color w:val="419C90" w:themeColor="accent1" w:themeShade="BF"/>
      <w:sz w:val="18"/>
      <w:szCs w:val="18"/>
    </w:rPr>
    <w:tblPr>
      <w:tblStyleRowBandSize w:val="1"/>
      <w:tblStyleColBandSize w:val="1"/>
      <w:tblBorders>
        <w:top w:val="single" w:sz="4" w:space="0" w:color="A4D9D2" w:themeColor="accent1" w:themeTint="99"/>
        <w:left w:val="single" w:sz="4" w:space="0" w:color="A4D9D2" w:themeColor="accent1" w:themeTint="99"/>
        <w:bottom w:val="single" w:sz="4" w:space="0" w:color="A4D9D2" w:themeColor="accent1" w:themeTint="99"/>
        <w:right w:val="single" w:sz="4" w:space="0" w:color="A4D9D2" w:themeColor="accent1" w:themeTint="99"/>
        <w:insideH w:val="single" w:sz="4" w:space="0" w:color="A4D9D2" w:themeColor="accent1" w:themeTint="99"/>
        <w:insideV w:val="single" w:sz="4" w:space="0" w:color="A4D9D2" w:themeColor="accent1" w:themeTint="99"/>
      </w:tblBorders>
    </w:tblPr>
    <w:tblStylePr w:type="firstRow">
      <w:rPr>
        <w:b/>
        <w:bCs/>
      </w:rPr>
      <w:tblPr/>
      <w:tcPr>
        <w:tcBorders>
          <w:bottom w:val="single" w:sz="12" w:space="0" w:color="A4D9D2" w:themeColor="accent1" w:themeTint="99"/>
        </w:tcBorders>
      </w:tcPr>
    </w:tblStylePr>
    <w:tblStylePr w:type="lastRow">
      <w:rPr>
        <w:b/>
        <w:bCs/>
      </w:rPr>
      <w:tblPr/>
      <w:tcPr>
        <w:tcBorders>
          <w:top w:val="double" w:sz="4" w:space="0" w:color="A4D9D2" w:themeColor="accent1" w:themeTint="99"/>
        </w:tcBorders>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GridTable6Colorful-Accent2">
    <w:name w:val="Grid Table 6 Colorful Accent 2"/>
    <w:basedOn w:val="TableNormal"/>
    <w:uiPriority w:val="51"/>
    <w:rsid w:val="00421773"/>
    <w:pPr>
      <w:spacing w:after="0"/>
    </w:pPr>
    <w:rPr>
      <w:rFonts w:eastAsiaTheme="minorHAnsi" w:cs="Arial"/>
      <w:color w:val="2B85CA" w:themeColor="accent2" w:themeShade="BF"/>
      <w:sz w:val="18"/>
      <w:szCs w:val="18"/>
    </w:rPr>
    <w:tblPr>
      <w:tblStyleRowBandSize w:val="1"/>
      <w:tblStyleColBandSize w:val="1"/>
      <w:tblBorders>
        <w:top w:val="single" w:sz="4" w:space="0" w:color="A4CCEB" w:themeColor="accent2" w:themeTint="99"/>
        <w:left w:val="single" w:sz="4" w:space="0" w:color="A4CCEB" w:themeColor="accent2" w:themeTint="99"/>
        <w:bottom w:val="single" w:sz="4" w:space="0" w:color="A4CCEB" w:themeColor="accent2" w:themeTint="99"/>
        <w:right w:val="single" w:sz="4" w:space="0" w:color="A4CCEB" w:themeColor="accent2" w:themeTint="99"/>
        <w:insideH w:val="single" w:sz="4" w:space="0" w:color="A4CCEB" w:themeColor="accent2" w:themeTint="99"/>
        <w:insideV w:val="single" w:sz="4" w:space="0" w:color="A4CCEB" w:themeColor="accent2" w:themeTint="99"/>
      </w:tblBorders>
    </w:tblPr>
    <w:tblStylePr w:type="firstRow">
      <w:rPr>
        <w:b/>
        <w:bCs/>
      </w:rPr>
      <w:tblPr/>
      <w:tcPr>
        <w:tcBorders>
          <w:bottom w:val="single" w:sz="12" w:space="0" w:color="A4CCEB" w:themeColor="accent2" w:themeTint="99"/>
        </w:tcBorders>
      </w:tcPr>
    </w:tblStylePr>
    <w:tblStylePr w:type="lastRow">
      <w:rPr>
        <w:b/>
        <w:bCs/>
      </w:rPr>
      <w:tblPr/>
      <w:tcPr>
        <w:tcBorders>
          <w:top w:val="double" w:sz="4" w:space="0" w:color="A4CCEB" w:themeColor="accent2" w:themeTint="99"/>
        </w:tcBorders>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GridTable6Colorful-Accent3">
    <w:name w:val="Grid Table 6 Colorful Accent 3"/>
    <w:basedOn w:val="TableNormal"/>
    <w:uiPriority w:val="51"/>
    <w:rsid w:val="00421773"/>
    <w:pPr>
      <w:spacing w:after="0"/>
    </w:pPr>
    <w:rPr>
      <w:rFonts w:eastAsiaTheme="minorHAnsi" w:cs="Arial"/>
      <w:color w:val="454B87" w:themeColor="accent3" w:themeShade="BF"/>
      <w:sz w:val="18"/>
      <w:szCs w:val="18"/>
    </w:rPr>
    <w:tblPr>
      <w:tblStyleRowBandSize w:val="1"/>
      <w:tblStyleColBandSize w:val="1"/>
      <w:tblBorders>
        <w:top w:val="single" w:sz="4" w:space="0" w:color="A1A5CF" w:themeColor="accent3" w:themeTint="99"/>
        <w:left w:val="single" w:sz="4" w:space="0" w:color="A1A5CF" w:themeColor="accent3" w:themeTint="99"/>
        <w:bottom w:val="single" w:sz="4" w:space="0" w:color="A1A5CF" w:themeColor="accent3" w:themeTint="99"/>
        <w:right w:val="single" w:sz="4" w:space="0" w:color="A1A5CF" w:themeColor="accent3" w:themeTint="99"/>
        <w:insideH w:val="single" w:sz="4" w:space="0" w:color="A1A5CF" w:themeColor="accent3" w:themeTint="99"/>
        <w:insideV w:val="single" w:sz="4" w:space="0" w:color="A1A5CF" w:themeColor="accent3" w:themeTint="99"/>
      </w:tblBorders>
    </w:tblPr>
    <w:tblStylePr w:type="firstRow">
      <w:rPr>
        <w:b/>
        <w:bCs/>
      </w:rPr>
      <w:tblPr/>
      <w:tcPr>
        <w:tcBorders>
          <w:bottom w:val="single" w:sz="12" w:space="0" w:color="A1A5CF" w:themeColor="accent3" w:themeTint="99"/>
        </w:tcBorders>
      </w:tcPr>
    </w:tblStylePr>
    <w:tblStylePr w:type="lastRow">
      <w:rPr>
        <w:b/>
        <w:bCs/>
      </w:rPr>
      <w:tblPr/>
      <w:tcPr>
        <w:tcBorders>
          <w:top w:val="double" w:sz="4" w:space="0" w:color="A1A5CF" w:themeColor="accent3" w:themeTint="99"/>
        </w:tcBorders>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GridTable6Colorful-Accent4">
    <w:name w:val="Grid Table 6 Colorful Accent 4"/>
    <w:basedOn w:val="TableNormal"/>
    <w:uiPriority w:val="51"/>
    <w:rsid w:val="00421773"/>
    <w:pPr>
      <w:spacing w:after="0"/>
    </w:pPr>
    <w:rPr>
      <w:rFonts w:eastAsiaTheme="minorHAnsi" w:cs="Arial"/>
      <w:color w:val="8C4A85" w:themeColor="accent4" w:themeShade="BF"/>
      <w:sz w:val="18"/>
      <w:szCs w:val="18"/>
    </w:rPr>
    <w:tblPr>
      <w:tblStyleRowBandSize w:val="1"/>
      <w:tblStyleColBandSize w:val="1"/>
      <w:tblBorders>
        <w:top w:val="single" w:sz="4" w:space="0" w:color="D0A7CC" w:themeColor="accent4" w:themeTint="99"/>
        <w:left w:val="single" w:sz="4" w:space="0" w:color="D0A7CC" w:themeColor="accent4" w:themeTint="99"/>
        <w:bottom w:val="single" w:sz="4" w:space="0" w:color="D0A7CC" w:themeColor="accent4" w:themeTint="99"/>
        <w:right w:val="single" w:sz="4" w:space="0" w:color="D0A7CC" w:themeColor="accent4" w:themeTint="99"/>
        <w:insideH w:val="single" w:sz="4" w:space="0" w:color="D0A7CC" w:themeColor="accent4" w:themeTint="99"/>
        <w:insideV w:val="single" w:sz="4" w:space="0" w:color="D0A7CC" w:themeColor="accent4" w:themeTint="99"/>
      </w:tblBorders>
    </w:tblPr>
    <w:tblStylePr w:type="firstRow">
      <w:rPr>
        <w:b/>
        <w:bCs/>
      </w:rPr>
      <w:tblPr/>
      <w:tcPr>
        <w:tcBorders>
          <w:bottom w:val="single" w:sz="12" w:space="0" w:color="D0A7CC" w:themeColor="accent4" w:themeTint="99"/>
        </w:tcBorders>
      </w:tcPr>
    </w:tblStylePr>
    <w:tblStylePr w:type="lastRow">
      <w:rPr>
        <w:b/>
        <w:bCs/>
      </w:rPr>
      <w:tblPr/>
      <w:tcPr>
        <w:tcBorders>
          <w:top w:val="double" w:sz="4" w:space="0" w:color="D0A7CC" w:themeColor="accent4" w:themeTint="99"/>
        </w:tcBorders>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GridTable6Colorful-Accent5">
    <w:name w:val="Grid Table 6 Colorful Accent 5"/>
    <w:basedOn w:val="TableNormal"/>
    <w:uiPriority w:val="51"/>
    <w:rsid w:val="00421773"/>
    <w:pPr>
      <w:spacing w:after="0"/>
    </w:pPr>
    <w:rPr>
      <w:rFonts w:eastAsiaTheme="minorHAnsi" w:cs="Arial"/>
      <w:color w:val="D25399" w:themeColor="accent5" w:themeShade="BF"/>
      <w:sz w:val="18"/>
      <w:szCs w:val="18"/>
    </w:rPr>
    <w:tblPr>
      <w:tblStyleRowBandSize w:val="1"/>
      <w:tblStyleColBandSize w:val="1"/>
      <w:tblBorders>
        <w:top w:val="single" w:sz="4" w:space="0" w:color="F0C7DD" w:themeColor="accent5" w:themeTint="99"/>
        <w:left w:val="single" w:sz="4" w:space="0" w:color="F0C7DD" w:themeColor="accent5" w:themeTint="99"/>
        <w:bottom w:val="single" w:sz="4" w:space="0" w:color="F0C7DD" w:themeColor="accent5" w:themeTint="99"/>
        <w:right w:val="single" w:sz="4" w:space="0" w:color="F0C7DD" w:themeColor="accent5" w:themeTint="99"/>
        <w:insideH w:val="single" w:sz="4" w:space="0" w:color="F0C7DD" w:themeColor="accent5" w:themeTint="99"/>
        <w:insideV w:val="single" w:sz="4" w:space="0" w:color="F0C7DD" w:themeColor="accent5" w:themeTint="99"/>
      </w:tblBorders>
    </w:tblPr>
    <w:tblStylePr w:type="firstRow">
      <w:rPr>
        <w:b/>
        <w:bCs/>
      </w:rPr>
      <w:tblPr/>
      <w:tcPr>
        <w:tcBorders>
          <w:bottom w:val="single" w:sz="12" w:space="0" w:color="F0C7DD" w:themeColor="accent5" w:themeTint="99"/>
        </w:tcBorders>
      </w:tcPr>
    </w:tblStylePr>
    <w:tblStylePr w:type="lastRow">
      <w:rPr>
        <w:b/>
        <w:bCs/>
      </w:rPr>
      <w:tblPr/>
      <w:tcPr>
        <w:tcBorders>
          <w:top w:val="double" w:sz="4" w:space="0" w:color="F0C7DD" w:themeColor="accent5" w:themeTint="99"/>
        </w:tcBorders>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GridTable6Colorful-Accent6">
    <w:name w:val="Grid Table 6 Colorful Accent 6"/>
    <w:basedOn w:val="TableNormal"/>
    <w:uiPriority w:val="51"/>
    <w:rsid w:val="00421773"/>
    <w:pPr>
      <w:spacing w:after="0"/>
    </w:pPr>
    <w:rPr>
      <w:rFonts w:eastAsiaTheme="minorHAnsi" w:cs="Arial"/>
      <w:color w:val="41A8EA" w:themeColor="accent6" w:themeShade="BF"/>
      <w:sz w:val="18"/>
      <w:szCs w:val="18"/>
    </w:rPr>
    <w:tblPr>
      <w:tblStyleRowBandSize w:val="1"/>
      <w:tblStyleColBandSize w:val="1"/>
      <w:tblBorders>
        <w:top w:val="single" w:sz="4" w:space="0" w:color="C3E3F8" w:themeColor="accent6" w:themeTint="99"/>
        <w:left w:val="single" w:sz="4" w:space="0" w:color="C3E3F8" w:themeColor="accent6" w:themeTint="99"/>
        <w:bottom w:val="single" w:sz="4" w:space="0" w:color="C3E3F8" w:themeColor="accent6" w:themeTint="99"/>
        <w:right w:val="single" w:sz="4" w:space="0" w:color="C3E3F8" w:themeColor="accent6" w:themeTint="99"/>
        <w:insideH w:val="single" w:sz="4" w:space="0" w:color="C3E3F8" w:themeColor="accent6" w:themeTint="99"/>
        <w:insideV w:val="single" w:sz="4" w:space="0" w:color="C3E3F8" w:themeColor="accent6" w:themeTint="99"/>
      </w:tblBorders>
    </w:tblPr>
    <w:tblStylePr w:type="firstRow">
      <w:rPr>
        <w:b/>
        <w:bCs/>
      </w:rPr>
      <w:tblPr/>
      <w:tcPr>
        <w:tcBorders>
          <w:bottom w:val="single" w:sz="12" w:space="0" w:color="C3E3F8" w:themeColor="accent6" w:themeTint="99"/>
        </w:tcBorders>
      </w:tcPr>
    </w:tblStylePr>
    <w:tblStylePr w:type="lastRow">
      <w:rPr>
        <w:b/>
        <w:bCs/>
      </w:rPr>
      <w:tblPr/>
      <w:tcPr>
        <w:tcBorders>
          <w:top w:val="double" w:sz="4" w:space="0" w:color="C3E3F8" w:themeColor="accent6" w:themeTint="99"/>
        </w:tcBorders>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GridTable7Colorful">
    <w:name w:val="Grid Table 7 Colorful"/>
    <w:basedOn w:val="TableNormal"/>
    <w:uiPriority w:val="52"/>
    <w:rsid w:val="00421773"/>
    <w:pPr>
      <w:spacing w:after="0"/>
    </w:pPr>
    <w:rPr>
      <w:rFonts w:eastAsiaTheme="minorHAnsi" w:cs="Arial"/>
      <w:color w:val="1A1919" w:themeColor="text1"/>
      <w:sz w:val="18"/>
      <w:szCs w:val="18"/>
    </w:rPr>
    <w:tblPr>
      <w:tblStyleRowBandSize w:val="1"/>
      <w:tblStyleColBandSize w:val="1"/>
      <w:tblBorders>
        <w:top w:val="single" w:sz="4" w:space="0" w:color="777373" w:themeColor="text1" w:themeTint="99"/>
        <w:left w:val="single" w:sz="4" w:space="0" w:color="777373" w:themeColor="text1" w:themeTint="99"/>
        <w:bottom w:val="single" w:sz="4" w:space="0" w:color="777373" w:themeColor="text1" w:themeTint="99"/>
        <w:right w:val="single" w:sz="4" w:space="0" w:color="777373" w:themeColor="text1" w:themeTint="99"/>
        <w:insideH w:val="single" w:sz="4" w:space="0" w:color="777373" w:themeColor="text1" w:themeTint="99"/>
        <w:insideV w:val="single" w:sz="4" w:space="0" w:color="77737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0D0" w:themeFill="text1" w:themeFillTint="33"/>
      </w:tcPr>
    </w:tblStylePr>
    <w:tblStylePr w:type="band1Horz">
      <w:tblPr/>
      <w:tcPr>
        <w:shd w:val="clear" w:color="auto" w:fill="D2D0D0" w:themeFill="text1" w:themeFillTint="33"/>
      </w:tcPr>
    </w:tblStylePr>
    <w:tblStylePr w:type="neCell">
      <w:tblPr/>
      <w:tcPr>
        <w:tcBorders>
          <w:bottom w:val="single" w:sz="4" w:space="0" w:color="777373" w:themeColor="text1" w:themeTint="99"/>
        </w:tcBorders>
      </w:tcPr>
    </w:tblStylePr>
    <w:tblStylePr w:type="nwCell">
      <w:tblPr/>
      <w:tcPr>
        <w:tcBorders>
          <w:bottom w:val="single" w:sz="4" w:space="0" w:color="777373" w:themeColor="text1" w:themeTint="99"/>
        </w:tcBorders>
      </w:tcPr>
    </w:tblStylePr>
    <w:tblStylePr w:type="seCell">
      <w:tblPr/>
      <w:tcPr>
        <w:tcBorders>
          <w:top w:val="single" w:sz="4" w:space="0" w:color="777373" w:themeColor="text1" w:themeTint="99"/>
        </w:tcBorders>
      </w:tcPr>
    </w:tblStylePr>
    <w:tblStylePr w:type="swCell">
      <w:tblPr/>
      <w:tcPr>
        <w:tcBorders>
          <w:top w:val="single" w:sz="4" w:space="0" w:color="777373" w:themeColor="text1" w:themeTint="99"/>
        </w:tcBorders>
      </w:tcPr>
    </w:tblStylePr>
  </w:style>
  <w:style w:type="table" w:styleId="GridTable7Colorful-Accent1">
    <w:name w:val="Grid Table 7 Colorful Accent 1"/>
    <w:basedOn w:val="TableNormal"/>
    <w:uiPriority w:val="52"/>
    <w:rsid w:val="00421773"/>
    <w:pPr>
      <w:spacing w:after="0"/>
    </w:pPr>
    <w:rPr>
      <w:rFonts w:eastAsiaTheme="minorHAnsi" w:cs="Arial"/>
      <w:color w:val="419C90" w:themeColor="accent1" w:themeShade="BF"/>
      <w:sz w:val="18"/>
      <w:szCs w:val="18"/>
    </w:rPr>
    <w:tblPr>
      <w:tblStyleRowBandSize w:val="1"/>
      <w:tblStyleColBandSize w:val="1"/>
      <w:tblBorders>
        <w:top w:val="single" w:sz="4" w:space="0" w:color="A4D9D2" w:themeColor="accent1" w:themeTint="99"/>
        <w:left w:val="single" w:sz="4" w:space="0" w:color="A4D9D2" w:themeColor="accent1" w:themeTint="99"/>
        <w:bottom w:val="single" w:sz="4" w:space="0" w:color="A4D9D2" w:themeColor="accent1" w:themeTint="99"/>
        <w:right w:val="single" w:sz="4" w:space="0" w:color="A4D9D2" w:themeColor="accent1" w:themeTint="99"/>
        <w:insideH w:val="single" w:sz="4" w:space="0" w:color="A4D9D2" w:themeColor="accent1" w:themeTint="99"/>
        <w:insideV w:val="single" w:sz="4" w:space="0" w:color="A4D9D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2F0" w:themeFill="accent1" w:themeFillTint="33"/>
      </w:tcPr>
    </w:tblStylePr>
    <w:tblStylePr w:type="band1Horz">
      <w:tblPr/>
      <w:tcPr>
        <w:shd w:val="clear" w:color="auto" w:fill="E0F2F0" w:themeFill="accent1" w:themeFillTint="33"/>
      </w:tcPr>
    </w:tblStylePr>
    <w:tblStylePr w:type="neCell">
      <w:tblPr/>
      <w:tcPr>
        <w:tcBorders>
          <w:bottom w:val="single" w:sz="4" w:space="0" w:color="A4D9D2" w:themeColor="accent1" w:themeTint="99"/>
        </w:tcBorders>
      </w:tcPr>
    </w:tblStylePr>
    <w:tblStylePr w:type="nwCell">
      <w:tblPr/>
      <w:tcPr>
        <w:tcBorders>
          <w:bottom w:val="single" w:sz="4" w:space="0" w:color="A4D9D2" w:themeColor="accent1" w:themeTint="99"/>
        </w:tcBorders>
      </w:tcPr>
    </w:tblStylePr>
    <w:tblStylePr w:type="seCell">
      <w:tblPr/>
      <w:tcPr>
        <w:tcBorders>
          <w:top w:val="single" w:sz="4" w:space="0" w:color="A4D9D2" w:themeColor="accent1" w:themeTint="99"/>
        </w:tcBorders>
      </w:tcPr>
    </w:tblStylePr>
    <w:tblStylePr w:type="swCell">
      <w:tblPr/>
      <w:tcPr>
        <w:tcBorders>
          <w:top w:val="single" w:sz="4" w:space="0" w:color="A4D9D2" w:themeColor="accent1" w:themeTint="99"/>
        </w:tcBorders>
      </w:tcPr>
    </w:tblStylePr>
  </w:style>
  <w:style w:type="table" w:styleId="GridTable7Colorful-Accent2">
    <w:name w:val="Grid Table 7 Colorful Accent 2"/>
    <w:basedOn w:val="TableNormal"/>
    <w:uiPriority w:val="52"/>
    <w:rsid w:val="00421773"/>
    <w:pPr>
      <w:spacing w:after="0"/>
    </w:pPr>
    <w:rPr>
      <w:rFonts w:eastAsiaTheme="minorHAnsi" w:cs="Arial"/>
      <w:color w:val="2B85CA" w:themeColor="accent2" w:themeShade="BF"/>
      <w:sz w:val="18"/>
      <w:szCs w:val="18"/>
    </w:rPr>
    <w:tblPr>
      <w:tblStyleRowBandSize w:val="1"/>
      <w:tblStyleColBandSize w:val="1"/>
      <w:tblBorders>
        <w:top w:val="single" w:sz="4" w:space="0" w:color="A4CCEB" w:themeColor="accent2" w:themeTint="99"/>
        <w:left w:val="single" w:sz="4" w:space="0" w:color="A4CCEB" w:themeColor="accent2" w:themeTint="99"/>
        <w:bottom w:val="single" w:sz="4" w:space="0" w:color="A4CCEB" w:themeColor="accent2" w:themeTint="99"/>
        <w:right w:val="single" w:sz="4" w:space="0" w:color="A4CCEB" w:themeColor="accent2" w:themeTint="99"/>
        <w:insideH w:val="single" w:sz="4" w:space="0" w:color="A4CCEB" w:themeColor="accent2" w:themeTint="99"/>
        <w:insideV w:val="single" w:sz="4" w:space="0" w:color="A4CC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EF8" w:themeFill="accent2" w:themeFillTint="33"/>
      </w:tcPr>
    </w:tblStylePr>
    <w:tblStylePr w:type="band1Horz">
      <w:tblPr/>
      <w:tcPr>
        <w:shd w:val="clear" w:color="auto" w:fill="E0EEF8" w:themeFill="accent2" w:themeFillTint="33"/>
      </w:tcPr>
    </w:tblStylePr>
    <w:tblStylePr w:type="neCell">
      <w:tblPr/>
      <w:tcPr>
        <w:tcBorders>
          <w:bottom w:val="single" w:sz="4" w:space="0" w:color="A4CCEB" w:themeColor="accent2" w:themeTint="99"/>
        </w:tcBorders>
      </w:tcPr>
    </w:tblStylePr>
    <w:tblStylePr w:type="nwCell">
      <w:tblPr/>
      <w:tcPr>
        <w:tcBorders>
          <w:bottom w:val="single" w:sz="4" w:space="0" w:color="A4CCEB" w:themeColor="accent2" w:themeTint="99"/>
        </w:tcBorders>
      </w:tcPr>
    </w:tblStylePr>
    <w:tblStylePr w:type="seCell">
      <w:tblPr/>
      <w:tcPr>
        <w:tcBorders>
          <w:top w:val="single" w:sz="4" w:space="0" w:color="A4CCEB" w:themeColor="accent2" w:themeTint="99"/>
        </w:tcBorders>
      </w:tcPr>
    </w:tblStylePr>
    <w:tblStylePr w:type="swCell">
      <w:tblPr/>
      <w:tcPr>
        <w:tcBorders>
          <w:top w:val="single" w:sz="4" w:space="0" w:color="A4CCEB" w:themeColor="accent2" w:themeTint="99"/>
        </w:tcBorders>
      </w:tcPr>
    </w:tblStylePr>
  </w:style>
  <w:style w:type="table" w:styleId="GridTable7Colorful-Accent3">
    <w:name w:val="Grid Table 7 Colorful Accent 3"/>
    <w:basedOn w:val="TableNormal"/>
    <w:uiPriority w:val="52"/>
    <w:rsid w:val="00421773"/>
    <w:pPr>
      <w:spacing w:after="0"/>
    </w:pPr>
    <w:rPr>
      <w:rFonts w:eastAsiaTheme="minorHAnsi" w:cs="Arial"/>
      <w:color w:val="454B87" w:themeColor="accent3" w:themeShade="BF"/>
      <w:sz w:val="18"/>
      <w:szCs w:val="18"/>
    </w:rPr>
    <w:tblPr>
      <w:tblStyleRowBandSize w:val="1"/>
      <w:tblStyleColBandSize w:val="1"/>
      <w:tblBorders>
        <w:top w:val="single" w:sz="4" w:space="0" w:color="A1A5CF" w:themeColor="accent3" w:themeTint="99"/>
        <w:left w:val="single" w:sz="4" w:space="0" w:color="A1A5CF" w:themeColor="accent3" w:themeTint="99"/>
        <w:bottom w:val="single" w:sz="4" w:space="0" w:color="A1A5CF" w:themeColor="accent3" w:themeTint="99"/>
        <w:right w:val="single" w:sz="4" w:space="0" w:color="A1A5CF" w:themeColor="accent3" w:themeTint="99"/>
        <w:insideH w:val="single" w:sz="4" w:space="0" w:color="A1A5CF" w:themeColor="accent3" w:themeTint="99"/>
        <w:insideV w:val="single" w:sz="4" w:space="0" w:color="A1A5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1EF" w:themeFill="accent3" w:themeFillTint="33"/>
      </w:tcPr>
    </w:tblStylePr>
    <w:tblStylePr w:type="band1Horz">
      <w:tblPr/>
      <w:tcPr>
        <w:shd w:val="clear" w:color="auto" w:fill="DFE1EF" w:themeFill="accent3" w:themeFillTint="33"/>
      </w:tcPr>
    </w:tblStylePr>
    <w:tblStylePr w:type="neCell">
      <w:tblPr/>
      <w:tcPr>
        <w:tcBorders>
          <w:bottom w:val="single" w:sz="4" w:space="0" w:color="A1A5CF" w:themeColor="accent3" w:themeTint="99"/>
        </w:tcBorders>
      </w:tcPr>
    </w:tblStylePr>
    <w:tblStylePr w:type="nwCell">
      <w:tblPr/>
      <w:tcPr>
        <w:tcBorders>
          <w:bottom w:val="single" w:sz="4" w:space="0" w:color="A1A5CF" w:themeColor="accent3" w:themeTint="99"/>
        </w:tcBorders>
      </w:tcPr>
    </w:tblStylePr>
    <w:tblStylePr w:type="seCell">
      <w:tblPr/>
      <w:tcPr>
        <w:tcBorders>
          <w:top w:val="single" w:sz="4" w:space="0" w:color="A1A5CF" w:themeColor="accent3" w:themeTint="99"/>
        </w:tcBorders>
      </w:tcPr>
    </w:tblStylePr>
    <w:tblStylePr w:type="swCell">
      <w:tblPr/>
      <w:tcPr>
        <w:tcBorders>
          <w:top w:val="single" w:sz="4" w:space="0" w:color="A1A5CF" w:themeColor="accent3" w:themeTint="99"/>
        </w:tcBorders>
      </w:tcPr>
    </w:tblStylePr>
  </w:style>
  <w:style w:type="table" w:styleId="GridTable7Colorful-Accent4">
    <w:name w:val="Grid Table 7 Colorful Accent 4"/>
    <w:basedOn w:val="TableNormal"/>
    <w:uiPriority w:val="52"/>
    <w:rsid w:val="00421773"/>
    <w:pPr>
      <w:spacing w:after="0"/>
    </w:pPr>
    <w:rPr>
      <w:rFonts w:eastAsiaTheme="minorHAnsi" w:cs="Arial"/>
      <w:color w:val="8C4A85" w:themeColor="accent4" w:themeShade="BF"/>
      <w:sz w:val="18"/>
      <w:szCs w:val="18"/>
    </w:rPr>
    <w:tblPr>
      <w:tblStyleRowBandSize w:val="1"/>
      <w:tblStyleColBandSize w:val="1"/>
      <w:tblBorders>
        <w:top w:val="single" w:sz="4" w:space="0" w:color="D0A7CC" w:themeColor="accent4" w:themeTint="99"/>
        <w:left w:val="single" w:sz="4" w:space="0" w:color="D0A7CC" w:themeColor="accent4" w:themeTint="99"/>
        <w:bottom w:val="single" w:sz="4" w:space="0" w:color="D0A7CC" w:themeColor="accent4" w:themeTint="99"/>
        <w:right w:val="single" w:sz="4" w:space="0" w:color="D0A7CC" w:themeColor="accent4" w:themeTint="99"/>
        <w:insideH w:val="single" w:sz="4" w:space="0" w:color="D0A7CC" w:themeColor="accent4" w:themeTint="99"/>
        <w:insideV w:val="single" w:sz="4" w:space="0" w:color="D0A7C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1EE" w:themeFill="accent4" w:themeFillTint="33"/>
      </w:tcPr>
    </w:tblStylePr>
    <w:tblStylePr w:type="band1Horz">
      <w:tblPr/>
      <w:tcPr>
        <w:shd w:val="clear" w:color="auto" w:fill="EFE1EE" w:themeFill="accent4" w:themeFillTint="33"/>
      </w:tcPr>
    </w:tblStylePr>
    <w:tblStylePr w:type="neCell">
      <w:tblPr/>
      <w:tcPr>
        <w:tcBorders>
          <w:bottom w:val="single" w:sz="4" w:space="0" w:color="D0A7CC" w:themeColor="accent4" w:themeTint="99"/>
        </w:tcBorders>
      </w:tcPr>
    </w:tblStylePr>
    <w:tblStylePr w:type="nwCell">
      <w:tblPr/>
      <w:tcPr>
        <w:tcBorders>
          <w:bottom w:val="single" w:sz="4" w:space="0" w:color="D0A7CC" w:themeColor="accent4" w:themeTint="99"/>
        </w:tcBorders>
      </w:tcPr>
    </w:tblStylePr>
    <w:tblStylePr w:type="seCell">
      <w:tblPr/>
      <w:tcPr>
        <w:tcBorders>
          <w:top w:val="single" w:sz="4" w:space="0" w:color="D0A7CC" w:themeColor="accent4" w:themeTint="99"/>
        </w:tcBorders>
      </w:tcPr>
    </w:tblStylePr>
    <w:tblStylePr w:type="swCell">
      <w:tblPr/>
      <w:tcPr>
        <w:tcBorders>
          <w:top w:val="single" w:sz="4" w:space="0" w:color="D0A7CC" w:themeColor="accent4" w:themeTint="99"/>
        </w:tcBorders>
      </w:tcPr>
    </w:tblStylePr>
  </w:style>
  <w:style w:type="table" w:styleId="GridTable7Colorful-Accent5">
    <w:name w:val="Grid Table 7 Colorful Accent 5"/>
    <w:basedOn w:val="TableNormal"/>
    <w:uiPriority w:val="52"/>
    <w:rsid w:val="00421773"/>
    <w:pPr>
      <w:spacing w:after="0"/>
    </w:pPr>
    <w:rPr>
      <w:rFonts w:eastAsiaTheme="minorHAnsi" w:cs="Arial"/>
      <w:color w:val="D25399" w:themeColor="accent5" w:themeShade="BF"/>
      <w:sz w:val="18"/>
      <w:szCs w:val="18"/>
    </w:rPr>
    <w:tblPr>
      <w:tblStyleRowBandSize w:val="1"/>
      <w:tblStyleColBandSize w:val="1"/>
      <w:tblBorders>
        <w:top w:val="single" w:sz="4" w:space="0" w:color="F0C7DD" w:themeColor="accent5" w:themeTint="99"/>
        <w:left w:val="single" w:sz="4" w:space="0" w:color="F0C7DD" w:themeColor="accent5" w:themeTint="99"/>
        <w:bottom w:val="single" w:sz="4" w:space="0" w:color="F0C7DD" w:themeColor="accent5" w:themeTint="99"/>
        <w:right w:val="single" w:sz="4" w:space="0" w:color="F0C7DD" w:themeColor="accent5" w:themeTint="99"/>
        <w:insideH w:val="single" w:sz="4" w:space="0" w:color="F0C7DD" w:themeColor="accent5" w:themeTint="99"/>
        <w:insideV w:val="single" w:sz="4" w:space="0" w:color="F0C7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CF3" w:themeFill="accent5" w:themeFillTint="33"/>
      </w:tcPr>
    </w:tblStylePr>
    <w:tblStylePr w:type="band1Horz">
      <w:tblPr/>
      <w:tcPr>
        <w:shd w:val="clear" w:color="auto" w:fill="FAECF3" w:themeFill="accent5" w:themeFillTint="33"/>
      </w:tcPr>
    </w:tblStylePr>
    <w:tblStylePr w:type="neCell">
      <w:tblPr/>
      <w:tcPr>
        <w:tcBorders>
          <w:bottom w:val="single" w:sz="4" w:space="0" w:color="F0C7DD" w:themeColor="accent5" w:themeTint="99"/>
        </w:tcBorders>
      </w:tcPr>
    </w:tblStylePr>
    <w:tblStylePr w:type="nwCell">
      <w:tblPr/>
      <w:tcPr>
        <w:tcBorders>
          <w:bottom w:val="single" w:sz="4" w:space="0" w:color="F0C7DD" w:themeColor="accent5" w:themeTint="99"/>
        </w:tcBorders>
      </w:tcPr>
    </w:tblStylePr>
    <w:tblStylePr w:type="seCell">
      <w:tblPr/>
      <w:tcPr>
        <w:tcBorders>
          <w:top w:val="single" w:sz="4" w:space="0" w:color="F0C7DD" w:themeColor="accent5" w:themeTint="99"/>
        </w:tcBorders>
      </w:tcPr>
    </w:tblStylePr>
    <w:tblStylePr w:type="swCell">
      <w:tblPr/>
      <w:tcPr>
        <w:tcBorders>
          <w:top w:val="single" w:sz="4" w:space="0" w:color="F0C7DD" w:themeColor="accent5" w:themeTint="99"/>
        </w:tcBorders>
      </w:tcPr>
    </w:tblStylePr>
  </w:style>
  <w:style w:type="table" w:styleId="GridTable7Colorful-Accent6">
    <w:name w:val="Grid Table 7 Colorful Accent 6"/>
    <w:basedOn w:val="TableNormal"/>
    <w:uiPriority w:val="52"/>
    <w:rsid w:val="00421773"/>
    <w:pPr>
      <w:spacing w:after="0"/>
    </w:pPr>
    <w:rPr>
      <w:rFonts w:eastAsiaTheme="minorHAnsi" w:cs="Arial"/>
      <w:color w:val="41A8EA" w:themeColor="accent6" w:themeShade="BF"/>
      <w:sz w:val="18"/>
      <w:szCs w:val="18"/>
    </w:rPr>
    <w:tblPr>
      <w:tblStyleRowBandSize w:val="1"/>
      <w:tblStyleColBandSize w:val="1"/>
      <w:tblBorders>
        <w:top w:val="single" w:sz="4" w:space="0" w:color="C3E3F8" w:themeColor="accent6" w:themeTint="99"/>
        <w:left w:val="single" w:sz="4" w:space="0" w:color="C3E3F8" w:themeColor="accent6" w:themeTint="99"/>
        <w:bottom w:val="single" w:sz="4" w:space="0" w:color="C3E3F8" w:themeColor="accent6" w:themeTint="99"/>
        <w:right w:val="single" w:sz="4" w:space="0" w:color="C3E3F8" w:themeColor="accent6" w:themeTint="99"/>
        <w:insideH w:val="single" w:sz="4" w:space="0" w:color="C3E3F8" w:themeColor="accent6" w:themeTint="99"/>
        <w:insideV w:val="single" w:sz="4" w:space="0" w:color="C3E3F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F5FC" w:themeFill="accent6" w:themeFillTint="33"/>
      </w:tcPr>
    </w:tblStylePr>
    <w:tblStylePr w:type="band1Horz">
      <w:tblPr/>
      <w:tcPr>
        <w:shd w:val="clear" w:color="auto" w:fill="EBF5FC" w:themeFill="accent6" w:themeFillTint="33"/>
      </w:tcPr>
    </w:tblStylePr>
    <w:tblStylePr w:type="neCell">
      <w:tblPr/>
      <w:tcPr>
        <w:tcBorders>
          <w:bottom w:val="single" w:sz="4" w:space="0" w:color="C3E3F8" w:themeColor="accent6" w:themeTint="99"/>
        </w:tcBorders>
      </w:tcPr>
    </w:tblStylePr>
    <w:tblStylePr w:type="nwCell">
      <w:tblPr/>
      <w:tcPr>
        <w:tcBorders>
          <w:bottom w:val="single" w:sz="4" w:space="0" w:color="C3E3F8" w:themeColor="accent6" w:themeTint="99"/>
        </w:tcBorders>
      </w:tcPr>
    </w:tblStylePr>
    <w:tblStylePr w:type="seCell">
      <w:tblPr/>
      <w:tcPr>
        <w:tcBorders>
          <w:top w:val="single" w:sz="4" w:space="0" w:color="C3E3F8" w:themeColor="accent6" w:themeTint="99"/>
        </w:tcBorders>
      </w:tcPr>
    </w:tblStylePr>
    <w:tblStylePr w:type="swCell">
      <w:tblPr/>
      <w:tcPr>
        <w:tcBorders>
          <w:top w:val="single" w:sz="4" w:space="0" w:color="C3E3F8" w:themeColor="accent6" w:themeTint="99"/>
        </w:tcBorders>
      </w:tcPr>
    </w:tblStylePr>
  </w:style>
  <w:style w:type="character" w:customStyle="1" w:styleId="Hashtag1">
    <w:name w:val="Hashtag1"/>
    <w:basedOn w:val="DefaultParagraphFont"/>
    <w:uiPriority w:val="99"/>
    <w:semiHidden/>
    <w:rsid w:val="00250997"/>
    <w:rPr>
      <w:color w:val="2B579A"/>
      <w:shd w:val="clear" w:color="auto" w:fill="E1DFDD"/>
    </w:rPr>
  </w:style>
  <w:style w:type="paragraph" w:styleId="Header">
    <w:name w:val="header"/>
    <w:basedOn w:val="Normal"/>
    <w:link w:val="HeaderChar"/>
    <w:uiPriority w:val="11"/>
    <w:semiHidden/>
    <w:rsid w:val="00421773"/>
    <w:pPr>
      <w:tabs>
        <w:tab w:val="center" w:pos="4513"/>
        <w:tab w:val="right" w:pos="9026"/>
      </w:tabs>
      <w:spacing w:after="0"/>
    </w:pPr>
    <w:rPr>
      <w:rFonts w:eastAsia="Times New Roman" w:cs="Courier New"/>
    </w:rPr>
  </w:style>
  <w:style w:type="character" w:customStyle="1" w:styleId="HeaderChar">
    <w:name w:val="Header Char"/>
    <w:basedOn w:val="DefaultParagraphFont"/>
    <w:link w:val="Header"/>
    <w:uiPriority w:val="11"/>
    <w:semiHidden/>
    <w:rsid w:val="00421773"/>
    <w:rPr>
      <w:rFonts w:eastAsia="Times New Roman" w:cs="Courier New"/>
      <w:lang w:val="en-GB"/>
    </w:rPr>
  </w:style>
  <w:style w:type="character" w:styleId="HTMLAcronym">
    <w:name w:val="HTML Acronym"/>
    <w:basedOn w:val="DefaultParagraphFont"/>
    <w:uiPriority w:val="99"/>
    <w:semiHidden/>
    <w:rsid w:val="00421773"/>
  </w:style>
  <w:style w:type="paragraph" w:styleId="HTMLAddress">
    <w:name w:val="HTML Address"/>
    <w:basedOn w:val="Normal"/>
    <w:link w:val="HTMLAddressChar"/>
    <w:uiPriority w:val="99"/>
    <w:semiHidden/>
    <w:rsid w:val="00421773"/>
    <w:rPr>
      <w:i/>
      <w:iCs/>
    </w:rPr>
  </w:style>
  <w:style w:type="character" w:customStyle="1" w:styleId="HTMLAddressChar">
    <w:name w:val="HTML Address Char"/>
    <w:basedOn w:val="DefaultParagraphFont"/>
    <w:link w:val="HTMLAddress"/>
    <w:uiPriority w:val="99"/>
    <w:semiHidden/>
    <w:rsid w:val="00421773"/>
    <w:rPr>
      <w:i/>
      <w:iCs/>
      <w:lang w:val="en-GB"/>
    </w:rPr>
  </w:style>
  <w:style w:type="character" w:styleId="HTMLCite">
    <w:name w:val="HTML Cite"/>
    <w:basedOn w:val="DefaultParagraphFont"/>
    <w:uiPriority w:val="99"/>
    <w:semiHidden/>
    <w:rsid w:val="00421773"/>
    <w:rPr>
      <w:i/>
      <w:iCs/>
    </w:rPr>
  </w:style>
  <w:style w:type="character" w:styleId="HTMLCode">
    <w:name w:val="HTML Code"/>
    <w:basedOn w:val="DefaultParagraphFont"/>
    <w:uiPriority w:val="99"/>
    <w:semiHidden/>
    <w:rsid w:val="00421773"/>
    <w:rPr>
      <w:rFonts w:ascii="Arial" w:hAnsi="Arial" w:cs="Arial"/>
      <w:sz w:val="20"/>
      <w:szCs w:val="20"/>
    </w:rPr>
  </w:style>
  <w:style w:type="character" w:styleId="HTMLDefinition">
    <w:name w:val="HTML Definition"/>
    <w:basedOn w:val="DefaultParagraphFont"/>
    <w:uiPriority w:val="99"/>
    <w:semiHidden/>
    <w:rsid w:val="00421773"/>
    <w:rPr>
      <w:i/>
      <w:iCs/>
    </w:rPr>
  </w:style>
  <w:style w:type="character" w:styleId="HTMLKeyboard">
    <w:name w:val="HTML Keyboard"/>
    <w:basedOn w:val="DefaultParagraphFont"/>
    <w:uiPriority w:val="99"/>
    <w:semiHidden/>
    <w:rsid w:val="00421773"/>
    <w:rPr>
      <w:rFonts w:ascii="Arial" w:hAnsi="Arial" w:cs="Arial"/>
      <w:sz w:val="20"/>
      <w:szCs w:val="20"/>
    </w:rPr>
  </w:style>
  <w:style w:type="paragraph" w:styleId="HTMLPreformatted">
    <w:name w:val="HTML Preformatted"/>
    <w:basedOn w:val="Normal"/>
    <w:link w:val="HTMLPreformattedChar"/>
    <w:uiPriority w:val="99"/>
    <w:semiHidden/>
    <w:rsid w:val="00421773"/>
    <w:rPr>
      <w:rFonts w:cs="Arial"/>
    </w:rPr>
  </w:style>
  <w:style w:type="character" w:customStyle="1" w:styleId="HTMLPreformattedChar">
    <w:name w:val="HTML Preformatted Char"/>
    <w:basedOn w:val="DefaultParagraphFont"/>
    <w:link w:val="HTMLPreformatted"/>
    <w:uiPriority w:val="99"/>
    <w:semiHidden/>
    <w:rsid w:val="00421773"/>
    <w:rPr>
      <w:rFonts w:cs="Arial"/>
      <w:lang w:val="en-GB"/>
    </w:rPr>
  </w:style>
  <w:style w:type="character" w:styleId="HTMLSample">
    <w:name w:val="HTML Sample"/>
    <w:basedOn w:val="DefaultParagraphFont"/>
    <w:uiPriority w:val="99"/>
    <w:semiHidden/>
    <w:rsid w:val="00421773"/>
    <w:rPr>
      <w:rFonts w:ascii="Arial" w:hAnsi="Arial" w:cs="Arial"/>
      <w:sz w:val="24"/>
      <w:szCs w:val="24"/>
    </w:rPr>
  </w:style>
  <w:style w:type="character" w:styleId="HTMLTypewriter">
    <w:name w:val="HTML Typewriter"/>
    <w:basedOn w:val="DefaultParagraphFont"/>
    <w:uiPriority w:val="99"/>
    <w:semiHidden/>
    <w:rsid w:val="00421773"/>
    <w:rPr>
      <w:rFonts w:ascii="Arial" w:hAnsi="Arial" w:cs="Arial"/>
      <w:sz w:val="20"/>
      <w:szCs w:val="20"/>
    </w:rPr>
  </w:style>
  <w:style w:type="character" w:styleId="HTMLVariable">
    <w:name w:val="HTML Variable"/>
    <w:basedOn w:val="DefaultParagraphFont"/>
    <w:uiPriority w:val="99"/>
    <w:semiHidden/>
    <w:rsid w:val="00421773"/>
    <w:rPr>
      <w:i/>
      <w:iCs/>
    </w:rPr>
  </w:style>
  <w:style w:type="character" w:styleId="Hyperlink">
    <w:name w:val="Hyperlink"/>
    <w:basedOn w:val="DefaultParagraphFont"/>
    <w:uiPriority w:val="99"/>
    <w:rsid w:val="007F654D"/>
    <w:rPr>
      <w:color w:val="0070C0"/>
      <w:u w:val="single"/>
    </w:rPr>
  </w:style>
  <w:style w:type="paragraph" w:styleId="Index1">
    <w:name w:val="index 1"/>
    <w:basedOn w:val="Normal"/>
    <w:next w:val="Normal"/>
    <w:autoRedefine/>
    <w:uiPriority w:val="99"/>
    <w:semiHidden/>
    <w:rsid w:val="00421773"/>
    <w:pPr>
      <w:ind w:left="180" w:hanging="180"/>
    </w:pPr>
  </w:style>
  <w:style w:type="paragraph" w:styleId="Index2">
    <w:name w:val="index 2"/>
    <w:basedOn w:val="Normal"/>
    <w:next w:val="Normal"/>
    <w:autoRedefine/>
    <w:uiPriority w:val="99"/>
    <w:semiHidden/>
    <w:rsid w:val="00421773"/>
    <w:pPr>
      <w:ind w:left="360" w:hanging="180"/>
    </w:pPr>
  </w:style>
  <w:style w:type="paragraph" w:styleId="Index3">
    <w:name w:val="index 3"/>
    <w:basedOn w:val="Normal"/>
    <w:next w:val="Normal"/>
    <w:autoRedefine/>
    <w:uiPriority w:val="99"/>
    <w:semiHidden/>
    <w:rsid w:val="00421773"/>
    <w:pPr>
      <w:ind w:left="540" w:hanging="180"/>
    </w:pPr>
  </w:style>
  <w:style w:type="paragraph" w:styleId="Index4">
    <w:name w:val="index 4"/>
    <w:basedOn w:val="Normal"/>
    <w:next w:val="Normal"/>
    <w:autoRedefine/>
    <w:uiPriority w:val="99"/>
    <w:semiHidden/>
    <w:rsid w:val="00421773"/>
    <w:pPr>
      <w:ind w:left="720" w:hanging="180"/>
    </w:pPr>
  </w:style>
  <w:style w:type="paragraph" w:styleId="Index5">
    <w:name w:val="index 5"/>
    <w:basedOn w:val="Normal"/>
    <w:next w:val="Normal"/>
    <w:autoRedefine/>
    <w:uiPriority w:val="99"/>
    <w:semiHidden/>
    <w:rsid w:val="00421773"/>
    <w:pPr>
      <w:ind w:left="900" w:hanging="180"/>
    </w:pPr>
  </w:style>
  <w:style w:type="paragraph" w:styleId="Index6">
    <w:name w:val="index 6"/>
    <w:basedOn w:val="Normal"/>
    <w:next w:val="Normal"/>
    <w:autoRedefine/>
    <w:uiPriority w:val="99"/>
    <w:semiHidden/>
    <w:rsid w:val="00421773"/>
    <w:pPr>
      <w:ind w:left="1080" w:hanging="180"/>
    </w:pPr>
  </w:style>
  <w:style w:type="paragraph" w:styleId="Index7">
    <w:name w:val="index 7"/>
    <w:basedOn w:val="Normal"/>
    <w:next w:val="Normal"/>
    <w:autoRedefine/>
    <w:uiPriority w:val="99"/>
    <w:semiHidden/>
    <w:rsid w:val="00421773"/>
    <w:pPr>
      <w:ind w:left="1260" w:hanging="180"/>
    </w:pPr>
  </w:style>
  <w:style w:type="paragraph" w:styleId="Index8">
    <w:name w:val="index 8"/>
    <w:basedOn w:val="Normal"/>
    <w:next w:val="Normal"/>
    <w:autoRedefine/>
    <w:uiPriority w:val="99"/>
    <w:semiHidden/>
    <w:rsid w:val="00421773"/>
    <w:pPr>
      <w:ind w:left="1440" w:hanging="180"/>
    </w:pPr>
  </w:style>
  <w:style w:type="paragraph" w:styleId="Index9">
    <w:name w:val="index 9"/>
    <w:basedOn w:val="Normal"/>
    <w:next w:val="Normal"/>
    <w:autoRedefine/>
    <w:uiPriority w:val="99"/>
    <w:semiHidden/>
    <w:rsid w:val="00421773"/>
    <w:pPr>
      <w:ind w:left="1620" w:hanging="180"/>
    </w:pPr>
  </w:style>
  <w:style w:type="paragraph" w:styleId="IndexHeading">
    <w:name w:val="index heading"/>
    <w:basedOn w:val="Normal"/>
    <w:next w:val="Index1"/>
    <w:uiPriority w:val="99"/>
    <w:semiHidden/>
    <w:rsid w:val="00421773"/>
    <w:rPr>
      <w:rFonts w:asciiTheme="majorHAnsi" w:eastAsiaTheme="majorEastAsia" w:hAnsiTheme="majorHAnsi" w:cstheme="majorBidi"/>
      <w:b/>
      <w:bCs/>
    </w:rPr>
  </w:style>
  <w:style w:type="character" w:styleId="IntenseEmphasis">
    <w:name w:val="Intense Emphasis"/>
    <w:basedOn w:val="DefaultParagraphFont"/>
    <w:uiPriority w:val="99"/>
    <w:semiHidden/>
    <w:rsid w:val="00421773"/>
    <w:rPr>
      <w:b/>
      <w:bCs/>
      <w:i/>
      <w:iCs/>
      <w:color w:val="auto"/>
    </w:rPr>
  </w:style>
  <w:style w:type="paragraph" w:styleId="IntenseQuote">
    <w:name w:val="Intense Quote"/>
    <w:basedOn w:val="Normal"/>
    <w:next w:val="Normal"/>
    <w:link w:val="IntenseQuoteChar"/>
    <w:uiPriority w:val="99"/>
    <w:semiHidden/>
    <w:rsid w:val="00421773"/>
    <w:pPr>
      <w:spacing w:before="260" w:after="260"/>
      <w:ind w:left="851" w:right="851"/>
    </w:pPr>
    <w:rPr>
      <w:b/>
      <w:bCs/>
      <w:i/>
      <w:iCs/>
    </w:rPr>
  </w:style>
  <w:style w:type="character" w:customStyle="1" w:styleId="IntenseQuoteChar">
    <w:name w:val="Intense Quote Char"/>
    <w:basedOn w:val="DefaultParagraphFont"/>
    <w:link w:val="IntenseQuote"/>
    <w:uiPriority w:val="99"/>
    <w:semiHidden/>
    <w:rsid w:val="00421773"/>
    <w:rPr>
      <w:b/>
      <w:bCs/>
      <w:i/>
      <w:iCs/>
      <w:lang w:val="en-GB"/>
    </w:rPr>
  </w:style>
  <w:style w:type="character" w:styleId="IntenseReference">
    <w:name w:val="Intense Reference"/>
    <w:basedOn w:val="DefaultParagraphFont"/>
    <w:uiPriority w:val="99"/>
    <w:semiHidden/>
    <w:qFormat/>
    <w:rsid w:val="00421773"/>
    <w:rPr>
      <w:b/>
      <w:bCs/>
      <w:caps w:val="0"/>
      <w:smallCaps w:val="0"/>
      <w:color w:val="auto"/>
      <w:spacing w:val="5"/>
      <w:u w:val="single"/>
    </w:rPr>
  </w:style>
  <w:style w:type="table" w:styleId="LightGrid">
    <w:name w:val="Light Grid"/>
    <w:basedOn w:val="TableNormal"/>
    <w:uiPriority w:val="62"/>
    <w:semiHidden/>
    <w:unhideWhenUsed/>
    <w:rsid w:val="00421773"/>
    <w:pPr>
      <w:spacing w:after="0"/>
    </w:pPr>
    <w:rPr>
      <w:rFonts w:eastAsiaTheme="minorHAnsi" w:cs="Arial"/>
      <w:sz w:val="18"/>
      <w:szCs w:val="18"/>
    </w:rPr>
    <w:tblPr>
      <w:tblStyleRowBandSize w:val="1"/>
      <w:tblStyleColBandSize w:val="1"/>
      <w:tblBorders>
        <w:top w:val="single" w:sz="8" w:space="0" w:color="1A1919" w:themeColor="text1"/>
        <w:left w:val="single" w:sz="8" w:space="0" w:color="1A1919" w:themeColor="text1"/>
        <w:bottom w:val="single" w:sz="8" w:space="0" w:color="1A1919" w:themeColor="text1"/>
        <w:right w:val="single" w:sz="8" w:space="0" w:color="1A1919" w:themeColor="text1"/>
        <w:insideH w:val="single" w:sz="8" w:space="0" w:color="1A1919" w:themeColor="text1"/>
        <w:insideV w:val="single" w:sz="8" w:space="0" w:color="1A1919"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A1919" w:themeColor="text1"/>
          <w:left w:val="single" w:sz="8" w:space="0" w:color="1A1919" w:themeColor="text1"/>
          <w:bottom w:val="single" w:sz="18" w:space="0" w:color="1A1919" w:themeColor="text1"/>
          <w:right w:val="single" w:sz="8" w:space="0" w:color="1A1919" w:themeColor="text1"/>
          <w:insideH w:val="nil"/>
          <w:insideV w:val="single" w:sz="8" w:space="0" w:color="1A191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A1919" w:themeColor="text1"/>
          <w:left w:val="single" w:sz="8" w:space="0" w:color="1A1919" w:themeColor="text1"/>
          <w:bottom w:val="single" w:sz="8" w:space="0" w:color="1A1919" w:themeColor="text1"/>
          <w:right w:val="single" w:sz="8" w:space="0" w:color="1A1919" w:themeColor="text1"/>
          <w:insideH w:val="nil"/>
          <w:insideV w:val="single" w:sz="8" w:space="0" w:color="1A191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A1919" w:themeColor="text1"/>
          <w:left w:val="single" w:sz="8" w:space="0" w:color="1A1919" w:themeColor="text1"/>
          <w:bottom w:val="single" w:sz="8" w:space="0" w:color="1A1919" w:themeColor="text1"/>
          <w:right w:val="single" w:sz="8" w:space="0" w:color="1A1919" w:themeColor="text1"/>
        </w:tcBorders>
      </w:tcPr>
    </w:tblStylePr>
    <w:tblStylePr w:type="band1Vert">
      <w:tblPr/>
      <w:tcPr>
        <w:tcBorders>
          <w:top w:val="single" w:sz="8" w:space="0" w:color="1A1919" w:themeColor="text1"/>
          <w:left w:val="single" w:sz="8" w:space="0" w:color="1A1919" w:themeColor="text1"/>
          <w:bottom w:val="single" w:sz="8" w:space="0" w:color="1A1919" w:themeColor="text1"/>
          <w:right w:val="single" w:sz="8" w:space="0" w:color="1A1919" w:themeColor="text1"/>
        </w:tcBorders>
        <w:shd w:val="clear" w:color="auto" w:fill="C7C5C5" w:themeFill="text1" w:themeFillTint="3F"/>
      </w:tcPr>
    </w:tblStylePr>
    <w:tblStylePr w:type="band1Horz">
      <w:tblPr/>
      <w:tcPr>
        <w:tcBorders>
          <w:top w:val="single" w:sz="8" w:space="0" w:color="1A1919" w:themeColor="text1"/>
          <w:left w:val="single" w:sz="8" w:space="0" w:color="1A1919" w:themeColor="text1"/>
          <w:bottom w:val="single" w:sz="8" w:space="0" w:color="1A1919" w:themeColor="text1"/>
          <w:right w:val="single" w:sz="8" w:space="0" w:color="1A1919" w:themeColor="text1"/>
          <w:insideV w:val="single" w:sz="8" w:space="0" w:color="1A1919" w:themeColor="text1"/>
        </w:tcBorders>
        <w:shd w:val="clear" w:color="auto" w:fill="C7C5C5" w:themeFill="text1" w:themeFillTint="3F"/>
      </w:tcPr>
    </w:tblStylePr>
    <w:tblStylePr w:type="band2Horz">
      <w:tblPr/>
      <w:tcPr>
        <w:tcBorders>
          <w:top w:val="single" w:sz="8" w:space="0" w:color="1A1919" w:themeColor="text1"/>
          <w:left w:val="single" w:sz="8" w:space="0" w:color="1A1919" w:themeColor="text1"/>
          <w:bottom w:val="single" w:sz="8" w:space="0" w:color="1A1919" w:themeColor="text1"/>
          <w:right w:val="single" w:sz="8" w:space="0" w:color="1A1919" w:themeColor="text1"/>
          <w:insideV w:val="single" w:sz="8" w:space="0" w:color="1A1919" w:themeColor="text1"/>
        </w:tcBorders>
      </w:tcPr>
    </w:tblStylePr>
  </w:style>
  <w:style w:type="table" w:styleId="LightGrid-Accent1">
    <w:name w:val="Light Grid Accent 1"/>
    <w:basedOn w:val="TableNormal"/>
    <w:uiPriority w:val="62"/>
    <w:semiHidden/>
    <w:unhideWhenUsed/>
    <w:rsid w:val="00421773"/>
    <w:pPr>
      <w:spacing w:after="0"/>
    </w:pPr>
    <w:rPr>
      <w:rFonts w:eastAsiaTheme="minorHAnsi" w:cs="Arial"/>
      <w:sz w:val="18"/>
      <w:szCs w:val="18"/>
    </w:rPr>
    <w:tblPr>
      <w:tblStyleRowBandSize w:val="1"/>
      <w:tblStyleColBandSize w:val="1"/>
      <w:tblBorders>
        <w:top w:val="single" w:sz="8" w:space="0" w:color="68C0B5" w:themeColor="accent1"/>
        <w:left w:val="single" w:sz="8" w:space="0" w:color="68C0B5" w:themeColor="accent1"/>
        <w:bottom w:val="single" w:sz="8" w:space="0" w:color="68C0B5" w:themeColor="accent1"/>
        <w:right w:val="single" w:sz="8" w:space="0" w:color="68C0B5" w:themeColor="accent1"/>
        <w:insideH w:val="single" w:sz="8" w:space="0" w:color="68C0B5" w:themeColor="accent1"/>
        <w:insideV w:val="single" w:sz="8" w:space="0" w:color="68C0B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8C0B5" w:themeColor="accent1"/>
          <w:left w:val="single" w:sz="8" w:space="0" w:color="68C0B5" w:themeColor="accent1"/>
          <w:bottom w:val="single" w:sz="18" w:space="0" w:color="68C0B5" w:themeColor="accent1"/>
          <w:right w:val="single" w:sz="8" w:space="0" w:color="68C0B5" w:themeColor="accent1"/>
          <w:insideH w:val="nil"/>
          <w:insideV w:val="single" w:sz="8" w:space="0" w:color="68C0B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8C0B5" w:themeColor="accent1"/>
          <w:left w:val="single" w:sz="8" w:space="0" w:color="68C0B5" w:themeColor="accent1"/>
          <w:bottom w:val="single" w:sz="8" w:space="0" w:color="68C0B5" w:themeColor="accent1"/>
          <w:right w:val="single" w:sz="8" w:space="0" w:color="68C0B5" w:themeColor="accent1"/>
          <w:insideH w:val="nil"/>
          <w:insideV w:val="single" w:sz="8" w:space="0" w:color="68C0B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8C0B5" w:themeColor="accent1"/>
          <w:left w:val="single" w:sz="8" w:space="0" w:color="68C0B5" w:themeColor="accent1"/>
          <w:bottom w:val="single" w:sz="8" w:space="0" w:color="68C0B5" w:themeColor="accent1"/>
          <w:right w:val="single" w:sz="8" w:space="0" w:color="68C0B5" w:themeColor="accent1"/>
        </w:tcBorders>
      </w:tcPr>
    </w:tblStylePr>
    <w:tblStylePr w:type="band1Vert">
      <w:tblPr/>
      <w:tcPr>
        <w:tcBorders>
          <w:top w:val="single" w:sz="8" w:space="0" w:color="68C0B5" w:themeColor="accent1"/>
          <w:left w:val="single" w:sz="8" w:space="0" w:color="68C0B5" w:themeColor="accent1"/>
          <w:bottom w:val="single" w:sz="8" w:space="0" w:color="68C0B5" w:themeColor="accent1"/>
          <w:right w:val="single" w:sz="8" w:space="0" w:color="68C0B5" w:themeColor="accent1"/>
        </w:tcBorders>
        <w:shd w:val="clear" w:color="auto" w:fill="D9EFEC" w:themeFill="accent1" w:themeFillTint="3F"/>
      </w:tcPr>
    </w:tblStylePr>
    <w:tblStylePr w:type="band1Horz">
      <w:tblPr/>
      <w:tcPr>
        <w:tcBorders>
          <w:top w:val="single" w:sz="8" w:space="0" w:color="68C0B5" w:themeColor="accent1"/>
          <w:left w:val="single" w:sz="8" w:space="0" w:color="68C0B5" w:themeColor="accent1"/>
          <w:bottom w:val="single" w:sz="8" w:space="0" w:color="68C0B5" w:themeColor="accent1"/>
          <w:right w:val="single" w:sz="8" w:space="0" w:color="68C0B5" w:themeColor="accent1"/>
          <w:insideV w:val="single" w:sz="8" w:space="0" w:color="68C0B5" w:themeColor="accent1"/>
        </w:tcBorders>
        <w:shd w:val="clear" w:color="auto" w:fill="D9EFEC" w:themeFill="accent1" w:themeFillTint="3F"/>
      </w:tcPr>
    </w:tblStylePr>
    <w:tblStylePr w:type="band2Horz">
      <w:tblPr/>
      <w:tcPr>
        <w:tcBorders>
          <w:top w:val="single" w:sz="8" w:space="0" w:color="68C0B5" w:themeColor="accent1"/>
          <w:left w:val="single" w:sz="8" w:space="0" w:color="68C0B5" w:themeColor="accent1"/>
          <w:bottom w:val="single" w:sz="8" w:space="0" w:color="68C0B5" w:themeColor="accent1"/>
          <w:right w:val="single" w:sz="8" w:space="0" w:color="68C0B5" w:themeColor="accent1"/>
          <w:insideV w:val="single" w:sz="8" w:space="0" w:color="68C0B5" w:themeColor="accent1"/>
        </w:tcBorders>
      </w:tcPr>
    </w:tblStylePr>
  </w:style>
  <w:style w:type="table" w:styleId="LightGrid-Accent2">
    <w:name w:val="Light Grid Accent 2"/>
    <w:basedOn w:val="TableNormal"/>
    <w:uiPriority w:val="62"/>
    <w:semiHidden/>
    <w:unhideWhenUsed/>
    <w:rsid w:val="00421773"/>
    <w:pPr>
      <w:spacing w:after="0"/>
    </w:pPr>
    <w:rPr>
      <w:rFonts w:eastAsiaTheme="minorHAnsi" w:cs="Arial"/>
      <w:sz w:val="18"/>
      <w:szCs w:val="18"/>
    </w:rPr>
    <w:tblPr>
      <w:tblStyleRowBandSize w:val="1"/>
      <w:tblStyleColBandSize w:val="1"/>
      <w:tblBorders>
        <w:top w:val="single" w:sz="8" w:space="0" w:color="69ACDF" w:themeColor="accent2"/>
        <w:left w:val="single" w:sz="8" w:space="0" w:color="69ACDF" w:themeColor="accent2"/>
        <w:bottom w:val="single" w:sz="8" w:space="0" w:color="69ACDF" w:themeColor="accent2"/>
        <w:right w:val="single" w:sz="8" w:space="0" w:color="69ACDF" w:themeColor="accent2"/>
        <w:insideH w:val="single" w:sz="8" w:space="0" w:color="69ACDF" w:themeColor="accent2"/>
        <w:insideV w:val="single" w:sz="8" w:space="0" w:color="69AC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ACDF" w:themeColor="accent2"/>
          <w:left w:val="single" w:sz="8" w:space="0" w:color="69ACDF" w:themeColor="accent2"/>
          <w:bottom w:val="single" w:sz="18" w:space="0" w:color="69ACDF" w:themeColor="accent2"/>
          <w:right w:val="single" w:sz="8" w:space="0" w:color="69ACDF" w:themeColor="accent2"/>
          <w:insideH w:val="nil"/>
          <w:insideV w:val="single" w:sz="8" w:space="0" w:color="69AC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ACDF" w:themeColor="accent2"/>
          <w:left w:val="single" w:sz="8" w:space="0" w:color="69ACDF" w:themeColor="accent2"/>
          <w:bottom w:val="single" w:sz="8" w:space="0" w:color="69ACDF" w:themeColor="accent2"/>
          <w:right w:val="single" w:sz="8" w:space="0" w:color="69ACDF" w:themeColor="accent2"/>
          <w:insideH w:val="nil"/>
          <w:insideV w:val="single" w:sz="8" w:space="0" w:color="69AC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ACDF" w:themeColor="accent2"/>
          <w:left w:val="single" w:sz="8" w:space="0" w:color="69ACDF" w:themeColor="accent2"/>
          <w:bottom w:val="single" w:sz="8" w:space="0" w:color="69ACDF" w:themeColor="accent2"/>
          <w:right w:val="single" w:sz="8" w:space="0" w:color="69ACDF" w:themeColor="accent2"/>
        </w:tcBorders>
      </w:tcPr>
    </w:tblStylePr>
    <w:tblStylePr w:type="band1Vert">
      <w:tblPr/>
      <w:tcPr>
        <w:tcBorders>
          <w:top w:val="single" w:sz="8" w:space="0" w:color="69ACDF" w:themeColor="accent2"/>
          <w:left w:val="single" w:sz="8" w:space="0" w:color="69ACDF" w:themeColor="accent2"/>
          <w:bottom w:val="single" w:sz="8" w:space="0" w:color="69ACDF" w:themeColor="accent2"/>
          <w:right w:val="single" w:sz="8" w:space="0" w:color="69ACDF" w:themeColor="accent2"/>
        </w:tcBorders>
        <w:shd w:val="clear" w:color="auto" w:fill="D9EAF7" w:themeFill="accent2" w:themeFillTint="3F"/>
      </w:tcPr>
    </w:tblStylePr>
    <w:tblStylePr w:type="band1Horz">
      <w:tblPr/>
      <w:tcPr>
        <w:tcBorders>
          <w:top w:val="single" w:sz="8" w:space="0" w:color="69ACDF" w:themeColor="accent2"/>
          <w:left w:val="single" w:sz="8" w:space="0" w:color="69ACDF" w:themeColor="accent2"/>
          <w:bottom w:val="single" w:sz="8" w:space="0" w:color="69ACDF" w:themeColor="accent2"/>
          <w:right w:val="single" w:sz="8" w:space="0" w:color="69ACDF" w:themeColor="accent2"/>
          <w:insideV w:val="single" w:sz="8" w:space="0" w:color="69ACDF" w:themeColor="accent2"/>
        </w:tcBorders>
        <w:shd w:val="clear" w:color="auto" w:fill="D9EAF7" w:themeFill="accent2" w:themeFillTint="3F"/>
      </w:tcPr>
    </w:tblStylePr>
    <w:tblStylePr w:type="band2Horz">
      <w:tblPr/>
      <w:tcPr>
        <w:tcBorders>
          <w:top w:val="single" w:sz="8" w:space="0" w:color="69ACDF" w:themeColor="accent2"/>
          <w:left w:val="single" w:sz="8" w:space="0" w:color="69ACDF" w:themeColor="accent2"/>
          <w:bottom w:val="single" w:sz="8" w:space="0" w:color="69ACDF" w:themeColor="accent2"/>
          <w:right w:val="single" w:sz="8" w:space="0" w:color="69ACDF" w:themeColor="accent2"/>
          <w:insideV w:val="single" w:sz="8" w:space="0" w:color="69ACDF" w:themeColor="accent2"/>
        </w:tcBorders>
      </w:tcPr>
    </w:tblStylePr>
  </w:style>
  <w:style w:type="table" w:styleId="LightGrid-Accent3">
    <w:name w:val="Light Grid Accent 3"/>
    <w:basedOn w:val="TableNormal"/>
    <w:uiPriority w:val="62"/>
    <w:semiHidden/>
    <w:unhideWhenUsed/>
    <w:rsid w:val="00421773"/>
    <w:pPr>
      <w:spacing w:after="0"/>
    </w:pPr>
    <w:rPr>
      <w:rFonts w:eastAsiaTheme="minorHAnsi" w:cs="Arial"/>
      <w:sz w:val="18"/>
      <w:szCs w:val="18"/>
    </w:rPr>
    <w:tblPr>
      <w:tblStyleRowBandSize w:val="1"/>
      <w:tblStyleColBandSize w:val="1"/>
      <w:tblBorders>
        <w:top w:val="single" w:sz="8" w:space="0" w:color="636AAF" w:themeColor="accent3"/>
        <w:left w:val="single" w:sz="8" w:space="0" w:color="636AAF" w:themeColor="accent3"/>
        <w:bottom w:val="single" w:sz="8" w:space="0" w:color="636AAF" w:themeColor="accent3"/>
        <w:right w:val="single" w:sz="8" w:space="0" w:color="636AAF" w:themeColor="accent3"/>
        <w:insideH w:val="single" w:sz="8" w:space="0" w:color="636AAF" w:themeColor="accent3"/>
        <w:insideV w:val="single" w:sz="8" w:space="0" w:color="636AA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6AAF" w:themeColor="accent3"/>
          <w:left w:val="single" w:sz="8" w:space="0" w:color="636AAF" w:themeColor="accent3"/>
          <w:bottom w:val="single" w:sz="18" w:space="0" w:color="636AAF" w:themeColor="accent3"/>
          <w:right w:val="single" w:sz="8" w:space="0" w:color="636AAF" w:themeColor="accent3"/>
          <w:insideH w:val="nil"/>
          <w:insideV w:val="single" w:sz="8" w:space="0" w:color="636AA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6AAF" w:themeColor="accent3"/>
          <w:left w:val="single" w:sz="8" w:space="0" w:color="636AAF" w:themeColor="accent3"/>
          <w:bottom w:val="single" w:sz="8" w:space="0" w:color="636AAF" w:themeColor="accent3"/>
          <w:right w:val="single" w:sz="8" w:space="0" w:color="636AAF" w:themeColor="accent3"/>
          <w:insideH w:val="nil"/>
          <w:insideV w:val="single" w:sz="8" w:space="0" w:color="636AA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6AAF" w:themeColor="accent3"/>
          <w:left w:val="single" w:sz="8" w:space="0" w:color="636AAF" w:themeColor="accent3"/>
          <w:bottom w:val="single" w:sz="8" w:space="0" w:color="636AAF" w:themeColor="accent3"/>
          <w:right w:val="single" w:sz="8" w:space="0" w:color="636AAF" w:themeColor="accent3"/>
        </w:tcBorders>
      </w:tcPr>
    </w:tblStylePr>
    <w:tblStylePr w:type="band1Vert">
      <w:tblPr/>
      <w:tcPr>
        <w:tcBorders>
          <w:top w:val="single" w:sz="8" w:space="0" w:color="636AAF" w:themeColor="accent3"/>
          <w:left w:val="single" w:sz="8" w:space="0" w:color="636AAF" w:themeColor="accent3"/>
          <w:bottom w:val="single" w:sz="8" w:space="0" w:color="636AAF" w:themeColor="accent3"/>
          <w:right w:val="single" w:sz="8" w:space="0" w:color="636AAF" w:themeColor="accent3"/>
        </w:tcBorders>
        <w:shd w:val="clear" w:color="auto" w:fill="D8DAEB" w:themeFill="accent3" w:themeFillTint="3F"/>
      </w:tcPr>
    </w:tblStylePr>
    <w:tblStylePr w:type="band1Horz">
      <w:tblPr/>
      <w:tcPr>
        <w:tcBorders>
          <w:top w:val="single" w:sz="8" w:space="0" w:color="636AAF" w:themeColor="accent3"/>
          <w:left w:val="single" w:sz="8" w:space="0" w:color="636AAF" w:themeColor="accent3"/>
          <w:bottom w:val="single" w:sz="8" w:space="0" w:color="636AAF" w:themeColor="accent3"/>
          <w:right w:val="single" w:sz="8" w:space="0" w:color="636AAF" w:themeColor="accent3"/>
          <w:insideV w:val="single" w:sz="8" w:space="0" w:color="636AAF" w:themeColor="accent3"/>
        </w:tcBorders>
        <w:shd w:val="clear" w:color="auto" w:fill="D8DAEB" w:themeFill="accent3" w:themeFillTint="3F"/>
      </w:tcPr>
    </w:tblStylePr>
    <w:tblStylePr w:type="band2Horz">
      <w:tblPr/>
      <w:tcPr>
        <w:tcBorders>
          <w:top w:val="single" w:sz="8" w:space="0" w:color="636AAF" w:themeColor="accent3"/>
          <w:left w:val="single" w:sz="8" w:space="0" w:color="636AAF" w:themeColor="accent3"/>
          <w:bottom w:val="single" w:sz="8" w:space="0" w:color="636AAF" w:themeColor="accent3"/>
          <w:right w:val="single" w:sz="8" w:space="0" w:color="636AAF" w:themeColor="accent3"/>
          <w:insideV w:val="single" w:sz="8" w:space="0" w:color="636AAF" w:themeColor="accent3"/>
        </w:tcBorders>
      </w:tcPr>
    </w:tblStylePr>
  </w:style>
  <w:style w:type="table" w:styleId="LightGrid-Accent4">
    <w:name w:val="Light Grid Accent 4"/>
    <w:basedOn w:val="TableNormal"/>
    <w:uiPriority w:val="62"/>
    <w:semiHidden/>
    <w:unhideWhenUsed/>
    <w:rsid w:val="00421773"/>
    <w:pPr>
      <w:spacing w:after="0"/>
    </w:pPr>
    <w:rPr>
      <w:rFonts w:eastAsiaTheme="minorHAnsi" w:cs="Arial"/>
      <w:sz w:val="18"/>
      <w:szCs w:val="18"/>
    </w:rPr>
    <w:tblPr>
      <w:tblStyleRowBandSize w:val="1"/>
      <w:tblStyleColBandSize w:val="1"/>
      <w:tblBorders>
        <w:top w:val="single" w:sz="8" w:space="0" w:color="B26DAB" w:themeColor="accent4"/>
        <w:left w:val="single" w:sz="8" w:space="0" w:color="B26DAB" w:themeColor="accent4"/>
        <w:bottom w:val="single" w:sz="8" w:space="0" w:color="B26DAB" w:themeColor="accent4"/>
        <w:right w:val="single" w:sz="8" w:space="0" w:color="B26DAB" w:themeColor="accent4"/>
        <w:insideH w:val="single" w:sz="8" w:space="0" w:color="B26DAB" w:themeColor="accent4"/>
        <w:insideV w:val="single" w:sz="8" w:space="0" w:color="B26DA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DAB" w:themeColor="accent4"/>
          <w:left w:val="single" w:sz="8" w:space="0" w:color="B26DAB" w:themeColor="accent4"/>
          <w:bottom w:val="single" w:sz="18" w:space="0" w:color="B26DAB" w:themeColor="accent4"/>
          <w:right w:val="single" w:sz="8" w:space="0" w:color="B26DAB" w:themeColor="accent4"/>
          <w:insideH w:val="nil"/>
          <w:insideV w:val="single" w:sz="8" w:space="0" w:color="B26DA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DAB" w:themeColor="accent4"/>
          <w:left w:val="single" w:sz="8" w:space="0" w:color="B26DAB" w:themeColor="accent4"/>
          <w:bottom w:val="single" w:sz="8" w:space="0" w:color="B26DAB" w:themeColor="accent4"/>
          <w:right w:val="single" w:sz="8" w:space="0" w:color="B26DAB" w:themeColor="accent4"/>
          <w:insideH w:val="nil"/>
          <w:insideV w:val="single" w:sz="8" w:space="0" w:color="B26DA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DAB" w:themeColor="accent4"/>
          <w:left w:val="single" w:sz="8" w:space="0" w:color="B26DAB" w:themeColor="accent4"/>
          <w:bottom w:val="single" w:sz="8" w:space="0" w:color="B26DAB" w:themeColor="accent4"/>
          <w:right w:val="single" w:sz="8" w:space="0" w:color="B26DAB" w:themeColor="accent4"/>
        </w:tcBorders>
      </w:tcPr>
    </w:tblStylePr>
    <w:tblStylePr w:type="band1Vert">
      <w:tblPr/>
      <w:tcPr>
        <w:tcBorders>
          <w:top w:val="single" w:sz="8" w:space="0" w:color="B26DAB" w:themeColor="accent4"/>
          <w:left w:val="single" w:sz="8" w:space="0" w:color="B26DAB" w:themeColor="accent4"/>
          <w:bottom w:val="single" w:sz="8" w:space="0" w:color="B26DAB" w:themeColor="accent4"/>
          <w:right w:val="single" w:sz="8" w:space="0" w:color="B26DAB" w:themeColor="accent4"/>
        </w:tcBorders>
        <w:shd w:val="clear" w:color="auto" w:fill="ECDAEA" w:themeFill="accent4" w:themeFillTint="3F"/>
      </w:tcPr>
    </w:tblStylePr>
    <w:tblStylePr w:type="band1Horz">
      <w:tblPr/>
      <w:tcPr>
        <w:tcBorders>
          <w:top w:val="single" w:sz="8" w:space="0" w:color="B26DAB" w:themeColor="accent4"/>
          <w:left w:val="single" w:sz="8" w:space="0" w:color="B26DAB" w:themeColor="accent4"/>
          <w:bottom w:val="single" w:sz="8" w:space="0" w:color="B26DAB" w:themeColor="accent4"/>
          <w:right w:val="single" w:sz="8" w:space="0" w:color="B26DAB" w:themeColor="accent4"/>
          <w:insideV w:val="single" w:sz="8" w:space="0" w:color="B26DAB" w:themeColor="accent4"/>
        </w:tcBorders>
        <w:shd w:val="clear" w:color="auto" w:fill="ECDAEA" w:themeFill="accent4" w:themeFillTint="3F"/>
      </w:tcPr>
    </w:tblStylePr>
    <w:tblStylePr w:type="band2Horz">
      <w:tblPr/>
      <w:tcPr>
        <w:tcBorders>
          <w:top w:val="single" w:sz="8" w:space="0" w:color="B26DAB" w:themeColor="accent4"/>
          <w:left w:val="single" w:sz="8" w:space="0" w:color="B26DAB" w:themeColor="accent4"/>
          <w:bottom w:val="single" w:sz="8" w:space="0" w:color="B26DAB" w:themeColor="accent4"/>
          <w:right w:val="single" w:sz="8" w:space="0" w:color="B26DAB" w:themeColor="accent4"/>
          <w:insideV w:val="single" w:sz="8" w:space="0" w:color="B26DAB" w:themeColor="accent4"/>
        </w:tcBorders>
      </w:tcPr>
    </w:tblStylePr>
  </w:style>
  <w:style w:type="table" w:styleId="LightGrid-Accent5">
    <w:name w:val="Light Grid Accent 5"/>
    <w:basedOn w:val="TableNormal"/>
    <w:uiPriority w:val="62"/>
    <w:semiHidden/>
    <w:unhideWhenUsed/>
    <w:rsid w:val="00421773"/>
    <w:pPr>
      <w:spacing w:after="0"/>
    </w:pPr>
    <w:rPr>
      <w:rFonts w:eastAsiaTheme="minorHAnsi" w:cs="Arial"/>
      <w:sz w:val="18"/>
      <w:szCs w:val="18"/>
    </w:rPr>
    <w:tblPr>
      <w:tblStyleRowBandSize w:val="1"/>
      <w:tblStyleColBandSize w:val="1"/>
      <w:tblBorders>
        <w:top w:val="single" w:sz="8" w:space="0" w:color="E7A2C8" w:themeColor="accent5"/>
        <w:left w:val="single" w:sz="8" w:space="0" w:color="E7A2C8" w:themeColor="accent5"/>
        <w:bottom w:val="single" w:sz="8" w:space="0" w:color="E7A2C8" w:themeColor="accent5"/>
        <w:right w:val="single" w:sz="8" w:space="0" w:color="E7A2C8" w:themeColor="accent5"/>
        <w:insideH w:val="single" w:sz="8" w:space="0" w:color="E7A2C8" w:themeColor="accent5"/>
        <w:insideV w:val="single" w:sz="8" w:space="0" w:color="E7A2C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A2C8" w:themeColor="accent5"/>
          <w:left w:val="single" w:sz="8" w:space="0" w:color="E7A2C8" w:themeColor="accent5"/>
          <w:bottom w:val="single" w:sz="18" w:space="0" w:color="E7A2C8" w:themeColor="accent5"/>
          <w:right w:val="single" w:sz="8" w:space="0" w:color="E7A2C8" w:themeColor="accent5"/>
          <w:insideH w:val="nil"/>
          <w:insideV w:val="single" w:sz="8" w:space="0" w:color="E7A2C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A2C8" w:themeColor="accent5"/>
          <w:left w:val="single" w:sz="8" w:space="0" w:color="E7A2C8" w:themeColor="accent5"/>
          <w:bottom w:val="single" w:sz="8" w:space="0" w:color="E7A2C8" w:themeColor="accent5"/>
          <w:right w:val="single" w:sz="8" w:space="0" w:color="E7A2C8" w:themeColor="accent5"/>
          <w:insideH w:val="nil"/>
          <w:insideV w:val="single" w:sz="8" w:space="0" w:color="E7A2C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A2C8" w:themeColor="accent5"/>
          <w:left w:val="single" w:sz="8" w:space="0" w:color="E7A2C8" w:themeColor="accent5"/>
          <w:bottom w:val="single" w:sz="8" w:space="0" w:color="E7A2C8" w:themeColor="accent5"/>
          <w:right w:val="single" w:sz="8" w:space="0" w:color="E7A2C8" w:themeColor="accent5"/>
        </w:tcBorders>
      </w:tcPr>
    </w:tblStylePr>
    <w:tblStylePr w:type="band1Vert">
      <w:tblPr/>
      <w:tcPr>
        <w:tcBorders>
          <w:top w:val="single" w:sz="8" w:space="0" w:color="E7A2C8" w:themeColor="accent5"/>
          <w:left w:val="single" w:sz="8" w:space="0" w:color="E7A2C8" w:themeColor="accent5"/>
          <w:bottom w:val="single" w:sz="8" w:space="0" w:color="E7A2C8" w:themeColor="accent5"/>
          <w:right w:val="single" w:sz="8" w:space="0" w:color="E7A2C8" w:themeColor="accent5"/>
        </w:tcBorders>
        <w:shd w:val="clear" w:color="auto" w:fill="F9E7F1" w:themeFill="accent5" w:themeFillTint="3F"/>
      </w:tcPr>
    </w:tblStylePr>
    <w:tblStylePr w:type="band1Horz">
      <w:tblPr/>
      <w:tcPr>
        <w:tcBorders>
          <w:top w:val="single" w:sz="8" w:space="0" w:color="E7A2C8" w:themeColor="accent5"/>
          <w:left w:val="single" w:sz="8" w:space="0" w:color="E7A2C8" w:themeColor="accent5"/>
          <w:bottom w:val="single" w:sz="8" w:space="0" w:color="E7A2C8" w:themeColor="accent5"/>
          <w:right w:val="single" w:sz="8" w:space="0" w:color="E7A2C8" w:themeColor="accent5"/>
          <w:insideV w:val="single" w:sz="8" w:space="0" w:color="E7A2C8" w:themeColor="accent5"/>
        </w:tcBorders>
        <w:shd w:val="clear" w:color="auto" w:fill="F9E7F1" w:themeFill="accent5" w:themeFillTint="3F"/>
      </w:tcPr>
    </w:tblStylePr>
    <w:tblStylePr w:type="band2Horz">
      <w:tblPr/>
      <w:tcPr>
        <w:tcBorders>
          <w:top w:val="single" w:sz="8" w:space="0" w:color="E7A2C8" w:themeColor="accent5"/>
          <w:left w:val="single" w:sz="8" w:space="0" w:color="E7A2C8" w:themeColor="accent5"/>
          <w:bottom w:val="single" w:sz="8" w:space="0" w:color="E7A2C8" w:themeColor="accent5"/>
          <w:right w:val="single" w:sz="8" w:space="0" w:color="E7A2C8" w:themeColor="accent5"/>
          <w:insideV w:val="single" w:sz="8" w:space="0" w:color="E7A2C8" w:themeColor="accent5"/>
        </w:tcBorders>
      </w:tcPr>
    </w:tblStylePr>
  </w:style>
  <w:style w:type="table" w:styleId="LightGrid-Accent6">
    <w:name w:val="Light Grid Accent 6"/>
    <w:basedOn w:val="TableNormal"/>
    <w:uiPriority w:val="62"/>
    <w:semiHidden/>
    <w:unhideWhenUsed/>
    <w:rsid w:val="00421773"/>
    <w:pPr>
      <w:spacing w:after="0"/>
    </w:pPr>
    <w:rPr>
      <w:rFonts w:eastAsiaTheme="minorHAnsi" w:cs="Arial"/>
      <w:sz w:val="18"/>
      <w:szCs w:val="18"/>
    </w:rPr>
    <w:tblPr>
      <w:tblStyleRowBandSize w:val="1"/>
      <w:tblStyleColBandSize w:val="1"/>
      <w:tblBorders>
        <w:top w:val="single" w:sz="8" w:space="0" w:color="9CD2F4" w:themeColor="accent6"/>
        <w:left w:val="single" w:sz="8" w:space="0" w:color="9CD2F4" w:themeColor="accent6"/>
        <w:bottom w:val="single" w:sz="8" w:space="0" w:color="9CD2F4" w:themeColor="accent6"/>
        <w:right w:val="single" w:sz="8" w:space="0" w:color="9CD2F4" w:themeColor="accent6"/>
        <w:insideH w:val="single" w:sz="8" w:space="0" w:color="9CD2F4" w:themeColor="accent6"/>
        <w:insideV w:val="single" w:sz="8" w:space="0" w:color="9CD2F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D2F4" w:themeColor="accent6"/>
          <w:left w:val="single" w:sz="8" w:space="0" w:color="9CD2F4" w:themeColor="accent6"/>
          <w:bottom w:val="single" w:sz="18" w:space="0" w:color="9CD2F4" w:themeColor="accent6"/>
          <w:right w:val="single" w:sz="8" w:space="0" w:color="9CD2F4" w:themeColor="accent6"/>
          <w:insideH w:val="nil"/>
          <w:insideV w:val="single" w:sz="8" w:space="0" w:color="9CD2F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D2F4" w:themeColor="accent6"/>
          <w:left w:val="single" w:sz="8" w:space="0" w:color="9CD2F4" w:themeColor="accent6"/>
          <w:bottom w:val="single" w:sz="8" w:space="0" w:color="9CD2F4" w:themeColor="accent6"/>
          <w:right w:val="single" w:sz="8" w:space="0" w:color="9CD2F4" w:themeColor="accent6"/>
          <w:insideH w:val="nil"/>
          <w:insideV w:val="single" w:sz="8" w:space="0" w:color="9CD2F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D2F4" w:themeColor="accent6"/>
          <w:left w:val="single" w:sz="8" w:space="0" w:color="9CD2F4" w:themeColor="accent6"/>
          <w:bottom w:val="single" w:sz="8" w:space="0" w:color="9CD2F4" w:themeColor="accent6"/>
          <w:right w:val="single" w:sz="8" w:space="0" w:color="9CD2F4" w:themeColor="accent6"/>
        </w:tcBorders>
      </w:tcPr>
    </w:tblStylePr>
    <w:tblStylePr w:type="band1Vert">
      <w:tblPr/>
      <w:tcPr>
        <w:tcBorders>
          <w:top w:val="single" w:sz="8" w:space="0" w:color="9CD2F4" w:themeColor="accent6"/>
          <w:left w:val="single" w:sz="8" w:space="0" w:color="9CD2F4" w:themeColor="accent6"/>
          <w:bottom w:val="single" w:sz="8" w:space="0" w:color="9CD2F4" w:themeColor="accent6"/>
          <w:right w:val="single" w:sz="8" w:space="0" w:color="9CD2F4" w:themeColor="accent6"/>
        </w:tcBorders>
        <w:shd w:val="clear" w:color="auto" w:fill="E6F3FC" w:themeFill="accent6" w:themeFillTint="3F"/>
      </w:tcPr>
    </w:tblStylePr>
    <w:tblStylePr w:type="band1Horz">
      <w:tblPr/>
      <w:tcPr>
        <w:tcBorders>
          <w:top w:val="single" w:sz="8" w:space="0" w:color="9CD2F4" w:themeColor="accent6"/>
          <w:left w:val="single" w:sz="8" w:space="0" w:color="9CD2F4" w:themeColor="accent6"/>
          <w:bottom w:val="single" w:sz="8" w:space="0" w:color="9CD2F4" w:themeColor="accent6"/>
          <w:right w:val="single" w:sz="8" w:space="0" w:color="9CD2F4" w:themeColor="accent6"/>
          <w:insideV w:val="single" w:sz="8" w:space="0" w:color="9CD2F4" w:themeColor="accent6"/>
        </w:tcBorders>
        <w:shd w:val="clear" w:color="auto" w:fill="E6F3FC" w:themeFill="accent6" w:themeFillTint="3F"/>
      </w:tcPr>
    </w:tblStylePr>
    <w:tblStylePr w:type="band2Horz">
      <w:tblPr/>
      <w:tcPr>
        <w:tcBorders>
          <w:top w:val="single" w:sz="8" w:space="0" w:color="9CD2F4" w:themeColor="accent6"/>
          <w:left w:val="single" w:sz="8" w:space="0" w:color="9CD2F4" w:themeColor="accent6"/>
          <w:bottom w:val="single" w:sz="8" w:space="0" w:color="9CD2F4" w:themeColor="accent6"/>
          <w:right w:val="single" w:sz="8" w:space="0" w:color="9CD2F4" w:themeColor="accent6"/>
          <w:insideV w:val="single" w:sz="8" w:space="0" w:color="9CD2F4" w:themeColor="accent6"/>
        </w:tcBorders>
      </w:tcPr>
    </w:tblStylePr>
  </w:style>
  <w:style w:type="table" w:styleId="LightList">
    <w:name w:val="Light List"/>
    <w:basedOn w:val="TableNormal"/>
    <w:uiPriority w:val="61"/>
    <w:semiHidden/>
    <w:unhideWhenUsed/>
    <w:rsid w:val="00421773"/>
    <w:pPr>
      <w:spacing w:after="0"/>
    </w:pPr>
    <w:rPr>
      <w:rFonts w:eastAsiaTheme="minorHAnsi" w:cs="Arial"/>
      <w:sz w:val="18"/>
      <w:szCs w:val="18"/>
    </w:rPr>
    <w:tblPr>
      <w:tblStyleRowBandSize w:val="1"/>
      <w:tblStyleColBandSize w:val="1"/>
      <w:tblBorders>
        <w:top w:val="single" w:sz="8" w:space="0" w:color="1A1919" w:themeColor="text1"/>
        <w:left w:val="single" w:sz="8" w:space="0" w:color="1A1919" w:themeColor="text1"/>
        <w:bottom w:val="single" w:sz="8" w:space="0" w:color="1A1919" w:themeColor="text1"/>
        <w:right w:val="single" w:sz="8" w:space="0" w:color="1A1919" w:themeColor="text1"/>
      </w:tblBorders>
    </w:tblPr>
    <w:tblStylePr w:type="firstRow">
      <w:pPr>
        <w:spacing w:before="0" w:after="0" w:line="240" w:lineRule="auto"/>
      </w:pPr>
      <w:rPr>
        <w:b/>
        <w:bCs/>
        <w:color w:val="FFFFFF" w:themeColor="background1"/>
      </w:rPr>
      <w:tblPr/>
      <w:tcPr>
        <w:shd w:val="clear" w:color="auto" w:fill="1A1919" w:themeFill="text1"/>
      </w:tcPr>
    </w:tblStylePr>
    <w:tblStylePr w:type="lastRow">
      <w:pPr>
        <w:spacing w:before="0" w:after="0" w:line="240" w:lineRule="auto"/>
      </w:pPr>
      <w:rPr>
        <w:b/>
        <w:bCs/>
      </w:rPr>
      <w:tblPr/>
      <w:tcPr>
        <w:tcBorders>
          <w:top w:val="double" w:sz="6" w:space="0" w:color="1A1919" w:themeColor="text1"/>
          <w:left w:val="single" w:sz="8" w:space="0" w:color="1A1919" w:themeColor="text1"/>
          <w:bottom w:val="single" w:sz="8" w:space="0" w:color="1A1919" w:themeColor="text1"/>
          <w:right w:val="single" w:sz="8" w:space="0" w:color="1A1919" w:themeColor="text1"/>
        </w:tcBorders>
      </w:tcPr>
    </w:tblStylePr>
    <w:tblStylePr w:type="firstCol">
      <w:rPr>
        <w:b/>
        <w:bCs/>
      </w:rPr>
    </w:tblStylePr>
    <w:tblStylePr w:type="lastCol">
      <w:rPr>
        <w:b/>
        <w:bCs/>
      </w:rPr>
    </w:tblStylePr>
    <w:tblStylePr w:type="band1Vert">
      <w:tblPr/>
      <w:tcPr>
        <w:tcBorders>
          <w:top w:val="single" w:sz="8" w:space="0" w:color="1A1919" w:themeColor="text1"/>
          <w:left w:val="single" w:sz="8" w:space="0" w:color="1A1919" w:themeColor="text1"/>
          <w:bottom w:val="single" w:sz="8" w:space="0" w:color="1A1919" w:themeColor="text1"/>
          <w:right w:val="single" w:sz="8" w:space="0" w:color="1A1919" w:themeColor="text1"/>
        </w:tcBorders>
      </w:tcPr>
    </w:tblStylePr>
    <w:tblStylePr w:type="band1Horz">
      <w:tblPr/>
      <w:tcPr>
        <w:tcBorders>
          <w:top w:val="single" w:sz="8" w:space="0" w:color="1A1919" w:themeColor="text1"/>
          <w:left w:val="single" w:sz="8" w:space="0" w:color="1A1919" w:themeColor="text1"/>
          <w:bottom w:val="single" w:sz="8" w:space="0" w:color="1A1919" w:themeColor="text1"/>
          <w:right w:val="single" w:sz="8" w:space="0" w:color="1A1919" w:themeColor="text1"/>
        </w:tcBorders>
      </w:tcPr>
    </w:tblStylePr>
  </w:style>
  <w:style w:type="table" w:styleId="LightList-Accent1">
    <w:name w:val="Light List Accent 1"/>
    <w:basedOn w:val="TableNormal"/>
    <w:uiPriority w:val="61"/>
    <w:semiHidden/>
    <w:unhideWhenUsed/>
    <w:rsid w:val="00421773"/>
    <w:pPr>
      <w:spacing w:after="0"/>
    </w:pPr>
    <w:rPr>
      <w:rFonts w:eastAsiaTheme="minorHAnsi" w:cs="Arial"/>
      <w:sz w:val="18"/>
      <w:szCs w:val="18"/>
    </w:rPr>
    <w:tblPr>
      <w:tblStyleRowBandSize w:val="1"/>
      <w:tblStyleColBandSize w:val="1"/>
      <w:tblBorders>
        <w:top w:val="single" w:sz="8" w:space="0" w:color="68C0B5" w:themeColor="accent1"/>
        <w:left w:val="single" w:sz="8" w:space="0" w:color="68C0B5" w:themeColor="accent1"/>
        <w:bottom w:val="single" w:sz="8" w:space="0" w:color="68C0B5" w:themeColor="accent1"/>
        <w:right w:val="single" w:sz="8" w:space="0" w:color="68C0B5" w:themeColor="accent1"/>
      </w:tblBorders>
    </w:tblPr>
    <w:tblStylePr w:type="firstRow">
      <w:pPr>
        <w:spacing w:before="0" w:after="0" w:line="240" w:lineRule="auto"/>
      </w:pPr>
      <w:rPr>
        <w:b/>
        <w:bCs/>
        <w:color w:val="FFFFFF" w:themeColor="background1"/>
      </w:rPr>
      <w:tblPr/>
      <w:tcPr>
        <w:shd w:val="clear" w:color="auto" w:fill="68C0B5" w:themeFill="accent1"/>
      </w:tcPr>
    </w:tblStylePr>
    <w:tblStylePr w:type="lastRow">
      <w:pPr>
        <w:spacing w:before="0" w:after="0" w:line="240" w:lineRule="auto"/>
      </w:pPr>
      <w:rPr>
        <w:b/>
        <w:bCs/>
      </w:rPr>
      <w:tblPr/>
      <w:tcPr>
        <w:tcBorders>
          <w:top w:val="double" w:sz="6" w:space="0" w:color="68C0B5" w:themeColor="accent1"/>
          <w:left w:val="single" w:sz="8" w:space="0" w:color="68C0B5" w:themeColor="accent1"/>
          <w:bottom w:val="single" w:sz="8" w:space="0" w:color="68C0B5" w:themeColor="accent1"/>
          <w:right w:val="single" w:sz="8" w:space="0" w:color="68C0B5" w:themeColor="accent1"/>
        </w:tcBorders>
      </w:tcPr>
    </w:tblStylePr>
    <w:tblStylePr w:type="firstCol">
      <w:rPr>
        <w:b/>
        <w:bCs/>
      </w:rPr>
    </w:tblStylePr>
    <w:tblStylePr w:type="lastCol">
      <w:rPr>
        <w:b/>
        <w:bCs/>
      </w:rPr>
    </w:tblStylePr>
    <w:tblStylePr w:type="band1Vert">
      <w:tblPr/>
      <w:tcPr>
        <w:tcBorders>
          <w:top w:val="single" w:sz="8" w:space="0" w:color="68C0B5" w:themeColor="accent1"/>
          <w:left w:val="single" w:sz="8" w:space="0" w:color="68C0B5" w:themeColor="accent1"/>
          <w:bottom w:val="single" w:sz="8" w:space="0" w:color="68C0B5" w:themeColor="accent1"/>
          <w:right w:val="single" w:sz="8" w:space="0" w:color="68C0B5" w:themeColor="accent1"/>
        </w:tcBorders>
      </w:tcPr>
    </w:tblStylePr>
    <w:tblStylePr w:type="band1Horz">
      <w:tblPr/>
      <w:tcPr>
        <w:tcBorders>
          <w:top w:val="single" w:sz="8" w:space="0" w:color="68C0B5" w:themeColor="accent1"/>
          <w:left w:val="single" w:sz="8" w:space="0" w:color="68C0B5" w:themeColor="accent1"/>
          <w:bottom w:val="single" w:sz="8" w:space="0" w:color="68C0B5" w:themeColor="accent1"/>
          <w:right w:val="single" w:sz="8" w:space="0" w:color="68C0B5" w:themeColor="accent1"/>
        </w:tcBorders>
      </w:tcPr>
    </w:tblStylePr>
  </w:style>
  <w:style w:type="table" w:styleId="LightList-Accent2">
    <w:name w:val="Light List Accent 2"/>
    <w:basedOn w:val="TableNormal"/>
    <w:uiPriority w:val="61"/>
    <w:semiHidden/>
    <w:unhideWhenUsed/>
    <w:rsid w:val="00421773"/>
    <w:pPr>
      <w:spacing w:after="0"/>
    </w:pPr>
    <w:rPr>
      <w:rFonts w:eastAsiaTheme="minorHAnsi" w:cs="Arial"/>
      <w:sz w:val="18"/>
      <w:szCs w:val="18"/>
    </w:rPr>
    <w:tblPr>
      <w:tblStyleRowBandSize w:val="1"/>
      <w:tblStyleColBandSize w:val="1"/>
      <w:tblBorders>
        <w:top w:val="single" w:sz="8" w:space="0" w:color="69ACDF" w:themeColor="accent2"/>
        <w:left w:val="single" w:sz="8" w:space="0" w:color="69ACDF" w:themeColor="accent2"/>
        <w:bottom w:val="single" w:sz="8" w:space="0" w:color="69ACDF" w:themeColor="accent2"/>
        <w:right w:val="single" w:sz="8" w:space="0" w:color="69ACDF" w:themeColor="accent2"/>
      </w:tblBorders>
    </w:tblPr>
    <w:tblStylePr w:type="firstRow">
      <w:pPr>
        <w:spacing w:before="0" w:after="0" w:line="240" w:lineRule="auto"/>
      </w:pPr>
      <w:rPr>
        <w:b/>
        <w:bCs/>
        <w:color w:val="FFFFFF" w:themeColor="background1"/>
      </w:rPr>
      <w:tblPr/>
      <w:tcPr>
        <w:shd w:val="clear" w:color="auto" w:fill="69ACDF" w:themeFill="accent2"/>
      </w:tcPr>
    </w:tblStylePr>
    <w:tblStylePr w:type="lastRow">
      <w:pPr>
        <w:spacing w:before="0" w:after="0" w:line="240" w:lineRule="auto"/>
      </w:pPr>
      <w:rPr>
        <w:b/>
        <w:bCs/>
      </w:rPr>
      <w:tblPr/>
      <w:tcPr>
        <w:tcBorders>
          <w:top w:val="double" w:sz="6" w:space="0" w:color="69ACDF" w:themeColor="accent2"/>
          <w:left w:val="single" w:sz="8" w:space="0" w:color="69ACDF" w:themeColor="accent2"/>
          <w:bottom w:val="single" w:sz="8" w:space="0" w:color="69ACDF" w:themeColor="accent2"/>
          <w:right w:val="single" w:sz="8" w:space="0" w:color="69ACDF" w:themeColor="accent2"/>
        </w:tcBorders>
      </w:tcPr>
    </w:tblStylePr>
    <w:tblStylePr w:type="firstCol">
      <w:rPr>
        <w:b/>
        <w:bCs/>
      </w:rPr>
    </w:tblStylePr>
    <w:tblStylePr w:type="lastCol">
      <w:rPr>
        <w:b/>
        <w:bCs/>
      </w:rPr>
    </w:tblStylePr>
    <w:tblStylePr w:type="band1Vert">
      <w:tblPr/>
      <w:tcPr>
        <w:tcBorders>
          <w:top w:val="single" w:sz="8" w:space="0" w:color="69ACDF" w:themeColor="accent2"/>
          <w:left w:val="single" w:sz="8" w:space="0" w:color="69ACDF" w:themeColor="accent2"/>
          <w:bottom w:val="single" w:sz="8" w:space="0" w:color="69ACDF" w:themeColor="accent2"/>
          <w:right w:val="single" w:sz="8" w:space="0" w:color="69ACDF" w:themeColor="accent2"/>
        </w:tcBorders>
      </w:tcPr>
    </w:tblStylePr>
    <w:tblStylePr w:type="band1Horz">
      <w:tblPr/>
      <w:tcPr>
        <w:tcBorders>
          <w:top w:val="single" w:sz="8" w:space="0" w:color="69ACDF" w:themeColor="accent2"/>
          <w:left w:val="single" w:sz="8" w:space="0" w:color="69ACDF" w:themeColor="accent2"/>
          <w:bottom w:val="single" w:sz="8" w:space="0" w:color="69ACDF" w:themeColor="accent2"/>
          <w:right w:val="single" w:sz="8" w:space="0" w:color="69ACDF" w:themeColor="accent2"/>
        </w:tcBorders>
      </w:tcPr>
    </w:tblStylePr>
  </w:style>
  <w:style w:type="table" w:styleId="LightList-Accent3">
    <w:name w:val="Light List Accent 3"/>
    <w:basedOn w:val="TableNormal"/>
    <w:uiPriority w:val="61"/>
    <w:semiHidden/>
    <w:unhideWhenUsed/>
    <w:rsid w:val="00421773"/>
    <w:pPr>
      <w:spacing w:after="0"/>
    </w:pPr>
    <w:rPr>
      <w:rFonts w:eastAsiaTheme="minorHAnsi" w:cs="Arial"/>
      <w:sz w:val="18"/>
      <w:szCs w:val="18"/>
    </w:rPr>
    <w:tblPr>
      <w:tblStyleRowBandSize w:val="1"/>
      <w:tblStyleColBandSize w:val="1"/>
      <w:tblBorders>
        <w:top w:val="single" w:sz="8" w:space="0" w:color="636AAF" w:themeColor="accent3"/>
        <w:left w:val="single" w:sz="8" w:space="0" w:color="636AAF" w:themeColor="accent3"/>
        <w:bottom w:val="single" w:sz="8" w:space="0" w:color="636AAF" w:themeColor="accent3"/>
        <w:right w:val="single" w:sz="8" w:space="0" w:color="636AAF" w:themeColor="accent3"/>
      </w:tblBorders>
    </w:tblPr>
    <w:tblStylePr w:type="firstRow">
      <w:pPr>
        <w:spacing w:before="0" w:after="0" w:line="240" w:lineRule="auto"/>
      </w:pPr>
      <w:rPr>
        <w:b/>
        <w:bCs/>
        <w:color w:val="FFFFFF" w:themeColor="background1"/>
      </w:rPr>
      <w:tblPr/>
      <w:tcPr>
        <w:shd w:val="clear" w:color="auto" w:fill="636AAF" w:themeFill="accent3"/>
      </w:tcPr>
    </w:tblStylePr>
    <w:tblStylePr w:type="lastRow">
      <w:pPr>
        <w:spacing w:before="0" w:after="0" w:line="240" w:lineRule="auto"/>
      </w:pPr>
      <w:rPr>
        <w:b/>
        <w:bCs/>
      </w:rPr>
      <w:tblPr/>
      <w:tcPr>
        <w:tcBorders>
          <w:top w:val="double" w:sz="6" w:space="0" w:color="636AAF" w:themeColor="accent3"/>
          <w:left w:val="single" w:sz="8" w:space="0" w:color="636AAF" w:themeColor="accent3"/>
          <w:bottom w:val="single" w:sz="8" w:space="0" w:color="636AAF" w:themeColor="accent3"/>
          <w:right w:val="single" w:sz="8" w:space="0" w:color="636AAF" w:themeColor="accent3"/>
        </w:tcBorders>
      </w:tcPr>
    </w:tblStylePr>
    <w:tblStylePr w:type="firstCol">
      <w:rPr>
        <w:b/>
        <w:bCs/>
      </w:rPr>
    </w:tblStylePr>
    <w:tblStylePr w:type="lastCol">
      <w:rPr>
        <w:b/>
        <w:bCs/>
      </w:rPr>
    </w:tblStylePr>
    <w:tblStylePr w:type="band1Vert">
      <w:tblPr/>
      <w:tcPr>
        <w:tcBorders>
          <w:top w:val="single" w:sz="8" w:space="0" w:color="636AAF" w:themeColor="accent3"/>
          <w:left w:val="single" w:sz="8" w:space="0" w:color="636AAF" w:themeColor="accent3"/>
          <w:bottom w:val="single" w:sz="8" w:space="0" w:color="636AAF" w:themeColor="accent3"/>
          <w:right w:val="single" w:sz="8" w:space="0" w:color="636AAF" w:themeColor="accent3"/>
        </w:tcBorders>
      </w:tcPr>
    </w:tblStylePr>
    <w:tblStylePr w:type="band1Horz">
      <w:tblPr/>
      <w:tcPr>
        <w:tcBorders>
          <w:top w:val="single" w:sz="8" w:space="0" w:color="636AAF" w:themeColor="accent3"/>
          <w:left w:val="single" w:sz="8" w:space="0" w:color="636AAF" w:themeColor="accent3"/>
          <w:bottom w:val="single" w:sz="8" w:space="0" w:color="636AAF" w:themeColor="accent3"/>
          <w:right w:val="single" w:sz="8" w:space="0" w:color="636AAF" w:themeColor="accent3"/>
        </w:tcBorders>
      </w:tcPr>
    </w:tblStylePr>
  </w:style>
  <w:style w:type="table" w:styleId="LightList-Accent4">
    <w:name w:val="Light List Accent 4"/>
    <w:basedOn w:val="TableNormal"/>
    <w:uiPriority w:val="61"/>
    <w:semiHidden/>
    <w:unhideWhenUsed/>
    <w:rsid w:val="00421773"/>
    <w:pPr>
      <w:spacing w:after="0"/>
    </w:pPr>
    <w:rPr>
      <w:rFonts w:eastAsiaTheme="minorHAnsi" w:cs="Arial"/>
      <w:sz w:val="18"/>
      <w:szCs w:val="18"/>
    </w:rPr>
    <w:tblPr>
      <w:tblStyleRowBandSize w:val="1"/>
      <w:tblStyleColBandSize w:val="1"/>
      <w:tblBorders>
        <w:top w:val="single" w:sz="8" w:space="0" w:color="B26DAB" w:themeColor="accent4"/>
        <w:left w:val="single" w:sz="8" w:space="0" w:color="B26DAB" w:themeColor="accent4"/>
        <w:bottom w:val="single" w:sz="8" w:space="0" w:color="B26DAB" w:themeColor="accent4"/>
        <w:right w:val="single" w:sz="8" w:space="0" w:color="B26DAB" w:themeColor="accent4"/>
      </w:tblBorders>
    </w:tblPr>
    <w:tblStylePr w:type="firstRow">
      <w:pPr>
        <w:spacing w:before="0" w:after="0" w:line="240" w:lineRule="auto"/>
      </w:pPr>
      <w:rPr>
        <w:b/>
        <w:bCs/>
        <w:color w:val="FFFFFF" w:themeColor="background1"/>
      </w:rPr>
      <w:tblPr/>
      <w:tcPr>
        <w:shd w:val="clear" w:color="auto" w:fill="B26DAB" w:themeFill="accent4"/>
      </w:tcPr>
    </w:tblStylePr>
    <w:tblStylePr w:type="lastRow">
      <w:pPr>
        <w:spacing w:before="0" w:after="0" w:line="240" w:lineRule="auto"/>
      </w:pPr>
      <w:rPr>
        <w:b/>
        <w:bCs/>
      </w:rPr>
      <w:tblPr/>
      <w:tcPr>
        <w:tcBorders>
          <w:top w:val="double" w:sz="6" w:space="0" w:color="B26DAB" w:themeColor="accent4"/>
          <w:left w:val="single" w:sz="8" w:space="0" w:color="B26DAB" w:themeColor="accent4"/>
          <w:bottom w:val="single" w:sz="8" w:space="0" w:color="B26DAB" w:themeColor="accent4"/>
          <w:right w:val="single" w:sz="8" w:space="0" w:color="B26DAB" w:themeColor="accent4"/>
        </w:tcBorders>
      </w:tcPr>
    </w:tblStylePr>
    <w:tblStylePr w:type="firstCol">
      <w:rPr>
        <w:b/>
        <w:bCs/>
      </w:rPr>
    </w:tblStylePr>
    <w:tblStylePr w:type="lastCol">
      <w:rPr>
        <w:b/>
        <w:bCs/>
      </w:rPr>
    </w:tblStylePr>
    <w:tblStylePr w:type="band1Vert">
      <w:tblPr/>
      <w:tcPr>
        <w:tcBorders>
          <w:top w:val="single" w:sz="8" w:space="0" w:color="B26DAB" w:themeColor="accent4"/>
          <w:left w:val="single" w:sz="8" w:space="0" w:color="B26DAB" w:themeColor="accent4"/>
          <w:bottom w:val="single" w:sz="8" w:space="0" w:color="B26DAB" w:themeColor="accent4"/>
          <w:right w:val="single" w:sz="8" w:space="0" w:color="B26DAB" w:themeColor="accent4"/>
        </w:tcBorders>
      </w:tcPr>
    </w:tblStylePr>
    <w:tblStylePr w:type="band1Horz">
      <w:tblPr/>
      <w:tcPr>
        <w:tcBorders>
          <w:top w:val="single" w:sz="8" w:space="0" w:color="B26DAB" w:themeColor="accent4"/>
          <w:left w:val="single" w:sz="8" w:space="0" w:color="B26DAB" w:themeColor="accent4"/>
          <w:bottom w:val="single" w:sz="8" w:space="0" w:color="B26DAB" w:themeColor="accent4"/>
          <w:right w:val="single" w:sz="8" w:space="0" w:color="B26DAB" w:themeColor="accent4"/>
        </w:tcBorders>
      </w:tcPr>
    </w:tblStylePr>
  </w:style>
  <w:style w:type="table" w:styleId="LightList-Accent5">
    <w:name w:val="Light List Accent 5"/>
    <w:basedOn w:val="TableNormal"/>
    <w:uiPriority w:val="61"/>
    <w:semiHidden/>
    <w:unhideWhenUsed/>
    <w:rsid w:val="00421773"/>
    <w:pPr>
      <w:spacing w:after="0"/>
    </w:pPr>
    <w:rPr>
      <w:rFonts w:eastAsiaTheme="minorHAnsi" w:cs="Arial"/>
      <w:sz w:val="18"/>
      <w:szCs w:val="18"/>
    </w:rPr>
    <w:tblPr>
      <w:tblStyleRowBandSize w:val="1"/>
      <w:tblStyleColBandSize w:val="1"/>
      <w:tblBorders>
        <w:top w:val="single" w:sz="8" w:space="0" w:color="E7A2C8" w:themeColor="accent5"/>
        <w:left w:val="single" w:sz="8" w:space="0" w:color="E7A2C8" w:themeColor="accent5"/>
        <w:bottom w:val="single" w:sz="8" w:space="0" w:color="E7A2C8" w:themeColor="accent5"/>
        <w:right w:val="single" w:sz="8" w:space="0" w:color="E7A2C8" w:themeColor="accent5"/>
      </w:tblBorders>
    </w:tblPr>
    <w:tblStylePr w:type="firstRow">
      <w:pPr>
        <w:spacing w:before="0" w:after="0" w:line="240" w:lineRule="auto"/>
      </w:pPr>
      <w:rPr>
        <w:b/>
        <w:bCs/>
        <w:color w:val="FFFFFF" w:themeColor="background1"/>
      </w:rPr>
      <w:tblPr/>
      <w:tcPr>
        <w:shd w:val="clear" w:color="auto" w:fill="E7A2C8" w:themeFill="accent5"/>
      </w:tcPr>
    </w:tblStylePr>
    <w:tblStylePr w:type="lastRow">
      <w:pPr>
        <w:spacing w:before="0" w:after="0" w:line="240" w:lineRule="auto"/>
      </w:pPr>
      <w:rPr>
        <w:b/>
        <w:bCs/>
      </w:rPr>
      <w:tblPr/>
      <w:tcPr>
        <w:tcBorders>
          <w:top w:val="double" w:sz="6" w:space="0" w:color="E7A2C8" w:themeColor="accent5"/>
          <w:left w:val="single" w:sz="8" w:space="0" w:color="E7A2C8" w:themeColor="accent5"/>
          <w:bottom w:val="single" w:sz="8" w:space="0" w:color="E7A2C8" w:themeColor="accent5"/>
          <w:right w:val="single" w:sz="8" w:space="0" w:color="E7A2C8" w:themeColor="accent5"/>
        </w:tcBorders>
      </w:tcPr>
    </w:tblStylePr>
    <w:tblStylePr w:type="firstCol">
      <w:rPr>
        <w:b/>
        <w:bCs/>
      </w:rPr>
    </w:tblStylePr>
    <w:tblStylePr w:type="lastCol">
      <w:rPr>
        <w:b/>
        <w:bCs/>
      </w:rPr>
    </w:tblStylePr>
    <w:tblStylePr w:type="band1Vert">
      <w:tblPr/>
      <w:tcPr>
        <w:tcBorders>
          <w:top w:val="single" w:sz="8" w:space="0" w:color="E7A2C8" w:themeColor="accent5"/>
          <w:left w:val="single" w:sz="8" w:space="0" w:color="E7A2C8" w:themeColor="accent5"/>
          <w:bottom w:val="single" w:sz="8" w:space="0" w:color="E7A2C8" w:themeColor="accent5"/>
          <w:right w:val="single" w:sz="8" w:space="0" w:color="E7A2C8" w:themeColor="accent5"/>
        </w:tcBorders>
      </w:tcPr>
    </w:tblStylePr>
    <w:tblStylePr w:type="band1Horz">
      <w:tblPr/>
      <w:tcPr>
        <w:tcBorders>
          <w:top w:val="single" w:sz="8" w:space="0" w:color="E7A2C8" w:themeColor="accent5"/>
          <w:left w:val="single" w:sz="8" w:space="0" w:color="E7A2C8" w:themeColor="accent5"/>
          <w:bottom w:val="single" w:sz="8" w:space="0" w:color="E7A2C8" w:themeColor="accent5"/>
          <w:right w:val="single" w:sz="8" w:space="0" w:color="E7A2C8" w:themeColor="accent5"/>
        </w:tcBorders>
      </w:tcPr>
    </w:tblStylePr>
  </w:style>
  <w:style w:type="table" w:styleId="LightList-Accent6">
    <w:name w:val="Light List Accent 6"/>
    <w:basedOn w:val="TableNormal"/>
    <w:uiPriority w:val="61"/>
    <w:semiHidden/>
    <w:unhideWhenUsed/>
    <w:rsid w:val="00421773"/>
    <w:pPr>
      <w:spacing w:after="0"/>
    </w:pPr>
    <w:rPr>
      <w:rFonts w:eastAsiaTheme="minorHAnsi" w:cs="Arial"/>
      <w:sz w:val="18"/>
      <w:szCs w:val="18"/>
    </w:rPr>
    <w:tblPr>
      <w:tblStyleRowBandSize w:val="1"/>
      <w:tblStyleColBandSize w:val="1"/>
      <w:tblBorders>
        <w:top w:val="single" w:sz="8" w:space="0" w:color="9CD2F4" w:themeColor="accent6"/>
        <w:left w:val="single" w:sz="8" w:space="0" w:color="9CD2F4" w:themeColor="accent6"/>
        <w:bottom w:val="single" w:sz="8" w:space="0" w:color="9CD2F4" w:themeColor="accent6"/>
        <w:right w:val="single" w:sz="8" w:space="0" w:color="9CD2F4" w:themeColor="accent6"/>
      </w:tblBorders>
    </w:tblPr>
    <w:tblStylePr w:type="firstRow">
      <w:pPr>
        <w:spacing w:before="0" w:after="0" w:line="240" w:lineRule="auto"/>
      </w:pPr>
      <w:rPr>
        <w:b/>
        <w:bCs/>
        <w:color w:val="FFFFFF" w:themeColor="background1"/>
      </w:rPr>
      <w:tblPr/>
      <w:tcPr>
        <w:shd w:val="clear" w:color="auto" w:fill="9CD2F4" w:themeFill="accent6"/>
      </w:tcPr>
    </w:tblStylePr>
    <w:tblStylePr w:type="lastRow">
      <w:pPr>
        <w:spacing w:before="0" w:after="0" w:line="240" w:lineRule="auto"/>
      </w:pPr>
      <w:rPr>
        <w:b/>
        <w:bCs/>
      </w:rPr>
      <w:tblPr/>
      <w:tcPr>
        <w:tcBorders>
          <w:top w:val="double" w:sz="6" w:space="0" w:color="9CD2F4" w:themeColor="accent6"/>
          <w:left w:val="single" w:sz="8" w:space="0" w:color="9CD2F4" w:themeColor="accent6"/>
          <w:bottom w:val="single" w:sz="8" w:space="0" w:color="9CD2F4" w:themeColor="accent6"/>
          <w:right w:val="single" w:sz="8" w:space="0" w:color="9CD2F4" w:themeColor="accent6"/>
        </w:tcBorders>
      </w:tcPr>
    </w:tblStylePr>
    <w:tblStylePr w:type="firstCol">
      <w:rPr>
        <w:b/>
        <w:bCs/>
      </w:rPr>
    </w:tblStylePr>
    <w:tblStylePr w:type="lastCol">
      <w:rPr>
        <w:b/>
        <w:bCs/>
      </w:rPr>
    </w:tblStylePr>
    <w:tblStylePr w:type="band1Vert">
      <w:tblPr/>
      <w:tcPr>
        <w:tcBorders>
          <w:top w:val="single" w:sz="8" w:space="0" w:color="9CD2F4" w:themeColor="accent6"/>
          <w:left w:val="single" w:sz="8" w:space="0" w:color="9CD2F4" w:themeColor="accent6"/>
          <w:bottom w:val="single" w:sz="8" w:space="0" w:color="9CD2F4" w:themeColor="accent6"/>
          <w:right w:val="single" w:sz="8" w:space="0" w:color="9CD2F4" w:themeColor="accent6"/>
        </w:tcBorders>
      </w:tcPr>
    </w:tblStylePr>
    <w:tblStylePr w:type="band1Horz">
      <w:tblPr/>
      <w:tcPr>
        <w:tcBorders>
          <w:top w:val="single" w:sz="8" w:space="0" w:color="9CD2F4" w:themeColor="accent6"/>
          <w:left w:val="single" w:sz="8" w:space="0" w:color="9CD2F4" w:themeColor="accent6"/>
          <w:bottom w:val="single" w:sz="8" w:space="0" w:color="9CD2F4" w:themeColor="accent6"/>
          <w:right w:val="single" w:sz="8" w:space="0" w:color="9CD2F4" w:themeColor="accent6"/>
        </w:tcBorders>
      </w:tcPr>
    </w:tblStylePr>
  </w:style>
  <w:style w:type="table" w:styleId="LightShading">
    <w:name w:val="Light Shading"/>
    <w:basedOn w:val="TableNormal"/>
    <w:uiPriority w:val="60"/>
    <w:semiHidden/>
    <w:unhideWhenUsed/>
    <w:rsid w:val="00421773"/>
    <w:pPr>
      <w:spacing w:after="0"/>
    </w:pPr>
    <w:rPr>
      <w:rFonts w:eastAsiaTheme="minorHAnsi" w:cs="Arial"/>
      <w:color w:val="131212" w:themeColor="text1" w:themeShade="BF"/>
      <w:sz w:val="18"/>
      <w:szCs w:val="18"/>
    </w:rPr>
    <w:tblPr>
      <w:tblStyleRowBandSize w:val="1"/>
      <w:tblStyleColBandSize w:val="1"/>
      <w:tblBorders>
        <w:top w:val="single" w:sz="8" w:space="0" w:color="1A1919" w:themeColor="text1"/>
        <w:bottom w:val="single" w:sz="8" w:space="0" w:color="1A1919" w:themeColor="text1"/>
      </w:tblBorders>
    </w:tblPr>
    <w:tblStylePr w:type="firstRow">
      <w:pPr>
        <w:spacing w:before="0" w:after="0" w:line="240" w:lineRule="auto"/>
      </w:pPr>
      <w:rPr>
        <w:b/>
        <w:bCs/>
      </w:rPr>
      <w:tblPr/>
      <w:tcPr>
        <w:tcBorders>
          <w:top w:val="single" w:sz="8" w:space="0" w:color="1A1919" w:themeColor="text1"/>
          <w:left w:val="nil"/>
          <w:bottom w:val="single" w:sz="8" w:space="0" w:color="1A1919" w:themeColor="text1"/>
          <w:right w:val="nil"/>
          <w:insideH w:val="nil"/>
          <w:insideV w:val="nil"/>
        </w:tcBorders>
      </w:tcPr>
    </w:tblStylePr>
    <w:tblStylePr w:type="lastRow">
      <w:pPr>
        <w:spacing w:before="0" w:after="0" w:line="240" w:lineRule="auto"/>
      </w:pPr>
      <w:rPr>
        <w:b/>
        <w:bCs/>
      </w:rPr>
      <w:tblPr/>
      <w:tcPr>
        <w:tcBorders>
          <w:top w:val="single" w:sz="8" w:space="0" w:color="1A1919" w:themeColor="text1"/>
          <w:left w:val="nil"/>
          <w:bottom w:val="single" w:sz="8" w:space="0" w:color="1A191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5C5" w:themeFill="text1" w:themeFillTint="3F"/>
      </w:tcPr>
    </w:tblStylePr>
    <w:tblStylePr w:type="band1Horz">
      <w:tblPr/>
      <w:tcPr>
        <w:tcBorders>
          <w:left w:val="nil"/>
          <w:right w:val="nil"/>
          <w:insideH w:val="nil"/>
          <w:insideV w:val="nil"/>
        </w:tcBorders>
        <w:shd w:val="clear" w:color="auto" w:fill="C7C5C5" w:themeFill="text1" w:themeFillTint="3F"/>
      </w:tcPr>
    </w:tblStylePr>
  </w:style>
  <w:style w:type="table" w:styleId="LightShading-Accent1">
    <w:name w:val="Light Shading Accent 1"/>
    <w:basedOn w:val="TableNormal"/>
    <w:uiPriority w:val="60"/>
    <w:semiHidden/>
    <w:unhideWhenUsed/>
    <w:rsid w:val="00421773"/>
    <w:pPr>
      <w:spacing w:after="0"/>
    </w:pPr>
    <w:rPr>
      <w:rFonts w:eastAsiaTheme="minorHAnsi" w:cs="Arial"/>
      <w:color w:val="419C90" w:themeColor="accent1" w:themeShade="BF"/>
      <w:sz w:val="18"/>
      <w:szCs w:val="18"/>
    </w:rPr>
    <w:tblPr>
      <w:tblStyleRowBandSize w:val="1"/>
      <w:tblStyleColBandSize w:val="1"/>
      <w:tblBorders>
        <w:top w:val="single" w:sz="8" w:space="0" w:color="68C0B5" w:themeColor="accent1"/>
        <w:bottom w:val="single" w:sz="8" w:space="0" w:color="68C0B5" w:themeColor="accent1"/>
      </w:tblBorders>
    </w:tblPr>
    <w:tblStylePr w:type="firstRow">
      <w:pPr>
        <w:spacing w:before="0" w:after="0" w:line="240" w:lineRule="auto"/>
      </w:pPr>
      <w:rPr>
        <w:b/>
        <w:bCs/>
      </w:rPr>
      <w:tblPr/>
      <w:tcPr>
        <w:tcBorders>
          <w:top w:val="single" w:sz="8" w:space="0" w:color="68C0B5" w:themeColor="accent1"/>
          <w:left w:val="nil"/>
          <w:bottom w:val="single" w:sz="8" w:space="0" w:color="68C0B5" w:themeColor="accent1"/>
          <w:right w:val="nil"/>
          <w:insideH w:val="nil"/>
          <w:insideV w:val="nil"/>
        </w:tcBorders>
      </w:tcPr>
    </w:tblStylePr>
    <w:tblStylePr w:type="lastRow">
      <w:pPr>
        <w:spacing w:before="0" w:after="0" w:line="240" w:lineRule="auto"/>
      </w:pPr>
      <w:rPr>
        <w:b/>
        <w:bCs/>
      </w:rPr>
      <w:tblPr/>
      <w:tcPr>
        <w:tcBorders>
          <w:top w:val="single" w:sz="8" w:space="0" w:color="68C0B5" w:themeColor="accent1"/>
          <w:left w:val="nil"/>
          <w:bottom w:val="single" w:sz="8" w:space="0" w:color="68C0B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FEC" w:themeFill="accent1" w:themeFillTint="3F"/>
      </w:tcPr>
    </w:tblStylePr>
    <w:tblStylePr w:type="band1Horz">
      <w:tblPr/>
      <w:tcPr>
        <w:tcBorders>
          <w:left w:val="nil"/>
          <w:right w:val="nil"/>
          <w:insideH w:val="nil"/>
          <w:insideV w:val="nil"/>
        </w:tcBorders>
        <w:shd w:val="clear" w:color="auto" w:fill="D9EFEC" w:themeFill="accent1" w:themeFillTint="3F"/>
      </w:tcPr>
    </w:tblStylePr>
  </w:style>
  <w:style w:type="table" w:styleId="LightShading-Accent2">
    <w:name w:val="Light Shading Accent 2"/>
    <w:basedOn w:val="TableNormal"/>
    <w:uiPriority w:val="60"/>
    <w:semiHidden/>
    <w:unhideWhenUsed/>
    <w:rsid w:val="00421773"/>
    <w:pPr>
      <w:spacing w:after="0"/>
    </w:pPr>
    <w:rPr>
      <w:rFonts w:eastAsiaTheme="minorHAnsi" w:cs="Arial"/>
      <w:color w:val="2B85CA" w:themeColor="accent2" w:themeShade="BF"/>
      <w:sz w:val="18"/>
      <w:szCs w:val="18"/>
    </w:rPr>
    <w:tblPr>
      <w:tblStyleRowBandSize w:val="1"/>
      <w:tblStyleColBandSize w:val="1"/>
      <w:tblBorders>
        <w:top w:val="single" w:sz="8" w:space="0" w:color="69ACDF" w:themeColor="accent2"/>
        <w:bottom w:val="single" w:sz="8" w:space="0" w:color="69ACDF" w:themeColor="accent2"/>
      </w:tblBorders>
    </w:tblPr>
    <w:tblStylePr w:type="firstRow">
      <w:pPr>
        <w:spacing w:before="0" w:after="0" w:line="240" w:lineRule="auto"/>
      </w:pPr>
      <w:rPr>
        <w:b/>
        <w:bCs/>
      </w:rPr>
      <w:tblPr/>
      <w:tcPr>
        <w:tcBorders>
          <w:top w:val="single" w:sz="8" w:space="0" w:color="69ACDF" w:themeColor="accent2"/>
          <w:left w:val="nil"/>
          <w:bottom w:val="single" w:sz="8" w:space="0" w:color="69ACDF" w:themeColor="accent2"/>
          <w:right w:val="nil"/>
          <w:insideH w:val="nil"/>
          <w:insideV w:val="nil"/>
        </w:tcBorders>
      </w:tcPr>
    </w:tblStylePr>
    <w:tblStylePr w:type="lastRow">
      <w:pPr>
        <w:spacing w:before="0" w:after="0" w:line="240" w:lineRule="auto"/>
      </w:pPr>
      <w:rPr>
        <w:b/>
        <w:bCs/>
      </w:rPr>
      <w:tblPr/>
      <w:tcPr>
        <w:tcBorders>
          <w:top w:val="single" w:sz="8" w:space="0" w:color="69ACDF" w:themeColor="accent2"/>
          <w:left w:val="nil"/>
          <w:bottom w:val="single" w:sz="8" w:space="0" w:color="69AC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AF7" w:themeFill="accent2" w:themeFillTint="3F"/>
      </w:tcPr>
    </w:tblStylePr>
    <w:tblStylePr w:type="band1Horz">
      <w:tblPr/>
      <w:tcPr>
        <w:tcBorders>
          <w:left w:val="nil"/>
          <w:right w:val="nil"/>
          <w:insideH w:val="nil"/>
          <w:insideV w:val="nil"/>
        </w:tcBorders>
        <w:shd w:val="clear" w:color="auto" w:fill="D9EAF7" w:themeFill="accent2" w:themeFillTint="3F"/>
      </w:tcPr>
    </w:tblStylePr>
  </w:style>
  <w:style w:type="table" w:styleId="LightShading-Accent3">
    <w:name w:val="Light Shading Accent 3"/>
    <w:basedOn w:val="TableNormal"/>
    <w:uiPriority w:val="60"/>
    <w:semiHidden/>
    <w:unhideWhenUsed/>
    <w:rsid w:val="00421773"/>
    <w:pPr>
      <w:spacing w:after="0"/>
    </w:pPr>
    <w:rPr>
      <w:rFonts w:eastAsiaTheme="minorHAnsi" w:cs="Arial"/>
      <w:color w:val="454B87" w:themeColor="accent3" w:themeShade="BF"/>
      <w:sz w:val="18"/>
      <w:szCs w:val="18"/>
    </w:rPr>
    <w:tblPr>
      <w:tblStyleRowBandSize w:val="1"/>
      <w:tblStyleColBandSize w:val="1"/>
      <w:tblBorders>
        <w:top w:val="single" w:sz="8" w:space="0" w:color="636AAF" w:themeColor="accent3"/>
        <w:bottom w:val="single" w:sz="8" w:space="0" w:color="636AAF" w:themeColor="accent3"/>
      </w:tblBorders>
    </w:tblPr>
    <w:tblStylePr w:type="firstRow">
      <w:pPr>
        <w:spacing w:before="0" w:after="0" w:line="240" w:lineRule="auto"/>
      </w:pPr>
      <w:rPr>
        <w:b/>
        <w:bCs/>
      </w:rPr>
      <w:tblPr/>
      <w:tcPr>
        <w:tcBorders>
          <w:top w:val="single" w:sz="8" w:space="0" w:color="636AAF" w:themeColor="accent3"/>
          <w:left w:val="nil"/>
          <w:bottom w:val="single" w:sz="8" w:space="0" w:color="636AAF" w:themeColor="accent3"/>
          <w:right w:val="nil"/>
          <w:insideH w:val="nil"/>
          <w:insideV w:val="nil"/>
        </w:tcBorders>
      </w:tcPr>
    </w:tblStylePr>
    <w:tblStylePr w:type="lastRow">
      <w:pPr>
        <w:spacing w:before="0" w:after="0" w:line="240" w:lineRule="auto"/>
      </w:pPr>
      <w:rPr>
        <w:b/>
        <w:bCs/>
      </w:rPr>
      <w:tblPr/>
      <w:tcPr>
        <w:tcBorders>
          <w:top w:val="single" w:sz="8" w:space="0" w:color="636AAF" w:themeColor="accent3"/>
          <w:left w:val="nil"/>
          <w:bottom w:val="single" w:sz="8" w:space="0" w:color="636AA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AEB" w:themeFill="accent3" w:themeFillTint="3F"/>
      </w:tcPr>
    </w:tblStylePr>
    <w:tblStylePr w:type="band1Horz">
      <w:tblPr/>
      <w:tcPr>
        <w:tcBorders>
          <w:left w:val="nil"/>
          <w:right w:val="nil"/>
          <w:insideH w:val="nil"/>
          <w:insideV w:val="nil"/>
        </w:tcBorders>
        <w:shd w:val="clear" w:color="auto" w:fill="D8DAEB" w:themeFill="accent3" w:themeFillTint="3F"/>
      </w:tcPr>
    </w:tblStylePr>
  </w:style>
  <w:style w:type="table" w:styleId="LightShading-Accent4">
    <w:name w:val="Light Shading Accent 4"/>
    <w:basedOn w:val="TableNormal"/>
    <w:uiPriority w:val="60"/>
    <w:semiHidden/>
    <w:unhideWhenUsed/>
    <w:rsid w:val="00421773"/>
    <w:pPr>
      <w:spacing w:after="0"/>
    </w:pPr>
    <w:rPr>
      <w:rFonts w:eastAsiaTheme="minorHAnsi" w:cs="Arial"/>
      <w:color w:val="8C4A85" w:themeColor="accent4" w:themeShade="BF"/>
      <w:sz w:val="18"/>
      <w:szCs w:val="18"/>
    </w:rPr>
    <w:tblPr>
      <w:tblStyleRowBandSize w:val="1"/>
      <w:tblStyleColBandSize w:val="1"/>
      <w:tblBorders>
        <w:top w:val="single" w:sz="8" w:space="0" w:color="B26DAB" w:themeColor="accent4"/>
        <w:bottom w:val="single" w:sz="8" w:space="0" w:color="B26DAB" w:themeColor="accent4"/>
      </w:tblBorders>
    </w:tblPr>
    <w:tblStylePr w:type="firstRow">
      <w:pPr>
        <w:spacing w:before="0" w:after="0" w:line="240" w:lineRule="auto"/>
      </w:pPr>
      <w:rPr>
        <w:b/>
        <w:bCs/>
      </w:rPr>
      <w:tblPr/>
      <w:tcPr>
        <w:tcBorders>
          <w:top w:val="single" w:sz="8" w:space="0" w:color="B26DAB" w:themeColor="accent4"/>
          <w:left w:val="nil"/>
          <w:bottom w:val="single" w:sz="8" w:space="0" w:color="B26DAB" w:themeColor="accent4"/>
          <w:right w:val="nil"/>
          <w:insideH w:val="nil"/>
          <w:insideV w:val="nil"/>
        </w:tcBorders>
      </w:tcPr>
    </w:tblStylePr>
    <w:tblStylePr w:type="lastRow">
      <w:pPr>
        <w:spacing w:before="0" w:after="0" w:line="240" w:lineRule="auto"/>
      </w:pPr>
      <w:rPr>
        <w:b/>
        <w:bCs/>
      </w:rPr>
      <w:tblPr/>
      <w:tcPr>
        <w:tcBorders>
          <w:top w:val="single" w:sz="8" w:space="0" w:color="B26DAB" w:themeColor="accent4"/>
          <w:left w:val="nil"/>
          <w:bottom w:val="single" w:sz="8" w:space="0" w:color="B26DA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AEA" w:themeFill="accent4" w:themeFillTint="3F"/>
      </w:tcPr>
    </w:tblStylePr>
    <w:tblStylePr w:type="band1Horz">
      <w:tblPr/>
      <w:tcPr>
        <w:tcBorders>
          <w:left w:val="nil"/>
          <w:right w:val="nil"/>
          <w:insideH w:val="nil"/>
          <w:insideV w:val="nil"/>
        </w:tcBorders>
        <w:shd w:val="clear" w:color="auto" w:fill="ECDAEA" w:themeFill="accent4" w:themeFillTint="3F"/>
      </w:tcPr>
    </w:tblStylePr>
  </w:style>
  <w:style w:type="table" w:styleId="LightShading-Accent5">
    <w:name w:val="Light Shading Accent 5"/>
    <w:basedOn w:val="TableNormal"/>
    <w:uiPriority w:val="60"/>
    <w:semiHidden/>
    <w:unhideWhenUsed/>
    <w:rsid w:val="00421773"/>
    <w:pPr>
      <w:spacing w:after="0"/>
    </w:pPr>
    <w:rPr>
      <w:rFonts w:eastAsiaTheme="minorHAnsi" w:cs="Arial"/>
      <w:color w:val="D25399" w:themeColor="accent5" w:themeShade="BF"/>
      <w:sz w:val="18"/>
      <w:szCs w:val="18"/>
    </w:rPr>
    <w:tblPr>
      <w:tblStyleRowBandSize w:val="1"/>
      <w:tblStyleColBandSize w:val="1"/>
      <w:tblBorders>
        <w:top w:val="single" w:sz="8" w:space="0" w:color="E7A2C8" w:themeColor="accent5"/>
        <w:bottom w:val="single" w:sz="8" w:space="0" w:color="E7A2C8" w:themeColor="accent5"/>
      </w:tblBorders>
    </w:tblPr>
    <w:tblStylePr w:type="firstRow">
      <w:pPr>
        <w:spacing w:before="0" w:after="0" w:line="240" w:lineRule="auto"/>
      </w:pPr>
      <w:rPr>
        <w:b/>
        <w:bCs/>
      </w:rPr>
      <w:tblPr/>
      <w:tcPr>
        <w:tcBorders>
          <w:top w:val="single" w:sz="8" w:space="0" w:color="E7A2C8" w:themeColor="accent5"/>
          <w:left w:val="nil"/>
          <w:bottom w:val="single" w:sz="8" w:space="0" w:color="E7A2C8" w:themeColor="accent5"/>
          <w:right w:val="nil"/>
          <w:insideH w:val="nil"/>
          <w:insideV w:val="nil"/>
        </w:tcBorders>
      </w:tcPr>
    </w:tblStylePr>
    <w:tblStylePr w:type="lastRow">
      <w:pPr>
        <w:spacing w:before="0" w:after="0" w:line="240" w:lineRule="auto"/>
      </w:pPr>
      <w:rPr>
        <w:b/>
        <w:bCs/>
      </w:rPr>
      <w:tblPr/>
      <w:tcPr>
        <w:tcBorders>
          <w:top w:val="single" w:sz="8" w:space="0" w:color="E7A2C8" w:themeColor="accent5"/>
          <w:left w:val="nil"/>
          <w:bottom w:val="single" w:sz="8" w:space="0" w:color="E7A2C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7F1" w:themeFill="accent5" w:themeFillTint="3F"/>
      </w:tcPr>
    </w:tblStylePr>
    <w:tblStylePr w:type="band1Horz">
      <w:tblPr/>
      <w:tcPr>
        <w:tcBorders>
          <w:left w:val="nil"/>
          <w:right w:val="nil"/>
          <w:insideH w:val="nil"/>
          <w:insideV w:val="nil"/>
        </w:tcBorders>
        <w:shd w:val="clear" w:color="auto" w:fill="F9E7F1" w:themeFill="accent5" w:themeFillTint="3F"/>
      </w:tcPr>
    </w:tblStylePr>
  </w:style>
  <w:style w:type="table" w:styleId="LightShading-Accent6">
    <w:name w:val="Light Shading Accent 6"/>
    <w:basedOn w:val="TableNormal"/>
    <w:uiPriority w:val="60"/>
    <w:semiHidden/>
    <w:unhideWhenUsed/>
    <w:rsid w:val="00421773"/>
    <w:pPr>
      <w:spacing w:after="0"/>
    </w:pPr>
    <w:rPr>
      <w:rFonts w:eastAsiaTheme="minorHAnsi" w:cs="Arial"/>
      <w:color w:val="41A8EA" w:themeColor="accent6" w:themeShade="BF"/>
      <w:sz w:val="18"/>
      <w:szCs w:val="18"/>
    </w:rPr>
    <w:tblPr>
      <w:tblStyleRowBandSize w:val="1"/>
      <w:tblStyleColBandSize w:val="1"/>
      <w:tblBorders>
        <w:top w:val="single" w:sz="8" w:space="0" w:color="9CD2F4" w:themeColor="accent6"/>
        <w:bottom w:val="single" w:sz="8" w:space="0" w:color="9CD2F4" w:themeColor="accent6"/>
      </w:tblBorders>
    </w:tblPr>
    <w:tblStylePr w:type="firstRow">
      <w:pPr>
        <w:spacing w:before="0" w:after="0" w:line="240" w:lineRule="auto"/>
      </w:pPr>
      <w:rPr>
        <w:b/>
        <w:bCs/>
      </w:rPr>
      <w:tblPr/>
      <w:tcPr>
        <w:tcBorders>
          <w:top w:val="single" w:sz="8" w:space="0" w:color="9CD2F4" w:themeColor="accent6"/>
          <w:left w:val="nil"/>
          <w:bottom w:val="single" w:sz="8" w:space="0" w:color="9CD2F4" w:themeColor="accent6"/>
          <w:right w:val="nil"/>
          <w:insideH w:val="nil"/>
          <w:insideV w:val="nil"/>
        </w:tcBorders>
      </w:tcPr>
    </w:tblStylePr>
    <w:tblStylePr w:type="lastRow">
      <w:pPr>
        <w:spacing w:before="0" w:after="0" w:line="240" w:lineRule="auto"/>
      </w:pPr>
      <w:rPr>
        <w:b/>
        <w:bCs/>
      </w:rPr>
      <w:tblPr/>
      <w:tcPr>
        <w:tcBorders>
          <w:top w:val="single" w:sz="8" w:space="0" w:color="9CD2F4" w:themeColor="accent6"/>
          <w:left w:val="nil"/>
          <w:bottom w:val="single" w:sz="8" w:space="0" w:color="9CD2F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3FC" w:themeFill="accent6" w:themeFillTint="3F"/>
      </w:tcPr>
    </w:tblStylePr>
    <w:tblStylePr w:type="band1Horz">
      <w:tblPr/>
      <w:tcPr>
        <w:tcBorders>
          <w:left w:val="nil"/>
          <w:right w:val="nil"/>
          <w:insideH w:val="nil"/>
          <w:insideV w:val="nil"/>
        </w:tcBorders>
        <w:shd w:val="clear" w:color="auto" w:fill="E6F3FC" w:themeFill="accent6" w:themeFillTint="3F"/>
      </w:tcPr>
    </w:tblStylePr>
  </w:style>
  <w:style w:type="character" w:styleId="LineNumber">
    <w:name w:val="line number"/>
    <w:basedOn w:val="DefaultParagraphFont"/>
    <w:uiPriority w:val="99"/>
    <w:semiHidden/>
    <w:rsid w:val="00421773"/>
  </w:style>
  <w:style w:type="paragraph" w:styleId="List">
    <w:name w:val="List"/>
    <w:basedOn w:val="Normal"/>
    <w:uiPriority w:val="99"/>
    <w:semiHidden/>
    <w:rsid w:val="00421773"/>
    <w:pPr>
      <w:ind w:left="283" w:hanging="283"/>
      <w:contextualSpacing/>
    </w:pPr>
  </w:style>
  <w:style w:type="paragraph" w:styleId="List2">
    <w:name w:val="List 2"/>
    <w:basedOn w:val="Normal"/>
    <w:uiPriority w:val="99"/>
    <w:semiHidden/>
    <w:rsid w:val="00421773"/>
    <w:pPr>
      <w:ind w:left="566" w:hanging="283"/>
      <w:contextualSpacing/>
    </w:pPr>
  </w:style>
  <w:style w:type="paragraph" w:styleId="List3">
    <w:name w:val="List 3"/>
    <w:basedOn w:val="Normal"/>
    <w:uiPriority w:val="99"/>
    <w:semiHidden/>
    <w:rsid w:val="00421773"/>
    <w:pPr>
      <w:ind w:left="849" w:hanging="283"/>
      <w:contextualSpacing/>
    </w:pPr>
  </w:style>
  <w:style w:type="paragraph" w:styleId="List4">
    <w:name w:val="List 4"/>
    <w:basedOn w:val="Normal"/>
    <w:uiPriority w:val="99"/>
    <w:semiHidden/>
    <w:rsid w:val="00421773"/>
    <w:pPr>
      <w:ind w:left="1132" w:hanging="283"/>
      <w:contextualSpacing/>
    </w:pPr>
  </w:style>
  <w:style w:type="paragraph" w:styleId="List5">
    <w:name w:val="List 5"/>
    <w:basedOn w:val="Normal"/>
    <w:uiPriority w:val="99"/>
    <w:semiHidden/>
    <w:rsid w:val="00421773"/>
    <w:pPr>
      <w:ind w:left="1415" w:hanging="283"/>
      <w:contextualSpacing/>
    </w:pPr>
  </w:style>
  <w:style w:type="paragraph" w:styleId="ListBullet">
    <w:name w:val="List Bullet"/>
    <w:basedOn w:val="Normal"/>
    <w:uiPriority w:val="3"/>
    <w:qFormat/>
    <w:rsid w:val="00421773"/>
    <w:pPr>
      <w:numPr>
        <w:numId w:val="5"/>
      </w:numPr>
    </w:pPr>
    <w:rPr>
      <w:rFonts w:eastAsia="Times New Roman" w:cs="Times New Roman"/>
    </w:rPr>
  </w:style>
  <w:style w:type="paragraph" w:styleId="ListBullet2">
    <w:name w:val="List Bullet 2"/>
    <w:basedOn w:val="Normal"/>
    <w:uiPriority w:val="3"/>
    <w:qFormat/>
    <w:rsid w:val="00421773"/>
    <w:pPr>
      <w:numPr>
        <w:ilvl w:val="1"/>
        <w:numId w:val="5"/>
      </w:numPr>
    </w:pPr>
    <w:rPr>
      <w:rFonts w:eastAsia="Times New Roman" w:cs="Times New Roman"/>
    </w:rPr>
  </w:style>
  <w:style w:type="paragraph" w:styleId="ListBullet3">
    <w:name w:val="List Bullet 3"/>
    <w:basedOn w:val="Normal"/>
    <w:uiPriority w:val="3"/>
    <w:qFormat/>
    <w:rsid w:val="00421773"/>
    <w:pPr>
      <w:numPr>
        <w:ilvl w:val="2"/>
        <w:numId w:val="5"/>
      </w:numPr>
    </w:pPr>
    <w:rPr>
      <w:rFonts w:eastAsia="Times New Roman" w:cs="Times New Roman"/>
    </w:rPr>
  </w:style>
  <w:style w:type="paragraph" w:styleId="ListBullet4">
    <w:name w:val="List Bullet 4"/>
    <w:basedOn w:val="Normal"/>
    <w:uiPriority w:val="3"/>
    <w:rsid w:val="00421773"/>
    <w:pPr>
      <w:numPr>
        <w:ilvl w:val="3"/>
        <w:numId w:val="5"/>
      </w:numPr>
    </w:pPr>
    <w:rPr>
      <w:rFonts w:eastAsia="Times New Roman" w:cs="Times New Roman"/>
    </w:rPr>
  </w:style>
  <w:style w:type="paragraph" w:styleId="ListBullet5">
    <w:name w:val="List Bullet 5"/>
    <w:basedOn w:val="Normal"/>
    <w:next w:val="Normal"/>
    <w:uiPriority w:val="3"/>
    <w:semiHidden/>
    <w:rsid w:val="00421773"/>
    <w:pPr>
      <w:numPr>
        <w:numId w:val="4"/>
      </w:numPr>
      <w:contextualSpacing/>
    </w:pPr>
    <w:rPr>
      <w:rFonts w:eastAsia="Times New Roman" w:cs="Courier New"/>
    </w:rPr>
  </w:style>
  <w:style w:type="paragraph" w:styleId="ListContinue">
    <w:name w:val="List Continue"/>
    <w:basedOn w:val="Normal"/>
    <w:uiPriority w:val="99"/>
    <w:semiHidden/>
    <w:rsid w:val="00421773"/>
    <w:pPr>
      <w:spacing w:after="120"/>
      <w:ind w:left="283"/>
      <w:contextualSpacing/>
    </w:pPr>
  </w:style>
  <w:style w:type="paragraph" w:styleId="ListContinue2">
    <w:name w:val="List Continue 2"/>
    <w:basedOn w:val="Normal"/>
    <w:uiPriority w:val="99"/>
    <w:semiHidden/>
    <w:rsid w:val="00421773"/>
    <w:pPr>
      <w:spacing w:after="120"/>
      <w:ind w:left="566"/>
      <w:contextualSpacing/>
    </w:pPr>
  </w:style>
  <w:style w:type="paragraph" w:styleId="ListContinue3">
    <w:name w:val="List Continue 3"/>
    <w:basedOn w:val="Normal"/>
    <w:uiPriority w:val="99"/>
    <w:semiHidden/>
    <w:rsid w:val="00421773"/>
    <w:pPr>
      <w:spacing w:after="120"/>
      <w:ind w:left="849"/>
      <w:contextualSpacing/>
    </w:pPr>
  </w:style>
  <w:style w:type="paragraph" w:styleId="ListContinue4">
    <w:name w:val="List Continue 4"/>
    <w:basedOn w:val="Normal"/>
    <w:uiPriority w:val="99"/>
    <w:semiHidden/>
    <w:rsid w:val="00421773"/>
    <w:pPr>
      <w:spacing w:after="120"/>
      <w:ind w:left="1132"/>
      <w:contextualSpacing/>
    </w:pPr>
  </w:style>
  <w:style w:type="paragraph" w:styleId="ListContinue5">
    <w:name w:val="List Continue 5"/>
    <w:basedOn w:val="Normal"/>
    <w:uiPriority w:val="99"/>
    <w:semiHidden/>
    <w:rsid w:val="00421773"/>
    <w:pPr>
      <w:spacing w:after="120"/>
      <w:ind w:left="1415"/>
      <w:contextualSpacing/>
    </w:pPr>
  </w:style>
  <w:style w:type="paragraph" w:styleId="ListNumber">
    <w:name w:val="List Number"/>
    <w:basedOn w:val="Normal"/>
    <w:uiPriority w:val="3"/>
    <w:qFormat/>
    <w:rsid w:val="00421773"/>
    <w:pPr>
      <w:numPr>
        <w:numId w:val="10"/>
      </w:numPr>
    </w:pPr>
  </w:style>
  <w:style w:type="paragraph" w:styleId="ListNumber2">
    <w:name w:val="List Number 2"/>
    <w:basedOn w:val="Normal"/>
    <w:uiPriority w:val="3"/>
    <w:rsid w:val="00421773"/>
    <w:pPr>
      <w:numPr>
        <w:ilvl w:val="1"/>
        <w:numId w:val="10"/>
      </w:numPr>
    </w:pPr>
  </w:style>
  <w:style w:type="paragraph" w:styleId="ListNumber3">
    <w:name w:val="List Number 3"/>
    <w:basedOn w:val="Normal"/>
    <w:uiPriority w:val="3"/>
    <w:rsid w:val="00421773"/>
    <w:pPr>
      <w:numPr>
        <w:ilvl w:val="2"/>
        <w:numId w:val="10"/>
      </w:numPr>
    </w:pPr>
  </w:style>
  <w:style w:type="paragraph" w:styleId="ListNumber4">
    <w:name w:val="List Number 4"/>
    <w:basedOn w:val="Normal"/>
    <w:uiPriority w:val="3"/>
    <w:rsid w:val="00421773"/>
    <w:pPr>
      <w:numPr>
        <w:ilvl w:val="3"/>
        <w:numId w:val="10"/>
      </w:numPr>
    </w:pPr>
  </w:style>
  <w:style w:type="paragraph" w:styleId="ListNumber5">
    <w:name w:val="List Number 5"/>
    <w:basedOn w:val="Normal"/>
    <w:uiPriority w:val="99"/>
    <w:semiHidden/>
    <w:rsid w:val="00421773"/>
    <w:pPr>
      <w:numPr>
        <w:numId w:val="9"/>
      </w:numPr>
      <w:contextualSpacing/>
    </w:pPr>
  </w:style>
  <w:style w:type="paragraph" w:styleId="ListParagraph">
    <w:name w:val="List Paragraph"/>
    <w:basedOn w:val="Normal"/>
    <w:uiPriority w:val="99"/>
    <w:semiHidden/>
    <w:rsid w:val="00421773"/>
    <w:pPr>
      <w:ind w:left="720"/>
      <w:contextualSpacing/>
    </w:pPr>
  </w:style>
  <w:style w:type="table" w:styleId="ListTable1Light">
    <w:name w:val="List Table 1 Light"/>
    <w:basedOn w:val="TableNormal"/>
    <w:uiPriority w:val="46"/>
    <w:rsid w:val="00421773"/>
    <w:pPr>
      <w:spacing w:after="0"/>
    </w:pPr>
    <w:rPr>
      <w:rFonts w:eastAsiaTheme="minorHAnsi" w:cs="Arial"/>
      <w:sz w:val="18"/>
      <w:szCs w:val="18"/>
    </w:rPr>
    <w:tblPr>
      <w:tblStyleRowBandSize w:val="1"/>
      <w:tblStyleColBandSize w:val="1"/>
    </w:tblPr>
    <w:tblStylePr w:type="firstRow">
      <w:rPr>
        <w:b/>
        <w:bCs/>
      </w:rPr>
      <w:tblPr/>
      <w:tcPr>
        <w:tcBorders>
          <w:bottom w:val="single" w:sz="4" w:space="0" w:color="777373" w:themeColor="text1" w:themeTint="99"/>
        </w:tcBorders>
      </w:tcPr>
    </w:tblStylePr>
    <w:tblStylePr w:type="lastRow">
      <w:rPr>
        <w:b/>
        <w:bCs/>
      </w:rPr>
      <w:tblPr/>
      <w:tcPr>
        <w:tcBorders>
          <w:top w:val="single" w:sz="4" w:space="0" w:color="777373" w:themeColor="text1" w:themeTint="99"/>
        </w:tcBorders>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ListTable1Light-Accent1">
    <w:name w:val="List Table 1 Light Accent 1"/>
    <w:basedOn w:val="TableNormal"/>
    <w:uiPriority w:val="46"/>
    <w:rsid w:val="00421773"/>
    <w:pPr>
      <w:spacing w:after="0"/>
    </w:pPr>
    <w:rPr>
      <w:rFonts w:eastAsiaTheme="minorHAnsi" w:cs="Arial"/>
      <w:sz w:val="18"/>
      <w:szCs w:val="18"/>
    </w:rPr>
    <w:tblPr>
      <w:tblStyleRowBandSize w:val="1"/>
      <w:tblStyleColBandSize w:val="1"/>
    </w:tblPr>
    <w:tblStylePr w:type="firstRow">
      <w:rPr>
        <w:b/>
        <w:bCs/>
      </w:rPr>
      <w:tblPr/>
      <w:tcPr>
        <w:tcBorders>
          <w:bottom w:val="single" w:sz="4" w:space="0" w:color="A4D9D2" w:themeColor="accent1" w:themeTint="99"/>
        </w:tcBorders>
      </w:tcPr>
    </w:tblStylePr>
    <w:tblStylePr w:type="lastRow">
      <w:rPr>
        <w:b/>
        <w:bCs/>
      </w:rPr>
      <w:tblPr/>
      <w:tcPr>
        <w:tcBorders>
          <w:top w:val="single" w:sz="4" w:space="0" w:color="A4D9D2" w:themeColor="accent1" w:themeTint="99"/>
        </w:tcBorders>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ListTable1Light-Accent2">
    <w:name w:val="List Table 1 Light Accent 2"/>
    <w:basedOn w:val="TableNormal"/>
    <w:uiPriority w:val="46"/>
    <w:rsid w:val="00421773"/>
    <w:pPr>
      <w:spacing w:after="0"/>
    </w:pPr>
    <w:rPr>
      <w:rFonts w:eastAsiaTheme="minorHAnsi" w:cs="Arial"/>
      <w:sz w:val="18"/>
      <w:szCs w:val="18"/>
    </w:rPr>
    <w:tblPr>
      <w:tblStyleRowBandSize w:val="1"/>
      <w:tblStyleColBandSize w:val="1"/>
    </w:tblPr>
    <w:tblStylePr w:type="firstRow">
      <w:rPr>
        <w:b/>
        <w:bCs/>
      </w:rPr>
      <w:tblPr/>
      <w:tcPr>
        <w:tcBorders>
          <w:bottom w:val="single" w:sz="4" w:space="0" w:color="A4CCEB" w:themeColor="accent2" w:themeTint="99"/>
        </w:tcBorders>
      </w:tcPr>
    </w:tblStylePr>
    <w:tblStylePr w:type="lastRow">
      <w:rPr>
        <w:b/>
        <w:bCs/>
      </w:rPr>
      <w:tblPr/>
      <w:tcPr>
        <w:tcBorders>
          <w:top w:val="single" w:sz="4" w:space="0" w:color="A4CCEB" w:themeColor="accent2" w:themeTint="99"/>
        </w:tcBorders>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ListTable1Light-Accent3">
    <w:name w:val="List Table 1 Light Accent 3"/>
    <w:basedOn w:val="TableNormal"/>
    <w:uiPriority w:val="46"/>
    <w:rsid w:val="00421773"/>
    <w:pPr>
      <w:spacing w:after="0"/>
    </w:pPr>
    <w:rPr>
      <w:rFonts w:eastAsiaTheme="minorHAnsi" w:cs="Arial"/>
      <w:sz w:val="18"/>
      <w:szCs w:val="18"/>
    </w:rPr>
    <w:tblPr>
      <w:tblStyleRowBandSize w:val="1"/>
      <w:tblStyleColBandSize w:val="1"/>
    </w:tblPr>
    <w:tblStylePr w:type="firstRow">
      <w:rPr>
        <w:b/>
        <w:bCs/>
      </w:rPr>
      <w:tblPr/>
      <w:tcPr>
        <w:tcBorders>
          <w:bottom w:val="single" w:sz="4" w:space="0" w:color="A1A5CF" w:themeColor="accent3" w:themeTint="99"/>
        </w:tcBorders>
      </w:tcPr>
    </w:tblStylePr>
    <w:tblStylePr w:type="lastRow">
      <w:rPr>
        <w:b/>
        <w:bCs/>
      </w:rPr>
      <w:tblPr/>
      <w:tcPr>
        <w:tcBorders>
          <w:top w:val="single" w:sz="4" w:space="0" w:color="A1A5CF" w:themeColor="accent3" w:themeTint="99"/>
        </w:tcBorders>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ListTable1Light-Accent4">
    <w:name w:val="List Table 1 Light Accent 4"/>
    <w:basedOn w:val="TableNormal"/>
    <w:uiPriority w:val="46"/>
    <w:rsid w:val="00421773"/>
    <w:pPr>
      <w:spacing w:after="0"/>
    </w:pPr>
    <w:rPr>
      <w:rFonts w:eastAsiaTheme="minorHAnsi" w:cs="Arial"/>
      <w:sz w:val="18"/>
      <w:szCs w:val="18"/>
    </w:rPr>
    <w:tblPr>
      <w:tblStyleRowBandSize w:val="1"/>
      <w:tblStyleColBandSize w:val="1"/>
    </w:tblPr>
    <w:tblStylePr w:type="firstRow">
      <w:rPr>
        <w:b/>
        <w:bCs/>
      </w:rPr>
      <w:tblPr/>
      <w:tcPr>
        <w:tcBorders>
          <w:bottom w:val="single" w:sz="4" w:space="0" w:color="D0A7CC" w:themeColor="accent4" w:themeTint="99"/>
        </w:tcBorders>
      </w:tcPr>
    </w:tblStylePr>
    <w:tblStylePr w:type="lastRow">
      <w:rPr>
        <w:b/>
        <w:bCs/>
      </w:rPr>
      <w:tblPr/>
      <w:tcPr>
        <w:tcBorders>
          <w:top w:val="single" w:sz="4" w:space="0" w:color="D0A7CC" w:themeColor="accent4" w:themeTint="99"/>
        </w:tcBorders>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ListTable1Light-Accent5">
    <w:name w:val="List Table 1 Light Accent 5"/>
    <w:basedOn w:val="TableNormal"/>
    <w:uiPriority w:val="46"/>
    <w:rsid w:val="00421773"/>
    <w:pPr>
      <w:spacing w:after="0"/>
    </w:pPr>
    <w:rPr>
      <w:rFonts w:eastAsiaTheme="minorHAnsi" w:cs="Arial"/>
      <w:sz w:val="18"/>
      <w:szCs w:val="18"/>
    </w:rPr>
    <w:tblPr>
      <w:tblStyleRowBandSize w:val="1"/>
      <w:tblStyleColBandSize w:val="1"/>
    </w:tblPr>
    <w:tblStylePr w:type="firstRow">
      <w:rPr>
        <w:b/>
        <w:bCs/>
      </w:rPr>
      <w:tblPr/>
      <w:tcPr>
        <w:tcBorders>
          <w:bottom w:val="single" w:sz="4" w:space="0" w:color="F0C7DD" w:themeColor="accent5" w:themeTint="99"/>
        </w:tcBorders>
      </w:tcPr>
    </w:tblStylePr>
    <w:tblStylePr w:type="lastRow">
      <w:rPr>
        <w:b/>
        <w:bCs/>
      </w:rPr>
      <w:tblPr/>
      <w:tcPr>
        <w:tcBorders>
          <w:top w:val="single" w:sz="4" w:space="0" w:color="F0C7DD" w:themeColor="accent5" w:themeTint="99"/>
        </w:tcBorders>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ListTable1Light-Accent6">
    <w:name w:val="List Table 1 Light Accent 6"/>
    <w:basedOn w:val="TableNormal"/>
    <w:uiPriority w:val="46"/>
    <w:rsid w:val="00421773"/>
    <w:pPr>
      <w:spacing w:after="0"/>
    </w:pPr>
    <w:rPr>
      <w:rFonts w:eastAsiaTheme="minorHAnsi" w:cs="Arial"/>
      <w:sz w:val="18"/>
      <w:szCs w:val="18"/>
    </w:rPr>
    <w:tblPr>
      <w:tblStyleRowBandSize w:val="1"/>
      <w:tblStyleColBandSize w:val="1"/>
    </w:tblPr>
    <w:tblStylePr w:type="firstRow">
      <w:rPr>
        <w:b/>
        <w:bCs/>
      </w:rPr>
      <w:tblPr/>
      <w:tcPr>
        <w:tcBorders>
          <w:bottom w:val="single" w:sz="4" w:space="0" w:color="C3E3F8" w:themeColor="accent6" w:themeTint="99"/>
        </w:tcBorders>
      </w:tcPr>
    </w:tblStylePr>
    <w:tblStylePr w:type="lastRow">
      <w:rPr>
        <w:b/>
        <w:bCs/>
      </w:rPr>
      <w:tblPr/>
      <w:tcPr>
        <w:tcBorders>
          <w:top w:val="single" w:sz="4" w:space="0" w:color="C3E3F8" w:themeColor="accent6" w:themeTint="99"/>
        </w:tcBorders>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ListTable2">
    <w:name w:val="List Table 2"/>
    <w:basedOn w:val="TableNormal"/>
    <w:uiPriority w:val="47"/>
    <w:rsid w:val="00421773"/>
    <w:pPr>
      <w:spacing w:after="0"/>
    </w:pPr>
    <w:rPr>
      <w:rFonts w:eastAsiaTheme="minorHAnsi" w:cs="Arial"/>
      <w:sz w:val="18"/>
      <w:szCs w:val="18"/>
    </w:rPr>
    <w:tblPr>
      <w:tblStyleRowBandSize w:val="1"/>
      <w:tblStyleColBandSize w:val="1"/>
      <w:tblBorders>
        <w:top w:val="single" w:sz="4" w:space="0" w:color="777373" w:themeColor="text1" w:themeTint="99"/>
        <w:bottom w:val="single" w:sz="4" w:space="0" w:color="777373" w:themeColor="text1" w:themeTint="99"/>
        <w:insideH w:val="single" w:sz="4" w:space="0" w:color="77737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ListTable2-Accent1">
    <w:name w:val="List Table 2 Accent 1"/>
    <w:basedOn w:val="TableNormal"/>
    <w:uiPriority w:val="47"/>
    <w:rsid w:val="00421773"/>
    <w:pPr>
      <w:spacing w:after="0"/>
    </w:pPr>
    <w:rPr>
      <w:rFonts w:eastAsiaTheme="minorHAnsi" w:cs="Arial"/>
      <w:sz w:val="18"/>
      <w:szCs w:val="18"/>
    </w:rPr>
    <w:tblPr>
      <w:tblStyleRowBandSize w:val="1"/>
      <w:tblStyleColBandSize w:val="1"/>
      <w:tblBorders>
        <w:top w:val="single" w:sz="4" w:space="0" w:color="A4D9D2" w:themeColor="accent1" w:themeTint="99"/>
        <w:bottom w:val="single" w:sz="4" w:space="0" w:color="A4D9D2" w:themeColor="accent1" w:themeTint="99"/>
        <w:insideH w:val="single" w:sz="4" w:space="0" w:color="A4D9D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ListTable2-Accent2">
    <w:name w:val="List Table 2 Accent 2"/>
    <w:basedOn w:val="TableNormal"/>
    <w:uiPriority w:val="47"/>
    <w:rsid w:val="00421773"/>
    <w:pPr>
      <w:spacing w:after="0"/>
    </w:pPr>
    <w:rPr>
      <w:rFonts w:eastAsiaTheme="minorHAnsi" w:cs="Arial"/>
      <w:sz w:val="18"/>
      <w:szCs w:val="18"/>
    </w:rPr>
    <w:tblPr>
      <w:tblStyleRowBandSize w:val="1"/>
      <w:tblStyleColBandSize w:val="1"/>
      <w:tblBorders>
        <w:top w:val="single" w:sz="4" w:space="0" w:color="A4CCEB" w:themeColor="accent2" w:themeTint="99"/>
        <w:bottom w:val="single" w:sz="4" w:space="0" w:color="A4CCEB" w:themeColor="accent2" w:themeTint="99"/>
        <w:insideH w:val="single" w:sz="4" w:space="0" w:color="A4CC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ListTable2-Accent3">
    <w:name w:val="List Table 2 Accent 3"/>
    <w:basedOn w:val="TableNormal"/>
    <w:uiPriority w:val="47"/>
    <w:rsid w:val="00421773"/>
    <w:pPr>
      <w:spacing w:after="0"/>
    </w:pPr>
    <w:rPr>
      <w:rFonts w:eastAsiaTheme="minorHAnsi" w:cs="Arial"/>
      <w:sz w:val="18"/>
      <w:szCs w:val="18"/>
    </w:rPr>
    <w:tblPr>
      <w:tblStyleRowBandSize w:val="1"/>
      <w:tblStyleColBandSize w:val="1"/>
      <w:tblBorders>
        <w:top w:val="single" w:sz="4" w:space="0" w:color="A1A5CF" w:themeColor="accent3" w:themeTint="99"/>
        <w:bottom w:val="single" w:sz="4" w:space="0" w:color="A1A5CF" w:themeColor="accent3" w:themeTint="99"/>
        <w:insideH w:val="single" w:sz="4" w:space="0" w:color="A1A5C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ListTable2-Accent4">
    <w:name w:val="List Table 2 Accent 4"/>
    <w:basedOn w:val="TableNormal"/>
    <w:uiPriority w:val="47"/>
    <w:rsid w:val="00421773"/>
    <w:pPr>
      <w:spacing w:after="0"/>
    </w:pPr>
    <w:rPr>
      <w:rFonts w:eastAsiaTheme="minorHAnsi" w:cs="Arial"/>
      <w:sz w:val="18"/>
      <w:szCs w:val="18"/>
    </w:rPr>
    <w:tblPr>
      <w:tblStyleRowBandSize w:val="1"/>
      <w:tblStyleColBandSize w:val="1"/>
      <w:tblBorders>
        <w:top w:val="single" w:sz="4" w:space="0" w:color="D0A7CC" w:themeColor="accent4" w:themeTint="99"/>
        <w:bottom w:val="single" w:sz="4" w:space="0" w:color="D0A7CC" w:themeColor="accent4" w:themeTint="99"/>
        <w:insideH w:val="single" w:sz="4" w:space="0" w:color="D0A7C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ListTable2-Accent5">
    <w:name w:val="List Table 2 Accent 5"/>
    <w:basedOn w:val="TableNormal"/>
    <w:uiPriority w:val="47"/>
    <w:rsid w:val="00421773"/>
    <w:pPr>
      <w:spacing w:after="0"/>
    </w:pPr>
    <w:rPr>
      <w:rFonts w:eastAsiaTheme="minorHAnsi" w:cs="Arial"/>
      <w:sz w:val="18"/>
      <w:szCs w:val="18"/>
    </w:rPr>
    <w:tblPr>
      <w:tblStyleRowBandSize w:val="1"/>
      <w:tblStyleColBandSize w:val="1"/>
      <w:tblBorders>
        <w:top w:val="single" w:sz="4" w:space="0" w:color="F0C7DD" w:themeColor="accent5" w:themeTint="99"/>
        <w:bottom w:val="single" w:sz="4" w:space="0" w:color="F0C7DD" w:themeColor="accent5" w:themeTint="99"/>
        <w:insideH w:val="single" w:sz="4" w:space="0" w:color="F0C7D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ListTable2-Accent6">
    <w:name w:val="List Table 2 Accent 6"/>
    <w:basedOn w:val="TableNormal"/>
    <w:uiPriority w:val="47"/>
    <w:rsid w:val="00421773"/>
    <w:pPr>
      <w:spacing w:after="0"/>
    </w:pPr>
    <w:rPr>
      <w:rFonts w:eastAsiaTheme="minorHAnsi" w:cs="Arial"/>
      <w:sz w:val="18"/>
      <w:szCs w:val="18"/>
    </w:rPr>
    <w:tblPr>
      <w:tblStyleRowBandSize w:val="1"/>
      <w:tblStyleColBandSize w:val="1"/>
      <w:tblBorders>
        <w:top w:val="single" w:sz="4" w:space="0" w:color="C3E3F8" w:themeColor="accent6" w:themeTint="99"/>
        <w:bottom w:val="single" w:sz="4" w:space="0" w:color="C3E3F8" w:themeColor="accent6" w:themeTint="99"/>
        <w:insideH w:val="single" w:sz="4" w:space="0" w:color="C3E3F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ListTable3">
    <w:name w:val="List Table 3"/>
    <w:basedOn w:val="TableNormal"/>
    <w:uiPriority w:val="48"/>
    <w:rsid w:val="00421773"/>
    <w:pPr>
      <w:spacing w:after="0"/>
    </w:pPr>
    <w:rPr>
      <w:rFonts w:eastAsiaTheme="minorHAnsi" w:cs="Arial"/>
      <w:sz w:val="18"/>
      <w:szCs w:val="18"/>
    </w:rPr>
    <w:tblPr>
      <w:tblStyleRowBandSize w:val="1"/>
      <w:tblStyleColBandSize w:val="1"/>
      <w:tblBorders>
        <w:top w:val="single" w:sz="4" w:space="0" w:color="1A1919" w:themeColor="text1"/>
        <w:left w:val="single" w:sz="4" w:space="0" w:color="1A1919" w:themeColor="text1"/>
        <w:bottom w:val="single" w:sz="4" w:space="0" w:color="1A1919" w:themeColor="text1"/>
        <w:right w:val="single" w:sz="4" w:space="0" w:color="1A1919" w:themeColor="text1"/>
      </w:tblBorders>
    </w:tblPr>
    <w:tblStylePr w:type="firstRow">
      <w:rPr>
        <w:b/>
        <w:bCs/>
        <w:color w:val="FFFFFF" w:themeColor="background1"/>
      </w:rPr>
      <w:tblPr/>
      <w:tcPr>
        <w:shd w:val="clear" w:color="auto" w:fill="1A1919" w:themeFill="text1"/>
      </w:tcPr>
    </w:tblStylePr>
    <w:tblStylePr w:type="lastRow">
      <w:rPr>
        <w:b/>
        <w:bCs/>
      </w:rPr>
      <w:tblPr/>
      <w:tcPr>
        <w:tcBorders>
          <w:top w:val="double" w:sz="4" w:space="0" w:color="1A191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1919" w:themeColor="text1"/>
          <w:right w:val="single" w:sz="4" w:space="0" w:color="1A1919" w:themeColor="text1"/>
        </w:tcBorders>
      </w:tcPr>
    </w:tblStylePr>
    <w:tblStylePr w:type="band1Horz">
      <w:tblPr/>
      <w:tcPr>
        <w:tcBorders>
          <w:top w:val="single" w:sz="4" w:space="0" w:color="1A1919" w:themeColor="text1"/>
          <w:bottom w:val="single" w:sz="4" w:space="0" w:color="1A191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1919" w:themeColor="text1"/>
          <w:left w:val="nil"/>
        </w:tcBorders>
      </w:tcPr>
    </w:tblStylePr>
    <w:tblStylePr w:type="swCell">
      <w:tblPr/>
      <w:tcPr>
        <w:tcBorders>
          <w:top w:val="double" w:sz="4" w:space="0" w:color="1A1919" w:themeColor="text1"/>
          <w:right w:val="nil"/>
        </w:tcBorders>
      </w:tcPr>
    </w:tblStylePr>
  </w:style>
  <w:style w:type="table" w:styleId="ListTable3-Accent1">
    <w:name w:val="List Table 3 Accent 1"/>
    <w:basedOn w:val="TableNormal"/>
    <w:uiPriority w:val="48"/>
    <w:rsid w:val="00421773"/>
    <w:pPr>
      <w:spacing w:after="0"/>
    </w:pPr>
    <w:rPr>
      <w:rFonts w:eastAsiaTheme="minorHAnsi" w:cs="Arial"/>
      <w:sz w:val="18"/>
      <w:szCs w:val="18"/>
    </w:rPr>
    <w:tblPr>
      <w:tblStyleRowBandSize w:val="1"/>
      <w:tblStyleColBandSize w:val="1"/>
      <w:tblBorders>
        <w:top w:val="single" w:sz="4" w:space="0" w:color="68C0B5" w:themeColor="accent1"/>
        <w:left w:val="single" w:sz="4" w:space="0" w:color="68C0B5" w:themeColor="accent1"/>
        <w:bottom w:val="single" w:sz="4" w:space="0" w:color="68C0B5" w:themeColor="accent1"/>
        <w:right w:val="single" w:sz="4" w:space="0" w:color="68C0B5" w:themeColor="accent1"/>
      </w:tblBorders>
    </w:tblPr>
    <w:tblStylePr w:type="firstRow">
      <w:rPr>
        <w:b/>
        <w:bCs/>
        <w:color w:val="FFFFFF" w:themeColor="background1"/>
      </w:rPr>
      <w:tblPr/>
      <w:tcPr>
        <w:shd w:val="clear" w:color="auto" w:fill="68C0B5" w:themeFill="accent1"/>
      </w:tcPr>
    </w:tblStylePr>
    <w:tblStylePr w:type="lastRow">
      <w:rPr>
        <w:b/>
        <w:bCs/>
      </w:rPr>
      <w:tblPr/>
      <w:tcPr>
        <w:tcBorders>
          <w:top w:val="double" w:sz="4" w:space="0" w:color="68C0B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8C0B5" w:themeColor="accent1"/>
          <w:right w:val="single" w:sz="4" w:space="0" w:color="68C0B5" w:themeColor="accent1"/>
        </w:tcBorders>
      </w:tcPr>
    </w:tblStylePr>
    <w:tblStylePr w:type="band1Horz">
      <w:tblPr/>
      <w:tcPr>
        <w:tcBorders>
          <w:top w:val="single" w:sz="4" w:space="0" w:color="68C0B5" w:themeColor="accent1"/>
          <w:bottom w:val="single" w:sz="4" w:space="0" w:color="68C0B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8C0B5" w:themeColor="accent1"/>
          <w:left w:val="nil"/>
        </w:tcBorders>
      </w:tcPr>
    </w:tblStylePr>
    <w:tblStylePr w:type="swCell">
      <w:tblPr/>
      <w:tcPr>
        <w:tcBorders>
          <w:top w:val="double" w:sz="4" w:space="0" w:color="68C0B5" w:themeColor="accent1"/>
          <w:right w:val="nil"/>
        </w:tcBorders>
      </w:tcPr>
    </w:tblStylePr>
  </w:style>
  <w:style w:type="table" w:styleId="ListTable3-Accent2">
    <w:name w:val="List Table 3 Accent 2"/>
    <w:basedOn w:val="TableNormal"/>
    <w:uiPriority w:val="48"/>
    <w:rsid w:val="00421773"/>
    <w:pPr>
      <w:spacing w:after="0"/>
    </w:pPr>
    <w:rPr>
      <w:rFonts w:eastAsiaTheme="minorHAnsi" w:cs="Arial"/>
      <w:sz w:val="18"/>
      <w:szCs w:val="18"/>
    </w:rPr>
    <w:tblPr>
      <w:tblStyleRowBandSize w:val="1"/>
      <w:tblStyleColBandSize w:val="1"/>
      <w:tblBorders>
        <w:top w:val="single" w:sz="4" w:space="0" w:color="69ACDF" w:themeColor="accent2"/>
        <w:left w:val="single" w:sz="4" w:space="0" w:color="69ACDF" w:themeColor="accent2"/>
        <w:bottom w:val="single" w:sz="4" w:space="0" w:color="69ACDF" w:themeColor="accent2"/>
        <w:right w:val="single" w:sz="4" w:space="0" w:color="69ACDF" w:themeColor="accent2"/>
      </w:tblBorders>
    </w:tblPr>
    <w:tblStylePr w:type="firstRow">
      <w:rPr>
        <w:b/>
        <w:bCs/>
        <w:color w:val="FFFFFF" w:themeColor="background1"/>
      </w:rPr>
      <w:tblPr/>
      <w:tcPr>
        <w:shd w:val="clear" w:color="auto" w:fill="69ACDF" w:themeFill="accent2"/>
      </w:tcPr>
    </w:tblStylePr>
    <w:tblStylePr w:type="lastRow">
      <w:rPr>
        <w:b/>
        <w:bCs/>
      </w:rPr>
      <w:tblPr/>
      <w:tcPr>
        <w:tcBorders>
          <w:top w:val="double" w:sz="4" w:space="0" w:color="69AC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9ACDF" w:themeColor="accent2"/>
          <w:right w:val="single" w:sz="4" w:space="0" w:color="69ACDF" w:themeColor="accent2"/>
        </w:tcBorders>
      </w:tcPr>
    </w:tblStylePr>
    <w:tblStylePr w:type="band1Horz">
      <w:tblPr/>
      <w:tcPr>
        <w:tcBorders>
          <w:top w:val="single" w:sz="4" w:space="0" w:color="69ACDF" w:themeColor="accent2"/>
          <w:bottom w:val="single" w:sz="4" w:space="0" w:color="69AC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9ACDF" w:themeColor="accent2"/>
          <w:left w:val="nil"/>
        </w:tcBorders>
      </w:tcPr>
    </w:tblStylePr>
    <w:tblStylePr w:type="swCell">
      <w:tblPr/>
      <w:tcPr>
        <w:tcBorders>
          <w:top w:val="double" w:sz="4" w:space="0" w:color="69ACDF" w:themeColor="accent2"/>
          <w:right w:val="nil"/>
        </w:tcBorders>
      </w:tcPr>
    </w:tblStylePr>
  </w:style>
  <w:style w:type="table" w:styleId="ListTable3-Accent3">
    <w:name w:val="List Table 3 Accent 3"/>
    <w:basedOn w:val="TableNormal"/>
    <w:uiPriority w:val="48"/>
    <w:rsid w:val="00421773"/>
    <w:pPr>
      <w:spacing w:after="0"/>
    </w:pPr>
    <w:rPr>
      <w:rFonts w:eastAsiaTheme="minorHAnsi" w:cs="Arial"/>
      <w:sz w:val="18"/>
      <w:szCs w:val="18"/>
    </w:rPr>
    <w:tblPr>
      <w:tblStyleRowBandSize w:val="1"/>
      <w:tblStyleColBandSize w:val="1"/>
      <w:tblBorders>
        <w:top w:val="single" w:sz="4" w:space="0" w:color="636AAF" w:themeColor="accent3"/>
        <w:left w:val="single" w:sz="4" w:space="0" w:color="636AAF" w:themeColor="accent3"/>
        <w:bottom w:val="single" w:sz="4" w:space="0" w:color="636AAF" w:themeColor="accent3"/>
        <w:right w:val="single" w:sz="4" w:space="0" w:color="636AAF" w:themeColor="accent3"/>
      </w:tblBorders>
    </w:tblPr>
    <w:tblStylePr w:type="firstRow">
      <w:rPr>
        <w:b/>
        <w:bCs/>
        <w:color w:val="FFFFFF" w:themeColor="background1"/>
      </w:rPr>
      <w:tblPr/>
      <w:tcPr>
        <w:shd w:val="clear" w:color="auto" w:fill="636AAF" w:themeFill="accent3"/>
      </w:tcPr>
    </w:tblStylePr>
    <w:tblStylePr w:type="lastRow">
      <w:rPr>
        <w:b/>
        <w:bCs/>
      </w:rPr>
      <w:tblPr/>
      <w:tcPr>
        <w:tcBorders>
          <w:top w:val="double" w:sz="4" w:space="0" w:color="636AA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6AAF" w:themeColor="accent3"/>
          <w:right w:val="single" w:sz="4" w:space="0" w:color="636AAF" w:themeColor="accent3"/>
        </w:tcBorders>
      </w:tcPr>
    </w:tblStylePr>
    <w:tblStylePr w:type="band1Horz">
      <w:tblPr/>
      <w:tcPr>
        <w:tcBorders>
          <w:top w:val="single" w:sz="4" w:space="0" w:color="636AAF" w:themeColor="accent3"/>
          <w:bottom w:val="single" w:sz="4" w:space="0" w:color="636AA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6AAF" w:themeColor="accent3"/>
          <w:left w:val="nil"/>
        </w:tcBorders>
      </w:tcPr>
    </w:tblStylePr>
    <w:tblStylePr w:type="swCell">
      <w:tblPr/>
      <w:tcPr>
        <w:tcBorders>
          <w:top w:val="double" w:sz="4" w:space="0" w:color="636AAF" w:themeColor="accent3"/>
          <w:right w:val="nil"/>
        </w:tcBorders>
      </w:tcPr>
    </w:tblStylePr>
  </w:style>
  <w:style w:type="table" w:styleId="ListTable3-Accent4">
    <w:name w:val="List Table 3 Accent 4"/>
    <w:basedOn w:val="TableNormal"/>
    <w:uiPriority w:val="48"/>
    <w:rsid w:val="00421773"/>
    <w:pPr>
      <w:spacing w:after="0"/>
    </w:pPr>
    <w:rPr>
      <w:rFonts w:eastAsiaTheme="minorHAnsi" w:cs="Arial"/>
      <w:sz w:val="18"/>
      <w:szCs w:val="18"/>
    </w:rPr>
    <w:tblPr>
      <w:tblStyleRowBandSize w:val="1"/>
      <w:tblStyleColBandSize w:val="1"/>
      <w:tblBorders>
        <w:top w:val="single" w:sz="4" w:space="0" w:color="B26DAB" w:themeColor="accent4"/>
        <w:left w:val="single" w:sz="4" w:space="0" w:color="B26DAB" w:themeColor="accent4"/>
        <w:bottom w:val="single" w:sz="4" w:space="0" w:color="B26DAB" w:themeColor="accent4"/>
        <w:right w:val="single" w:sz="4" w:space="0" w:color="B26DAB" w:themeColor="accent4"/>
      </w:tblBorders>
    </w:tblPr>
    <w:tblStylePr w:type="firstRow">
      <w:rPr>
        <w:b/>
        <w:bCs/>
        <w:color w:val="FFFFFF" w:themeColor="background1"/>
      </w:rPr>
      <w:tblPr/>
      <w:tcPr>
        <w:shd w:val="clear" w:color="auto" w:fill="B26DAB" w:themeFill="accent4"/>
      </w:tcPr>
    </w:tblStylePr>
    <w:tblStylePr w:type="lastRow">
      <w:rPr>
        <w:b/>
        <w:bCs/>
      </w:rPr>
      <w:tblPr/>
      <w:tcPr>
        <w:tcBorders>
          <w:top w:val="double" w:sz="4" w:space="0" w:color="B26DA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DAB" w:themeColor="accent4"/>
          <w:right w:val="single" w:sz="4" w:space="0" w:color="B26DAB" w:themeColor="accent4"/>
        </w:tcBorders>
      </w:tcPr>
    </w:tblStylePr>
    <w:tblStylePr w:type="band1Horz">
      <w:tblPr/>
      <w:tcPr>
        <w:tcBorders>
          <w:top w:val="single" w:sz="4" w:space="0" w:color="B26DAB" w:themeColor="accent4"/>
          <w:bottom w:val="single" w:sz="4" w:space="0" w:color="B26DA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DAB" w:themeColor="accent4"/>
          <w:left w:val="nil"/>
        </w:tcBorders>
      </w:tcPr>
    </w:tblStylePr>
    <w:tblStylePr w:type="swCell">
      <w:tblPr/>
      <w:tcPr>
        <w:tcBorders>
          <w:top w:val="double" w:sz="4" w:space="0" w:color="B26DAB" w:themeColor="accent4"/>
          <w:right w:val="nil"/>
        </w:tcBorders>
      </w:tcPr>
    </w:tblStylePr>
  </w:style>
  <w:style w:type="table" w:styleId="ListTable3-Accent5">
    <w:name w:val="List Table 3 Accent 5"/>
    <w:basedOn w:val="TableNormal"/>
    <w:uiPriority w:val="48"/>
    <w:rsid w:val="00421773"/>
    <w:pPr>
      <w:spacing w:after="0"/>
    </w:pPr>
    <w:rPr>
      <w:rFonts w:eastAsiaTheme="minorHAnsi" w:cs="Arial"/>
      <w:sz w:val="18"/>
      <w:szCs w:val="18"/>
    </w:rPr>
    <w:tblPr>
      <w:tblStyleRowBandSize w:val="1"/>
      <w:tblStyleColBandSize w:val="1"/>
      <w:tblBorders>
        <w:top w:val="single" w:sz="4" w:space="0" w:color="E7A2C8" w:themeColor="accent5"/>
        <w:left w:val="single" w:sz="4" w:space="0" w:color="E7A2C8" w:themeColor="accent5"/>
        <w:bottom w:val="single" w:sz="4" w:space="0" w:color="E7A2C8" w:themeColor="accent5"/>
        <w:right w:val="single" w:sz="4" w:space="0" w:color="E7A2C8" w:themeColor="accent5"/>
      </w:tblBorders>
    </w:tblPr>
    <w:tblStylePr w:type="firstRow">
      <w:rPr>
        <w:b/>
        <w:bCs/>
        <w:color w:val="FFFFFF" w:themeColor="background1"/>
      </w:rPr>
      <w:tblPr/>
      <w:tcPr>
        <w:shd w:val="clear" w:color="auto" w:fill="E7A2C8" w:themeFill="accent5"/>
      </w:tcPr>
    </w:tblStylePr>
    <w:tblStylePr w:type="lastRow">
      <w:rPr>
        <w:b/>
        <w:bCs/>
      </w:rPr>
      <w:tblPr/>
      <w:tcPr>
        <w:tcBorders>
          <w:top w:val="double" w:sz="4" w:space="0" w:color="E7A2C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A2C8" w:themeColor="accent5"/>
          <w:right w:val="single" w:sz="4" w:space="0" w:color="E7A2C8" w:themeColor="accent5"/>
        </w:tcBorders>
      </w:tcPr>
    </w:tblStylePr>
    <w:tblStylePr w:type="band1Horz">
      <w:tblPr/>
      <w:tcPr>
        <w:tcBorders>
          <w:top w:val="single" w:sz="4" w:space="0" w:color="E7A2C8" w:themeColor="accent5"/>
          <w:bottom w:val="single" w:sz="4" w:space="0" w:color="E7A2C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A2C8" w:themeColor="accent5"/>
          <w:left w:val="nil"/>
        </w:tcBorders>
      </w:tcPr>
    </w:tblStylePr>
    <w:tblStylePr w:type="swCell">
      <w:tblPr/>
      <w:tcPr>
        <w:tcBorders>
          <w:top w:val="double" w:sz="4" w:space="0" w:color="E7A2C8" w:themeColor="accent5"/>
          <w:right w:val="nil"/>
        </w:tcBorders>
      </w:tcPr>
    </w:tblStylePr>
  </w:style>
  <w:style w:type="table" w:styleId="ListTable3-Accent6">
    <w:name w:val="List Table 3 Accent 6"/>
    <w:basedOn w:val="TableNormal"/>
    <w:uiPriority w:val="48"/>
    <w:rsid w:val="00421773"/>
    <w:pPr>
      <w:spacing w:after="0"/>
    </w:pPr>
    <w:rPr>
      <w:rFonts w:eastAsiaTheme="minorHAnsi" w:cs="Arial"/>
      <w:sz w:val="18"/>
      <w:szCs w:val="18"/>
    </w:rPr>
    <w:tblPr>
      <w:tblStyleRowBandSize w:val="1"/>
      <w:tblStyleColBandSize w:val="1"/>
      <w:tblBorders>
        <w:top w:val="single" w:sz="4" w:space="0" w:color="9CD2F4" w:themeColor="accent6"/>
        <w:left w:val="single" w:sz="4" w:space="0" w:color="9CD2F4" w:themeColor="accent6"/>
        <w:bottom w:val="single" w:sz="4" w:space="0" w:color="9CD2F4" w:themeColor="accent6"/>
        <w:right w:val="single" w:sz="4" w:space="0" w:color="9CD2F4" w:themeColor="accent6"/>
      </w:tblBorders>
    </w:tblPr>
    <w:tblStylePr w:type="firstRow">
      <w:rPr>
        <w:b/>
        <w:bCs/>
        <w:color w:val="FFFFFF" w:themeColor="background1"/>
      </w:rPr>
      <w:tblPr/>
      <w:tcPr>
        <w:shd w:val="clear" w:color="auto" w:fill="9CD2F4" w:themeFill="accent6"/>
      </w:tcPr>
    </w:tblStylePr>
    <w:tblStylePr w:type="lastRow">
      <w:rPr>
        <w:b/>
        <w:bCs/>
      </w:rPr>
      <w:tblPr/>
      <w:tcPr>
        <w:tcBorders>
          <w:top w:val="double" w:sz="4" w:space="0" w:color="9CD2F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D2F4" w:themeColor="accent6"/>
          <w:right w:val="single" w:sz="4" w:space="0" w:color="9CD2F4" w:themeColor="accent6"/>
        </w:tcBorders>
      </w:tcPr>
    </w:tblStylePr>
    <w:tblStylePr w:type="band1Horz">
      <w:tblPr/>
      <w:tcPr>
        <w:tcBorders>
          <w:top w:val="single" w:sz="4" w:space="0" w:color="9CD2F4" w:themeColor="accent6"/>
          <w:bottom w:val="single" w:sz="4" w:space="0" w:color="9CD2F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D2F4" w:themeColor="accent6"/>
          <w:left w:val="nil"/>
        </w:tcBorders>
      </w:tcPr>
    </w:tblStylePr>
    <w:tblStylePr w:type="swCell">
      <w:tblPr/>
      <w:tcPr>
        <w:tcBorders>
          <w:top w:val="double" w:sz="4" w:space="0" w:color="9CD2F4" w:themeColor="accent6"/>
          <w:right w:val="nil"/>
        </w:tcBorders>
      </w:tcPr>
    </w:tblStylePr>
  </w:style>
  <w:style w:type="table" w:styleId="ListTable4">
    <w:name w:val="List Table 4"/>
    <w:basedOn w:val="TableNormal"/>
    <w:uiPriority w:val="49"/>
    <w:rsid w:val="00421773"/>
    <w:pPr>
      <w:spacing w:after="0"/>
    </w:pPr>
    <w:rPr>
      <w:rFonts w:eastAsiaTheme="minorHAnsi" w:cs="Arial"/>
      <w:sz w:val="18"/>
      <w:szCs w:val="18"/>
    </w:rPr>
    <w:tblPr>
      <w:tblStyleRowBandSize w:val="1"/>
      <w:tblStyleColBandSize w:val="1"/>
      <w:tblBorders>
        <w:top w:val="single" w:sz="4" w:space="0" w:color="777373" w:themeColor="text1" w:themeTint="99"/>
        <w:left w:val="single" w:sz="4" w:space="0" w:color="777373" w:themeColor="text1" w:themeTint="99"/>
        <w:bottom w:val="single" w:sz="4" w:space="0" w:color="777373" w:themeColor="text1" w:themeTint="99"/>
        <w:right w:val="single" w:sz="4" w:space="0" w:color="777373" w:themeColor="text1" w:themeTint="99"/>
        <w:insideH w:val="single" w:sz="4" w:space="0" w:color="777373" w:themeColor="text1" w:themeTint="99"/>
      </w:tblBorders>
    </w:tblPr>
    <w:tblStylePr w:type="firstRow">
      <w:rPr>
        <w:b/>
        <w:bCs/>
        <w:color w:val="FFFFFF" w:themeColor="background1"/>
      </w:rPr>
      <w:tblPr/>
      <w:tcPr>
        <w:tcBorders>
          <w:top w:val="single" w:sz="4" w:space="0" w:color="1A1919" w:themeColor="text1"/>
          <w:left w:val="single" w:sz="4" w:space="0" w:color="1A1919" w:themeColor="text1"/>
          <w:bottom w:val="single" w:sz="4" w:space="0" w:color="1A1919" w:themeColor="text1"/>
          <w:right w:val="single" w:sz="4" w:space="0" w:color="1A1919" w:themeColor="text1"/>
          <w:insideH w:val="nil"/>
        </w:tcBorders>
        <w:shd w:val="clear" w:color="auto" w:fill="1A1919" w:themeFill="text1"/>
      </w:tcPr>
    </w:tblStylePr>
    <w:tblStylePr w:type="lastRow">
      <w:rPr>
        <w:b/>
        <w:bCs/>
      </w:rPr>
      <w:tblPr/>
      <w:tcPr>
        <w:tcBorders>
          <w:top w:val="double" w:sz="4" w:space="0" w:color="777373" w:themeColor="text1" w:themeTint="99"/>
        </w:tcBorders>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ListTable4-Accent1">
    <w:name w:val="List Table 4 Accent 1"/>
    <w:basedOn w:val="TableNormal"/>
    <w:uiPriority w:val="49"/>
    <w:rsid w:val="00421773"/>
    <w:pPr>
      <w:spacing w:after="0"/>
    </w:pPr>
    <w:rPr>
      <w:rFonts w:eastAsiaTheme="minorHAnsi" w:cs="Arial"/>
      <w:sz w:val="18"/>
      <w:szCs w:val="18"/>
    </w:rPr>
    <w:tblPr>
      <w:tblStyleRowBandSize w:val="1"/>
      <w:tblStyleColBandSize w:val="1"/>
      <w:tblBorders>
        <w:top w:val="single" w:sz="4" w:space="0" w:color="A4D9D2" w:themeColor="accent1" w:themeTint="99"/>
        <w:left w:val="single" w:sz="4" w:space="0" w:color="A4D9D2" w:themeColor="accent1" w:themeTint="99"/>
        <w:bottom w:val="single" w:sz="4" w:space="0" w:color="A4D9D2" w:themeColor="accent1" w:themeTint="99"/>
        <w:right w:val="single" w:sz="4" w:space="0" w:color="A4D9D2" w:themeColor="accent1" w:themeTint="99"/>
        <w:insideH w:val="single" w:sz="4" w:space="0" w:color="A4D9D2" w:themeColor="accent1" w:themeTint="99"/>
      </w:tblBorders>
    </w:tblPr>
    <w:tblStylePr w:type="firstRow">
      <w:rPr>
        <w:b/>
        <w:bCs/>
        <w:color w:val="FFFFFF" w:themeColor="background1"/>
      </w:rPr>
      <w:tblPr/>
      <w:tcPr>
        <w:tcBorders>
          <w:top w:val="single" w:sz="4" w:space="0" w:color="68C0B5" w:themeColor="accent1"/>
          <w:left w:val="single" w:sz="4" w:space="0" w:color="68C0B5" w:themeColor="accent1"/>
          <w:bottom w:val="single" w:sz="4" w:space="0" w:color="68C0B5" w:themeColor="accent1"/>
          <w:right w:val="single" w:sz="4" w:space="0" w:color="68C0B5" w:themeColor="accent1"/>
          <w:insideH w:val="nil"/>
        </w:tcBorders>
        <w:shd w:val="clear" w:color="auto" w:fill="68C0B5" w:themeFill="accent1"/>
      </w:tcPr>
    </w:tblStylePr>
    <w:tblStylePr w:type="lastRow">
      <w:rPr>
        <w:b/>
        <w:bCs/>
      </w:rPr>
      <w:tblPr/>
      <w:tcPr>
        <w:tcBorders>
          <w:top w:val="double" w:sz="4" w:space="0" w:color="A4D9D2" w:themeColor="accent1" w:themeTint="99"/>
        </w:tcBorders>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ListTable4-Accent2">
    <w:name w:val="List Table 4 Accent 2"/>
    <w:basedOn w:val="TableNormal"/>
    <w:uiPriority w:val="49"/>
    <w:rsid w:val="00421773"/>
    <w:pPr>
      <w:spacing w:after="0"/>
    </w:pPr>
    <w:rPr>
      <w:rFonts w:eastAsiaTheme="minorHAnsi" w:cs="Arial"/>
      <w:sz w:val="18"/>
      <w:szCs w:val="18"/>
    </w:rPr>
    <w:tblPr>
      <w:tblStyleRowBandSize w:val="1"/>
      <w:tblStyleColBandSize w:val="1"/>
      <w:tblBorders>
        <w:top w:val="single" w:sz="4" w:space="0" w:color="A4CCEB" w:themeColor="accent2" w:themeTint="99"/>
        <w:left w:val="single" w:sz="4" w:space="0" w:color="A4CCEB" w:themeColor="accent2" w:themeTint="99"/>
        <w:bottom w:val="single" w:sz="4" w:space="0" w:color="A4CCEB" w:themeColor="accent2" w:themeTint="99"/>
        <w:right w:val="single" w:sz="4" w:space="0" w:color="A4CCEB" w:themeColor="accent2" w:themeTint="99"/>
        <w:insideH w:val="single" w:sz="4" w:space="0" w:color="A4CCEB" w:themeColor="accent2" w:themeTint="99"/>
      </w:tblBorders>
    </w:tblPr>
    <w:tblStylePr w:type="firstRow">
      <w:rPr>
        <w:b/>
        <w:bCs/>
        <w:color w:val="FFFFFF" w:themeColor="background1"/>
      </w:rPr>
      <w:tblPr/>
      <w:tcPr>
        <w:tcBorders>
          <w:top w:val="single" w:sz="4" w:space="0" w:color="69ACDF" w:themeColor="accent2"/>
          <w:left w:val="single" w:sz="4" w:space="0" w:color="69ACDF" w:themeColor="accent2"/>
          <w:bottom w:val="single" w:sz="4" w:space="0" w:color="69ACDF" w:themeColor="accent2"/>
          <w:right w:val="single" w:sz="4" w:space="0" w:color="69ACDF" w:themeColor="accent2"/>
          <w:insideH w:val="nil"/>
        </w:tcBorders>
        <w:shd w:val="clear" w:color="auto" w:fill="69ACDF" w:themeFill="accent2"/>
      </w:tcPr>
    </w:tblStylePr>
    <w:tblStylePr w:type="lastRow">
      <w:rPr>
        <w:b/>
        <w:bCs/>
      </w:rPr>
      <w:tblPr/>
      <w:tcPr>
        <w:tcBorders>
          <w:top w:val="double" w:sz="4" w:space="0" w:color="A4CCEB" w:themeColor="accent2" w:themeTint="99"/>
        </w:tcBorders>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ListTable4-Accent3">
    <w:name w:val="List Table 4 Accent 3"/>
    <w:basedOn w:val="TableNormal"/>
    <w:uiPriority w:val="49"/>
    <w:rsid w:val="00421773"/>
    <w:pPr>
      <w:spacing w:after="0"/>
    </w:pPr>
    <w:rPr>
      <w:rFonts w:eastAsiaTheme="minorHAnsi" w:cs="Arial"/>
      <w:sz w:val="18"/>
      <w:szCs w:val="18"/>
    </w:rPr>
    <w:tblPr>
      <w:tblStyleRowBandSize w:val="1"/>
      <w:tblStyleColBandSize w:val="1"/>
      <w:tblBorders>
        <w:top w:val="single" w:sz="4" w:space="0" w:color="A1A5CF" w:themeColor="accent3" w:themeTint="99"/>
        <w:left w:val="single" w:sz="4" w:space="0" w:color="A1A5CF" w:themeColor="accent3" w:themeTint="99"/>
        <w:bottom w:val="single" w:sz="4" w:space="0" w:color="A1A5CF" w:themeColor="accent3" w:themeTint="99"/>
        <w:right w:val="single" w:sz="4" w:space="0" w:color="A1A5CF" w:themeColor="accent3" w:themeTint="99"/>
        <w:insideH w:val="single" w:sz="4" w:space="0" w:color="A1A5CF" w:themeColor="accent3" w:themeTint="99"/>
      </w:tblBorders>
    </w:tblPr>
    <w:tblStylePr w:type="firstRow">
      <w:rPr>
        <w:b/>
        <w:bCs/>
        <w:color w:val="FFFFFF" w:themeColor="background1"/>
      </w:rPr>
      <w:tblPr/>
      <w:tcPr>
        <w:tcBorders>
          <w:top w:val="single" w:sz="4" w:space="0" w:color="636AAF" w:themeColor="accent3"/>
          <w:left w:val="single" w:sz="4" w:space="0" w:color="636AAF" w:themeColor="accent3"/>
          <w:bottom w:val="single" w:sz="4" w:space="0" w:color="636AAF" w:themeColor="accent3"/>
          <w:right w:val="single" w:sz="4" w:space="0" w:color="636AAF" w:themeColor="accent3"/>
          <w:insideH w:val="nil"/>
        </w:tcBorders>
        <w:shd w:val="clear" w:color="auto" w:fill="636AAF" w:themeFill="accent3"/>
      </w:tcPr>
    </w:tblStylePr>
    <w:tblStylePr w:type="lastRow">
      <w:rPr>
        <w:b/>
        <w:bCs/>
      </w:rPr>
      <w:tblPr/>
      <w:tcPr>
        <w:tcBorders>
          <w:top w:val="double" w:sz="4" w:space="0" w:color="A1A5CF" w:themeColor="accent3" w:themeTint="99"/>
        </w:tcBorders>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ListTable4-Accent4">
    <w:name w:val="List Table 4 Accent 4"/>
    <w:basedOn w:val="TableNormal"/>
    <w:uiPriority w:val="49"/>
    <w:rsid w:val="00421773"/>
    <w:pPr>
      <w:spacing w:after="0"/>
    </w:pPr>
    <w:rPr>
      <w:rFonts w:eastAsiaTheme="minorHAnsi" w:cs="Arial"/>
      <w:sz w:val="18"/>
      <w:szCs w:val="18"/>
    </w:rPr>
    <w:tblPr>
      <w:tblStyleRowBandSize w:val="1"/>
      <w:tblStyleColBandSize w:val="1"/>
      <w:tblBorders>
        <w:top w:val="single" w:sz="4" w:space="0" w:color="D0A7CC" w:themeColor="accent4" w:themeTint="99"/>
        <w:left w:val="single" w:sz="4" w:space="0" w:color="D0A7CC" w:themeColor="accent4" w:themeTint="99"/>
        <w:bottom w:val="single" w:sz="4" w:space="0" w:color="D0A7CC" w:themeColor="accent4" w:themeTint="99"/>
        <w:right w:val="single" w:sz="4" w:space="0" w:color="D0A7CC" w:themeColor="accent4" w:themeTint="99"/>
        <w:insideH w:val="single" w:sz="4" w:space="0" w:color="D0A7CC" w:themeColor="accent4" w:themeTint="99"/>
      </w:tblBorders>
    </w:tblPr>
    <w:tblStylePr w:type="firstRow">
      <w:rPr>
        <w:b/>
        <w:bCs/>
        <w:color w:val="FFFFFF" w:themeColor="background1"/>
      </w:rPr>
      <w:tblPr/>
      <w:tcPr>
        <w:tcBorders>
          <w:top w:val="single" w:sz="4" w:space="0" w:color="B26DAB" w:themeColor="accent4"/>
          <w:left w:val="single" w:sz="4" w:space="0" w:color="B26DAB" w:themeColor="accent4"/>
          <w:bottom w:val="single" w:sz="4" w:space="0" w:color="B26DAB" w:themeColor="accent4"/>
          <w:right w:val="single" w:sz="4" w:space="0" w:color="B26DAB" w:themeColor="accent4"/>
          <w:insideH w:val="nil"/>
        </w:tcBorders>
        <w:shd w:val="clear" w:color="auto" w:fill="B26DAB" w:themeFill="accent4"/>
      </w:tcPr>
    </w:tblStylePr>
    <w:tblStylePr w:type="lastRow">
      <w:rPr>
        <w:b/>
        <w:bCs/>
      </w:rPr>
      <w:tblPr/>
      <w:tcPr>
        <w:tcBorders>
          <w:top w:val="double" w:sz="4" w:space="0" w:color="D0A7CC" w:themeColor="accent4" w:themeTint="99"/>
        </w:tcBorders>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ListTable4-Accent5">
    <w:name w:val="List Table 4 Accent 5"/>
    <w:basedOn w:val="TableNormal"/>
    <w:uiPriority w:val="49"/>
    <w:rsid w:val="00421773"/>
    <w:pPr>
      <w:spacing w:after="0"/>
    </w:pPr>
    <w:rPr>
      <w:rFonts w:eastAsiaTheme="minorHAnsi" w:cs="Arial"/>
      <w:sz w:val="18"/>
      <w:szCs w:val="18"/>
    </w:rPr>
    <w:tblPr>
      <w:tblStyleRowBandSize w:val="1"/>
      <w:tblStyleColBandSize w:val="1"/>
      <w:tblBorders>
        <w:top w:val="single" w:sz="4" w:space="0" w:color="F0C7DD" w:themeColor="accent5" w:themeTint="99"/>
        <w:left w:val="single" w:sz="4" w:space="0" w:color="F0C7DD" w:themeColor="accent5" w:themeTint="99"/>
        <w:bottom w:val="single" w:sz="4" w:space="0" w:color="F0C7DD" w:themeColor="accent5" w:themeTint="99"/>
        <w:right w:val="single" w:sz="4" w:space="0" w:color="F0C7DD" w:themeColor="accent5" w:themeTint="99"/>
        <w:insideH w:val="single" w:sz="4" w:space="0" w:color="F0C7DD" w:themeColor="accent5" w:themeTint="99"/>
      </w:tblBorders>
    </w:tblPr>
    <w:tblStylePr w:type="firstRow">
      <w:rPr>
        <w:b/>
        <w:bCs/>
        <w:color w:val="FFFFFF" w:themeColor="background1"/>
      </w:rPr>
      <w:tblPr/>
      <w:tcPr>
        <w:tcBorders>
          <w:top w:val="single" w:sz="4" w:space="0" w:color="E7A2C8" w:themeColor="accent5"/>
          <w:left w:val="single" w:sz="4" w:space="0" w:color="E7A2C8" w:themeColor="accent5"/>
          <w:bottom w:val="single" w:sz="4" w:space="0" w:color="E7A2C8" w:themeColor="accent5"/>
          <w:right w:val="single" w:sz="4" w:space="0" w:color="E7A2C8" w:themeColor="accent5"/>
          <w:insideH w:val="nil"/>
        </w:tcBorders>
        <w:shd w:val="clear" w:color="auto" w:fill="E7A2C8" w:themeFill="accent5"/>
      </w:tcPr>
    </w:tblStylePr>
    <w:tblStylePr w:type="lastRow">
      <w:rPr>
        <w:b/>
        <w:bCs/>
      </w:rPr>
      <w:tblPr/>
      <w:tcPr>
        <w:tcBorders>
          <w:top w:val="double" w:sz="4" w:space="0" w:color="F0C7DD" w:themeColor="accent5" w:themeTint="99"/>
        </w:tcBorders>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ListTable4-Accent6">
    <w:name w:val="List Table 4 Accent 6"/>
    <w:basedOn w:val="TableNormal"/>
    <w:uiPriority w:val="49"/>
    <w:rsid w:val="00421773"/>
    <w:pPr>
      <w:spacing w:after="0"/>
    </w:pPr>
    <w:rPr>
      <w:rFonts w:eastAsiaTheme="minorHAnsi" w:cs="Arial"/>
      <w:sz w:val="18"/>
      <w:szCs w:val="18"/>
    </w:rPr>
    <w:tblPr>
      <w:tblStyleRowBandSize w:val="1"/>
      <w:tblStyleColBandSize w:val="1"/>
      <w:tblBorders>
        <w:top w:val="single" w:sz="4" w:space="0" w:color="C3E3F8" w:themeColor="accent6" w:themeTint="99"/>
        <w:left w:val="single" w:sz="4" w:space="0" w:color="C3E3F8" w:themeColor="accent6" w:themeTint="99"/>
        <w:bottom w:val="single" w:sz="4" w:space="0" w:color="C3E3F8" w:themeColor="accent6" w:themeTint="99"/>
        <w:right w:val="single" w:sz="4" w:space="0" w:color="C3E3F8" w:themeColor="accent6" w:themeTint="99"/>
        <w:insideH w:val="single" w:sz="4" w:space="0" w:color="C3E3F8" w:themeColor="accent6" w:themeTint="99"/>
      </w:tblBorders>
    </w:tblPr>
    <w:tblStylePr w:type="firstRow">
      <w:rPr>
        <w:b/>
        <w:bCs/>
        <w:color w:val="FFFFFF" w:themeColor="background1"/>
      </w:rPr>
      <w:tblPr/>
      <w:tcPr>
        <w:tcBorders>
          <w:top w:val="single" w:sz="4" w:space="0" w:color="9CD2F4" w:themeColor="accent6"/>
          <w:left w:val="single" w:sz="4" w:space="0" w:color="9CD2F4" w:themeColor="accent6"/>
          <w:bottom w:val="single" w:sz="4" w:space="0" w:color="9CD2F4" w:themeColor="accent6"/>
          <w:right w:val="single" w:sz="4" w:space="0" w:color="9CD2F4" w:themeColor="accent6"/>
          <w:insideH w:val="nil"/>
        </w:tcBorders>
        <w:shd w:val="clear" w:color="auto" w:fill="9CD2F4" w:themeFill="accent6"/>
      </w:tcPr>
    </w:tblStylePr>
    <w:tblStylePr w:type="lastRow">
      <w:rPr>
        <w:b/>
        <w:bCs/>
      </w:rPr>
      <w:tblPr/>
      <w:tcPr>
        <w:tcBorders>
          <w:top w:val="double" w:sz="4" w:space="0" w:color="C3E3F8" w:themeColor="accent6" w:themeTint="99"/>
        </w:tcBorders>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ListTable5Dark">
    <w:name w:val="List Table 5 Dark"/>
    <w:basedOn w:val="TableNormal"/>
    <w:uiPriority w:val="50"/>
    <w:rsid w:val="00421773"/>
    <w:pPr>
      <w:spacing w:after="0"/>
    </w:pPr>
    <w:rPr>
      <w:rFonts w:eastAsiaTheme="minorHAnsi" w:cs="Arial"/>
      <w:color w:val="FFFFFF" w:themeColor="background1"/>
      <w:sz w:val="18"/>
      <w:szCs w:val="18"/>
    </w:rPr>
    <w:tblPr>
      <w:tblStyleRowBandSize w:val="1"/>
      <w:tblStyleColBandSize w:val="1"/>
      <w:tblBorders>
        <w:top w:val="single" w:sz="24" w:space="0" w:color="1A1919" w:themeColor="text1"/>
        <w:left w:val="single" w:sz="24" w:space="0" w:color="1A1919" w:themeColor="text1"/>
        <w:bottom w:val="single" w:sz="24" w:space="0" w:color="1A1919" w:themeColor="text1"/>
        <w:right w:val="single" w:sz="24" w:space="0" w:color="1A1919" w:themeColor="text1"/>
      </w:tblBorders>
    </w:tblPr>
    <w:tcPr>
      <w:shd w:val="clear" w:color="auto" w:fill="1A191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1773"/>
    <w:pPr>
      <w:spacing w:after="0"/>
    </w:pPr>
    <w:rPr>
      <w:rFonts w:eastAsiaTheme="minorHAnsi" w:cs="Arial"/>
      <w:color w:val="FFFFFF" w:themeColor="background1"/>
      <w:sz w:val="18"/>
      <w:szCs w:val="18"/>
    </w:rPr>
    <w:tblPr>
      <w:tblStyleRowBandSize w:val="1"/>
      <w:tblStyleColBandSize w:val="1"/>
      <w:tblBorders>
        <w:top w:val="single" w:sz="24" w:space="0" w:color="68C0B5" w:themeColor="accent1"/>
        <w:left w:val="single" w:sz="24" w:space="0" w:color="68C0B5" w:themeColor="accent1"/>
        <w:bottom w:val="single" w:sz="24" w:space="0" w:color="68C0B5" w:themeColor="accent1"/>
        <w:right w:val="single" w:sz="24" w:space="0" w:color="68C0B5" w:themeColor="accent1"/>
      </w:tblBorders>
    </w:tblPr>
    <w:tcPr>
      <w:shd w:val="clear" w:color="auto" w:fill="68C0B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1773"/>
    <w:pPr>
      <w:spacing w:after="0"/>
    </w:pPr>
    <w:rPr>
      <w:rFonts w:eastAsiaTheme="minorHAnsi" w:cs="Arial"/>
      <w:color w:val="FFFFFF" w:themeColor="background1"/>
      <w:sz w:val="18"/>
      <w:szCs w:val="18"/>
    </w:rPr>
    <w:tblPr>
      <w:tblStyleRowBandSize w:val="1"/>
      <w:tblStyleColBandSize w:val="1"/>
      <w:tblBorders>
        <w:top w:val="single" w:sz="24" w:space="0" w:color="69ACDF" w:themeColor="accent2"/>
        <w:left w:val="single" w:sz="24" w:space="0" w:color="69ACDF" w:themeColor="accent2"/>
        <w:bottom w:val="single" w:sz="24" w:space="0" w:color="69ACDF" w:themeColor="accent2"/>
        <w:right w:val="single" w:sz="24" w:space="0" w:color="69ACDF" w:themeColor="accent2"/>
      </w:tblBorders>
    </w:tblPr>
    <w:tcPr>
      <w:shd w:val="clear" w:color="auto" w:fill="69AC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1773"/>
    <w:pPr>
      <w:spacing w:after="0"/>
    </w:pPr>
    <w:rPr>
      <w:rFonts w:eastAsiaTheme="minorHAnsi" w:cs="Arial"/>
      <w:color w:val="FFFFFF" w:themeColor="background1"/>
      <w:sz w:val="18"/>
      <w:szCs w:val="18"/>
    </w:rPr>
    <w:tblPr>
      <w:tblStyleRowBandSize w:val="1"/>
      <w:tblStyleColBandSize w:val="1"/>
      <w:tblBorders>
        <w:top w:val="single" w:sz="24" w:space="0" w:color="636AAF" w:themeColor="accent3"/>
        <w:left w:val="single" w:sz="24" w:space="0" w:color="636AAF" w:themeColor="accent3"/>
        <w:bottom w:val="single" w:sz="24" w:space="0" w:color="636AAF" w:themeColor="accent3"/>
        <w:right w:val="single" w:sz="24" w:space="0" w:color="636AAF" w:themeColor="accent3"/>
      </w:tblBorders>
    </w:tblPr>
    <w:tcPr>
      <w:shd w:val="clear" w:color="auto" w:fill="636AA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1773"/>
    <w:pPr>
      <w:spacing w:after="0"/>
    </w:pPr>
    <w:rPr>
      <w:rFonts w:eastAsiaTheme="minorHAnsi" w:cs="Arial"/>
      <w:color w:val="FFFFFF" w:themeColor="background1"/>
      <w:sz w:val="18"/>
      <w:szCs w:val="18"/>
    </w:rPr>
    <w:tblPr>
      <w:tblStyleRowBandSize w:val="1"/>
      <w:tblStyleColBandSize w:val="1"/>
      <w:tblBorders>
        <w:top w:val="single" w:sz="24" w:space="0" w:color="B26DAB" w:themeColor="accent4"/>
        <w:left w:val="single" w:sz="24" w:space="0" w:color="B26DAB" w:themeColor="accent4"/>
        <w:bottom w:val="single" w:sz="24" w:space="0" w:color="B26DAB" w:themeColor="accent4"/>
        <w:right w:val="single" w:sz="24" w:space="0" w:color="B26DAB" w:themeColor="accent4"/>
      </w:tblBorders>
    </w:tblPr>
    <w:tcPr>
      <w:shd w:val="clear" w:color="auto" w:fill="B26DA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1773"/>
    <w:pPr>
      <w:spacing w:after="0"/>
    </w:pPr>
    <w:rPr>
      <w:rFonts w:eastAsiaTheme="minorHAnsi" w:cs="Arial"/>
      <w:color w:val="FFFFFF" w:themeColor="background1"/>
      <w:sz w:val="18"/>
      <w:szCs w:val="18"/>
    </w:rPr>
    <w:tblPr>
      <w:tblStyleRowBandSize w:val="1"/>
      <w:tblStyleColBandSize w:val="1"/>
      <w:tblBorders>
        <w:top w:val="single" w:sz="24" w:space="0" w:color="E7A2C8" w:themeColor="accent5"/>
        <w:left w:val="single" w:sz="24" w:space="0" w:color="E7A2C8" w:themeColor="accent5"/>
        <w:bottom w:val="single" w:sz="24" w:space="0" w:color="E7A2C8" w:themeColor="accent5"/>
        <w:right w:val="single" w:sz="24" w:space="0" w:color="E7A2C8" w:themeColor="accent5"/>
      </w:tblBorders>
    </w:tblPr>
    <w:tcPr>
      <w:shd w:val="clear" w:color="auto" w:fill="E7A2C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1773"/>
    <w:pPr>
      <w:spacing w:after="0"/>
    </w:pPr>
    <w:rPr>
      <w:rFonts w:eastAsiaTheme="minorHAnsi" w:cs="Arial"/>
      <w:color w:val="FFFFFF" w:themeColor="background1"/>
      <w:sz w:val="18"/>
      <w:szCs w:val="18"/>
    </w:rPr>
    <w:tblPr>
      <w:tblStyleRowBandSize w:val="1"/>
      <w:tblStyleColBandSize w:val="1"/>
      <w:tblBorders>
        <w:top w:val="single" w:sz="24" w:space="0" w:color="9CD2F4" w:themeColor="accent6"/>
        <w:left w:val="single" w:sz="24" w:space="0" w:color="9CD2F4" w:themeColor="accent6"/>
        <w:bottom w:val="single" w:sz="24" w:space="0" w:color="9CD2F4" w:themeColor="accent6"/>
        <w:right w:val="single" w:sz="24" w:space="0" w:color="9CD2F4" w:themeColor="accent6"/>
      </w:tblBorders>
    </w:tblPr>
    <w:tcPr>
      <w:shd w:val="clear" w:color="auto" w:fill="9CD2F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1773"/>
    <w:pPr>
      <w:spacing w:after="0"/>
    </w:pPr>
    <w:rPr>
      <w:rFonts w:eastAsiaTheme="minorHAnsi" w:cs="Arial"/>
      <w:color w:val="1A1919" w:themeColor="text1"/>
      <w:sz w:val="18"/>
      <w:szCs w:val="18"/>
    </w:rPr>
    <w:tblPr>
      <w:tblStyleRowBandSize w:val="1"/>
      <w:tblStyleColBandSize w:val="1"/>
      <w:tblBorders>
        <w:top w:val="single" w:sz="4" w:space="0" w:color="1A1919" w:themeColor="text1"/>
        <w:bottom w:val="single" w:sz="4" w:space="0" w:color="1A1919" w:themeColor="text1"/>
      </w:tblBorders>
    </w:tblPr>
    <w:tblStylePr w:type="firstRow">
      <w:rPr>
        <w:b/>
        <w:bCs/>
      </w:rPr>
      <w:tblPr/>
      <w:tcPr>
        <w:tcBorders>
          <w:bottom w:val="single" w:sz="4" w:space="0" w:color="1A1919" w:themeColor="text1"/>
        </w:tcBorders>
      </w:tcPr>
    </w:tblStylePr>
    <w:tblStylePr w:type="lastRow">
      <w:rPr>
        <w:b/>
        <w:bCs/>
      </w:rPr>
      <w:tblPr/>
      <w:tcPr>
        <w:tcBorders>
          <w:top w:val="double" w:sz="4" w:space="0" w:color="1A1919" w:themeColor="text1"/>
        </w:tcBorders>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ListTable6Colorful-Accent1">
    <w:name w:val="List Table 6 Colorful Accent 1"/>
    <w:basedOn w:val="TableNormal"/>
    <w:uiPriority w:val="51"/>
    <w:rsid w:val="00421773"/>
    <w:pPr>
      <w:spacing w:after="0"/>
    </w:pPr>
    <w:rPr>
      <w:rFonts w:eastAsiaTheme="minorHAnsi" w:cs="Arial"/>
      <w:color w:val="419C90" w:themeColor="accent1" w:themeShade="BF"/>
      <w:sz w:val="18"/>
      <w:szCs w:val="18"/>
    </w:rPr>
    <w:tblPr>
      <w:tblStyleRowBandSize w:val="1"/>
      <w:tblStyleColBandSize w:val="1"/>
      <w:tblBorders>
        <w:top w:val="single" w:sz="4" w:space="0" w:color="68C0B5" w:themeColor="accent1"/>
        <w:bottom w:val="single" w:sz="4" w:space="0" w:color="68C0B5" w:themeColor="accent1"/>
      </w:tblBorders>
    </w:tblPr>
    <w:tblStylePr w:type="firstRow">
      <w:rPr>
        <w:b/>
        <w:bCs/>
      </w:rPr>
      <w:tblPr/>
      <w:tcPr>
        <w:tcBorders>
          <w:bottom w:val="single" w:sz="4" w:space="0" w:color="68C0B5" w:themeColor="accent1"/>
        </w:tcBorders>
      </w:tcPr>
    </w:tblStylePr>
    <w:tblStylePr w:type="lastRow">
      <w:rPr>
        <w:b/>
        <w:bCs/>
      </w:rPr>
      <w:tblPr/>
      <w:tcPr>
        <w:tcBorders>
          <w:top w:val="double" w:sz="4" w:space="0" w:color="68C0B5" w:themeColor="accent1"/>
        </w:tcBorders>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ListTable6Colorful-Accent2">
    <w:name w:val="List Table 6 Colorful Accent 2"/>
    <w:basedOn w:val="TableNormal"/>
    <w:uiPriority w:val="51"/>
    <w:rsid w:val="00421773"/>
    <w:pPr>
      <w:spacing w:after="0"/>
    </w:pPr>
    <w:rPr>
      <w:rFonts w:eastAsiaTheme="minorHAnsi" w:cs="Arial"/>
      <w:color w:val="2B85CA" w:themeColor="accent2" w:themeShade="BF"/>
      <w:sz w:val="18"/>
      <w:szCs w:val="18"/>
    </w:rPr>
    <w:tblPr>
      <w:tblStyleRowBandSize w:val="1"/>
      <w:tblStyleColBandSize w:val="1"/>
      <w:tblBorders>
        <w:top w:val="single" w:sz="4" w:space="0" w:color="69ACDF" w:themeColor="accent2"/>
        <w:bottom w:val="single" w:sz="4" w:space="0" w:color="69ACDF" w:themeColor="accent2"/>
      </w:tblBorders>
    </w:tblPr>
    <w:tblStylePr w:type="firstRow">
      <w:rPr>
        <w:b/>
        <w:bCs/>
      </w:rPr>
      <w:tblPr/>
      <w:tcPr>
        <w:tcBorders>
          <w:bottom w:val="single" w:sz="4" w:space="0" w:color="69ACDF" w:themeColor="accent2"/>
        </w:tcBorders>
      </w:tcPr>
    </w:tblStylePr>
    <w:tblStylePr w:type="lastRow">
      <w:rPr>
        <w:b/>
        <w:bCs/>
      </w:rPr>
      <w:tblPr/>
      <w:tcPr>
        <w:tcBorders>
          <w:top w:val="double" w:sz="4" w:space="0" w:color="69ACDF" w:themeColor="accent2"/>
        </w:tcBorders>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ListTable6Colorful-Accent3">
    <w:name w:val="List Table 6 Colorful Accent 3"/>
    <w:basedOn w:val="TableNormal"/>
    <w:uiPriority w:val="51"/>
    <w:rsid w:val="00421773"/>
    <w:pPr>
      <w:spacing w:after="0"/>
    </w:pPr>
    <w:rPr>
      <w:rFonts w:eastAsiaTheme="minorHAnsi" w:cs="Arial"/>
      <w:color w:val="454B87" w:themeColor="accent3" w:themeShade="BF"/>
      <w:sz w:val="18"/>
      <w:szCs w:val="18"/>
    </w:rPr>
    <w:tblPr>
      <w:tblStyleRowBandSize w:val="1"/>
      <w:tblStyleColBandSize w:val="1"/>
      <w:tblBorders>
        <w:top w:val="single" w:sz="4" w:space="0" w:color="636AAF" w:themeColor="accent3"/>
        <w:bottom w:val="single" w:sz="4" w:space="0" w:color="636AAF" w:themeColor="accent3"/>
      </w:tblBorders>
    </w:tblPr>
    <w:tblStylePr w:type="firstRow">
      <w:rPr>
        <w:b/>
        <w:bCs/>
      </w:rPr>
      <w:tblPr/>
      <w:tcPr>
        <w:tcBorders>
          <w:bottom w:val="single" w:sz="4" w:space="0" w:color="636AAF" w:themeColor="accent3"/>
        </w:tcBorders>
      </w:tcPr>
    </w:tblStylePr>
    <w:tblStylePr w:type="lastRow">
      <w:rPr>
        <w:b/>
        <w:bCs/>
      </w:rPr>
      <w:tblPr/>
      <w:tcPr>
        <w:tcBorders>
          <w:top w:val="double" w:sz="4" w:space="0" w:color="636AAF" w:themeColor="accent3"/>
        </w:tcBorders>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ListTable6Colorful-Accent4">
    <w:name w:val="List Table 6 Colorful Accent 4"/>
    <w:basedOn w:val="TableNormal"/>
    <w:uiPriority w:val="51"/>
    <w:rsid w:val="00421773"/>
    <w:pPr>
      <w:spacing w:after="0"/>
    </w:pPr>
    <w:rPr>
      <w:rFonts w:eastAsiaTheme="minorHAnsi" w:cs="Arial"/>
      <w:color w:val="8C4A85" w:themeColor="accent4" w:themeShade="BF"/>
      <w:sz w:val="18"/>
      <w:szCs w:val="18"/>
    </w:rPr>
    <w:tblPr>
      <w:tblStyleRowBandSize w:val="1"/>
      <w:tblStyleColBandSize w:val="1"/>
      <w:tblBorders>
        <w:top w:val="single" w:sz="4" w:space="0" w:color="B26DAB" w:themeColor="accent4"/>
        <w:bottom w:val="single" w:sz="4" w:space="0" w:color="B26DAB" w:themeColor="accent4"/>
      </w:tblBorders>
    </w:tblPr>
    <w:tblStylePr w:type="firstRow">
      <w:rPr>
        <w:b/>
        <w:bCs/>
      </w:rPr>
      <w:tblPr/>
      <w:tcPr>
        <w:tcBorders>
          <w:bottom w:val="single" w:sz="4" w:space="0" w:color="B26DAB" w:themeColor="accent4"/>
        </w:tcBorders>
      </w:tcPr>
    </w:tblStylePr>
    <w:tblStylePr w:type="lastRow">
      <w:rPr>
        <w:b/>
        <w:bCs/>
      </w:rPr>
      <w:tblPr/>
      <w:tcPr>
        <w:tcBorders>
          <w:top w:val="double" w:sz="4" w:space="0" w:color="B26DAB" w:themeColor="accent4"/>
        </w:tcBorders>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ListTable6Colorful-Accent5">
    <w:name w:val="List Table 6 Colorful Accent 5"/>
    <w:basedOn w:val="TableNormal"/>
    <w:uiPriority w:val="51"/>
    <w:rsid w:val="00421773"/>
    <w:pPr>
      <w:spacing w:after="0"/>
    </w:pPr>
    <w:rPr>
      <w:rFonts w:eastAsiaTheme="minorHAnsi" w:cs="Arial"/>
      <w:color w:val="D25399" w:themeColor="accent5" w:themeShade="BF"/>
      <w:sz w:val="18"/>
      <w:szCs w:val="18"/>
    </w:rPr>
    <w:tblPr>
      <w:tblStyleRowBandSize w:val="1"/>
      <w:tblStyleColBandSize w:val="1"/>
      <w:tblBorders>
        <w:top w:val="single" w:sz="4" w:space="0" w:color="E7A2C8" w:themeColor="accent5"/>
        <w:bottom w:val="single" w:sz="4" w:space="0" w:color="E7A2C8" w:themeColor="accent5"/>
      </w:tblBorders>
    </w:tblPr>
    <w:tblStylePr w:type="firstRow">
      <w:rPr>
        <w:b/>
        <w:bCs/>
      </w:rPr>
      <w:tblPr/>
      <w:tcPr>
        <w:tcBorders>
          <w:bottom w:val="single" w:sz="4" w:space="0" w:color="E7A2C8" w:themeColor="accent5"/>
        </w:tcBorders>
      </w:tcPr>
    </w:tblStylePr>
    <w:tblStylePr w:type="lastRow">
      <w:rPr>
        <w:b/>
        <w:bCs/>
      </w:rPr>
      <w:tblPr/>
      <w:tcPr>
        <w:tcBorders>
          <w:top w:val="double" w:sz="4" w:space="0" w:color="E7A2C8" w:themeColor="accent5"/>
        </w:tcBorders>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ListTable6Colorful-Accent6">
    <w:name w:val="List Table 6 Colorful Accent 6"/>
    <w:basedOn w:val="TableNormal"/>
    <w:uiPriority w:val="51"/>
    <w:rsid w:val="00421773"/>
    <w:pPr>
      <w:spacing w:after="0"/>
    </w:pPr>
    <w:rPr>
      <w:rFonts w:eastAsiaTheme="minorHAnsi" w:cs="Arial"/>
      <w:color w:val="41A8EA" w:themeColor="accent6" w:themeShade="BF"/>
      <w:sz w:val="18"/>
      <w:szCs w:val="18"/>
    </w:rPr>
    <w:tblPr>
      <w:tblStyleRowBandSize w:val="1"/>
      <w:tblStyleColBandSize w:val="1"/>
      <w:tblBorders>
        <w:top w:val="single" w:sz="4" w:space="0" w:color="9CD2F4" w:themeColor="accent6"/>
        <w:bottom w:val="single" w:sz="4" w:space="0" w:color="9CD2F4" w:themeColor="accent6"/>
      </w:tblBorders>
    </w:tblPr>
    <w:tblStylePr w:type="firstRow">
      <w:rPr>
        <w:b/>
        <w:bCs/>
      </w:rPr>
      <w:tblPr/>
      <w:tcPr>
        <w:tcBorders>
          <w:bottom w:val="single" w:sz="4" w:space="0" w:color="9CD2F4" w:themeColor="accent6"/>
        </w:tcBorders>
      </w:tcPr>
    </w:tblStylePr>
    <w:tblStylePr w:type="lastRow">
      <w:rPr>
        <w:b/>
        <w:bCs/>
      </w:rPr>
      <w:tblPr/>
      <w:tcPr>
        <w:tcBorders>
          <w:top w:val="double" w:sz="4" w:space="0" w:color="9CD2F4" w:themeColor="accent6"/>
        </w:tcBorders>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ListTable7Colorful">
    <w:name w:val="List Table 7 Colorful"/>
    <w:basedOn w:val="TableNormal"/>
    <w:uiPriority w:val="52"/>
    <w:rsid w:val="00421773"/>
    <w:pPr>
      <w:spacing w:after="0"/>
    </w:pPr>
    <w:rPr>
      <w:rFonts w:eastAsiaTheme="minorHAnsi" w:cs="Arial"/>
      <w:color w:val="1A1919" w:themeColor="text1"/>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A191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A191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A191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A1919" w:themeColor="text1"/>
        </w:tcBorders>
        <w:shd w:val="clear" w:color="auto" w:fill="FFFFFF" w:themeFill="background1"/>
      </w:tcPr>
    </w:tblStylePr>
    <w:tblStylePr w:type="band1Vert">
      <w:tblPr/>
      <w:tcPr>
        <w:shd w:val="clear" w:color="auto" w:fill="D2D0D0" w:themeFill="text1" w:themeFillTint="33"/>
      </w:tcPr>
    </w:tblStylePr>
    <w:tblStylePr w:type="band1Horz">
      <w:tblPr/>
      <w:tcPr>
        <w:shd w:val="clear" w:color="auto" w:fill="D2D0D0"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1773"/>
    <w:pPr>
      <w:spacing w:after="0"/>
    </w:pPr>
    <w:rPr>
      <w:rFonts w:eastAsiaTheme="minorHAnsi" w:cs="Arial"/>
      <w:color w:val="419C90" w:themeColor="accent1"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8C0B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8C0B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8C0B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8C0B5" w:themeColor="accent1"/>
        </w:tcBorders>
        <w:shd w:val="clear" w:color="auto" w:fill="FFFFFF" w:themeFill="background1"/>
      </w:tcPr>
    </w:tblStylePr>
    <w:tblStylePr w:type="band1Vert">
      <w:tblPr/>
      <w:tcPr>
        <w:shd w:val="clear" w:color="auto" w:fill="E0F2F0" w:themeFill="accent1" w:themeFillTint="33"/>
      </w:tcPr>
    </w:tblStylePr>
    <w:tblStylePr w:type="band1Horz">
      <w:tblPr/>
      <w:tcPr>
        <w:shd w:val="clear" w:color="auto" w:fill="E0F2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1773"/>
    <w:pPr>
      <w:spacing w:after="0"/>
    </w:pPr>
    <w:rPr>
      <w:rFonts w:eastAsiaTheme="minorHAnsi" w:cs="Arial"/>
      <w:color w:val="2B85CA" w:themeColor="accent2"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9AC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9AC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9AC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9ACDF" w:themeColor="accent2"/>
        </w:tcBorders>
        <w:shd w:val="clear" w:color="auto" w:fill="FFFFFF" w:themeFill="background1"/>
      </w:tcPr>
    </w:tblStylePr>
    <w:tblStylePr w:type="band1Vert">
      <w:tblPr/>
      <w:tcPr>
        <w:shd w:val="clear" w:color="auto" w:fill="E0EEF8" w:themeFill="accent2" w:themeFillTint="33"/>
      </w:tcPr>
    </w:tblStylePr>
    <w:tblStylePr w:type="band1Horz">
      <w:tblPr/>
      <w:tcPr>
        <w:shd w:val="clear" w:color="auto" w:fill="E0EE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1773"/>
    <w:pPr>
      <w:spacing w:after="0"/>
    </w:pPr>
    <w:rPr>
      <w:rFonts w:eastAsiaTheme="minorHAnsi" w:cs="Arial"/>
      <w:color w:val="454B87" w:themeColor="accent3"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6AA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6AA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6AA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6AAF" w:themeColor="accent3"/>
        </w:tcBorders>
        <w:shd w:val="clear" w:color="auto" w:fill="FFFFFF" w:themeFill="background1"/>
      </w:tcPr>
    </w:tblStylePr>
    <w:tblStylePr w:type="band1Vert">
      <w:tblPr/>
      <w:tcPr>
        <w:shd w:val="clear" w:color="auto" w:fill="DFE1EF" w:themeFill="accent3" w:themeFillTint="33"/>
      </w:tcPr>
    </w:tblStylePr>
    <w:tblStylePr w:type="band1Horz">
      <w:tblPr/>
      <w:tcPr>
        <w:shd w:val="clear" w:color="auto" w:fill="DFE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1773"/>
    <w:pPr>
      <w:spacing w:after="0"/>
    </w:pPr>
    <w:rPr>
      <w:rFonts w:eastAsiaTheme="minorHAnsi" w:cs="Arial"/>
      <w:color w:val="8C4A85" w:themeColor="accent4"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DA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DA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DA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DAB" w:themeColor="accent4"/>
        </w:tcBorders>
        <w:shd w:val="clear" w:color="auto" w:fill="FFFFFF" w:themeFill="background1"/>
      </w:tcPr>
    </w:tblStylePr>
    <w:tblStylePr w:type="band1Vert">
      <w:tblPr/>
      <w:tcPr>
        <w:shd w:val="clear" w:color="auto" w:fill="EFE1EE" w:themeFill="accent4" w:themeFillTint="33"/>
      </w:tcPr>
    </w:tblStylePr>
    <w:tblStylePr w:type="band1Horz">
      <w:tblPr/>
      <w:tcPr>
        <w:shd w:val="clear" w:color="auto" w:fill="EFE1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1773"/>
    <w:pPr>
      <w:spacing w:after="0"/>
    </w:pPr>
    <w:rPr>
      <w:rFonts w:eastAsiaTheme="minorHAnsi" w:cs="Arial"/>
      <w:color w:val="D25399" w:themeColor="accent5"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A2C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A2C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A2C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A2C8" w:themeColor="accent5"/>
        </w:tcBorders>
        <w:shd w:val="clear" w:color="auto" w:fill="FFFFFF" w:themeFill="background1"/>
      </w:tcPr>
    </w:tblStylePr>
    <w:tblStylePr w:type="band1Vert">
      <w:tblPr/>
      <w:tcPr>
        <w:shd w:val="clear" w:color="auto" w:fill="FAECF3" w:themeFill="accent5" w:themeFillTint="33"/>
      </w:tcPr>
    </w:tblStylePr>
    <w:tblStylePr w:type="band1Horz">
      <w:tblPr/>
      <w:tcPr>
        <w:shd w:val="clear" w:color="auto" w:fill="FAEC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1773"/>
    <w:pPr>
      <w:spacing w:after="0"/>
    </w:pPr>
    <w:rPr>
      <w:rFonts w:eastAsiaTheme="minorHAnsi" w:cs="Arial"/>
      <w:color w:val="41A8EA" w:themeColor="accent6"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D2F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D2F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D2F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D2F4" w:themeColor="accent6"/>
        </w:tcBorders>
        <w:shd w:val="clear" w:color="auto" w:fill="FFFFFF" w:themeFill="background1"/>
      </w:tcPr>
    </w:tblStylePr>
    <w:tblStylePr w:type="band1Vert">
      <w:tblPr/>
      <w:tcPr>
        <w:shd w:val="clear" w:color="auto" w:fill="EBF5FC" w:themeFill="accent6" w:themeFillTint="33"/>
      </w:tcPr>
    </w:tblStylePr>
    <w:tblStylePr w:type="band1Horz">
      <w:tblPr/>
      <w:tcPr>
        <w:shd w:val="clear" w:color="auto" w:fill="EBF5F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421773"/>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eastAsiaTheme="minorHAnsi" w:cs="Arial"/>
      <w:lang w:val="en-GB"/>
    </w:rPr>
  </w:style>
  <w:style w:type="character" w:customStyle="1" w:styleId="MacroTextChar">
    <w:name w:val="Macro Text Char"/>
    <w:basedOn w:val="DefaultParagraphFont"/>
    <w:link w:val="MacroText"/>
    <w:uiPriority w:val="99"/>
    <w:semiHidden/>
    <w:rsid w:val="00421773"/>
    <w:rPr>
      <w:rFonts w:eastAsiaTheme="minorHAnsi" w:cs="Arial"/>
      <w:lang w:val="en-GB"/>
    </w:rPr>
  </w:style>
  <w:style w:type="table" w:styleId="MediumGrid1">
    <w:name w:val="Medium Grid 1"/>
    <w:basedOn w:val="TableNormal"/>
    <w:uiPriority w:val="67"/>
    <w:semiHidden/>
    <w:unhideWhenUsed/>
    <w:rsid w:val="00421773"/>
    <w:pPr>
      <w:spacing w:after="0"/>
    </w:pPr>
    <w:rPr>
      <w:rFonts w:eastAsiaTheme="minorHAnsi" w:cs="Arial"/>
      <w:sz w:val="18"/>
      <w:szCs w:val="18"/>
    </w:rPr>
    <w:tblPr>
      <w:tblStyleRowBandSize w:val="1"/>
      <w:tblStyleColBandSize w:val="1"/>
      <w:tblBorders>
        <w:top w:val="single" w:sz="8" w:space="0" w:color="545151" w:themeColor="text1" w:themeTint="BF"/>
        <w:left w:val="single" w:sz="8" w:space="0" w:color="545151" w:themeColor="text1" w:themeTint="BF"/>
        <w:bottom w:val="single" w:sz="8" w:space="0" w:color="545151" w:themeColor="text1" w:themeTint="BF"/>
        <w:right w:val="single" w:sz="8" w:space="0" w:color="545151" w:themeColor="text1" w:themeTint="BF"/>
        <w:insideH w:val="single" w:sz="8" w:space="0" w:color="545151" w:themeColor="text1" w:themeTint="BF"/>
        <w:insideV w:val="single" w:sz="8" w:space="0" w:color="545151" w:themeColor="text1" w:themeTint="BF"/>
      </w:tblBorders>
    </w:tblPr>
    <w:tcPr>
      <w:shd w:val="clear" w:color="auto" w:fill="C7C5C5" w:themeFill="text1" w:themeFillTint="3F"/>
    </w:tcPr>
    <w:tblStylePr w:type="firstRow">
      <w:rPr>
        <w:b/>
        <w:bCs/>
      </w:rPr>
    </w:tblStylePr>
    <w:tblStylePr w:type="lastRow">
      <w:rPr>
        <w:b/>
        <w:bCs/>
      </w:rPr>
      <w:tblPr/>
      <w:tcPr>
        <w:tcBorders>
          <w:top w:val="single" w:sz="18" w:space="0" w:color="545151" w:themeColor="text1" w:themeTint="BF"/>
        </w:tcBorders>
      </w:tcPr>
    </w:tblStylePr>
    <w:tblStylePr w:type="firstCol">
      <w:rPr>
        <w:b/>
        <w:bCs/>
      </w:rPr>
    </w:tblStylePr>
    <w:tblStylePr w:type="lastCol">
      <w:rPr>
        <w:b/>
        <w:bCs/>
      </w:rPr>
    </w:tblStylePr>
    <w:tblStylePr w:type="band1Vert">
      <w:tblPr/>
      <w:tcPr>
        <w:shd w:val="clear" w:color="auto" w:fill="8F8A8A" w:themeFill="text1" w:themeFillTint="7F"/>
      </w:tcPr>
    </w:tblStylePr>
    <w:tblStylePr w:type="band1Horz">
      <w:tblPr/>
      <w:tcPr>
        <w:shd w:val="clear" w:color="auto" w:fill="8F8A8A" w:themeFill="text1" w:themeFillTint="7F"/>
      </w:tcPr>
    </w:tblStylePr>
  </w:style>
  <w:style w:type="table" w:styleId="MediumGrid1-Accent1">
    <w:name w:val="Medium Grid 1 Accent 1"/>
    <w:basedOn w:val="TableNormal"/>
    <w:uiPriority w:val="67"/>
    <w:semiHidden/>
    <w:unhideWhenUsed/>
    <w:rsid w:val="00421773"/>
    <w:pPr>
      <w:spacing w:after="0"/>
    </w:pPr>
    <w:rPr>
      <w:rFonts w:eastAsiaTheme="minorHAnsi" w:cs="Arial"/>
      <w:sz w:val="18"/>
      <w:szCs w:val="18"/>
    </w:rPr>
    <w:tblPr>
      <w:tblStyleRowBandSize w:val="1"/>
      <w:tblStyleColBandSize w:val="1"/>
      <w:tblBorders>
        <w:top w:val="single" w:sz="8" w:space="0" w:color="8DCFC7" w:themeColor="accent1" w:themeTint="BF"/>
        <w:left w:val="single" w:sz="8" w:space="0" w:color="8DCFC7" w:themeColor="accent1" w:themeTint="BF"/>
        <w:bottom w:val="single" w:sz="8" w:space="0" w:color="8DCFC7" w:themeColor="accent1" w:themeTint="BF"/>
        <w:right w:val="single" w:sz="8" w:space="0" w:color="8DCFC7" w:themeColor="accent1" w:themeTint="BF"/>
        <w:insideH w:val="single" w:sz="8" w:space="0" w:color="8DCFC7" w:themeColor="accent1" w:themeTint="BF"/>
        <w:insideV w:val="single" w:sz="8" w:space="0" w:color="8DCFC7" w:themeColor="accent1" w:themeTint="BF"/>
      </w:tblBorders>
    </w:tblPr>
    <w:tcPr>
      <w:shd w:val="clear" w:color="auto" w:fill="D9EFEC" w:themeFill="accent1" w:themeFillTint="3F"/>
    </w:tcPr>
    <w:tblStylePr w:type="firstRow">
      <w:rPr>
        <w:b/>
        <w:bCs/>
      </w:rPr>
    </w:tblStylePr>
    <w:tblStylePr w:type="lastRow">
      <w:rPr>
        <w:b/>
        <w:bCs/>
      </w:rPr>
      <w:tblPr/>
      <w:tcPr>
        <w:tcBorders>
          <w:top w:val="single" w:sz="18" w:space="0" w:color="8DCFC7" w:themeColor="accent1" w:themeTint="BF"/>
        </w:tcBorders>
      </w:tcPr>
    </w:tblStylePr>
    <w:tblStylePr w:type="firstCol">
      <w:rPr>
        <w:b/>
        <w:bCs/>
      </w:rPr>
    </w:tblStylePr>
    <w:tblStylePr w:type="lastCol">
      <w:rPr>
        <w:b/>
        <w:bCs/>
      </w:rPr>
    </w:tblStylePr>
    <w:tblStylePr w:type="band1Vert">
      <w:tblPr/>
      <w:tcPr>
        <w:shd w:val="clear" w:color="auto" w:fill="B3DFDA" w:themeFill="accent1" w:themeFillTint="7F"/>
      </w:tcPr>
    </w:tblStylePr>
    <w:tblStylePr w:type="band1Horz">
      <w:tblPr/>
      <w:tcPr>
        <w:shd w:val="clear" w:color="auto" w:fill="B3DFDA" w:themeFill="accent1" w:themeFillTint="7F"/>
      </w:tcPr>
    </w:tblStylePr>
  </w:style>
  <w:style w:type="table" w:styleId="MediumGrid1-Accent2">
    <w:name w:val="Medium Grid 1 Accent 2"/>
    <w:basedOn w:val="TableNormal"/>
    <w:uiPriority w:val="67"/>
    <w:semiHidden/>
    <w:unhideWhenUsed/>
    <w:rsid w:val="00421773"/>
    <w:pPr>
      <w:spacing w:after="0"/>
    </w:pPr>
    <w:rPr>
      <w:rFonts w:eastAsiaTheme="minorHAnsi" w:cs="Arial"/>
      <w:sz w:val="18"/>
      <w:szCs w:val="18"/>
    </w:rPr>
    <w:tblPr>
      <w:tblStyleRowBandSize w:val="1"/>
      <w:tblStyleColBandSize w:val="1"/>
      <w:tblBorders>
        <w:top w:val="single" w:sz="8" w:space="0" w:color="8EC0E7" w:themeColor="accent2" w:themeTint="BF"/>
        <w:left w:val="single" w:sz="8" w:space="0" w:color="8EC0E7" w:themeColor="accent2" w:themeTint="BF"/>
        <w:bottom w:val="single" w:sz="8" w:space="0" w:color="8EC0E7" w:themeColor="accent2" w:themeTint="BF"/>
        <w:right w:val="single" w:sz="8" w:space="0" w:color="8EC0E7" w:themeColor="accent2" w:themeTint="BF"/>
        <w:insideH w:val="single" w:sz="8" w:space="0" w:color="8EC0E7" w:themeColor="accent2" w:themeTint="BF"/>
        <w:insideV w:val="single" w:sz="8" w:space="0" w:color="8EC0E7" w:themeColor="accent2" w:themeTint="BF"/>
      </w:tblBorders>
    </w:tblPr>
    <w:tcPr>
      <w:shd w:val="clear" w:color="auto" w:fill="D9EAF7" w:themeFill="accent2" w:themeFillTint="3F"/>
    </w:tcPr>
    <w:tblStylePr w:type="firstRow">
      <w:rPr>
        <w:b/>
        <w:bCs/>
      </w:rPr>
    </w:tblStylePr>
    <w:tblStylePr w:type="lastRow">
      <w:rPr>
        <w:b/>
        <w:bCs/>
      </w:rPr>
      <w:tblPr/>
      <w:tcPr>
        <w:tcBorders>
          <w:top w:val="single" w:sz="18" w:space="0" w:color="8EC0E7" w:themeColor="accent2" w:themeTint="BF"/>
        </w:tcBorders>
      </w:tcPr>
    </w:tblStylePr>
    <w:tblStylePr w:type="firstCol">
      <w:rPr>
        <w:b/>
        <w:bCs/>
      </w:rPr>
    </w:tblStylePr>
    <w:tblStylePr w:type="lastCol">
      <w:rPr>
        <w:b/>
        <w:bCs/>
      </w:rPr>
    </w:tblStylePr>
    <w:tblStylePr w:type="band1Vert">
      <w:tblPr/>
      <w:tcPr>
        <w:shd w:val="clear" w:color="auto" w:fill="B4D5EF" w:themeFill="accent2" w:themeFillTint="7F"/>
      </w:tcPr>
    </w:tblStylePr>
    <w:tblStylePr w:type="band1Horz">
      <w:tblPr/>
      <w:tcPr>
        <w:shd w:val="clear" w:color="auto" w:fill="B4D5EF" w:themeFill="accent2" w:themeFillTint="7F"/>
      </w:tcPr>
    </w:tblStylePr>
  </w:style>
  <w:style w:type="table" w:styleId="MediumGrid1-Accent3">
    <w:name w:val="Medium Grid 1 Accent 3"/>
    <w:basedOn w:val="TableNormal"/>
    <w:uiPriority w:val="67"/>
    <w:semiHidden/>
    <w:unhideWhenUsed/>
    <w:rsid w:val="00421773"/>
    <w:pPr>
      <w:spacing w:after="0"/>
    </w:pPr>
    <w:rPr>
      <w:rFonts w:eastAsiaTheme="minorHAnsi" w:cs="Arial"/>
      <w:sz w:val="18"/>
      <w:szCs w:val="18"/>
    </w:rPr>
    <w:tblPr>
      <w:tblStyleRowBandSize w:val="1"/>
      <w:tblStyleColBandSize w:val="1"/>
      <w:tblBorders>
        <w:top w:val="single" w:sz="8" w:space="0" w:color="8A8FC3" w:themeColor="accent3" w:themeTint="BF"/>
        <w:left w:val="single" w:sz="8" w:space="0" w:color="8A8FC3" w:themeColor="accent3" w:themeTint="BF"/>
        <w:bottom w:val="single" w:sz="8" w:space="0" w:color="8A8FC3" w:themeColor="accent3" w:themeTint="BF"/>
        <w:right w:val="single" w:sz="8" w:space="0" w:color="8A8FC3" w:themeColor="accent3" w:themeTint="BF"/>
        <w:insideH w:val="single" w:sz="8" w:space="0" w:color="8A8FC3" w:themeColor="accent3" w:themeTint="BF"/>
        <w:insideV w:val="single" w:sz="8" w:space="0" w:color="8A8FC3" w:themeColor="accent3" w:themeTint="BF"/>
      </w:tblBorders>
    </w:tblPr>
    <w:tcPr>
      <w:shd w:val="clear" w:color="auto" w:fill="D8DAEB" w:themeFill="accent3" w:themeFillTint="3F"/>
    </w:tcPr>
    <w:tblStylePr w:type="firstRow">
      <w:rPr>
        <w:b/>
        <w:bCs/>
      </w:rPr>
    </w:tblStylePr>
    <w:tblStylePr w:type="lastRow">
      <w:rPr>
        <w:b/>
        <w:bCs/>
      </w:rPr>
      <w:tblPr/>
      <w:tcPr>
        <w:tcBorders>
          <w:top w:val="single" w:sz="18" w:space="0" w:color="8A8FC3" w:themeColor="accent3" w:themeTint="BF"/>
        </w:tcBorders>
      </w:tcPr>
    </w:tblStylePr>
    <w:tblStylePr w:type="firstCol">
      <w:rPr>
        <w:b/>
        <w:bCs/>
      </w:rPr>
    </w:tblStylePr>
    <w:tblStylePr w:type="lastCol">
      <w:rPr>
        <w:b/>
        <w:bCs/>
      </w:rPr>
    </w:tblStylePr>
    <w:tblStylePr w:type="band1Vert">
      <w:tblPr/>
      <w:tcPr>
        <w:shd w:val="clear" w:color="auto" w:fill="B1B4D7" w:themeFill="accent3" w:themeFillTint="7F"/>
      </w:tcPr>
    </w:tblStylePr>
    <w:tblStylePr w:type="band1Horz">
      <w:tblPr/>
      <w:tcPr>
        <w:shd w:val="clear" w:color="auto" w:fill="B1B4D7" w:themeFill="accent3" w:themeFillTint="7F"/>
      </w:tcPr>
    </w:tblStylePr>
  </w:style>
  <w:style w:type="table" w:styleId="MediumGrid1-Accent4">
    <w:name w:val="Medium Grid 1 Accent 4"/>
    <w:basedOn w:val="TableNormal"/>
    <w:uiPriority w:val="67"/>
    <w:semiHidden/>
    <w:unhideWhenUsed/>
    <w:rsid w:val="00421773"/>
    <w:pPr>
      <w:spacing w:after="0"/>
    </w:pPr>
    <w:rPr>
      <w:rFonts w:eastAsiaTheme="minorHAnsi" w:cs="Arial"/>
      <w:sz w:val="18"/>
      <w:szCs w:val="18"/>
    </w:rPr>
    <w:tblPr>
      <w:tblStyleRowBandSize w:val="1"/>
      <w:tblStyleColBandSize w:val="1"/>
      <w:tblBorders>
        <w:top w:val="single" w:sz="8" w:space="0" w:color="C591C0" w:themeColor="accent4" w:themeTint="BF"/>
        <w:left w:val="single" w:sz="8" w:space="0" w:color="C591C0" w:themeColor="accent4" w:themeTint="BF"/>
        <w:bottom w:val="single" w:sz="8" w:space="0" w:color="C591C0" w:themeColor="accent4" w:themeTint="BF"/>
        <w:right w:val="single" w:sz="8" w:space="0" w:color="C591C0" w:themeColor="accent4" w:themeTint="BF"/>
        <w:insideH w:val="single" w:sz="8" w:space="0" w:color="C591C0" w:themeColor="accent4" w:themeTint="BF"/>
        <w:insideV w:val="single" w:sz="8" w:space="0" w:color="C591C0" w:themeColor="accent4" w:themeTint="BF"/>
      </w:tblBorders>
    </w:tblPr>
    <w:tcPr>
      <w:shd w:val="clear" w:color="auto" w:fill="ECDAEA" w:themeFill="accent4" w:themeFillTint="3F"/>
    </w:tcPr>
    <w:tblStylePr w:type="firstRow">
      <w:rPr>
        <w:b/>
        <w:bCs/>
      </w:rPr>
    </w:tblStylePr>
    <w:tblStylePr w:type="lastRow">
      <w:rPr>
        <w:b/>
        <w:bCs/>
      </w:rPr>
      <w:tblPr/>
      <w:tcPr>
        <w:tcBorders>
          <w:top w:val="single" w:sz="18" w:space="0" w:color="C591C0" w:themeColor="accent4" w:themeTint="BF"/>
        </w:tcBorders>
      </w:tcPr>
    </w:tblStylePr>
    <w:tblStylePr w:type="firstCol">
      <w:rPr>
        <w:b/>
        <w:bCs/>
      </w:rPr>
    </w:tblStylePr>
    <w:tblStylePr w:type="lastCol">
      <w:rPr>
        <w:b/>
        <w:bCs/>
      </w:rPr>
    </w:tblStylePr>
    <w:tblStylePr w:type="band1Vert">
      <w:tblPr/>
      <w:tcPr>
        <w:shd w:val="clear" w:color="auto" w:fill="D8B6D5" w:themeFill="accent4" w:themeFillTint="7F"/>
      </w:tcPr>
    </w:tblStylePr>
    <w:tblStylePr w:type="band1Horz">
      <w:tblPr/>
      <w:tcPr>
        <w:shd w:val="clear" w:color="auto" w:fill="D8B6D5" w:themeFill="accent4" w:themeFillTint="7F"/>
      </w:tcPr>
    </w:tblStylePr>
  </w:style>
  <w:style w:type="table" w:styleId="MediumGrid1-Accent5">
    <w:name w:val="Medium Grid 1 Accent 5"/>
    <w:basedOn w:val="TableNormal"/>
    <w:uiPriority w:val="67"/>
    <w:semiHidden/>
    <w:unhideWhenUsed/>
    <w:rsid w:val="00421773"/>
    <w:pPr>
      <w:spacing w:after="0"/>
    </w:pPr>
    <w:rPr>
      <w:rFonts w:eastAsiaTheme="minorHAnsi" w:cs="Arial"/>
      <w:sz w:val="18"/>
      <w:szCs w:val="18"/>
    </w:rPr>
    <w:tblPr>
      <w:tblStyleRowBandSize w:val="1"/>
      <w:tblStyleColBandSize w:val="1"/>
      <w:tblBorders>
        <w:top w:val="single" w:sz="8" w:space="0" w:color="EDB9D5" w:themeColor="accent5" w:themeTint="BF"/>
        <w:left w:val="single" w:sz="8" w:space="0" w:color="EDB9D5" w:themeColor="accent5" w:themeTint="BF"/>
        <w:bottom w:val="single" w:sz="8" w:space="0" w:color="EDB9D5" w:themeColor="accent5" w:themeTint="BF"/>
        <w:right w:val="single" w:sz="8" w:space="0" w:color="EDB9D5" w:themeColor="accent5" w:themeTint="BF"/>
        <w:insideH w:val="single" w:sz="8" w:space="0" w:color="EDB9D5" w:themeColor="accent5" w:themeTint="BF"/>
        <w:insideV w:val="single" w:sz="8" w:space="0" w:color="EDB9D5" w:themeColor="accent5" w:themeTint="BF"/>
      </w:tblBorders>
    </w:tblPr>
    <w:tcPr>
      <w:shd w:val="clear" w:color="auto" w:fill="F9E7F1" w:themeFill="accent5" w:themeFillTint="3F"/>
    </w:tcPr>
    <w:tblStylePr w:type="firstRow">
      <w:rPr>
        <w:b/>
        <w:bCs/>
      </w:rPr>
    </w:tblStylePr>
    <w:tblStylePr w:type="lastRow">
      <w:rPr>
        <w:b/>
        <w:bCs/>
      </w:rPr>
      <w:tblPr/>
      <w:tcPr>
        <w:tcBorders>
          <w:top w:val="single" w:sz="18" w:space="0" w:color="EDB9D5" w:themeColor="accent5" w:themeTint="BF"/>
        </w:tcBorders>
      </w:tcPr>
    </w:tblStylePr>
    <w:tblStylePr w:type="firstCol">
      <w:rPr>
        <w:b/>
        <w:bCs/>
      </w:rPr>
    </w:tblStylePr>
    <w:tblStylePr w:type="lastCol">
      <w:rPr>
        <w:b/>
        <w:bCs/>
      </w:rPr>
    </w:tblStylePr>
    <w:tblStylePr w:type="band1Vert">
      <w:tblPr/>
      <w:tcPr>
        <w:shd w:val="clear" w:color="auto" w:fill="F3D0E3" w:themeFill="accent5" w:themeFillTint="7F"/>
      </w:tcPr>
    </w:tblStylePr>
    <w:tblStylePr w:type="band1Horz">
      <w:tblPr/>
      <w:tcPr>
        <w:shd w:val="clear" w:color="auto" w:fill="F3D0E3" w:themeFill="accent5" w:themeFillTint="7F"/>
      </w:tcPr>
    </w:tblStylePr>
  </w:style>
  <w:style w:type="table" w:styleId="MediumGrid1-Accent6">
    <w:name w:val="Medium Grid 1 Accent 6"/>
    <w:basedOn w:val="TableNormal"/>
    <w:uiPriority w:val="67"/>
    <w:semiHidden/>
    <w:unhideWhenUsed/>
    <w:rsid w:val="00421773"/>
    <w:pPr>
      <w:spacing w:after="0"/>
    </w:pPr>
    <w:rPr>
      <w:rFonts w:eastAsiaTheme="minorHAnsi" w:cs="Arial"/>
      <w:sz w:val="18"/>
      <w:szCs w:val="18"/>
    </w:rPr>
    <w:tblPr>
      <w:tblStyleRowBandSize w:val="1"/>
      <w:tblStyleColBandSize w:val="1"/>
      <w:tblBorders>
        <w:top w:val="single" w:sz="8" w:space="0" w:color="B4DDF6" w:themeColor="accent6" w:themeTint="BF"/>
        <w:left w:val="single" w:sz="8" w:space="0" w:color="B4DDF6" w:themeColor="accent6" w:themeTint="BF"/>
        <w:bottom w:val="single" w:sz="8" w:space="0" w:color="B4DDF6" w:themeColor="accent6" w:themeTint="BF"/>
        <w:right w:val="single" w:sz="8" w:space="0" w:color="B4DDF6" w:themeColor="accent6" w:themeTint="BF"/>
        <w:insideH w:val="single" w:sz="8" w:space="0" w:color="B4DDF6" w:themeColor="accent6" w:themeTint="BF"/>
        <w:insideV w:val="single" w:sz="8" w:space="0" w:color="B4DDF6" w:themeColor="accent6" w:themeTint="BF"/>
      </w:tblBorders>
    </w:tblPr>
    <w:tcPr>
      <w:shd w:val="clear" w:color="auto" w:fill="E6F3FC" w:themeFill="accent6" w:themeFillTint="3F"/>
    </w:tcPr>
    <w:tblStylePr w:type="firstRow">
      <w:rPr>
        <w:b/>
        <w:bCs/>
      </w:rPr>
    </w:tblStylePr>
    <w:tblStylePr w:type="lastRow">
      <w:rPr>
        <w:b/>
        <w:bCs/>
      </w:rPr>
      <w:tblPr/>
      <w:tcPr>
        <w:tcBorders>
          <w:top w:val="single" w:sz="18" w:space="0" w:color="B4DDF6" w:themeColor="accent6" w:themeTint="BF"/>
        </w:tcBorders>
      </w:tcPr>
    </w:tblStylePr>
    <w:tblStylePr w:type="firstCol">
      <w:rPr>
        <w:b/>
        <w:bCs/>
      </w:rPr>
    </w:tblStylePr>
    <w:tblStylePr w:type="lastCol">
      <w:rPr>
        <w:b/>
        <w:bCs/>
      </w:rPr>
    </w:tblStylePr>
    <w:tblStylePr w:type="band1Vert">
      <w:tblPr/>
      <w:tcPr>
        <w:shd w:val="clear" w:color="auto" w:fill="CDE8F9" w:themeFill="accent6" w:themeFillTint="7F"/>
      </w:tcPr>
    </w:tblStylePr>
    <w:tblStylePr w:type="band1Horz">
      <w:tblPr/>
      <w:tcPr>
        <w:shd w:val="clear" w:color="auto" w:fill="CDE8F9" w:themeFill="accent6" w:themeFillTint="7F"/>
      </w:tcPr>
    </w:tblStylePr>
  </w:style>
  <w:style w:type="table" w:styleId="MediumGrid2">
    <w:name w:val="Medium Grid 2"/>
    <w:basedOn w:val="TableNormal"/>
    <w:uiPriority w:val="68"/>
    <w:semiHidden/>
    <w:unhideWhenUsed/>
    <w:rsid w:val="00421773"/>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1A1919" w:themeColor="text1"/>
        <w:left w:val="single" w:sz="8" w:space="0" w:color="1A1919" w:themeColor="text1"/>
        <w:bottom w:val="single" w:sz="8" w:space="0" w:color="1A1919" w:themeColor="text1"/>
        <w:right w:val="single" w:sz="8" w:space="0" w:color="1A1919" w:themeColor="text1"/>
        <w:insideH w:val="single" w:sz="8" w:space="0" w:color="1A1919" w:themeColor="text1"/>
        <w:insideV w:val="single" w:sz="8" w:space="0" w:color="1A1919" w:themeColor="text1"/>
      </w:tblBorders>
    </w:tblPr>
    <w:tcPr>
      <w:shd w:val="clear" w:color="auto" w:fill="C7C5C5" w:themeFill="text1" w:themeFillTint="3F"/>
    </w:tcPr>
    <w:tblStylePr w:type="firstRow">
      <w:rPr>
        <w:b/>
        <w:bCs/>
        <w:color w:val="1A1919" w:themeColor="text1"/>
      </w:rPr>
      <w:tblPr/>
      <w:tcPr>
        <w:shd w:val="clear" w:color="auto" w:fill="E9E8E8" w:themeFill="text1"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D2D0D0" w:themeFill="text1" w:themeFillTint="33"/>
      </w:tcPr>
    </w:tblStylePr>
    <w:tblStylePr w:type="band1Vert">
      <w:tblPr/>
      <w:tcPr>
        <w:shd w:val="clear" w:color="auto" w:fill="8F8A8A" w:themeFill="text1" w:themeFillTint="7F"/>
      </w:tcPr>
    </w:tblStylePr>
    <w:tblStylePr w:type="band1Horz">
      <w:tblPr/>
      <w:tcPr>
        <w:tcBorders>
          <w:insideH w:val="single" w:sz="6" w:space="0" w:color="1A1919" w:themeColor="text1"/>
          <w:insideV w:val="single" w:sz="6" w:space="0" w:color="1A1919" w:themeColor="text1"/>
        </w:tcBorders>
        <w:shd w:val="clear" w:color="auto" w:fill="8F8A8A"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1773"/>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8C0B5" w:themeColor="accent1"/>
        <w:left w:val="single" w:sz="8" w:space="0" w:color="68C0B5" w:themeColor="accent1"/>
        <w:bottom w:val="single" w:sz="8" w:space="0" w:color="68C0B5" w:themeColor="accent1"/>
        <w:right w:val="single" w:sz="8" w:space="0" w:color="68C0B5" w:themeColor="accent1"/>
        <w:insideH w:val="single" w:sz="8" w:space="0" w:color="68C0B5" w:themeColor="accent1"/>
        <w:insideV w:val="single" w:sz="8" w:space="0" w:color="68C0B5" w:themeColor="accent1"/>
      </w:tblBorders>
    </w:tblPr>
    <w:tcPr>
      <w:shd w:val="clear" w:color="auto" w:fill="D9EFEC" w:themeFill="accent1" w:themeFillTint="3F"/>
    </w:tcPr>
    <w:tblStylePr w:type="firstRow">
      <w:rPr>
        <w:b/>
        <w:bCs/>
        <w:color w:val="1A1919" w:themeColor="text1"/>
      </w:rPr>
      <w:tblPr/>
      <w:tcPr>
        <w:shd w:val="clear" w:color="auto" w:fill="F0F8F7" w:themeFill="accent1"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E0F2F0" w:themeFill="accent1" w:themeFillTint="33"/>
      </w:tcPr>
    </w:tblStylePr>
    <w:tblStylePr w:type="band1Vert">
      <w:tblPr/>
      <w:tcPr>
        <w:shd w:val="clear" w:color="auto" w:fill="B3DFDA" w:themeFill="accent1" w:themeFillTint="7F"/>
      </w:tcPr>
    </w:tblStylePr>
    <w:tblStylePr w:type="band1Horz">
      <w:tblPr/>
      <w:tcPr>
        <w:tcBorders>
          <w:insideH w:val="single" w:sz="6" w:space="0" w:color="68C0B5" w:themeColor="accent1"/>
          <w:insideV w:val="single" w:sz="6" w:space="0" w:color="68C0B5" w:themeColor="accent1"/>
        </w:tcBorders>
        <w:shd w:val="clear" w:color="auto" w:fill="B3DFD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1773"/>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9ACDF" w:themeColor="accent2"/>
        <w:left w:val="single" w:sz="8" w:space="0" w:color="69ACDF" w:themeColor="accent2"/>
        <w:bottom w:val="single" w:sz="8" w:space="0" w:color="69ACDF" w:themeColor="accent2"/>
        <w:right w:val="single" w:sz="8" w:space="0" w:color="69ACDF" w:themeColor="accent2"/>
        <w:insideH w:val="single" w:sz="8" w:space="0" w:color="69ACDF" w:themeColor="accent2"/>
        <w:insideV w:val="single" w:sz="8" w:space="0" w:color="69ACDF" w:themeColor="accent2"/>
      </w:tblBorders>
    </w:tblPr>
    <w:tcPr>
      <w:shd w:val="clear" w:color="auto" w:fill="D9EAF7" w:themeFill="accent2" w:themeFillTint="3F"/>
    </w:tcPr>
    <w:tblStylePr w:type="firstRow">
      <w:rPr>
        <w:b/>
        <w:bCs/>
        <w:color w:val="1A1919" w:themeColor="text1"/>
      </w:rPr>
      <w:tblPr/>
      <w:tcPr>
        <w:shd w:val="clear" w:color="auto" w:fill="F0F6FB" w:themeFill="accent2"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E0EEF8" w:themeFill="accent2" w:themeFillTint="33"/>
      </w:tcPr>
    </w:tblStylePr>
    <w:tblStylePr w:type="band1Vert">
      <w:tblPr/>
      <w:tcPr>
        <w:shd w:val="clear" w:color="auto" w:fill="B4D5EF" w:themeFill="accent2" w:themeFillTint="7F"/>
      </w:tcPr>
    </w:tblStylePr>
    <w:tblStylePr w:type="band1Horz">
      <w:tblPr/>
      <w:tcPr>
        <w:tcBorders>
          <w:insideH w:val="single" w:sz="6" w:space="0" w:color="69ACDF" w:themeColor="accent2"/>
          <w:insideV w:val="single" w:sz="6" w:space="0" w:color="69ACDF" w:themeColor="accent2"/>
        </w:tcBorders>
        <w:shd w:val="clear" w:color="auto" w:fill="B4D5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1773"/>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36AAF" w:themeColor="accent3"/>
        <w:left w:val="single" w:sz="8" w:space="0" w:color="636AAF" w:themeColor="accent3"/>
        <w:bottom w:val="single" w:sz="8" w:space="0" w:color="636AAF" w:themeColor="accent3"/>
        <w:right w:val="single" w:sz="8" w:space="0" w:color="636AAF" w:themeColor="accent3"/>
        <w:insideH w:val="single" w:sz="8" w:space="0" w:color="636AAF" w:themeColor="accent3"/>
        <w:insideV w:val="single" w:sz="8" w:space="0" w:color="636AAF" w:themeColor="accent3"/>
      </w:tblBorders>
    </w:tblPr>
    <w:tcPr>
      <w:shd w:val="clear" w:color="auto" w:fill="D8DAEB" w:themeFill="accent3" w:themeFillTint="3F"/>
    </w:tcPr>
    <w:tblStylePr w:type="firstRow">
      <w:rPr>
        <w:b/>
        <w:bCs/>
        <w:color w:val="1A1919" w:themeColor="text1"/>
      </w:rPr>
      <w:tblPr/>
      <w:tcPr>
        <w:shd w:val="clear" w:color="auto" w:fill="EFF0F7" w:themeFill="accent3"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DFE1EF" w:themeFill="accent3" w:themeFillTint="33"/>
      </w:tcPr>
    </w:tblStylePr>
    <w:tblStylePr w:type="band1Vert">
      <w:tblPr/>
      <w:tcPr>
        <w:shd w:val="clear" w:color="auto" w:fill="B1B4D7" w:themeFill="accent3" w:themeFillTint="7F"/>
      </w:tcPr>
    </w:tblStylePr>
    <w:tblStylePr w:type="band1Horz">
      <w:tblPr/>
      <w:tcPr>
        <w:tcBorders>
          <w:insideH w:val="single" w:sz="6" w:space="0" w:color="636AAF" w:themeColor="accent3"/>
          <w:insideV w:val="single" w:sz="6" w:space="0" w:color="636AAF" w:themeColor="accent3"/>
        </w:tcBorders>
        <w:shd w:val="clear" w:color="auto" w:fill="B1B4D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1773"/>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B26DAB" w:themeColor="accent4"/>
        <w:left w:val="single" w:sz="8" w:space="0" w:color="B26DAB" w:themeColor="accent4"/>
        <w:bottom w:val="single" w:sz="8" w:space="0" w:color="B26DAB" w:themeColor="accent4"/>
        <w:right w:val="single" w:sz="8" w:space="0" w:color="B26DAB" w:themeColor="accent4"/>
        <w:insideH w:val="single" w:sz="8" w:space="0" w:color="B26DAB" w:themeColor="accent4"/>
        <w:insideV w:val="single" w:sz="8" w:space="0" w:color="B26DAB" w:themeColor="accent4"/>
      </w:tblBorders>
    </w:tblPr>
    <w:tcPr>
      <w:shd w:val="clear" w:color="auto" w:fill="ECDAEA" w:themeFill="accent4" w:themeFillTint="3F"/>
    </w:tcPr>
    <w:tblStylePr w:type="firstRow">
      <w:rPr>
        <w:b/>
        <w:bCs/>
        <w:color w:val="1A1919" w:themeColor="text1"/>
      </w:rPr>
      <w:tblPr/>
      <w:tcPr>
        <w:shd w:val="clear" w:color="auto" w:fill="F7F0F6" w:themeFill="accent4"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EFE1EE" w:themeFill="accent4" w:themeFillTint="33"/>
      </w:tcPr>
    </w:tblStylePr>
    <w:tblStylePr w:type="band1Vert">
      <w:tblPr/>
      <w:tcPr>
        <w:shd w:val="clear" w:color="auto" w:fill="D8B6D5" w:themeFill="accent4" w:themeFillTint="7F"/>
      </w:tcPr>
    </w:tblStylePr>
    <w:tblStylePr w:type="band1Horz">
      <w:tblPr/>
      <w:tcPr>
        <w:tcBorders>
          <w:insideH w:val="single" w:sz="6" w:space="0" w:color="B26DAB" w:themeColor="accent4"/>
          <w:insideV w:val="single" w:sz="6" w:space="0" w:color="B26DAB" w:themeColor="accent4"/>
        </w:tcBorders>
        <w:shd w:val="clear" w:color="auto" w:fill="D8B6D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1773"/>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E7A2C8" w:themeColor="accent5"/>
        <w:left w:val="single" w:sz="8" w:space="0" w:color="E7A2C8" w:themeColor="accent5"/>
        <w:bottom w:val="single" w:sz="8" w:space="0" w:color="E7A2C8" w:themeColor="accent5"/>
        <w:right w:val="single" w:sz="8" w:space="0" w:color="E7A2C8" w:themeColor="accent5"/>
        <w:insideH w:val="single" w:sz="8" w:space="0" w:color="E7A2C8" w:themeColor="accent5"/>
        <w:insideV w:val="single" w:sz="8" w:space="0" w:color="E7A2C8" w:themeColor="accent5"/>
      </w:tblBorders>
    </w:tblPr>
    <w:tcPr>
      <w:shd w:val="clear" w:color="auto" w:fill="F9E7F1" w:themeFill="accent5" w:themeFillTint="3F"/>
    </w:tcPr>
    <w:tblStylePr w:type="firstRow">
      <w:rPr>
        <w:b/>
        <w:bCs/>
        <w:color w:val="1A1919" w:themeColor="text1"/>
      </w:rPr>
      <w:tblPr/>
      <w:tcPr>
        <w:shd w:val="clear" w:color="auto" w:fill="FCF5F9" w:themeFill="accent5"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FAECF3" w:themeFill="accent5" w:themeFillTint="33"/>
      </w:tcPr>
    </w:tblStylePr>
    <w:tblStylePr w:type="band1Vert">
      <w:tblPr/>
      <w:tcPr>
        <w:shd w:val="clear" w:color="auto" w:fill="F3D0E3" w:themeFill="accent5" w:themeFillTint="7F"/>
      </w:tcPr>
    </w:tblStylePr>
    <w:tblStylePr w:type="band1Horz">
      <w:tblPr/>
      <w:tcPr>
        <w:tcBorders>
          <w:insideH w:val="single" w:sz="6" w:space="0" w:color="E7A2C8" w:themeColor="accent5"/>
          <w:insideV w:val="single" w:sz="6" w:space="0" w:color="E7A2C8" w:themeColor="accent5"/>
        </w:tcBorders>
        <w:shd w:val="clear" w:color="auto" w:fill="F3D0E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1773"/>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9CD2F4" w:themeColor="accent6"/>
        <w:left w:val="single" w:sz="8" w:space="0" w:color="9CD2F4" w:themeColor="accent6"/>
        <w:bottom w:val="single" w:sz="8" w:space="0" w:color="9CD2F4" w:themeColor="accent6"/>
        <w:right w:val="single" w:sz="8" w:space="0" w:color="9CD2F4" w:themeColor="accent6"/>
        <w:insideH w:val="single" w:sz="8" w:space="0" w:color="9CD2F4" w:themeColor="accent6"/>
        <w:insideV w:val="single" w:sz="8" w:space="0" w:color="9CD2F4" w:themeColor="accent6"/>
      </w:tblBorders>
    </w:tblPr>
    <w:tcPr>
      <w:shd w:val="clear" w:color="auto" w:fill="E6F3FC" w:themeFill="accent6" w:themeFillTint="3F"/>
    </w:tcPr>
    <w:tblStylePr w:type="firstRow">
      <w:rPr>
        <w:b/>
        <w:bCs/>
        <w:color w:val="1A1919" w:themeColor="text1"/>
      </w:rPr>
      <w:tblPr/>
      <w:tcPr>
        <w:shd w:val="clear" w:color="auto" w:fill="F5FAFE" w:themeFill="accent6"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EBF5FC" w:themeFill="accent6" w:themeFillTint="33"/>
      </w:tcPr>
    </w:tblStylePr>
    <w:tblStylePr w:type="band1Vert">
      <w:tblPr/>
      <w:tcPr>
        <w:shd w:val="clear" w:color="auto" w:fill="CDE8F9" w:themeFill="accent6" w:themeFillTint="7F"/>
      </w:tcPr>
    </w:tblStylePr>
    <w:tblStylePr w:type="band1Horz">
      <w:tblPr/>
      <w:tcPr>
        <w:tcBorders>
          <w:insideH w:val="single" w:sz="6" w:space="0" w:color="9CD2F4" w:themeColor="accent6"/>
          <w:insideV w:val="single" w:sz="6" w:space="0" w:color="9CD2F4" w:themeColor="accent6"/>
        </w:tcBorders>
        <w:shd w:val="clear" w:color="auto" w:fill="CDE8F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1773"/>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5C5"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191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191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191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191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8A8A"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8A8A" w:themeFill="text1" w:themeFillTint="7F"/>
      </w:tcPr>
    </w:tblStylePr>
  </w:style>
  <w:style w:type="table" w:styleId="MediumGrid3-Accent1">
    <w:name w:val="Medium Grid 3 Accent 1"/>
    <w:basedOn w:val="TableNormal"/>
    <w:uiPriority w:val="69"/>
    <w:semiHidden/>
    <w:unhideWhenUsed/>
    <w:rsid w:val="00421773"/>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F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8C0B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8C0B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8C0B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8C0B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DFD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DFDA" w:themeFill="accent1" w:themeFillTint="7F"/>
      </w:tcPr>
    </w:tblStylePr>
  </w:style>
  <w:style w:type="table" w:styleId="MediumGrid3-Accent2">
    <w:name w:val="Medium Grid 3 Accent 2"/>
    <w:basedOn w:val="TableNormal"/>
    <w:uiPriority w:val="69"/>
    <w:semiHidden/>
    <w:unhideWhenUsed/>
    <w:rsid w:val="00421773"/>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A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AC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AC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AC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AC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5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5EF" w:themeFill="accent2" w:themeFillTint="7F"/>
      </w:tcPr>
    </w:tblStylePr>
  </w:style>
  <w:style w:type="table" w:styleId="MediumGrid3-Accent3">
    <w:name w:val="Medium Grid 3 Accent 3"/>
    <w:basedOn w:val="TableNormal"/>
    <w:uiPriority w:val="69"/>
    <w:semiHidden/>
    <w:unhideWhenUsed/>
    <w:rsid w:val="00421773"/>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A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6AA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6AA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6AA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6AA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4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4D7" w:themeFill="accent3" w:themeFillTint="7F"/>
      </w:tcPr>
    </w:tblStylePr>
  </w:style>
  <w:style w:type="table" w:styleId="MediumGrid3-Accent4">
    <w:name w:val="Medium Grid 3 Accent 4"/>
    <w:basedOn w:val="TableNormal"/>
    <w:uiPriority w:val="69"/>
    <w:semiHidden/>
    <w:unhideWhenUsed/>
    <w:rsid w:val="00421773"/>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A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DA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DA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DA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DA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B6D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B6D5" w:themeFill="accent4" w:themeFillTint="7F"/>
      </w:tcPr>
    </w:tblStylePr>
  </w:style>
  <w:style w:type="table" w:styleId="MediumGrid3-Accent5">
    <w:name w:val="Medium Grid 3 Accent 5"/>
    <w:basedOn w:val="TableNormal"/>
    <w:uiPriority w:val="69"/>
    <w:semiHidden/>
    <w:unhideWhenUsed/>
    <w:rsid w:val="00421773"/>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7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A2C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A2C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A2C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A2C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0E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0E3" w:themeFill="accent5" w:themeFillTint="7F"/>
      </w:tcPr>
    </w:tblStylePr>
  </w:style>
  <w:style w:type="table" w:styleId="MediumGrid3-Accent6">
    <w:name w:val="Medium Grid 3 Accent 6"/>
    <w:basedOn w:val="TableNormal"/>
    <w:uiPriority w:val="69"/>
    <w:semiHidden/>
    <w:unhideWhenUsed/>
    <w:rsid w:val="00421773"/>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F3F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D2F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D2F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D2F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D2F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E8F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E8F9" w:themeFill="accent6" w:themeFillTint="7F"/>
      </w:tcPr>
    </w:tblStylePr>
  </w:style>
  <w:style w:type="table" w:styleId="MediumList1">
    <w:name w:val="Medium List 1"/>
    <w:basedOn w:val="TableNormal"/>
    <w:uiPriority w:val="65"/>
    <w:semiHidden/>
    <w:unhideWhenUsed/>
    <w:rsid w:val="00421773"/>
    <w:pPr>
      <w:spacing w:after="0"/>
    </w:pPr>
    <w:rPr>
      <w:rFonts w:eastAsiaTheme="minorHAnsi" w:cs="Arial"/>
      <w:color w:val="1A1919" w:themeColor="text1"/>
      <w:sz w:val="18"/>
      <w:szCs w:val="18"/>
    </w:rPr>
    <w:tblPr>
      <w:tblStyleRowBandSize w:val="1"/>
      <w:tblStyleColBandSize w:val="1"/>
      <w:tblBorders>
        <w:top w:val="single" w:sz="8" w:space="0" w:color="1A1919" w:themeColor="text1"/>
        <w:bottom w:val="single" w:sz="8" w:space="0" w:color="1A1919" w:themeColor="text1"/>
      </w:tblBorders>
    </w:tblPr>
    <w:tblStylePr w:type="firstRow">
      <w:rPr>
        <w:rFonts w:asciiTheme="majorHAnsi" w:eastAsiaTheme="majorEastAsia" w:hAnsiTheme="majorHAnsi" w:cstheme="majorBidi"/>
      </w:rPr>
      <w:tblPr/>
      <w:tcPr>
        <w:tcBorders>
          <w:top w:val="nil"/>
          <w:bottom w:val="single" w:sz="8" w:space="0" w:color="1A1919" w:themeColor="text1"/>
        </w:tcBorders>
      </w:tcPr>
    </w:tblStylePr>
    <w:tblStylePr w:type="lastRow">
      <w:rPr>
        <w:b/>
        <w:bCs/>
        <w:color w:val="666666" w:themeColor="text2"/>
      </w:rPr>
      <w:tblPr/>
      <w:tcPr>
        <w:tcBorders>
          <w:top w:val="single" w:sz="8" w:space="0" w:color="1A1919" w:themeColor="text1"/>
          <w:bottom w:val="single" w:sz="8" w:space="0" w:color="1A1919" w:themeColor="text1"/>
        </w:tcBorders>
      </w:tcPr>
    </w:tblStylePr>
    <w:tblStylePr w:type="firstCol">
      <w:rPr>
        <w:b/>
        <w:bCs/>
      </w:rPr>
    </w:tblStylePr>
    <w:tblStylePr w:type="lastCol">
      <w:rPr>
        <w:b/>
        <w:bCs/>
      </w:rPr>
      <w:tblPr/>
      <w:tcPr>
        <w:tcBorders>
          <w:top w:val="single" w:sz="8" w:space="0" w:color="1A1919" w:themeColor="text1"/>
          <w:bottom w:val="single" w:sz="8" w:space="0" w:color="1A1919" w:themeColor="text1"/>
        </w:tcBorders>
      </w:tcPr>
    </w:tblStylePr>
    <w:tblStylePr w:type="band1Vert">
      <w:tblPr/>
      <w:tcPr>
        <w:shd w:val="clear" w:color="auto" w:fill="C7C5C5" w:themeFill="text1" w:themeFillTint="3F"/>
      </w:tcPr>
    </w:tblStylePr>
    <w:tblStylePr w:type="band1Horz">
      <w:tblPr/>
      <w:tcPr>
        <w:shd w:val="clear" w:color="auto" w:fill="C7C5C5" w:themeFill="text1" w:themeFillTint="3F"/>
      </w:tcPr>
    </w:tblStylePr>
  </w:style>
  <w:style w:type="table" w:styleId="MediumList1-Accent1">
    <w:name w:val="Medium List 1 Accent 1"/>
    <w:basedOn w:val="TableNormal"/>
    <w:uiPriority w:val="65"/>
    <w:semiHidden/>
    <w:unhideWhenUsed/>
    <w:rsid w:val="00421773"/>
    <w:pPr>
      <w:spacing w:after="0"/>
    </w:pPr>
    <w:rPr>
      <w:rFonts w:eastAsiaTheme="minorHAnsi" w:cs="Arial"/>
      <w:color w:val="1A1919" w:themeColor="text1"/>
      <w:sz w:val="18"/>
      <w:szCs w:val="18"/>
    </w:rPr>
    <w:tblPr>
      <w:tblStyleRowBandSize w:val="1"/>
      <w:tblStyleColBandSize w:val="1"/>
      <w:tblBorders>
        <w:top w:val="single" w:sz="8" w:space="0" w:color="68C0B5" w:themeColor="accent1"/>
        <w:bottom w:val="single" w:sz="8" w:space="0" w:color="68C0B5" w:themeColor="accent1"/>
      </w:tblBorders>
    </w:tblPr>
    <w:tblStylePr w:type="firstRow">
      <w:rPr>
        <w:rFonts w:asciiTheme="majorHAnsi" w:eastAsiaTheme="majorEastAsia" w:hAnsiTheme="majorHAnsi" w:cstheme="majorBidi"/>
      </w:rPr>
      <w:tblPr/>
      <w:tcPr>
        <w:tcBorders>
          <w:top w:val="nil"/>
          <w:bottom w:val="single" w:sz="8" w:space="0" w:color="68C0B5" w:themeColor="accent1"/>
        </w:tcBorders>
      </w:tcPr>
    </w:tblStylePr>
    <w:tblStylePr w:type="lastRow">
      <w:rPr>
        <w:b/>
        <w:bCs/>
        <w:color w:val="666666" w:themeColor="text2"/>
      </w:rPr>
      <w:tblPr/>
      <w:tcPr>
        <w:tcBorders>
          <w:top w:val="single" w:sz="8" w:space="0" w:color="68C0B5" w:themeColor="accent1"/>
          <w:bottom w:val="single" w:sz="8" w:space="0" w:color="68C0B5" w:themeColor="accent1"/>
        </w:tcBorders>
      </w:tcPr>
    </w:tblStylePr>
    <w:tblStylePr w:type="firstCol">
      <w:rPr>
        <w:b/>
        <w:bCs/>
      </w:rPr>
    </w:tblStylePr>
    <w:tblStylePr w:type="lastCol">
      <w:rPr>
        <w:b/>
        <w:bCs/>
      </w:rPr>
      <w:tblPr/>
      <w:tcPr>
        <w:tcBorders>
          <w:top w:val="single" w:sz="8" w:space="0" w:color="68C0B5" w:themeColor="accent1"/>
          <w:bottom w:val="single" w:sz="8" w:space="0" w:color="68C0B5" w:themeColor="accent1"/>
        </w:tcBorders>
      </w:tcPr>
    </w:tblStylePr>
    <w:tblStylePr w:type="band1Vert">
      <w:tblPr/>
      <w:tcPr>
        <w:shd w:val="clear" w:color="auto" w:fill="D9EFEC" w:themeFill="accent1" w:themeFillTint="3F"/>
      </w:tcPr>
    </w:tblStylePr>
    <w:tblStylePr w:type="band1Horz">
      <w:tblPr/>
      <w:tcPr>
        <w:shd w:val="clear" w:color="auto" w:fill="D9EFEC" w:themeFill="accent1" w:themeFillTint="3F"/>
      </w:tcPr>
    </w:tblStylePr>
  </w:style>
  <w:style w:type="table" w:styleId="MediumList1-Accent2">
    <w:name w:val="Medium List 1 Accent 2"/>
    <w:basedOn w:val="TableNormal"/>
    <w:uiPriority w:val="65"/>
    <w:semiHidden/>
    <w:unhideWhenUsed/>
    <w:rsid w:val="00421773"/>
    <w:pPr>
      <w:spacing w:after="0"/>
    </w:pPr>
    <w:rPr>
      <w:rFonts w:eastAsiaTheme="minorHAnsi" w:cs="Arial"/>
      <w:color w:val="1A1919" w:themeColor="text1"/>
      <w:sz w:val="18"/>
      <w:szCs w:val="18"/>
    </w:rPr>
    <w:tblPr>
      <w:tblStyleRowBandSize w:val="1"/>
      <w:tblStyleColBandSize w:val="1"/>
      <w:tblBorders>
        <w:top w:val="single" w:sz="8" w:space="0" w:color="69ACDF" w:themeColor="accent2"/>
        <w:bottom w:val="single" w:sz="8" w:space="0" w:color="69ACDF" w:themeColor="accent2"/>
      </w:tblBorders>
    </w:tblPr>
    <w:tblStylePr w:type="firstRow">
      <w:rPr>
        <w:rFonts w:asciiTheme="majorHAnsi" w:eastAsiaTheme="majorEastAsia" w:hAnsiTheme="majorHAnsi" w:cstheme="majorBidi"/>
      </w:rPr>
      <w:tblPr/>
      <w:tcPr>
        <w:tcBorders>
          <w:top w:val="nil"/>
          <w:bottom w:val="single" w:sz="8" w:space="0" w:color="69ACDF" w:themeColor="accent2"/>
        </w:tcBorders>
      </w:tcPr>
    </w:tblStylePr>
    <w:tblStylePr w:type="lastRow">
      <w:rPr>
        <w:b/>
        <w:bCs/>
        <w:color w:val="666666" w:themeColor="text2"/>
      </w:rPr>
      <w:tblPr/>
      <w:tcPr>
        <w:tcBorders>
          <w:top w:val="single" w:sz="8" w:space="0" w:color="69ACDF" w:themeColor="accent2"/>
          <w:bottom w:val="single" w:sz="8" w:space="0" w:color="69ACDF" w:themeColor="accent2"/>
        </w:tcBorders>
      </w:tcPr>
    </w:tblStylePr>
    <w:tblStylePr w:type="firstCol">
      <w:rPr>
        <w:b/>
        <w:bCs/>
      </w:rPr>
    </w:tblStylePr>
    <w:tblStylePr w:type="lastCol">
      <w:rPr>
        <w:b/>
        <w:bCs/>
      </w:rPr>
      <w:tblPr/>
      <w:tcPr>
        <w:tcBorders>
          <w:top w:val="single" w:sz="8" w:space="0" w:color="69ACDF" w:themeColor="accent2"/>
          <w:bottom w:val="single" w:sz="8" w:space="0" w:color="69ACDF" w:themeColor="accent2"/>
        </w:tcBorders>
      </w:tcPr>
    </w:tblStylePr>
    <w:tblStylePr w:type="band1Vert">
      <w:tblPr/>
      <w:tcPr>
        <w:shd w:val="clear" w:color="auto" w:fill="D9EAF7" w:themeFill="accent2" w:themeFillTint="3F"/>
      </w:tcPr>
    </w:tblStylePr>
    <w:tblStylePr w:type="band1Horz">
      <w:tblPr/>
      <w:tcPr>
        <w:shd w:val="clear" w:color="auto" w:fill="D9EAF7" w:themeFill="accent2" w:themeFillTint="3F"/>
      </w:tcPr>
    </w:tblStylePr>
  </w:style>
  <w:style w:type="table" w:styleId="MediumList1-Accent3">
    <w:name w:val="Medium List 1 Accent 3"/>
    <w:basedOn w:val="TableNormal"/>
    <w:uiPriority w:val="65"/>
    <w:semiHidden/>
    <w:unhideWhenUsed/>
    <w:rsid w:val="00421773"/>
    <w:pPr>
      <w:spacing w:after="0"/>
    </w:pPr>
    <w:rPr>
      <w:rFonts w:eastAsiaTheme="minorHAnsi" w:cs="Arial"/>
      <w:color w:val="1A1919" w:themeColor="text1"/>
      <w:sz w:val="18"/>
      <w:szCs w:val="18"/>
    </w:rPr>
    <w:tblPr>
      <w:tblStyleRowBandSize w:val="1"/>
      <w:tblStyleColBandSize w:val="1"/>
      <w:tblBorders>
        <w:top w:val="single" w:sz="8" w:space="0" w:color="636AAF" w:themeColor="accent3"/>
        <w:bottom w:val="single" w:sz="8" w:space="0" w:color="636AAF" w:themeColor="accent3"/>
      </w:tblBorders>
    </w:tblPr>
    <w:tblStylePr w:type="firstRow">
      <w:rPr>
        <w:rFonts w:asciiTheme="majorHAnsi" w:eastAsiaTheme="majorEastAsia" w:hAnsiTheme="majorHAnsi" w:cstheme="majorBidi"/>
      </w:rPr>
      <w:tblPr/>
      <w:tcPr>
        <w:tcBorders>
          <w:top w:val="nil"/>
          <w:bottom w:val="single" w:sz="8" w:space="0" w:color="636AAF" w:themeColor="accent3"/>
        </w:tcBorders>
      </w:tcPr>
    </w:tblStylePr>
    <w:tblStylePr w:type="lastRow">
      <w:rPr>
        <w:b/>
        <w:bCs/>
        <w:color w:val="666666" w:themeColor="text2"/>
      </w:rPr>
      <w:tblPr/>
      <w:tcPr>
        <w:tcBorders>
          <w:top w:val="single" w:sz="8" w:space="0" w:color="636AAF" w:themeColor="accent3"/>
          <w:bottom w:val="single" w:sz="8" w:space="0" w:color="636AAF" w:themeColor="accent3"/>
        </w:tcBorders>
      </w:tcPr>
    </w:tblStylePr>
    <w:tblStylePr w:type="firstCol">
      <w:rPr>
        <w:b/>
        <w:bCs/>
      </w:rPr>
    </w:tblStylePr>
    <w:tblStylePr w:type="lastCol">
      <w:rPr>
        <w:b/>
        <w:bCs/>
      </w:rPr>
      <w:tblPr/>
      <w:tcPr>
        <w:tcBorders>
          <w:top w:val="single" w:sz="8" w:space="0" w:color="636AAF" w:themeColor="accent3"/>
          <w:bottom w:val="single" w:sz="8" w:space="0" w:color="636AAF" w:themeColor="accent3"/>
        </w:tcBorders>
      </w:tcPr>
    </w:tblStylePr>
    <w:tblStylePr w:type="band1Vert">
      <w:tblPr/>
      <w:tcPr>
        <w:shd w:val="clear" w:color="auto" w:fill="D8DAEB" w:themeFill="accent3" w:themeFillTint="3F"/>
      </w:tcPr>
    </w:tblStylePr>
    <w:tblStylePr w:type="band1Horz">
      <w:tblPr/>
      <w:tcPr>
        <w:shd w:val="clear" w:color="auto" w:fill="D8DAEB" w:themeFill="accent3" w:themeFillTint="3F"/>
      </w:tcPr>
    </w:tblStylePr>
  </w:style>
  <w:style w:type="table" w:styleId="MediumList1-Accent4">
    <w:name w:val="Medium List 1 Accent 4"/>
    <w:basedOn w:val="TableNormal"/>
    <w:uiPriority w:val="65"/>
    <w:semiHidden/>
    <w:unhideWhenUsed/>
    <w:rsid w:val="00421773"/>
    <w:pPr>
      <w:spacing w:after="0"/>
    </w:pPr>
    <w:rPr>
      <w:rFonts w:eastAsiaTheme="minorHAnsi" w:cs="Arial"/>
      <w:color w:val="1A1919" w:themeColor="text1"/>
      <w:sz w:val="18"/>
      <w:szCs w:val="18"/>
    </w:rPr>
    <w:tblPr>
      <w:tblStyleRowBandSize w:val="1"/>
      <w:tblStyleColBandSize w:val="1"/>
      <w:tblBorders>
        <w:top w:val="single" w:sz="8" w:space="0" w:color="B26DAB" w:themeColor="accent4"/>
        <w:bottom w:val="single" w:sz="8" w:space="0" w:color="B26DAB" w:themeColor="accent4"/>
      </w:tblBorders>
    </w:tblPr>
    <w:tblStylePr w:type="firstRow">
      <w:rPr>
        <w:rFonts w:asciiTheme="majorHAnsi" w:eastAsiaTheme="majorEastAsia" w:hAnsiTheme="majorHAnsi" w:cstheme="majorBidi"/>
      </w:rPr>
      <w:tblPr/>
      <w:tcPr>
        <w:tcBorders>
          <w:top w:val="nil"/>
          <w:bottom w:val="single" w:sz="8" w:space="0" w:color="B26DAB" w:themeColor="accent4"/>
        </w:tcBorders>
      </w:tcPr>
    </w:tblStylePr>
    <w:tblStylePr w:type="lastRow">
      <w:rPr>
        <w:b/>
        <w:bCs/>
        <w:color w:val="666666" w:themeColor="text2"/>
      </w:rPr>
      <w:tblPr/>
      <w:tcPr>
        <w:tcBorders>
          <w:top w:val="single" w:sz="8" w:space="0" w:color="B26DAB" w:themeColor="accent4"/>
          <w:bottom w:val="single" w:sz="8" w:space="0" w:color="B26DAB" w:themeColor="accent4"/>
        </w:tcBorders>
      </w:tcPr>
    </w:tblStylePr>
    <w:tblStylePr w:type="firstCol">
      <w:rPr>
        <w:b/>
        <w:bCs/>
      </w:rPr>
    </w:tblStylePr>
    <w:tblStylePr w:type="lastCol">
      <w:rPr>
        <w:b/>
        <w:bCs/>
      </w:rPr>
      <w:tblPr/>
      <w:tcPr>
        <w:tcBorders>
          <w:top w:val="single" w:sz="8" w:space="0" w:color="B26DAB" w:themeColor="accent4"/>
          <w:bottom w:val="single" w:sz="8" w:space="0" w:color="B26DAB" w:themeColor="accent4"/>
        </w:tcBorders>
      </w:tcPr>
    </w:tblStylePr>
    <w:tblStylePr w:type="band1Vert">
      <w:tblPr/>
      <w:tcPr>
        <w:shd w:val="clear" w:color="auto" w:fill="ECDAEA" w:themeFill="accent4" w:themeFillTint="3F"/>
      </w:tcPr>
    </w:tblStylePr>
    <w:tblStylePr w:type="band1Horz">
      <w:tblPr/>
      <w:tcPr>
        <w:shd w:val="clear" w:color="auto" w:fill="ECDAEA" w:themeFill="accent4" w:themeFillTint="3F"/>
      </w:tcPr>
    </w:tblStylePr>
  </w:style>
  <w:style w:type="table" w:styleId="MediumList1-Accent5">
    <w:name w:val="Medium List 1 Accent 5"/>
    <w:basedOn w:val="TableNormal"/>
    <w:uiPriority w:val="65"/>
    <w:semiHidden/>
    <w:unhideWhenUsed/>
    <w:rsid w:val="00421773"/>
    <w:pPr>
      <w:spacing w:after="0"/>
    </w:pPr>
    <w:rPr>
      <w:rFonts w:eastAsiaTheme="minorHAnsi" w:cs="Arial"/>
      <w:color w:val="1A1919" w:themeColor="text1"/>
      <w:sz w:val="18"/>
      <w:szCs w:val="18"/>
    </w:rPr>
    <w:tblPr>
      <w:tblStyleRowBandSize w:val="1"/>
      <w:tblStyleColBandSize w:val="1"/>
      <w:tblBorders>
        <w:top w:val="single" w:sz="8" w:space="0" w:color="E7A2C8" w:themeColor="accent5"/>
        <w:bottom w:val="single" w:sz="8" w:space="0" w:color="E7A2C8" w:themeColor="accent5"/>
      </w:tblBorders>
    </w:tblPr>
    <w:tblStylePr w:type="firstRow">
      <w:rPr>
        <w:rFonts w:asciiTheme="majorHAnsi" w:eastAsiaTheme="majorEastAsia" w:hAnsiTheme="majorHAnsi" w:cstheme="majorBidi"/>
      </w:rPr>
      <w:tblPr/>
      <w:tcPr>
        <w:tcBorders>
          <w:top w:val="nil"/>
          <w:bottom w:val="single" w:sz="8" w:space="0" w:color="E7A2C8" w:themeColor="accent5"/>
        </w:tcBorders>
      </w:tcPr>
    </w:tblStylePr>
    <w:tblStylePr w:type="lastRow">
      <w:rPr>
        <w:b/>
        <w:bCs/>
        <w:color w:val="666666" w:themeColor="text2"/>
      </w:rPr>
      <w:tblPr/>
      <w:tcPr>
        <w:tcBorders>
          <w:top w:val="single" w:sz="8" w:space="0" w:color="E7A2C8" w:themeColor="accent5"/>
          <w:bottom w:val="single" w:sz="8" w:space="0" w:color="E7A2C8" w:themeColor="accent5"/>
        </w:tcBorders>
      </w:tcPr>
    </w:tblStylePr>
    <w:tblStylePr w:type="firstCol">
      <w:rPr>
        <w:b/>
        <w:bCs/>
      </w:rPr>
    </w:tblStylePr>
    <w:tblStylePr w:type="lastCol">
      <w:rPr>
        <w:b/>
        <w:bCs/>
      </w:rPr>
      <w:tblPr/>
      <w:tcPr>
        <w:tcBorders>
          <w:top w:val="single" w:sz="8" w:space="0" w:color="E7A2C8" w:themeColor="accent5"/>
          <w:bottom w:val="single" w:sz="8" w:space="0" w:color="E7A2C8" w:themeColor="accent5"/>
        </w:tcBorders>
      </w:tcPr>
    </w:tblStylePr>
    <w:tblStylePr w:type="band1Vert">
      <w:tblPr/>
      <w:tcPr>
        <w:shd w:val="clear" w:color="auto" w:fill="F9E7F1" w:themeFill="accent5" w:themeFillTint="3F"/>
      </w:tcPr>
    </w:tblStylePr>
    <w:tblStylePr w:type="band1Horz">
      <w:tblPr/>
      <w:tcPr>
        <w:shd w:val="clear" w:color="auto" w:fill="F9E7F1" w:themeFill="accent5" w:themeFillTint="3F"/>
      </w:tcPr>
    </w:tblStylePr>
  </w:style>
  <w:style w:type="table" w:styleId="MediumList1-Accent6">
    <w:name w:val="Medium List 1 Accent 6"/>
    <w:basedOn w:val="TableNormal"/>
    <w:uiPriority w:val="65"/>
    <w:semiHidden/>
    <w:unhideWhenUsed/>
    <w:rsid w:val="00421773"/>
    <w:pPr>
      <w:spacing w:after="0"/>
    </w:pPr>
    <w:rPr>
      <w:rFonts w:eastAsiaTheme="minorHAnsi" w:cs="Arial"/>
      <w:color w:val="1A1919" w:themeColor="text1"/>
      <w:sz w:val="18"/>
      <w:szCs w:val="18"/>
    </w:rPr>
    <w:tblPr>
      <w:tblStyleRowBandSize w:val="1"/>
      <w:tblStyleColBandSize w:val="1"/>
      <w:tblBorders>
        <w:top w:val="single" w:sz="8" w:space="0" w:color="9CD2F4" w:themeColor="accent6"/>
        <w:bottom w:val="single" w:sz="8" w:space="0" w:color="9CD2F4" w:themeColor="accent6"/>
      </w:tblBorders>
    </w:tblPr>
    <w:tblStylePr w:type="firstRow">
      <w:rPr>
        <w:rFonts w:asciiTheme="majorHAnsi" w:eastAsiaTheme="majorEastAsia" w:hAnsiTheme="majorHAnsi" w:cstheme="majorBidi"/>
      </w:rPr>
      <w:tblPr/>
      <w:tcPr>
        <w:tcBorders>
          <w:top w:val="nil"/>
          <w:bottom w:val="single" w:sz="8" w:space="0" w:color="9CD2F4" w:themeColor="accent6"/>
        </w:tcBorders>
      </w:tcPr>
    </w:tblStylePr>
    <w:tblStylePr w:type="lastRow">
      <w:rPr>
        <w:b/>
        <w:bCs/>
        <w:color w:val="666666" w:themeColor="text2"/>
      </w:rPr>
      <w:tblPr/>
      <w:tcPr>
        <w:tcBorders>
          <w:top w:val="single" w:sz="8" w:space="0" w:color="9CD2F4" w:themeColor="accent6"/>
          <w:bottom w:val="single" w:sz="8" w:space="0" w:color="9CD2F4" w:themeColor="accent6"/>
        </w:tcBorders>
      </w:tcPr>
    </w:tblStylePr>
    <w:tblStylePr w:type="firstCol">
      <w:rPr>
        <w:b/>
        <w:bCs/>
      </w:rPr>
    </w:tblStylePr>
    <w:tblStylePr w:type="lastCol">
      <w:rPr>
        <w:b/>
        <w:bCs/>
      </w:rPr>
      <w:tblPr/>
      <w:tcPr>
        <w:tcBorders>
          <w:top w:val="single" w:sz="8" w:space="0" w:color="9CD2F4" w:themeColor="accent6"/>
          <w:bottom w:val="single" w:sz="8" w:space="0" w:color="9CD2F4" w:themeColor="accent6"/>
        </w:tcBorders>
      </w:tcPr>
    </w:tblStylePr>
    <w:tblStylePr w:type="band1Vert">
      <w:tblPr/>
      <w:tcPr>
        <w:shd w:val="clear" w:color="auto" w:fill="E6F3FC" w:themeFill="accent6" w:themeFillTint="3F"/>
      </w:tcPr>
    </w:tblStylePr>
    <w:tblStylePr w:type="band1Horz">
      <w:tblPr/>
      <w:tcPr>
        <w:shd w:val="clear" w:color="auto" w:fill="E6F3FC" w:themeFill="accent6" w:themeFillTint="3F"/>
      </w:tcPr>
    </w:tblStylePr>
  </w:style>
  <w:style w:type="table" w:styleId="MediumList2">
    <w:name w:val="Medium List 2"/>
    <w:basedOn w:val="TableNormal"/>
    <w:uiPriority w:val="66"/>
    <w:semiHidden/>
    <w:unhideWhenUsed/>
    <w:rsid w:val="00421773"/>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1A1919" w:themeColor="text1"/>
        <w:left w:val="single" w:sz="8" w:space="0" w:color="1A1919" w:themeColor="text1"/>
        <w:bottom w:val="single" w:sz="8" w:space="0" w:color="1A1919" w:themeColor="text1"/>
        <w:right w:val="single" w:sz="8" w:space="0" w:color="1A1919" w:themeColor="text1"/>
      </w:tblBorders>
    </w:tblPr>
    <w:tblStylePr w:type="firstRow">
      <w:rPr>
        <w:sz w:val="24"/>
        <w:szCs w:val="24"/>
      </w:rPr>
      <w:tblPr/>
      <w:tcPr>
        <w:tcBorders>
          <w:top w:val="nil"/>
          <w:left w:val="nil"/>
          <w:bottom w:val="single" w:sz="24" w:space="0" w:color="1A191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A1919" w:themeColor="text1"/>
          <w:insideH w:val="nil"/>
          <w:insideV w:val="nil"/>
        </w:tcBorders>
        <w:shd w:val="clear" w:color="auto" w:fill="FFFFFF" w:themeFill="background1"/>
      </w:tcPr>
    </w:tblStylePr>
    <w:tblStylePr w:type="lastCol">
      <w:tblPr/>
      <w:tcPr>
        <w:tcBorders>
          <w:top w:val="nil"/>
          <w:left w:val="single" w:sz="8" w:space="0" w:color="1A191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5C5" w:themeFill="text1" w:themeFillTint="3F"/>
      </w:tcPr>
    </w:tblStylePr>
    <w:tblStylePr w:type="band1Horz">
      <w:tblPr/>
      <w:tcPr>
        <w:tcBorders>
          <w:top w:val="nil"/>
          <w:bottom w:val="nil"/>
          <w:insideH w:val="nil"/>
          <w:insideV w:val="nil"/>
        </w:tcBorders>
        <w:shd w:val="clear" w:color="auto" w:fill="C7C5C5"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1773"/>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8C0B5" w:themeColor="accent1"/>
        <w:left w:val="single" w:sz="8" w:space="0" w:color="68C0B5" w:themeColor="accent1"/>
        <w:bottom w:val="single" w:sz="8" w:space="0" w:color="68C0B5" w:themeColor="accent1"/>
        <w:right w:val="single" w:sz="8" w:space="0" w:color="68C0B5" w:themeColor="accent1"/>
      </w:tblBorders>
    </w:tblPr>
    <w:tblStylePr w:type="firstRow">
      <w:rPr>
        <w:sz w:val="24"/>
        <w:szCs w:val="24"/>
      </w:rPr>
      <w:tblPr/>
      <w:tcPr>
        <w:tcBorders>
          <w:top w:val="nil"/>
          <w:left w:val="nil"/>
          <w:bottom w:val="single" w:sz="24" w:space="0" w:color="68C0B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8C0B5" w:themeColor="accent1"/>
          <w:insideH w:val="nil"/>
          <w:insideV w:val="nil"/>
        </w:tcBorders>
        <w:shd w:val="clear" w:color="auto" w:fill="FFFFFF" w:themeFill="background1"/>
      </w:tcPr>
    </w:tblStylePr>
    <w:tblStylePr w:type="lastCol">
      <w:tblPr/>
      <w:tcPr>
        <w:tcBorders>
          <w:top w:val="nil"/>
          <w:left w:val="single" w:sz="8" w:space="0" w:color="68C0B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FEC" w:themeFill="accent1" w:themeFillTint="3F"/>
      </w:tcPr>
    </w:tblStylePr>
    <w:tblStylePr w:type="band1Horz">
      <w:tblPr/>
      <w:tcPr>
        <w:tcBorders>
          <w:top w:val="nil"/>
          <w:bottom w:val="nil"/>
          <w:insideH w:val="nil"/>
          <w:insideV w:val="nil"/>
        </w:tcBorders>
        <w:shd w:val="clear" w:color="auto" w:fill="D9EFE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1773"/>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9ACDF" w:themeColor="accent2"/>
        <w:left w:val="single" w:sz="8" w:space="0" w:color="69ACDF" w:themeColor="accent2"/>
        <w:bottom w:val="single" w:sz="8" w:space="0" w:color="69ACDF" w:themeColor="accent2"/>
        <w:right w:val="single" w:sz="8" w:space="0" w:color="69ACDF" w:themeColor="accent2"/>
      </w:tblBorders>
    </w:tblPr>
    <w:tblStylePr w:type="firstRow">
      <w:rPr>
        <w:sz w:val="24"/>
        <w:szCs w:val="24"/>
      </w:rPr>
      <w:tblPr/>
      <w:tcPr>
        <w:tcBorders>
          <w:top w:val="nil"/>
          <w:left w:val="nil"/>
          <w:bottom w:val="single" w:sz="24" w:space="0" w:color="69AC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ACDF" w:themeColor="accent2"/>
          <w:insideH w:val="nil"/>
          <w:insideV w:val="nil"/>
        </w:tcBorders>
        <w:shd w:val="clear" w:color="auto" w:fill="FFFFFF" w:themeFill="background1"/>
      </w:tcPr>
    </w:tblStylePr>
    <w:tblStylePr w:type="lastCol">
      <w:tblPr/>
      <w:tcPr>
        <w:tcBorders>
          <w:top w:val="nil"/>
          <w:left w:val="single" w:sz="8" w:space="0" w:color="69AC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AF7" w:themeFill="accent2" w:themeFillTint="3F"/>
      </w:tcPr>
    </w:tblStylePr>
    <w:tblStylePr w:type="band1Horz">
      <w:tblPr/>
      <w:tcPr>
        <w:tcBorders>
          <w:top w:val="nil"/>
          <w:bottom w:val="nil"/>
          <w:insideH w:val="nil"/>
          <w:insideV w:val="nil"/>
        </w:tcBorders>
        <w:shd w:val="clear" w:color="auto" w:fill="D9EA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1773"/>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36AAF" w:themeColor="accent3"/>
        <w:left w:val="single" w:sz="8" w:space="0" w:color="636AAF" w:themeColor="accent3"/>
        <w:bottom w:val="single" w:sz="8" w:space="0" w:color="636AAF" w:themeColor="accent3"/>
        <w:right w:val="single" w:sz="8" w:space="0" w:color="636AAF" w:themeColor="accent3"/>
      </w:tblBorders>
    </w:tblPr>
    <w:tblStylePr w:type="firstRow">
      <w:rPr>
        <w:sz w:val="24"/>
        <w:szCs w:val="24"/>
      </w:rPr>
      <w:tblPr/>
      <w:tcPr>
        <w:tcBorders>
          <w:top w:val="nil"/>
          <w:left w:val="nil"/>
          <w:bottom w:val="single" w:sz="24" w:space="0" w:color="636AA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6AAF" w:themeColor="accent3"/>
          <w:insideH w:val="nil"/>
          <w:insideV w:val="nil"/>
        </w:tcBorders>
        <w:shd w:val="clear" w:color="auto" w:fill="FFFFFF" w:themeFill="background1"/>
      </w:tcPr>
    </w:tblStylePr>
    <w:tblStylePr w:type="lastCol">
      <w:tblPr/>
      <w:tcPr>
        <w:tcBorders>
          <w:top w:val="nil"/>
          <w:left w:val="single" w:sz="8" w:space="0" w:color="636AA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AEB" w:themeFill="accent3" w:themeFillTint="3F"/>
      </w:tcPr>
    </w:tblStylePr>
    <w:tblStylePr w:type="band1Horz">
      <w:tblPr/>
      <w:tcPr>
        <w:tcBorders>
          <w:top w:val="nil"/>
          <w:bottom w:val="nil"/>
          <w:insideH w:val="nil"/>
          <w:insideV w:val="nil"/>
        </w:tcBorders>
        <w:shd w:val="clear" w:color="auto" w:fill="D8DA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1773"/>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B26DAB" w:themeColor="accent4"/>
        <w:left w:val="single" w:sz="8" w:space="0" w:color="B26DAB" w:themeColor="accent4"/>
        <w:bottom w:val="single" w:sz="8" w:space="0" w:color="B26DAB" w:themeColor="accent4"/>
        <w:right w:val="single" w:sz="8" w:space="0" w:color="B26DAB" w:themeColor="accent4"/>
      </w:tblBorders>
    </w:tblPr>
    <w:tblStylePr w:type="firstRow">
      <w:rPr>
        <w:sz w:val="24"/>
        <w:szCs w:val="24"/>
      </w:rPr>
      <w:tblPr/>
      <w:tcPr>
        <w:tcBorders>
          <w:top w:val="nil"/>
          <w:left w:val="nil"/>
          <w:bottom w:val="single" w:sz="24" w:space="0" w:color="B26DA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DAB" w:themeColor="accent4"/>
          <w:insideH w:val="nil"/>
          <w:insideV w:val="nil"/>
        </w:tcBorders>
        <w:shd w:val="clear" w:color="auto" w:fill="FFFFFF" w:themeFill="background1"/>
      </w:tcPr>
    </w:tblStylePr>
    <w:tblStylePr w:type="lastCol">
      <w:tblPr/>
      <w:tcPr>
        <w:tcBorders>
          <w:top w:val="nil"/>
          <w:left w:val="single" w:sz="8" w:space="0" w:color="B26DA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AEA" w:themeFill="accent4" w:themeFillTint="3F"/>
      </w:tcPr>
    </w:tblStylePr>
    <w:tblStylePr w:type="band1Horz">
      <w:tblPr/>
      <w:tcPr>
        <w:tcBorders>
          <w:top w:val="nil"/>
          <w:bottom w:val="nil"/>
          <w:insideH w:val="nil"/>
          <w:insideV w:val="nil"/>
        </w:tcBorders>
        <w:shd w:val="clear" w:color="auto" w:fill="ECDA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1773"/>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E7A2C8" w:themeColor="accent5"/>
        <w:left w:val="single" w:sz="8" w:space="0" w:color="E7A2C8" w:themeColor="accent5"/>
        <w:bottom w:val="single" w:sz="8" w:space="0" w:color="E7A2C8" w:themeColor="accent5"/>
        <w:right w:val="single" w:sz="8" w:space="0" w:color="E7A2C8" w:themeColor="accent5"/>
      </w:tblBorders>
    </w:tblPr>
    <w:tblStylePr w:type="firstRow">
      <w:rPr>
        <w:sz w:val="24"/>
        <w:szCs w:val="24"/>
      </w:rPr>
      <w:tblPr/>
      <w:tcPr>
        <w:tcBorders>
          <w:top w:val="nil"/>
          <w:left w:val="nil"/>
          <w:bottom w:val="single" w:sz="24" w:space="0" w:color="E7A2C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A2C8" w:themeColor="accent5"/>
          <w:insideH w:val="nil"/>
          <w:insideV w:val="nil"/>
        </w:tcBorders>
        <w:shd w:val="clear" w:color="auto" w:fill="FFFFFF" w:themeFill="background1"/>
      </w:tcPr>
    </w:tblStylePr>
    <w:tblStylePr w:type="lastCol">
      <w:tblPr/>
      <w:tcPr>
        <w:tcBorders>
          <w:top w:val="nil"/>
          <w:left w:val="single" w:sz="8" w:space="0" w:color="E7A2C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7F1" w:themeFill="accent5" w:themeFillTint="3F"/>
      </w:tcPr>
    </w:tblStylePr>
    <w:tblStylePr w:type="band1Horz">
      <w:tblPr/>
      <w:tcPr>
        <w:tcBorders>
          <w:top w:val="nil"/>
          <w:bottom w:val="nil"/>
          <w:insideH w:val="nil"/>
          <w:insideV w:val="nil"/>
        </w:tcBorders>
        <w:shd w:val="clear" w:color="auto" w:fill="F9E7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1773"/>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9CD2F4" w:themeColor="accent6"/>
        <w:left w:val="single" w:sz="8" w:space="0" w:color="9CD2F4" w:themeColor="accent6"/>
        <w:bottom w:val="single" w:sz="8" w:space="0" w:color="9CD2F4" w:themeColor="accent6"/>
        <w:right w:val="single" w:sz="8" w:space="0" w:color="9CD2F4" w:themeColor="accent6"/>
      </w:tblBorders>
    </w:tblPr>
    <w:tblStylePr w:type="firstRow">
      <w:rPr>
        <w:sz w:val="24"/>
        <w:szCs w:val="24"/>
      </w:rPr>
      <w:tblPr/>
      <w:tcPr>
        <w:tcBorders>
          <w:top w:val="nil"/>
          <w:left w:val="nil"/>
          <w:bottom w:val="single" w:sz="24" w:space="0" w:color="9CD2F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D2F4" w:themeColor="accent6"/>
          <w:insideH w:val="nil"/>
          <w:insideV w:val="nil"/>
        </w:tcBorders>
        <w:shd w:val="clear" w:color="auto" w:fill="FFFFFF" w:themeFill="background1"/>
      </w:tcPr>
    </w:tblStylePr>
    <w:tblStylePr w:type="lastCol">
      <w:tblPr/>
      <w:tcPr>
        <w:tcBorders>
          <w:top w:val="nil"/>
          <w:left w:val="single" w:sz="8" w:space="0" w:color="9CD2F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F3FC" w:themeFill="accent6" w:themeFillTint="3F"/>
      </w:tcPr>
    </w:tblStylePr>
    <w:tblStylePr w:type="band1Horz">
      <w:tblPr/>
      <w:tcPr>
        <w:tcBorders>
          <w:top w:val="nil"/>
          <w:bottom w:val="nil"/>
          <w:insideH w:val="nil"/>
          <w:insideV w:val="nil"/>
        </w:tcBorders>
        <w:shd w:val="clear" w:color="auto" w:fill="E6F3F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1773"/>
    <w:pPr>
      <w:spacing w:after="0"/>
    </w:pPr>
    <w:rPr>
      <w:rFonts w:eastAsiaTheme="minorHAnsi" w:cs="Arial"/>
      <w:sz w:val="18"/>
      <w:szCs w:val="18"/>
    </w:rPr>
    <w:tblPr>
      <w:tblStyleRowBandSize w:val="1"/>
      <w:tblStyleColBandSize w:val="1"/>
      <w:tblBorders>
        <w:top w:val="single" w:sz="8" w:space="0" w:color="545151" w:themeColor="text1" w:themeTint="BF"/>
        <w:left w:val="single" w:sz="8" w:space="0" w:color="545151" w:themeColor="text1" w:themeTint="BF"/>
        <w:bottom w:val="single" w:sz="8" w:space="0" w:color="545151" w:themeColor="text1" w:themeTint="BF"/>
        <w:right w:val="single" w:sz="8" w:space="0" w:color="545151" w:themeColor="text1" w:themeTint="BF"/>
        <w:insideH w:val="single" w:sz="8" w:space="0" w:color="545151" w:themeColor="text1" w:themeTint="BF"/>
      </w:tblBorders>
    </w:tblPr>
    <w:tblStylePr w:type="firstRow">
      <w:pPr>
        <w:spacing w:before="0" w:after="0" w:line="240" w:lineRule="auto"/>
      </w:pPr>
      <w:rPr>
        <w:b/>
        <w:bCs/>
        <w:color w:val="FFFFFF" w:themeColor="background1"/>
      </w:rPr>
      <w:tblPr/>
      <w:tcPr>
        <w:tcBorders>
          <w:top w:val="single" w:sz="8" w:space="0" w:color="545151" w:themeColor="text1" w:themeTint="BF"/>
          <w:left w:val="single" w:sz="8" w:space="0" w:color="545151" w:themeColor="text1" w:themeTint="BF"/>
          <w:bottom w:val="single" w:sz="8" w:space="0" w:color="545151" w:themeColor="text1" w:themeTint="BF"/>
          <w:right w:val="single" w:sz="8" w:space="0" w:color="545151" w:themeColor="text1" w:themeTint="BF"/>
          <w:insideH w:val="nil"/>
          <w:insideV w:val="nil"/>
        </w:tcBorders>
        <w:shd w:val="clear" w:color="auto" w:fill="1A1919" w:themeFill="text1"/>
      </w:tcPr>
    </w:tblStylePr>
    <w:tblStylePr w:type="lastRow">
      <w:pPr>
        <w:spacing w:before="0" w:after="0" w:line="240" w:lineRule="auto"/>
      </w:pPr>
      <w:rPr>
        <w:b/>
        <w:bCs/>
      </w:rPr>
      <w:tblPr/>
      <w:tcPr>
        <w:tcBorders>
          <w:top w:val="double" w:sz="6" w:space="0" w:color="545151" w:themeColor="text1" w:themeTint="BF"/>
          <w:left w:val="single" w:sz="8" w:space="0" w:color="545151" w:themeColor="text1" w:themeTint="BF"/>
          <w:bottom w:val="single" w:sz="8" w:space="0" w:color="545151" w:themeColor="text1" w:themeTint="BF"/>
          <w:right w:val="single" w:sz="8" w:space="0" w:color="545151" w:themeColor="text1" w:themeTint="BF"/>
          <w:insideH w:val="nil"/>
          <w:insideV w:val="nil"/>
        </w:tcBorders>
      </w:tcPr>
    </w:tblStylePr>
    <w:tblStylePr w:type="firstCol">
      <w:rPr>
        <w:b/>
        <w:bCs/>
      </w:rPr>
    </w:tblStylePr>
    <w:tblStylePr w:type="lastCol">
      <w:rPr>
        <w:b/>
        <w:bCs/>
      </w:rPr>
    </w:tblStylePr>
    <w:tblStylePr w:type="band1Vert">
      <w:tblPr/>
      <w:tcPr>
        <w:shd w:val="clear" w:color="auto" w:fill="C7C5C5" w:themeFill="text1" w:themeFillTint="3F"/>
      </w:tcPr>
    </w:tblStylePr>
    <w:tblStylePr w:type="band1Horz">
      <w:tblPr/>
      <w:tcPr>
        <w:tcBorders>
          <w:insideH w:val="nil"/>
          <w:insideV w:val="nil"/>
        </w:tcBorders>
        <w:shd w:val="clear" w:color="auto" w:fill="C7C5C5"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1773"/>
    <w:pPr>
      <w:spacing w:after="0"/>
    </w:pPr>
    <w:rPr>
      <w:rFonts w:eastAsiaTheme="minorHAnsi" w:cs="Arial"/>
      <w:sz w:val="18"/>
      <w:szCs w:val="18"/>
    </w:rPr>
    <w:tblPr>
      <w:tblStyleRowBandSize w:val="1"/>
      <w:tblStyleColBandSize w:val="1"/>
      <w:tblBorders>
        <w:top w:val="single" w:sz="8" w:space="0" w:color="8DCFC7" w:themeColor="accent1" w:themeTint="BF"/>
        <w:left w:val="single" w:sz="8" w:space="0" w:color="8DCFC7" w:themeColor="accent1" w:themeTint="BF"/>
        <w:bottom w:val="single" w:sz="8" w:space="0" w:color="8DCFC7" w:themeColor="accent1" w:themeTint="BF"/>
        <w:right w:val="single" w:sz="8" w:space="0" w:color="8DCFC7" w:themeColor="accent1" w:themeTint="BF"/>
        <w:insideH w:val="single" w:sz="8" w:space="0" w:color="8DCFC7" w:themeColor="accent1" w:themeTint="BF"/>
      </w:tblBorders>
    </w:tblPr>
    <w:tblStylePr w:type="firstRow">
      <w:pPr>
        <w:spacing w:before="0" w:after="0" w:line="240" w:lineRule="auto"/>
      </w:pPr>
      <w:rPr>
        <w:b/>
        <w:bCs/>
        <w:color w:val="FFFFFF" w:themeColor="background1"/>
      </w:rPr>
      <w:tblPr/>
      <w:tcPr>
        <w:tcBorders>
          <w:top w:val="single" w:sz="8" w:space="0" w:color="8DCFC7" w:themeColor="accent1" w:themeTint="BF"/>
          <w:left w:val="single" w:sz="8" w:space="0" w:color="8DCFC7" w:themeColor="accent1" w:themeTint="BF"/>
          <w:bottom w:val="single" w:sz="8" w:space="0" w:color="8DCFC7" w:themeColor="accent1" w:themeTint="BF"/>
          <w:right w:val="single" w:sz="8" w:space="0" w:color="8DCFC7" w:themeColor="accent1" w:themeTint="BF"/>
          <w:insideH w:val="nil"/>
          <w:insideV w:val="nil"/>
        </w:tcBorders>
        <w:shd w:val="clear" w:color="auto" w:fill="68C0B5" w:themeFill="accent1"/>
      </w:tcPr>
    </w:tblStylePr>
    <w:tblStylePr w:type="lastRow">
      <w:pPr>
        <w:spacing w:before="0" w:after="0" w:line="240" w:lineRule="auto"/>
      </w:pPr>
      <w:rPr>
        <w:b/>
        <w:bCs/>
      </w:rPr>
      <w:tblPr/>
      <w:tcPr>
        <w:tcBorders>
          <w:top w:val="double" w:sz="6" w:space="0" w:color="8DCFC7" w:themeColor="accent1" w:themeTint="BF"/>
          <w:left w:val="single" w:sz="8" w:space="0" w:color="8DCFC7" w:themeColor="accent1" w:themeTint="BF"/>
          <w:bottom w:val="single" w:sz="8" w:space="0" w:color="8DCFC7" w:themeColor="accent1" w:themeTint="BF"/>
          <w:right w:val="single" w:sz="8" w:space="0" w:color="8DCF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EFEC" w:themeFill="accent1" w:themeFillTint="3F"/>
      </w:tcPr>
    </w:tblStylePr>
    <w:tblStylePr w:type="band1Horz">
      <w:tblPr/>
      <w:tcPr>
        <w:tcBorders>
          <w:insideH w:val="nil"/>
          <w:insideV w:val="nil"/>
        </w:tcBorders>
        <w:shd w:val="clear" w:color="auto" w:fill="D9EFE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1773"/>
    <w:pPr>
      <w:spacing w:after="0"/>
    </w:pPr>
    <w:rPr>
      <w:rFonts w:eastAsiaTheme="minorHAnsi" w:cs="Arial"/>
      <w:sz w:val="18"/>
      <w:szCs w:val="18"/>
    </w:rPr>
    <w:tblPr>
      <w:tblStyleRowBandSize w:val="1"/>
      <w:tblStyleColBandSize w:val="1"/>
      <w:tblBorders>
        <w:top w:val="single" w:sz="8" w:space="0" w:color="8EC0E7" w:themeColor="accent2" w:themeTint="BF"/>
        <w:left w:val="single" w:sz="8" w:space="0" w:color="8EC0E7" w:themeColor="accent2" w:themeTint="BF"/>
        <w:bottom w:val="single" w:sz="8" w:space="0" w:color="8EC0E7" w:themeColor="accent2" w:themeTint="BF"/>
        <w:right w:val="single" w:sz="8" w:space="0" w:color="8EC0E7" w:themeColor="accent2" w:themeTint="BF"/>
        <w:insideH w:val="single" w:sz="8" w:space="0" w:color="8EC0E7" w:themeColor="accent2" w:themeTint="BF"/>
      </w:tblBorders>
    </w:tblPr>
    <w:tblStylePr w:type="firstRow">
      <w:pPr>
        <w:spacing w:before="0" w:after="0" w:line="240" w:lineRule="auto"/>
      </w:pPr>
      <w:rPr>
        <w:b/>
        <w:bCs/>
        <w:color w:val="FFFFFF" w:themeColor="background1"/>
      </w:rPr>
      <w:tblPr/>
      <w:tcPr>
        <w:tcBorders>
          <w:top w:val="single" w:sz="8" w:space="0" w:color="8EC0E7" w:themeColor="accent2" w:themeTint="BF"/>
          <w:left w:val="single" w:sz="8" w:space="0" w:color="8EC0E7" w:themeColor="accent2" w:themeTint="BF"/>
          <w:bottom w:val="single" w:sz="8" w:space="0" w:color="8EC0E7" w:themeColor="accent2" w:themeTint="BF"/>
          <w:right w:val="single" w:sz="8" w:space="0" w:color="8EC0E7" w:themeColor="accent2" w:themeTint="BF"/>
          <w:insideH w:val="nil"/>
          <w:insideV w:val="nil"/>
        </w:tcBorders>
        <w:shd w:val="clear" w:color="auto" w:fill="69ACDF" w:themeFill="accent2"/>
      </w:tcPr>
    </w:tblStylePr>
    <w:tblStylePr w:type="lastRow">
      <w:pPr>
        <w:spacing w:before="0" w:after="0" w:line="240" w:lineRule="auto"/>
      </w:pPr>
      <w:rPr>
        <w:b/>
        <w:bCs/>
      </w:rPr>
      <w:tblPr/>
      <w:tcPr>
        <w:tcBorders>
          <w:top w:val="double" w:sz="6" w:space="0" w:color="8EC0E7" w:themeColor="accent2" w:themeTint="BF"/>
          <w:left w:val="single" w:sz="8" w:space="0" w:color="8EC0E7" w:themeColor="accent2" w:themeTint="BF"/>
          <w:bottom w:val="single" w:sz="8" w:space="0" w:color="8EC0E7" w:themeColor="accent2" w:themeTint="BF"/>
          <w:right w:val="single" w:sz="8" w:space="0" w:color="8EC0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EAF7" w:themeFill="accent2" w:themeFillTint="3F"/>
      </w:tcPr>
    </w:tblStylePr>
    <w:tblStylePr w:type="band1Horz">
      <w:tblPr/>
      <w:tcPr>
        <w:tcBorders>
          <w:insideH w:val="nil"/>
          <w:insideV w:val="nil"/>
        </w:tcBorders>
        <w:shd w:val="clear" w:color="auto" w:fill="D9EA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1773"/>
    <w:pPr>
      <w:spacing w:after="0"/>
    </w:pPr>
    <w:rPr>
      <w:rFonts w:eastAsiaTheme="minorHAnsi" w:cs="Arial"/>
      <w:sz w:val="18"/>
      <w:szCs w:val="18"/>
    </w:rPr>
    <w:tblPr>
      <w:tblStyleRowBandSize w:val="1"/>
      <w:tblStyleColBandSize w:val="1"/>
      <w:tblBorders>
        <w:top w:val="single" w:sz="8" w:space="0" w:color="8A8FC3" w:themeColor="accent3" w:themeTint="BF"/>
        <w:left w:val="single" w:sz="8" w:space="0" w:color="8A8FC3" w:themeColor="accent3" w:themeTint="BF"/>
        <w:bottom w:val="single" w:sz="8" w:space="0" w:color="8A8FC3" w:themeColor="accent3" w:themeTint="BF"/>
        <w:right w:val="single" w:sz="8" w:space="0" w:color="8A8FC3" w:themeColor="accent3" w:themeTint="BF"/>
        <w:insideH w:val="single" w:sz="8" w:space="0" w:color="8A8FC3" w:themeColor="accent3" w:themeTint="BF"/>
      </w:tblBorders>
    </w:tblPr>
    <w:tblStylePr w:type="firstRow">
      <w:pPr>
        <w:spacing w:before="0" w:after="0" w:line="240" w:lineRule="auto"/>
      </w:pPr>
      <w:rPr>
        <w:b/>
        <w:bCs/>
        <w:color w:val="FFFFFF" w:themeColor="background1"/>
      </w:rPr>
      <w:tblPr/>
      <w:tcPr>
        <w:tcBorders>
          <w:top w:val="single" w:sz="8" w:space="0" w:color="8A8FC3" w:themeColor="accent3" w:themeTint="BF"/>
          <w:left w:val="single" w:sz="8" w:space="0" w:color="8A8FC3" w:themeColor="accent3" w:themeTint="BF"/>
          <w:bottom w:val="single" w:sz="8" w:space="0" w:color="8A8FC3" w:themeColor="accent3" w:themeTint="BF"/>
          <w:right w:val="single" w:sz="8" w:space="0" w:color="8A8FC3" w:themeColor="accent3" w:themeTint="BF"/>
          <w:insideH w:val="nil"/>
          <w:insideV w:val="nil"/>
        </w:tcBorders>
        <w:shd w:val="clear" w:color="auto" w:fill="636AAF" w:themeFill="accent3"/>
      </w:tcPr>
    </w:tblStylePr>
    <w:tblStylePr w:type="lastRow">
      <w:pPr>
        <w:spacing w:before="0" w:after="0" w:line="240" w:lineRule="auto"/>
      </w:pPr>
      <w:rPr>
        <w:b/>
        <w:bCs/>
      </w:rPr>
      <w:tblPr/>
      <w:tcPr>
        <w:tcBorders>
          <w:top w:val="double" w:sz="6" w:space="0" w:color="8A8FC3" w:themeColor="accent3" w:themeTint="BF"/>
          <w:left w:val="single" w:sz="8" w:space="0" w:color="8A8FC3" w:themeColor="accent3" w:themeTint="BF"/>
          <w:bottom w:val="single" w:sz="8" w:space="0" w:color="8A8FC3" w:themeColor="accent3" w:themeTint="BF"/>
          <w:right w:val="single" w:sz="8" w:space="0" w:color="8A8F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DAEB" w:themeFill="accent3" w:themeFillTint="3F"/>
      </w:tcPr>
    </w:tblStylePr>
    <w:tblStylePr w:type="band1Horz">
      <w:tblPr/>
      <w:tcPr>
        <w:tcBorders>
          <w:insideH w:val="nil"/>
          <w:insideV w:val="nil"/>
        </w:tcBorders>
        <w:shd w:val="clear" w:color="auto" w:fill="D8DAE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1773"/>
    <w:pPr>
      <w:spacing w:after="0"/>
    </w:pPr>
    <w:rPr>
      <w:rFonts w:eastAsiaTheme="minorHAnsi" w:cs="Arial"/>
      <w:sz w:val="18"/>
      <w:szCs w:val="18"/>
    </w:rPr>
    <w:tblPr>
      <w:tblStyleRowBandSize w:val="1"/>
      <w:tblStyleColBandSize w:val="1"/>
      <w:tblBorders>
        <w:top w:val="single" w:sz="8" w:space="0" w:color="C591C0" w:themeColor="accent4" w:themeTint="BF"/>
        <w:left w:val="single" w:sz="8" w:space="0" w:color="C591C0" w:themeColor="accent4" w:themeTint="BF"/>
        <w:bottom w:val="single" w:sz="8" w:space="0" w:color="C591C0" w:themeColor="accent4" w:themeTint="BF"/>
        <w:right w:val="single" w:sz="8" w:space="0" w:color="C591C0" w:themeColor="accent4" w:themeTint="BF"/>
        <w:insideH w:val="single" w:sz="8" w:space="0" w:color="C591C0" w:themeColor="accent4" w:themeTint="BF"/>
      </w:tblBorders>
    </w:tblPr>
    <w:tblStylePr w:type="firstRow">
      <w:pPr>
        <w:spacing w:before="0" w:after="0" w:line="240" w:lineRule="auto"/>
      </w:pPr>
      <w:rPr>
        <w:b/>
        <w:bCs/>
        <w:color w:val="FFFFFF" w:themeColor="background1"/>
      </w:rPr>
      <w:tblPr/>
      <w:tcPr>
        <w:tcBorders>
          <w:top w:val="single" w:sz="8" w:space="0" w:color="C591C0" w:themeColor="accent4" w:themeTint="BF"/>
          <w:left w:val="single" w:sz="8" w:space="0" w:color="C591C0" w:themeColor="accent4" w:themeTint="BF"/>
          <w:bottom w:val="single" w:sz="8" w:space="0" w:color="C591C0" w:themeColor="accent4" w:themeTint="BF"/>
          <w:right w:val="single" w:sz="8" w:space="0" w:color="C591C0" w:themeColor="accent4" w:themeTint="BF"/>
          <w:insideH w:val="nil"/>
          <w:insideV w:val="nil"/>
        </w:tcBorders>
        <w:shd w:val="clear" w:color="auto" w:fill="B26DAB" w:themeFill="accent4"/>
      </w:tcPr>
    </w:tblStylePr>
    <w:tblStylePr w:type="lastRow">
      <w:pPr>
        <w:spacing w:before="0" w:after="0" w:line="240" w:lineRule="auto"/>
      </w:pPr>
      <w:rPr>
        <w:b/>
        <w:bCs/>
      </w:rPr>
      <w:tblPr/>
      <w:tcPr>
        <w:tcBorders>
          <w:top w:val="double" w:sz="6" w:space="0" w:color="C591C0" w:themeColor="accent4" w:themeTint="BF"/>
          <w:left w:val="single" w:sz="8" w:space="0" w:color="C591C0" w:themeColor="accent4" w:themeTint="BF"/>
          <w:bottom w:val="single" w:sz="8" w:space="0" w:color="C591C0" w:themeColor="accent4" w:themeTint="BF"/>
          <w:right w:val="single" w:sz="8" w:space="0" w:color="C591C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AEA" w:themeFill="accent4" w:themeFillTint="3F"/>
      </w:tcPr>
    </w:tblStylePr>
    <w:tblStylePr w:type="band1Horz">
      <w:tblPr/>
      <w:tcPr>
        <w:tcBorders>
          <w:insideH w:val="nil"/>
          <w:insideV w:val="nil"/>
        </w:tcBorders>
        <w:shd w:val="clear" w:color="auto" w:fill="ECDA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1773"/>
    <w:pPr>
      <w:spacing w:after="0"/>
    </w:pPr>
    <w:rPr>
      <w:rFonts w:eastAsiaTheme="minorHAnsi" w:cs="Arial"/>
      <w:sz w:val="18"/>
      <w:szCs w:val="18"/>
    </w:rPr>
    <w:tblPr>
      <w:tblStyleRowBandSize w:val="1"/>
      <w:tblStyleColBandSize w:val="1"/>
      <w:tblBorders>
        <w:top w:val="single" w:sz="8" w:space="0" w:color="EDB9D5" w:themeColor="accent5" w:themeTint="BF"/>
        <w:left w:val="single" w:sz="8" w:space="0" w:color="EDB9D5" w:themeColor="accent5" w:themeTint="BF"/>
        <w:bottom w:val="single" w:sz="8" w:space="0" w:color="EDB9D5" w:themeColor="accent5" w:themeTint="BF"/>
        <w:right w:val="single" w:sz="8" w:space="0" w:color="EDB9D5" w:themeColor="accent5" w:themeTint="BF"/>
        <w:insideH w:val="single" w:sz="8" w:space="0" w:color="EDB9D5" w:themeColor="accent5" w:themeTint="BF"/>
      </w:tblBorders>
    </w:tblPr>
    <w:tblStylePr w:type="firstRow">
      <w:pPr>
        <w:spacing w:before="0" w:after="0" w:line="240" w:lineRule="auto"/>
      </w:pPr>
      <w:rPr>
        <w:b/>
        <w:bCs/>
        <w:color w:val="FFFFFF" w:themeColor="background1"/>
      </w:rPr>
      <w:tblPr/>
      <w:tcPr>
        <w:tcBorders>
          <w:top w:val="single" w:sz="8" w:space="0" w:color="EDB9D5" w:themeColor="accent5" w:themeTint="BF"/>
          <w:left w:val="single" w:sz="8" w:space="0" w:color="EDB9D5" w:themeColor="accent5" w:themeTint="BF"/>
          <w:bottom w:val="single" w:sz="8" w:space="0" w:color="EDB9D5" w:themeColor="accent5" w:themeTint="BF"/>
          <w:right w:val="single" w:sz="8" w:space="0" w:color="EDB9D5" w:themeColor="accent5" w:themeTint="BF"/>
          <w:insideH w:val="nil"/>
          <w:insideV w:val="nil"/>
        </w:tcBorders>
        <w:shd w:val="clear" w:color="auto" w:fill="E7A2C8" w:themeFill="accent5"/>
      </w:tcPr>
    </w:tblStylePr>
    <w:tblStylePr w:type="lastRow">
      <w:pPr>
        <w:spacing w:before="0" w:after="0" w:line="240" w:lineRule="auto"/>
      </w:pPr>
      <w:rPr>
        <w:b/>
        <w:bCs/>
      </w:rPr>
      <w:tblPr/>
      <w:tcPr>
        <w:tcBorders>
          <w:top w:val="double" w:sz="6" w:space="0" w:color="EDB9D5" w:themeColor="accent5" w:themeTint="BF"/>
          <w:left w:val="single" w:sz="8" w:space="0" w:color="EDB9D5" w:themeColor="accent5" w:themeTint="BF"/>
          <w:bottom w:val="single" w:sz="8" w:space="0" w:color="EDB9D5" w:themeColor="accent5" w:themeTint="BF"/>
          <w:right w:val="single" w:sz="8" w:space="0" w:color="EDB9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E7F1" w:themeFill="accent5" w:themeFillTint="3F"/>
      </w:tcPr>
    </w:tblStylePr>
    <w:tblStylePr w:type="band1Horz">
      <w:tblPr/>
      <w:tcPr>
        <w:tcBorders>
          <w:insideH w:val="nil"/>
          <w:insideV w:val="nil"/>
        </w:tcBorders>
        <w:shd w:val="clear" w:color="auto" w:fill="F9E7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1773"/>
    <w:pPr>
      <w:spacing w:after="0"/>
    </w:pPr>
    <w:rPr>
      <w:rFonts w:eastAsiaTheme="minorHAnsi" w:cs="Arial"/>
      <w:sz w:val="18"/>
      <w:szCs w:val="18"/>
    </w:rPr>
    <w:tblPr>
      <w:tblStyleRowBandSize w:val="1"/>
      <w:tblStyleColBandSize w:val="1"/>
      <w:tblBorders>
        <w:top w:val="single" w:sz="8" w:space="0" w:color="B4DDF6" w:themeColor="accent6" w:themeTint="BF"/>
        <w:left w:val="single" w:sz="8" w:space="0" w:color="B4DDF6" w:themeColor="accent6" w:themeTint="BF"/>
        <w:bottom w:val="single" w:sz="8" w:space="0" w:color="B4DDF6" w:themeColor="accent6" w:themeTint="BF"/>
        <w:right w:val="single" w:sz="8" w:space="0" w:color="B4DDF6" w:themeColor="accent6" w:themeTint="BF"/>
        <w:insideH w:val="single" w:sz="8" w:space="0" w:color="B4DDF6" w:themeColor="accent6" w:themeTint="BF"/>
      </w:tblBorders>
    </w:tblPr>
    <w:tblStylePr w:type="firstRow">
      <w:pPr>
        <w:spacing w:before="0" w:after="0" w:line="240" w:lineRule="auto"/>
      </w:pPr>
      <w:rPr>
        <w:b/>
        <w:bCs/>
        <w:color w:val="FFFFFF" w:themeColor="background1"/>
      </w:rPr>
      <w:tblPr/>
      <w:tcPr>
        <w:tcBorders>
          <w:top w:val="single" w:sz="8" w:space="0" w:color="B4DDF6" w:themeColor="accent6" w:themeTint="BF"/>
          <w:left w:val="single" w:sz="8" w:space="0" w:color="B4DDF6" w:themeColor="accent6" w:themeTint="BF"/>
          <w:bottom w:val="single" w:sz="8" w:space="0" w:color="B4DDF6" w:themeColor="accent6" w:themeTint="BF"/>
          <w:right w:val="single" w:sz="8" w:space="0" w:color="B4DDF6" w:themeColor="accent6" w:themeTint="BF"/>
          <w:insideH w:val="nil"/>
          <w:insideV w:val="nil"/>
        </w:tcBorders>
        <w:shd w:val="clear" w:color="auto" w:fill="9CD2F4" w:themeFill="accent6"/>
      </w:tcPr>
    </w:tblStylePr>
    <w:tblStylePr w:type="lastRow">
      <w:pPr>
        <w:spacing w:before="0" w:after="0" w:line="240" w:lineRule="auto"/>
      </w:pPr>
      <w:rPr>
        <w:b/>
        <w:bCs/>
      </w:rPr>
      <w:tblPr/>
      <w:tcPr>
        <w:tcBorders>
          <w:top w:val="double" w:sz="6" w:space="0" w:color="B4DDF6" w:themeColor="accent6" w:themeTint="BF"/>
          <w:left w:val="single" w:sz="8" w:space="0" w:color="B4DDF6" w:themeColor="accent6" w:themeTint="BF"/>
          <w:bottom w:val="single" w:sz="8" w:space="0" w:color="B4DDF6" w:themeColor="accent6" w:themeTint="BF"/>
          <w:right w:val="single" w:sz="8" w:space="0" w:color="B4DDF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F3FC" w:themeFill="accent6" w:themeFillTint="3F"/>
      </w:tcPr>
    </w:tblStylePr>
    <w:tblStylePr w:type="band1Horz">
      <w:tblPr/>
      <w:tcPr>
        <w:tcBorders>
          <w:insideH w:val="nil"/>
          <w:insideV w:val="nil"/>
        </w:tcBorders>
        <w:shd w:val="clear" w:color="auto" w:fill="E6F3F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1773"/>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A191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A1919" w:themeFill="text1"/>
      </w:tcPr>
    </w:tblStylePr>
    <w:tblStylePr w:type="lastCol">
      <w:rPr>
        <w:b/>
        <w:bCs/>
        <w:color w:val="FFFFFF" w:themeColor="background1"/>
      </w:rPr>
      <w:tblPr/>
      <w:tcPr>
        <w:tcBorders>
          <w:left w:val="nil"/>
          <w:right w:val="nil"/>
          <w:insideH w:val="nil"/>
          <w:insideV w:val="nil"/>
        </w:tcBorders>
        <w:shd w:val="clear" w:color="auto" w:fill="1A191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1773"/>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8C0B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8C0B5" w:themeFill="accent1"/>
      </w:tcPr>
    </w:tblStylePr>
    <w:tblStylePr w:type="lastCol">
      <w:rPr>
        <w:b/>
        <w:bCs/>
        <w:color w:val="FFFFFF" w:themeColor="background1"/>
      </w:rPr>
      <w:tblPr/>
      <w:tcPr>
        <w:tcBorders>
          <w:left w:val="nil"/>
          <w:right w:val="nil"/>
          <w:insideH w:val="nil"/>
          <w:insideV w:val="nil"/>
        </w:tcBorders>
        <w:shd w:val="clear" w:color="auto" w:fill="68C0B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1773"/>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9AC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9ACDF" w:themeFill="accent2"/>
      </w:tcPr>
    </w:tblStylePr>
    <w:tblStylePr w:type="lastCol">
      <w:rPr>
        <w:b/>
        <w:bCs/>
        <w:color w:val="FFFFFF" w:themeColor="background1"/>
      </w:rPr>
      <w:tblPr/>
      <w:tcPr>
        <w:tcBorders>
          <w:left w:val="nil"/>
          <w:right w:val="nil"/>
          <w:insideH w:val="nil"/>
          <w:insideV w:val="nil"/>
        </w:tcBorders>
        <w:shd w:val="clear" w:color="auto" w:fill="69AC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1773"/>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6AA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6AAF" w:themeFill="accent3"/>
      </w:tcPr>
    </w:tblStylePr>
    <w:tblStylePr w:type="lastCol">
      <w:rPr>
        <w:b/>
        <w:bCs/>
        <w:color w:val="FFFFFF" w:themeColor="background1"/>
      </w:rPr>
      <w:tblPr/>
      <w:tcPr>
        <w:tcBorders>
          <w:left w:val="nil"/>
          <w:right w:val="nil"/>
          <w:insideH w:val="nil"/>
          <w:insideV w:val="nil"/>
        </w:tcBorders>
        <w:shd w:val="clear" w:color="auto" w:fill="636AA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1773"/>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DA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DAB" w:themeFill="accent4"/>
      </w:tcPr>
    </w:tblStylePr>
    <w:tblStylePr w:type="lastCol">
      <w:rPr>
        <w:b/>
        <w:bCs/>
        <w:color w:val="FFFFFF" w:themeColor="background1"/>
      </w:rPr>
      <w:tblPr/>
      <w:tcPr>
        <w:tcBorders>
          <w:left w:val="nil"/>
          <w:right w:val="nil"/>
          <w:insideH w:val="nil"/>
          <w:insideV w:val="nil"/>
        </w:tcBorders>
        <w:shd w:val="clear" w:color="auto" w:fill="B26DA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1773"/>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A2C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A2C8" w:themeFill="accent5"/>
      </w:tcPr>
    </w:tblStylePr>
    <w:tblStylePr w:type="lastCol">
      <w:rPr>
        <w:b/>
        <w:bCs/>
        <w:color w:val="FFFFFF" w:themeColor="background1"/>
      </w:rPr>
      <w:tblPr/>
      <w:tcPr>
        <w:tcBorders>
          <w:left w:val="nil"/>
          <w:right w:val="nil"/>
          <w:insideH w:val="nil"/>
          <w:insideV w:val="nil"/>
        </w:tcBorders>
        <w:shd w:val="clear" w:color="auto" w:fill="E7A2C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1773"/>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D2F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D2F4" w:themeFill="accent6"/>
      </w:tcPr>
    </w:tblStylePr>
    <w:tblStylePr w:type="lastCol">
      <w:rPr>
        <w:b/>
        <w:bCs/>
        <w:color w:val="FFFFFF" w:themeColor="background1"/>
      </w:rPr>
      <w:tblPr/>
      <w:tcPr>
        <w:tcBorders>
          <w:left w:val="nil"/>
          <w:right w:val="nil"/>
          <w:insideH w:val="nil"/>
          <w:insideV w:val="nil"/>
        </w:tcBorders>
        <w:shd w:val="clear" w:color="auto" w:fill="9CD2F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rsid w:val="00250997"/>
    <w:rPr>
      <w:color w:val="2B579A"/>
      <w:shd w:val="clear" w:color="auto" w:fill="E1DFDD"/>
    </w:rPr>
  </w:style>
  <w:style w:type="paragraph" w:styleId="MessageHeader">
    <w:name w:val="Message Header"/>
    <w:basedOn w:val="Normal"/>
    <w:link w:val="MessageHeaderChar"/>
    <w:uiPriority w:val="99"/>
    <w:semiHidden/>
    <w:rsid w:val="0042177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21773"/>
    <w:rPr>
      <w:rFonts w:asciiTheme="majorHAnsi" w:eastAsiaTheme="majorEastAsia" w:hAnsiTheme="majorHAnsi" w:cstheme="majorBidi"/>
      <w:sz w:val="24"/>
      <w:szCs w:val="24"/>
      <w:shd w:val="pct20" w:color="auto" w:fill="auto"/>
      <w:lang w:val="en-GB"/>
    </w:rPr>
  </w:style>
  <w:style w:type="paragraph" w:styleId="NoSpacing">
    <w:name w:val="No Spacing"/>
    <w:basedOn w:val="Normal"/>
    <w:uiPriority w:val="99"/>
    <w:qFormat/>
    <w:rsid w:val="00421773"/>
    <w:pPr>
      <w:spacing w:after="0"/>
    </w:pPr>
    <w:rPr>
      <w:rFonts w:eastAsiaTheme="minorHAnsi"/>
      <w:szCs w:val="18"/>
    </w:rPr>
  </w:style>
  <w:style w:type="paragraph" w:styleId="NormalWeb">
    <w:name w:val="Normal (Web)"/>
    <w:basedOn w:val="Normal"/>
    <w:uiPriority w:val="99"/>
    <w:semiHidden/>
    <w:rsid w:val="00421773"/>
    <w:rPr>
      <w:rFonts w:cs="Arial"/>
      <w:sz w:val="24"/>
      <w:szCs w:val="24"/>
    </w:rPr>
  </w:style>
  <w:style w:type="paragraph" w:styleId="NormalIndent">
    <w:name w:val="Normal Indent"/>
    <w:basedOn w:val="Normal"/>
    <w:uiPriority w:val="99"/>
    <w:semiHidden/>
    <w:rsid w:val="00421773"/>
    <w:pPr>
      <w:ind w:left="1134"/>
    </w:pPr>
  </w:style>
  <w:style w:type="paragraph" w:styleId="NoteHeading">
    <w:name w:val="Note Heading"/>
    <w:basedOn w:val="Normal"/>
    <w:next w:val="Normal"/>
    <w:link w:val="NoteHeadingChar"/>
    <w:uiPriority w:val="99"/>
    <w:semiHidden/>
    <w:rsid w:val="00421773"/>
  </w:style>
  <w:style w:type="character" w:customStyle="1" w:styleId="NoteHeadingChar">
    <w:name w:val="Note Heading Char"/>
    <w:basedOn w:val="DefaultParagraphFont"/>
    <w:link w:val="NoteHeading"/>
    <w:uiPriority w:val="99"/>
    <w:semiHidden/>
    <w:rsid w:val="00421773"/>
    <w:rPr>
      <w:lang w:val="en-GB"/>
    </w:rPr>
  </w:style>
  <w:style w:type="character" w:styleId="PageNumber">
    <w:name w:val="page number"/>
    <w:basedOn w:val="DefaultParagraphFont"/>
    <w:uiPriority w:val="21"/>
    <w:semiHidden/>
    <w:rsid w:val="00421773"/>
    <w:rPr>
      <w:color w:val="404040"/>
      <w:sz w:val="28"/>
    </w:rPr>
  </w:style>
  <w:style w:type="character" w:styleId="PlaceholderText">
    <w:name w:val="Placeholder Text"/>
    <w:basedOn w:val="DefaultParagraphFont"/>
    <w:uiPriority w:val="99"/>
    <w:semiHidden/>
    <w:rsid w:val="00421773"/>
    <w:rPr>
      <w:color w:val="auto"/>
    </w:rPr>
  </w:style>
  <w:style w:type="table" w:styleId="PlainTable1">
    <w:name w:val="Plain Table 1"/>
    <w:basedOn w:val="TableNormal"/>
    <w:uiPriority w:val="41"/>
    <w:rsid w:val="00421773"/>
    <w:pPr>
      <w:spacing w:after="0"/>
    </w:pPr>
    <w:rPr>
      <w:rFonts w:eastAsiaTheme="minorHAnsi" w:cs="Arial"/>
      <w:sz w:val="18"/>
      <w:szCs w:val="1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1773"/>
    <w:pPr>
      <w:spacing w:after="0"/>
    </w:pPr>
    <w:rPr>
      <w:rFonts w:eastAsiaTheme="minorHAnsi" w:cs="Arial"/>
      <w:sz w:val="18"/>
      <w:szCs w:val="18"/>
    </w:rPr>
    <w:tblPr>
      <w:tblStyleRowBandSize w:val="1"/>
      <w:tblStyleColBandSize w:val="1"/>
      <w:tblBorders>
        <w:top w:val="single" w:sz="4" w:space="0" w:color="8E8989" w:themeColor="text1" w:themeTint="80"/>
        <w:bottom w:val="single" w:sz="4" w:space="0" w:color="8E8989" w:themeColor="text1" w:themeTint="80"/>
      </w:tblBorders>
    </w:tblPr>
    <w:tblStylePr w:type="firstRow">
      <w:rPr>
        <w:b/>
        <w:bCs/>
      </w:rPr>
      <w:tblPr/>
      <w:tcPr>
        <w:tcBorders>
          <w:bottom w:val="single" w:sz="4" w:space="0" w:color="8E8989" w:themeColor="text1" w:themeTint="80"/>
        </w:tcBorders>
      </w:tcPr>
    </w:tblStylePr>
    <w:tblStylePr w:type="lastRow">
      <w:rPr>
        <w:b/>
        <w:bCs/>
      </w:rPr>
      <w:tblPr/>
      <w:tcPr>
        <w:tcBorders>
          <w:top w:val="single" w:sz="4" w:space="0" w:color="8E8989" w:themeColor="text1" w:themeTint="80"/>
        </w:tcBorders>
      </w:tcPr>
    </w:tblStylePr>
    <w:tblStylePr w:type="firstCol">
      <w:rPr>
        <w:b/>
        <w:bCs/>
      </w:rPr>
    </w:tblStylePr>
    <w:tblStylePr w:type="lastCol">
      <w:rPr>
        <w:b/>
        <w:bCs/>
      </w:rPr>
    </w:tblStylePr>
    <w:tblStylePr w:type="band1Vert">
      <w:tblPr/>
      <w:tcPr>
        <w:tcBorders>
          <w:left w:val="single" w:sz="4" w:space="0" w:color="8E8989" w:themeColor="text1" w:themeTint="80"/>
          <w:right w:val="single" w:sz="4" w:space="0" w:color="8E8989" w:themeColor="text1" w:themeTint="80"/>
        </w:tcBorders>
      </w:tcPr>
    </w:tblStylePr>
    <w:tblStylePr w:type="band2Vert">
      <w:tblPr/>
      <w:tcPr>
        <w:tcBorders>
          <w:left w:val="single" w:sz="4" w:space="0" w:color="8E8989" w:themeColor="text1" w:themeTint="80"/>
          <w:right w:val="single" w:sz="4" w:space="0" w:color="8E8989" w:themeColor="text1" w:themeTint="80"/>
        </w:tcBorders>
      </w:tcPr>
    </w:tblStylePr>
    <w:tblStylePr w:type="band1Horz">
      <w:tblPr/>
      <w:tcPr>
        <w:tcBorders>
          <w:top w:val="single" w:sz="4" w:space="0" w:color="8E8989" w:themeColor="text1" w:themeTint="80"/>
          <w:bottom w:val="single" w:sz="4" w:space="0" w:color="8E8989" w:themeColor="text1" w:themeTint="80"/>
        </w:tcBorders>
      </w:tcPr>
    </w:tblStylePr>
  </w:style>
  <w:style w:type="table" w:styleId="PlainTable3">
    <w:name w:val="Plain Table 3"/>
    <w:basedOn w:val="TableNormal"/>
    <w:uiPriority w:val="43"/>
    <w:rsid w:val="00421773"/>
    <w:pPr>
      <w:spacing w:after="0"/>
    </w:pPr>
    <w:rPr>
      <w:rFonts w:eastAsiaTheme="minorHAnsi" w:cs="Arial"/>
      <w:sz w:val="18"/>
      <w:szCs w:val="18"/>
    </w:rPr>
    <w:tblPr>
      <w:tblStyleRowBandSize w:val="1"/>
      <w:tblStyleColBandSize w:val="1"/>
    </w:tblPr>
    <w:tblStylePr w:type="firstRow">
      <w:rPr>
        <w:b/>
        <w:bCs/>
        <w:caps/>
      </w:rPr>
      <w:tblPr/>
      <w:tcPr>
        <w:tcBorders>
          <w:bottom w:val="single" w:sz="4" w:space="0" w:color="8E898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E898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1773"/>
    <w:pPr>
      <w:spacing w:after="0"/>
    </w:pPr>
    <w:rPr>
      <w:rFonts w:eastAsiaTheme="minorHAnsi" w:cs="Arial"/>
      <w:sz w:val="18"/>
      <w:szCs w:val="1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1773"/>
    <w:pPr>
      <w:spacing w:after="0"/>
    </w:pPr>
    <w:rPr>
      <w:rFonts w:eastAsiaTheme="minorHAnsi" w:cs="Arial"/>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8989"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8989"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8989"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8989"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421773"/>
    <w:rPr>
      <w:rFonts w:cs="Arial"/>
      <w:sz w:val="21"/>
      <w:szCs w:val="21"/>
    </w:rPr>
  </w:style>
  <w:style w:type="character" w:customStyle="1" w:styleId="PlainTextChar">
    <w:name w:val="Plain Text Char"/>
    <w:basedOn w:val="DefaultParagraphFont"/>
    <w:link w:val="PlainText"/>
    <w:uiPriority w:val="99"/>
    <w:semiHidden/>
    <w:rsid w:val="00421773"/>
    <w:rPr>
      <w:rFonts w:cs="Arial"/>
      <w:sz w:val="21"/>
      <w:szCs w:val="21"/>
      <w:lang w:val="en-GB"/>
    </w:rPr>
  </w:style>
  <w:style w:type="paragraph" w:styleId="Quote">
    <w:name w:val="Quote"/>
    <w:basedOn w:val="Normal"/>
    <w:next w:val="Normal"/>
    <w:link w:val="QuoteChar"/>
    <w:uiPriority w:val="99"/>
    <w:semiHidden/>
    <w:rsid w:val="00421773"/>
    <w:pPr>
      <w:spacing w:before="260" w:after="260"/>
      <w:ind w:left="567" w:right="567"/>
    </w:pPr>
    <w:rPr>
      <w:b/>
      <w:iCs/>
      <w:color w:val="1A1919" w:themeColor="text1"/>
    </w:rPr>
  </w:style>
  <w:style w:type="character" w:customStyle="1" w:styleId="QuoteChar">
    <w:name w:val="Quote Char"/>
    <w:basedOn w:val="DefaultParagraphFont"/>
    <w:link w:val="Quote"/>
    <w:uiPriority w:val="99"/>
    <w:semiHidden/>
    <w:rsid w:val="00421773"/>
    <w:rPr>
      <w:b/>
      <w:iCs/>
      <w:color w:val="1A1919" w:themeColor="text1"/>
      <w:lang w:val="en-GB"/>
    </w:rPr>
  </w:style>
  <w:style w:type="paragraph" w:customStyle="1" w:styleId="Recipient">
    <w:name w:val="Recipient"/>
    <w:basedOn w:val="Normal"/>
    <w:uiPriority w:val="9"/>
    <w:semiHidden/>
    <w:rsid w:val="00421773"/>
    <w:pPr>
      <w:spacing w:after="480"/>
      <w:contextualSpacing/>
    </w:pPr>
  </w:style>
  <w:style w:type="paragraph" w:styleId="Salutation">
    <w:name w:val="Salutation"/>
    <w:basedOn w:val="Normal"/>
    <w:next w:val="Normal"/>
    <w:link w:val="SalutationChar"/>
    <w:uiPriority w:val="99"/>
    <w:semiHidden/>
    <w:rsid w:val="00421773"/>
  </w:style>
  <w:style w:type="character" w:customStyle="1" w:styleId="SalutationChar">
    <w:name w:val="Salutation Char"/>
    <w:basedOn w:val="DefaultParagraphFont"/>
    <w:link w:val="Salutation"/>
    <w:uiPriority w:val="99"/>
    <w:semiHidden/>
    <w:rsid w:val="00421773"/>
    <w:rPr>
      <w:lang w:val="en-GB"/>
    </w:rPr>
  </w:style>
  <w:style w:type="paragraph" w:styleId="Signature">
    <w:name w:val="Signature"/>
    <w:basedOn w:val="Normal"/>
    <w:link w:val="SignatureChar"/>
    <w:uiPriority w:val="10"/>
    <w:semiHidden/>
    <w:rsid w:val="00421773"/>
    <w:pPr>
      <w:spacing w:after="240"/>
      <w:contextualSpacing/>
    </w:pPr>
  </w:style>
  <w:style w:type="character" w:customStyle="1" w:styleId="SignatureChar">
    <w:name w:val="Signature Char"/>
    <w:basedOn w:val="DefaultParagraphFont"/>
    <w:link w:val="Signature"/>
    <w:uiPriority w:val="10"/>
    <w:semiHidden/>
    <w:rsid w:val="00421773"/>
    <w:rPr>
      <w:lang w:val="en-GB"/>
    </w:rPr>
  </w:style>
  <w:style w:type="character" w:customStyle="1" w:styleId="SmartHyperlink1">
    <w:name w:val="Smart Hyperlink1"/>
    <w:basedOn w:val="DefaultParagraphFont"/>
    <w:uiPriority w:val="99"/>
    <w:semiHidden/>
    <w:rsid w:val="00250997"/>
    <w:rPr>
      <w:u w:val="dotted"/>
    </w:rPr>
  </w:style>
  <w:style w:type="character" w:styleId="Strong">
    <w:name w:val="Strong"/>
    <w:basedOn w:val="DefaultParagraphFont"/>
    <w:uiPriority w:val="99"/>
    <w:semiHidden/>
    <w:rsid w:val="00421773"/>
    <w:rPr>
      <w:b/>
      <w:bCs/>
    </w:rPr>
  </w:style>
  <w:style w:type="paragraph" w:styleId="Subtitle">
    <w:name w:val="Subtitle"/>
    <w:basedOn w:val="Normal"/>
    <w:next w:val="Normal"/>
    <w:link w:val="SubtitleChar"/>
    <w:uiPriority w:val="19"/>
    <w:semiHidden/>
    <w:rsid w:val="00421773"/>
    <w:pPr>
      <w:numPr>
        <w:ilvl w:val="1"/>
      </w:numPr>
      <w:spacing w:after="220" w:line="840" w:lineRule="atLeast"/>
      <w:contextualSpacing/>
    </w:pPr>
    <w:rPr>
      <w:rFonts w:eastAsiaTheme="majorEastAsia" w:cs="Arial"/>
      <w:iCs/>
      <w:caps/>
      <w:spacing w:val="15"/>
      <w:kern w:val="28"/>
      <w:sz w:val="84"/>
      <w:szCs w:val="24"/>
    </w:rPr>
  </w:style>
  <w:style w:type="character" w:customStyle="1" w:styleId="SubtitleChar">
    <w:name w:val="Subtitle Char"/>
    <w:basedOn w:val="DefaultParagraphFont"/>
    <w:link w:val="Subtitle"/>
    <w:uiPriority w:val="19"/>
    <w:semiHidden/>
    <w:rsid w:val="00421773"/>
    <w:rPr>
      <w:rFonts w:eastAsiaTheme="majorEastAsia" w:cs="Arial"/>
      <w:iCs/>
      <w:caps/>
      <w:color w:val="auto"/>
      <w:spacing w:val="15"/>
      <w:kern w:val="28"/>
      <w:sz w:val="84"/>
      <w:szCs w:val="24"/>
      <w:lang w:val="en-GB"/>
    </w:rPr>
  </w:style>
  <w:style w:type="character" w:styleId="SubtleEmphasis">
    <w:name w:val="Subtle Emphasis"/>
    <w:basedOn w:val="DefaultParagraphFont"/>
    <w:uiPriority w:val="99"/>
    <w:semiHidden/>
    <w:qFormat/>
    <w:rsid w:val="00421773"/>
    <w:rPr>
      <w:i/>
      <w:iCs/>
      <w:color w:val="8F8A8A" w:themeColor="text1" w:themeTint="7F"/>
    </w:rPr>
  </w:style>
  <w:style w:type="character" w:styleId="SubtleReference">
    <w:name w:val="Subtle Reference"/>
    <w:basedOn w:val="DefaultParagraphFont"/>
    <w:uiPriority w:val="99"/>
    <w:semiHidden/>
    <w:qFormat/>
    <w:rsid w:val="00421773"/>
    <w:rPr>
      <w:caps w:val="0"/>
      <w:smallCaps w:val="0"/>
      <w:color w:val="auto"/>
      <w:u w:val="single"/>
    </w:rPr>
  </w:style>
  <w:style w:type="paragraph" w:customStyle="1" w:styleId="Table">
    <w:name w:val="Table"/>
    <w:uiPriority w:val="4"/>
    <w:semiHidden/>
    <w:rsid w:val="00421773"/>
    <w:pPr>
      <w:spacing w:before="40" w:line="280" w:lineRule="atLeast"/>
      <w:ind w:left="113" w:right="113"/>
    </w:pPr>
    <w:rPr>
      <w:rFonts w:eastAsiaTheme="minorHAnsi"/>
      <w:szCs w:val="18"/>
      <w:lang w:val="en-GB"/>
    </w:rPr>
  </w:style>
  <w:style w:type="paragraph" w:customStyle="1" w:styleId="Table-Heading">
    <w:name w:val="Table - Heading"/>
    <w:basedOn w:val="Table"/>
    <w:uiPriority w:val="5"/>
    <w:rsid w:val="00421773"/>
    <w:rPr>
      <w:b/>
      <w:color w:val="auto"/>
    </w:rPr>
  </w:style>
  <w:style w:type="paragraph" w:customStyle="1" w:styleId="Table-HeadingRight">
    <w:name w:val="Table - Heading Right"/>
    <w:basedOn w:val="Table"/>
    <w:uiPriority w:val="6"/>
    <w:rsid w:val="00421773"/>
    <w:pPr>
      <w:jc w:val="right"/>
    </w:pPr>
    <w:rPr>
      <w:b/>
      <w:color w:val="1A1919" w:themeColor="text1"/>
    </w:rPr>
  </w:style>
  <w:style w:type="paragraph" w:customStyle="1" w:styleId="Table-TextRight">
    <w:name w:val="Table - Text Right"/>
    <w:basedOn w:val="Table"/>
    <w:uiPriority w:val="6"/>
    <w:rsid w:val="00421773"/>
    <w:pPr>
      <w:jc w:val="right"/>
    </w:pPr>
  </w:style>
  <w:style w:type="paragraph" w:customStyle="1" w:styleId="Table-TextTotalRight">
    <w:name w:val="Table - Text Total Right"/>
    <w:basedOn w:val="Table-TextRight"/>
    <w:uiPriority w:val="6"/>
    <w:rsid w:val="00421773"/>
    <w:rPr>
      <w:b/>
    </w:rPr>
  </w:style>
  <w:style w:type="paragraph" w:customStyle="1" w:styleId="Table-Text">
    <w:name w:val="Table - Text"/>
    <w:basedOn w:val="Table"/>
    <w:uiPriority w:val="5"/>
    <w:rsid w:val="00421773"/>
  </w:style>
  <w:style w:type="paragraph" w:customStyle="1" w:styleId="Table-TextTotal">
    <w:name w:val="Table - Text Total"/>
    <w:basedOn w:val="Table-Text"/>
    <w:uiPriority w:val="5"/>
    <w:rsid w:val="00421773"/>
    <w:rPr>
      <w:b/>
    </w:rPr>
  </w:style>
  <w:style w:type="table" w:styleId="Table3Deffects1">
    <w:name w:val="Table 3D effects 1"/>
    <w:basedOn w:val="TableNormal"/>
    <w:uiPriority w:val="99"/>
    <w:semiHidden/>
    <w:unhideWhenUsed/>
    <w:rsid w:val="00421773"/>
    <w:pPr>
      <w:spacing w:after="0" w:line="260" w:lineRule="atLeast"/>
    </w:pPr>
    <w:rPr>
      <w:rFonts w:eastAsiaTheme="minorHAnsi" w:cs="Arial"/>
      <w:sz w:val="18"/>
      <w:szCs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1773"/>
    <w:pPr>
      <w:spacing w:after="0" w:line="260" w:lineRule="atLeast"/>
    </w:pPr>
    <w:rPr>
      <w:rFonts w:eastAsiaTheme="minorHAnsi" w:cs="Arial"/>
      <w:sz w:val="18"/>
      <w:szCs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1773"/>
    <w:pPr>
      <w:spacing w:after="0" w:line="260" w:lineRule="atLeast"/>
    </w:pPr>
    <w:rPr>
      <w:rFonts w:eastAsiaTheme="minorHAnsi" w:cs="Arial"/>
      <w:sz w:val="18"/>
      <w:szCs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1773"/>
    <w:pPr>
      <w:spacing w:after="0" w:line="260" w:lineRule="atLeast"/>
    </w:pPr>
    <w:rPr>
      <w:rFonts w:eastAsiaTheme="minorHAnsi" w:cs="Arial"/>
      <w:sz w:val="18"/>
      <w:szCs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1773"/>
    <w:pPr>
      <w:spacing w:after="0" w:line="260" w:lineRule="atLeast"/>
    </w:pPr>
    <w:rPr>
      <w:rFonts w:eastAsiaTheme="minorHAnsi" w:cs="Arial"/>
      <w:sz w:val="18"/>
      <w:szCs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1773"/>
    <w:pPr>
      <w:spacing w:after="0" w:line="260" w:lineRule="atLeast"/>
    </w:pPr>
    <w:rPr>
      <w:rFonts w:eastAsiaTheme="minorHAnsi" w:cs="Arial"/>
      <w:color w:val="000080"/>
      <w:sz w:val="18"/>
      <w:szCs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1773"/>
    <w:pPr>
      <w:spacing w:after="0" w:line="260" w:lineRule="atLeast"/>
    </w:pPr>
    <w:rPr>
      <w:rFonts w:eastAsiaTheme="minorHAnsi" w:cs="Arial"/>
      <w:sz w:val="18"/>
      <w:szCs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1773"/>
    <w:pPr>
      <w:spacing w:after="0" w:line="260" w:lineRule="atLeast"/>
    </w:pPr>
    <w:rPr>
      <w:rFonts w:eastAsiaTheme="minorHAnsi" w:cs="Arial"/>
      <w:color w:val="FFFFFF"/>
      <w:sz w:val="18"/>
      <w:szCs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1773"/>
    <w:pPr>
      <w:spacing w:after="0" w:line="260" w:lineRule="atLeast"/>
    </w:pPr>
    <w:rPr>
      <w:rFonts w:eastAsiaTheme="minorHAnsi" w:cs="Arial"/>
      <w:sz w:val="18"/>
      <w:szCs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1773"/>
    <w:pPr>
      <w:spacing w:after="0" w:line="260" w:lineRule="atLeast"/>
    </w:pPr>
    <w:rPr>
      <w:rFonts w:eastAsiaTheme="minorHAnsi" w:cs="Arial"/>
      <w:sz w:val="18"/>
      <w:szCs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1773"/>
    <w:pPr>
      <w:spacing w:after="0" w:line="260" w:lineRule="atLeast"/>
    </w:pPr>
    <w:rPr>
      <w:rFonts w:eastAsiaTheme="minorHAnsi" w:cs="Arial"/>
      <w:b/>
      <w:bCs/>
      <w:sz w:val="18"/>
      <w:szCs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1773"/>
    <w:pPr>
      <w:spacing w:after="0" w:line="260" w:lineRule="atLeast"/>
    </w:pPr>
    <w:rPr>
      <w:rFonts w:eastAsiaTheme="minorHAnsi" w:cs="Arial"/>
      <w:b/>
      <w:bCs/>
      <w:sz w:val="18"/>
      <w:szCs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1773"/>
    <w:pPr>
      <w:spacing w:after="0" w:line="260" w:lineRule="atLeast"/>
    </w:pPr>
    <w:rPr>
      <w:rFonts w:eastAsiaTheme="minorHAnsi" w:cs="Arial"/>
      <w:b/>
      <w:bCs/>
      <w:sz w:val="18"/>
      <w:szCs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1773"/>
    <w:pPr>
      <w:spacing w:after="0" w:line="260" w:lineRule="atLeast"/>
    </w:pPr>
    <w:rPr>
      <w:rFonts w:eastAsiaTheme="minorHAnsi" w:cs="Arial"/>
      <w:sz w:val="18"/>
      <w:szCs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1773"/>
    <w:pPr>
      <w:spacing w:after="0" w:line="260" w:lineRule="atLeast"/>
    </w:pPr>
    <w:rPr>
      <w:rFonts w:eastAsiaTheme="minorHAnsi" w:cs="Arial"/>
      <w:sz w:val="18"/>
      <w:szCs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1773"/>
    <w:pPr>
      <w:spacing w:after="0" w:line="260" w:lineRule="atLeast"/>
    </w:pPr>
    <w:rPr>
      <w:rFonts w:eastAsiaTheme="minorHAnsi" w:cs="Arial"/>
      <w:sz w:val="18"/>
      <w:szCs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1773"/>
    <w:pPr>
      <w:spacing w:after="0" w:line="260" w:lineRule="atLeast"/>
    </w:pPr>
    <w:rPr>
      <w:rFonts w:eastAsiaTheme="minorHAnsi" w:cs="Arial"/>
      <w:sz w:val="18"/>
      <w:szCs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1773"/>
    <w:pPr>
      <w:spacing w:after="0" w:line="260" w:lineRule="atLeast"/>
    </w:pPr>
    <w:rPr>
      <w:rFonts w:eastAsiaTheme="minorHAnsi"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1773"/>
    <w:pPr>
      <w:spacing w:after="0" w:line="260" w:lineRule="atLeast"/>
    </w:pPr>
    <w:rPr>
      <w:rFonts w:eastAsiaTheme="minorHAnsi" w:cs="Arial"/>
      <w:sz w:val="18"/>
      <w:szCs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1773"/>
    <w:pPr>
      <w:spacing w:after="0" w:line="260" w:lineRule="atLeast"/>
    </w:pPr>
    <w:rPr>
      <w:rFonts w:eastAsiaTheme="minorHAnsi" w:cs="Arial"/>
      <w:sz w:val="18"/>
      <w:szCs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1773"/>
    <w:pPr>
      <w:spacing w:after="0" w:line="260" w:lineRule="atLeast"/>
    </w:pPr>
    <w:rPr>
      <w:rFonts w:eastAsiaTheme="minorHAnsi" w:cs="Arial"/>
      <w:sz w:val="18"/>
      <w:szCs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1773"/>
    <w:pPr>
      <w:spacing w:after="0" w:line="260" w:lineRule="atLeast"/>
    </w:pPr>
    <w:rPr>
      <w:rFonts w:eastAsiaTheme="minorHAnsi" w:cs="Arial"/>
      <w:sz w:val="18"/>
      <w:szCs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1773"/>
    <w:pPr>
      <w:spacing w:after="0" w:line="260" w:lineRule="atLeast"/>
    </w:pPr>
    <w:rPr>
      <w:rFonts w:eastAsiaTheme="minorHAnsi" w:cs="Arial"/>
      <w:sz w:val="18"/>
      <w:szCs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1773"/>
    <w:pPr>
      <w:spacing w:after="0" w:line="260" w:lineRule="atLeast"/>
    </w:pPr>
    <w:rPr>
      <w:rFonts w:eastAsiaTheme="minorHAnsi" w:cs="Arial"/>
      <w:sz w:val="18"/>
      <w:szCs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1773"/>
    <w:pPr>
      <w:spacing w:after="0" w:line="260" w:lineRule="atLeast"/>
    </w:pPr>
    <w:rPr>
      <w:rFonts w:eastAsiaTheme="minorHAnsi" w:cs="Arial"/>
      <w:b/>
      <w:bCs/>
      <w:sz w:val="18"/>
      <w:szCs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1773"/>
    <w:pPr>
      <w:spacing w:after="0" w:line="260" w:lineRule="atLeast"/>
    </w:pPr>
    <w:rPr>
      <w:rFonts w:eastAsiaTheme="minorHAnsi" w:cs="Arial"/>
      <w:sz w:val="18"/>
      <w:szCs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1773"/>
    <w:pPr>
      <w:spacing w:after="0"/>
    </w:pPr>
    <w:rPr>
      <w:rFonts w:eastAsiaTheme="minorHAnsi" w:cs="Arial"/>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1773"/>
    <w:pPr>
      <w:spacing w:after="0" w:line="260" w:lineRule="atLeast"/>
    </w:pPr>
    <w:rPr>
      <w:rFonts w:eastAsiaTheme="minorHAnsi" w:cs="Arial"/>
      <w:sz w:val="18"/>
      <w:szCs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1773"/>
    <w:pPr>
      <w:spacing w:after="0" w:line="260" w:lineRule="atLeast"/>
    </w:pPr>
    <w:rPr>
      <w:rFonts w:eastAsiaTheme="minorHAnsi" w:cs="Arial"/>
      <w:sz w:val="18"/>
      <w:szCs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1773"/>
    <w:pPr>
      <w:spacing w:after="0" w:line="260" w:lineRule="atLeast"/>
    </w:pPr>
    <w:rPr>
      <w:rFonts w:eastAsiaTheme="minorHAnsi" w:cs="Arial"/>
      <w:sz w:val="18"/>
      <w:szCs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1773"/>
    <w:pPr>
      <w:spacing w:after="0" w:line="260" w:lineRule="atLeast"/>
    </w:pPr>
    <w:rPr>
      <w:rFonts w:eastAsiaTheme="minorHAnsi" w:cs="Arial"/>
      <w:sz w:val="18"/>
      <w:szCs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1773"/>
    <w:pPr>
      <w:spacing w:after="0" w:line="260" w:lineRule="atLeast"/>
    </w:pPr>
    <w:rPr>
      <w:rFonts w:eastAsiaTheme="minorHAnsi" w:cs="Arial"/>
      <w:sz w:val="18"/>
      <w:szCs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1773"/>
    <w:pPr>
      <w:spacing w:after="0" w:line="260" w:lineRule="atLeast"/>
    </w:pPr>
    <w:rPr>
      <w:rFonts w:eastAsiaTheme="minorHAnsi" w:cs="Arial"/>
      <w:sz w:val="18"/>
      <w:szCs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1773"/>
    <w:pPr>
      <w:spacing w:after="0" w:line="260" w:lineRule="atLeast"/>
    </w:pPr>
    <w:rPr>
      <w:rFonts w:eastAsiaTheme="minorHAnsi" w:cs="Arial"/>
      <w:sz w:val="18"/>
      <w:szCs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1773"/>
    <w:pPr>
      <w:spacing w:after="0" w:line="260" w:lineRule="atLeast"/>
    </w:pPr>
    <w:rPr>
      <w:rFonts w:eastAsiaTheme="minorHAnsi" w:cs="Arial"/>
      <w:sz w:val="18"/>
      <w:szCs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10"/>
    <w:semiHidden/>
    <w:rsid w:val="00421773"/>
    <w:pPr>
      <w:ind w:right="567"/>
    </w:pPr>
  </w:style>
  <w:style w:type="paragraph" w:styleId="TableofFigures">
    <w:name w:val="table of figures"/>
    <w:basedOn w:val="Normal"/>
    <w:next w:val="Normal"/>
    <w:uiPriority w:val="99"/>
    <w:rsid w:val="00421773"/>
    <w:pPr>
      <w:spacing w:after="60"/>
      <w:ind w:right="567"/>
    </w:pPr>
  </w:style>
  <w:style w:type="table" w:styleId="TableProfessional">
    <w:name w:val="Table Professional"/>
    <w:basedOn w:val="TableNormal"/>
    <w:uiPriority w:val="99"/>
    <w:semiHidden/>
    <w:unhideWhenUsed/>
    <w:rsid w:val="00421773"/>
    <w:pPr>
      <w:spacing w:after="0" w:line="260" w:lineRule="atLeast"/>
    </w:pPr>
    <w:rPr>
      <w:rFonts w:eastAsiaTheme="minorHAnsi" w:cs="Arial"/>
      <w:sz w:val="18"/>
      <w:szCs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1773"/>
    <w:pPr>
      <w:spacing w:after="0" w:line="260" w:lineRule="atLeast"/>
    </w:pPr>
    <w:rPr>
      <w:rFonts w:eastAsiaTheme="minorHAnsi" w:cs="Arial"/>
      <w:sz w:val="18"/>
      <w:szCs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1773"/>
    <w:pPr>
      <w:spacing w:after="0" w:line="260" w:lineRule="atLeast"/>
    </w:pPr>
    <w:rPr>
      <w:rFonts w:eastAsiaTheme="minorHAnsi" w:cs="Arial"/>
      <w:sz w:val="18"/>
      <w:szCs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1773"/>
    <w:pPr>
      <w:spacing w:after="0" w:line="260" w:lineRule="atLeast"/>
    </w:pPr>
    <w:rPr>
      <w:rFonts w:eastAsiaTheme="minorHAnsi" w:cs="Arial"/>
      <w:sz w:val="18"/>
      <w:szCs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1773"/>
    <w:pPr>
      <w:spacing w:after="0" w:line="260" w:lineRule="atLeast"/>
    </w:pPr>
    <w:rPr>
      <w:rFonts w:eastAsiaTheme="minorHAnsi" w:cs="Arial"/>
      <w:sz w:val="18"/>
      <w:szCs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1773"/>
    <w:pPr>
      <w:spacing w:after="0" w:line="260" w:lineRule="atLeast"/>
    </w:pPr>
    <w:rPr>
      <w:rFonts w:eastAsiaTheme="minorHAnsi" w:cs="Arial"/>
      <w:sz w:val="18"/>
      <w:szCs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1773"/>
    <w:pPr>
      <w:spacing w:after="0" w:line="260" w:lineRule="atLeast"/>
    </w:pPr>
    <w:rPr>
      <w:rFonts w:eastAsiaTheme="minorHAnsi"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1773"/>
    <w:pPr>
      <w:spacing w:after="0" w:line="260" w:lineRule="atLeast"/>
    </w:pPr>
    <w:rPr>
      <w:rFonts w:eastAsiaTheme="minorHAnsi" w:cs="Arial"/>
      <w:sz w:val="18"/>
      <w:szCs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1773"/>
    <w:pPr>
      <w:spacing w:after="0" w:line="260" w:lineRule="atLeast"/>
    </w:pPr>
    <w:rPr>
      <w:rFonts w:eastAsiaTheme="minorHAnsi" w:cs="Arial"/>
      <w:sz w:val="18"/>
      <w:szCs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1773"/>
    <w:pPr>
      <w:spacing w:after="0" w:line="260" w:lineRule="atLeast"/>
    </w:pPr>
    <w:rPr>
      <w:rFonts w:eastAsiaTheme="minorHAnsi" w:cs="Arial"/>
      <w:sz w:val="18"/>
      <w:szCs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mplate">
    <w:name w:val="Template"/>
    <w:uiPriority w:val="9"/>
    <w:semiHidden/>
    <w:rsid w:val="00421773"/>
    <w:pPr>
      <w:spacing w:after="0" w:line="260" w:lineRule="atLeast"/>
    </w:pPr>
    <w:rPr>
      <w:rFonts w:eastAsiaTheme="minorHAnsi" w:cs="Arial"/>
      <w:noProof/>
      <w:sz w:val="16"/>
      <w:szCs w:val="18"/>
      <w:lang w:val="en-GB"/>
    </w:rPr>
  </w:style>
  <w:style w:type="paragraph" w:customStyle="1" w:styleId="Template-Address">
    <w:name w:val="Template - Address"/>
    <w:basedOn w:val="Template"/>
    <w:uiPriority w:val="9"/>
    <w:semiHidden/>
    <w:rsid w:val="00421773"/>
    <w:pPr>
      <w:tabs>
        <w:tab w:val="left" w:pos="567"/>
      </w:tabs>
      <w:suppressAutoHyphens/>
    </w:pPr>
  </w:style>
  <w:style w:type="paragraph" w:customStyle="1" w:styleId="Template-CompanyName">
    <w:name w:val="Template - Company Name"/>
    <w:basedOn w:val="Template-Address"/>
    <w:next w:val="Template-Address"/>
    <w:uiPriority w:val="9"/>
    <w:semiHidden/>
    <w:rsid w:val="00421773"/>
    <w:pPr>
      <w:spacing w:line="200" w:lineRule="atLeast"/>
    </w:pPr>
    <w:rPr>
      <w:b/>
    </w:rPr>
  </w:style>
  <w:style w:type="paragraph" w:customStyle="1" w:styleId="Template-Date">
    <w:name w:val="Template - Date"/>
    <w:basedOn w:val="Template"/>
    <w:uiPriority w:val="9"/>
    <w:semiHidden/>
    <w:rsid w:val="00421773"/>
    <w:pPr>
      <w:spacing w:after="480" w:line="240" w:lineRule="auto"/>
    </w:pPr>
    <w:rPr>
      <w:rFonts w:eastAsiaTheme="minorEastAsia"/>
      <w:sz w:val="20"/>
      <w:szCs w:val="20"/>
    </w:rPr>
  </w:style>
  <w:style w:type="paragraph" w:styleId="TOAHeading">
    <w:name w:val="toa heading"/>
    <w:basedOn w:val="Normal"/>
    <w:next w:val="Normal"/>
    <w:uiPriority w:val="39"/>
    <w:semiHidden/>
    <w:rsid w:val="00421773"/>
    <w:pPr>
      <w:spacing w:after="520" w:line="360" w:lineRule="atLeast"/>
    </w:pPr>
    <w:rPr>
      <w:rFonts w:eastAsiaTheme="majorEastAsia" w:cstheme="majorBidi"/>
      <w:b/>
      <w:bCs/>
      <w:sz w:val="28"/>
      <w:szCs w:val="24"/>
    </w:rPr>
  </w:style>
  <w:style w:type="paragraph" w:styleId="TOC1">
    <w:name w:val="toc 1"/>
    <w:basedOn w:val="Normal"/>
    <w:next w:val="Normal"/>
    <w:uiPriority w:val="39"/>
    <w:rsid w:val="00421773"/>
    <w:pPr>
      <w:tabs>
        <w:tab w:val="left" w:pos="851"/>
        <w:tab w:val="right" w:leader="dot" w:pos="9633"/>
      </w:tabs>
      <w:spacing w:before="180" w:after="0" w:line="260" w:lineRule="atLeast"/>
      <w:ind w:left="851" w:right="567" w:hanging="851"/>
    </w:pPr>
    <w:rPr>
      <w:b/>
    </w:rPr>
  </w:style>
  <w:style w:type="paragraph" w:styleId="TOC2">
    <w:name w:val="toc 2"/>
    <w:basedOn w:val="Normal"/>
    <w:next w:val="Normal"/>
    <w:uiPriority w:val="39"/>
    <w:rsid w:val="00421773"/>
    <w:pPr>
      <w:tabs>
        <w:tab w:val="left" w:pos="1701"/>
        <w:tab w:val="right" w:leader="dot" w:pos="9633"/>
      </w:tabs>
      <w:spacing w:after="0" w:line="240" w:lineRule="atLeast"/>
      <w:ind w:left="1702" w:right="567" w:hanging="851"/>
    </w:pPr>
  </w:style>
  <w:style w:type="paragraph" w:styleId="TOC3">
    <w:name w:val="toc 3"/>
    <w:basedOn w:val="Normal"/>
    <w:next w:val="Normal"/>
    <w:uiPriority w:val="39"/>
    <w:rsid w:val="00421773"/>
    <w:pPr>
      <w:tabs>
        <w:tab w:val="left" w:pos="2552"/>
        <w:tab w:val="right" w:leader="dot" w:pos="9633"/>
      </w:tabs>
      <w:spacing w:after="0" w:line="240" w:lineRule="atLeast"/>
      <w:ind w:left="2552" w:right="567" w:hanging="851"/>
    </w:pPr>
  </w:style>
  <w:style w:type="paragraph" w:styleId="TOC4">
    <w:name w:val="toc 4"/>
    <w:basedOn w:val="Normal"/>
    <w:next w:val="Normal"/>
    <w:uiPriority w:val="39"/>
    <w:rsid w:val="00421773"/>
    <w:pPr>
      <w:tabs>
        <w:tab w:val="left" w:pos="2552"/>
        <w:tab w:val="right" w:leader="dot" w:pos="9633"/>
      </w:tabs>
      <w:spacing w:after="0" w:line="240" w:lineRule="atLeast"/>
      <w:ind w:left="2552" w:right="567" w:hanging="851"/>
    </w:pPr>
  </w:style>
  <w:style w:type="paragraph" w:styleId="TOC5">
    <w:name w:val="toc 5"/>
    <w:basedOn w:val="TOC1"/>
    <w:next w:val="Normal"/>
    <w:uiPriority w:val="39"/>
    <w:rsid w:val="00421773"/>
    <w:pPr>
      <w:tabs>
        <w:tab w:val="clear" w:pos="851"/>
      </w:tabs>
      <w:ind w:left="0" w:firstLine="0"/>
    </w:pPr>
  </w:style>
  <w:style w:type="paragraph" w:styleId="TOC6">
    <w:name w:val="toc 6"/>
    <w:basedOn w:val="TOC2"/>
    <w:next w:val="Normal"/>
    <w:uiPriority w:val="39"/>
    <w:rsid w:val="00421773"/>
    <w:pPr>
      <w:tabs>
        <w:tab w:val="clear" w:pos="1701"/>
      </w:tabs>
      <w:ind w:left="851" w:firstLine="0"/>
    </w:pPr>
  </w:style>
  <w:style w:type="paragraph" w:styleId="TOC7">
    <w:name w:val="toc 7"/>
    <w:basedOn w:val="TOC3"/>
    <w:next w:val="Normal"/>
    <w:uiPriority w:val="39"/>
    <w:rsid w:val="00421773"/>
    <w:pPr>
      <w:tabs>
        <w:tab w:val="clear" w:pos="2552"/>
      </w:tabs>
      <w:ind w:left="1701" w:firstLine="0"/>
    </w:pPr>
  </w:style>
  <w:style w:type="paragraph" w:styleId="TOC8">
    <w:name w:val="toc 8"/>
    <w:basedOn w:val="TOC4"/>
    <w:next w:val="Normal"/>
    <w:uiPriority w:val="39"/>
    <w:rsid w:val="00421773"/>
    <w:pPr>
      <w:tabs>
        <w:tab w:val="clear" w:pos="2552"/>
      </w:tabs>
      <w:ind w:left="1701" w:firstLine="0"/>
    </w:pPr>
  </w:style>
  <w:style w:type="paragraph" w:styleId="TOC9">
    <w:name w:val="toc 9"/>
    <w:basedOn w:val="Normal"/>
    <w:next w:val="Normal"/>
    <w:uiPriority w:val="39"/>
    <w:rsid w:val="00421773"/>
    <w:pPr>
      <w:spacing w:before="180" w:after="0" w:line="240" w:lineRule="atLeast"/>
      <w:ind w:left="1418" w:hanging="1418"/>
      <w:contextualSpacing/>
    </w:pPr>
    <w:rPr>
      <w:b/>
    </w:rPr>
  </w:style>
  <w:style w:type="paragraph" w:styleId="TOCHeading">
    <w:name w:val="TOC Heading"/>
    <w:basedOn w:val="Normal"/>
    <w:next w:val="Normal"/>
    <w:uiPriority w:val="39"/>
    <w:qFormat/>
    <w:rsid w:val="00421773"/>
    <w:pPr>
      <w:spacing w:before="100" w:beforeAutospacing="1" w:after="100" w:afterAutospacing="1"/>
    </w:pPr>
    <w:rPr>
      <w:caps/>
      <w:sz w:val="28"/>
    </w:rPr>
  </w:style>
  <w:style w:type="character" w:customStyle="1" w:styleId="UnresolvedMention1">
    <w:name w:val="Unresolved Mention1"/>
    <w:basedOn w:val="DefaultParagraphFont"/>
    <w:uiPriority w:val="99"/>
    <w:semiHidden/>
    <w:rsid w:val="00250997"/>
    <w:rPr>
      <w:color w:val="605E5C"/>
      <w:shd w:val="clear" w:color="auto" w:fill="E1DFDD"/>
    </w:rPr>
  </w:style>
  <w:style w:type="paragraph" w:customStyle="1" w:styleId="NormalNumbered">
    <w:name w:val="Normal Numbered"/>
    <w:basedOn w:val="Normal"/>
    <w:rsid w:val="00421773"/>
    <w:pPr>
      <w:numPr>
        <w:numId w:val="13"/>
      </w:numPr>
      <w:tabs>
        <w:tab w:val="clear" w:pos="714"/>
      </w:tabs>
      <w:ind w:left="851" w:hanging="851"/>
    </w:pPr>
    <w:rPr>
      <w:rFonts w:eastAsia="Times New Roman" w:cs="Times New Roman"/>
    </w:rPr>
  </w:style>
  <w:style w:type="paragraph" w:customStyle="1" w:styleId="Head1">
    <w:name w:val="Head1"/>
    <w:basedOn w:val="Normal"/>
    <w:next w:val="Normal"/>
    <w:uiPriority w:val="2"/>
    <w:qFormat/>
    <w:rsid w:val="00421773"/>
    <w:pPr>
      <w:spacing w:line="192" w:lineRule="auto"/>
      <w:outlineLvl w:val="0"/>
    </w:pPr>
    <w:rPr>
      <w:rFonts w:eastAsia="Times New Roman" w:cs="Arial"/>
      <w:b/>
      <w:sz w:val="48"/>
    </w:rPr>
  </w:style>
  <w:style w:type="paragraph" w:customStyle="1" w:styleId="Head2">
    <w:name w:val="Head2"/>
    <w:basedOn w:val="Normal"/>
    <w:next w:val="Normal"/>
    <w:uiPriority w:val="2"/>
    <w:qFormat/>
    <w:rsid w:val="00187144"/>
    <w:pPr>
      <w:spacing w:before="360" w:line="192" w:lineRule="auto"/>
      <w:outlineLvl w:val="1"/>
    </w:pPr>
    <w:rPr>
      <w:rFonts w:cs="Arial"/>
      <w:b/>
      <w:sz w:val="36"/>
    </w:rPr>
  </w:style>
  <w:style w:type="paragraph" w:customStyle="1" w:styleId="Head3">
    <w:name w:val="Head3"/>
    <w:basedOn w:val="Normal"/>
    <w:next w:val="Normal"/>
    <w:uiPriority w:val="2"/>
    <w:qFormat/>
    <w:rsid w:val="00075BD2"/>
    <w:pPr>
      <w:spacing w:before="240" w:line="320" w:lineRule="atLeast"/>
      <w:outlineLvl w:val="2"/>
    </w:pPr>
    <w:rPr>
      <w:rFonts w:eastAsia="Times New Roman" w:cs="Courier New"/>
      <w:b/>
      <w:sz w:val="28"/>
    </w:rPr>
  </w:style>
  <w:style w:type="paragraph" w:customStyle="1" w:styleId="Head4">
    <w:name w:val="Head4"/>
    <w:basedOn w:val="Normal"/>
    <w:next w:val="Normal"/>
    <w:uiPriority w:val="2"/>
    <w:qFormat/>
    <w:rsid w:val="00421773"/>
    <w:pPr>
      <w:spacing w:line="260" w:lineRule="atLeast"/>
      <w:outlineLvl w:val="3"/>
    </w:pPr>
    <w:rPr>
      <w:rFonts w:eastAsia="Times New Roman" w:cs="Courier New"/>
      <w:b/>
    </w:rPr>
  </w:style>
  <w:style w:type="paragraph" w:customStyle="1" w:styleId="Subject">
    <w:name w:val="Subject"/>
    <w:basedOn w:val="Normal"/>
    <w:next w:val="Normal"/>
    <w:uiPriority w:val="2"/>
    <w:semiHidden/>
    <w:rsid w:val="00421773"/>
    <w:pPr>
      <w:spacing w:before="400" w:after="360"/>
    </w:pPr>
    <w:rPr>
      <w:rFonts w:eastAsia="Times New Roman" w:cs="Arial"/>
      <w:caps/>
      <w:color w:val="1A1919" w:themeColor="text1"/>
      <w:sz w:val="36"/>
    </w:rPr>
  </w:style>
  <w:style w:type="numbering" w:customStyle="1" w:styleId="ListTableBullets">
    <w:name w:val="List Table Bullets"/>
    <w:uiPriority w:val="99"/>
    <w:rsid w:val="00421773"/>
    <w:pPr>
      <w:numPr>
        <w:numId w:val="11"/>
      </w:numPr>
    </w:pPr>
  </w:style>
  <w:style w:type="numbering" w:customStyle="1" w:styleId="ListLetters">
    <w:name w:val="List Letters"/>
    <w:uiPriority w:val="99"/>
    <w:rsid w:val="00421773"/>
    <w:pPr>
      <w:numPr>
        <w:numId w:val="8"/>
      </w:numPr>
    </w:pPr>
  </w:style>
  <w:style w:type="numbering" w:customStyle="1" w:styleId="ListHeadings">
    <w:name w:val="List Headings"/>
    <w:uiPriority w:val="99"/>
    <w:rsid w:val="00421773"/>
    <w:pPr>
      <w:numPr>
        <w:numId w:val="7"/>
      </w:numPr>
    </w:pPr>
  </w:style>
  <w:style w:type="paragraph" w:customStyle="1" w:styleId="ExcelTableDescription">
    <w:name w:val="Excel Table Description"/>
    <w:basedOn w:val="Normal"/>
    <w:uiPriority w:val="5"/>
    <w:semiHidden/>
    <w:rsid w:val="00421773"/>
    <w:pPr>
      <w:spacing w:after="0"/>
    </w:pPr>
    <w:rPr>
      <w:rFonts w:eastAsia="Times New Roman" w:cs="Times New Roman"/>
      <w:lang w:eastAsia="en-AU"/>
    </w:rPr>
  </w:style>
  <w:style w:type="paragraph" w:customStyle="1" w:styleId="ExcelTableDescriptionRight">
    <w:name w:val="Excel Table Description Right"/>
    <w:basedOn w:val="ExcelTableDescription"/>
    <w:uiPriority w:val="5"/>
    <w:semiHidden/>
    <w:rsid w:val="00421773"/>
    <w:pPr>
      <w:jc w:val="right"/>
    </w:pPr>
  </w:style>
  <w:style w:type="paragraph" w:customStyle="1" w:styleId="HangingQuote">
    <w:name w:val="Hanging Quote"/>
    <w:basedOn w:val="Normal"/>
    <w:uiPriority w:val="5"/>
    <w:rsid w:val="00421773"/>
    <w:pPr>
      <w:spacing w:before="180" w:after="240"/>
      <w:ind w:left="567" w:right="675"/>
    </w:pPr>
    <w:rPr>
      <w:rFonts w:eastAsia="Times New Roman" w:cs="Times New Roman"/>
      <w:i/>
      <w:szCs w:val="24"/>
    </w:rPr>
  </w:style>
  <w:style w:type="paragraph" w:customStyle="1" w:styleId="PageNo">
    <w:name w:val="Page No"/>
    <w:basedOn w:val="Normal"/>
    <w:uiPriority w:val="99"/>
    <w:semiHidden/>
    <w:rsid w:val="00421773"/>
    <w:pPr>
      <w:spacing w:after="200" w:line="280" w:lineRule="exact"/>
      <w:jc w:val="right"/>
    </w:pPr>
    <w:rPr>
      <w:rFonts w:eastAsia="Times New Roman" w:cs="Courier New"/>
    </w:rPr>
  </w:style>
  <w:style w:type="paragraph" w:customStyle="1" w:styleId="Table-Bullet">
    <w:name w:val="Table - Bullet"/>
    <w:basedOn w:val="Table"/>
    <w:uiPriority w:val="5"/>
    <w:rsid w:val="0065556E"/>
    <w:pPr>
      <w:numPr>
        <w:numId w:val="33"/>
      </w:numPr>
    </w:pPr>
    <w:rPr>
      <w:color w:val="auto"/>
      <w:sz w:val="22"/>
      <w:lang w:val="en-AU"/>
    </w:rPr>
  </w:style>
  <w:style w:type="paragraph" w:customStyle="1" w:styleId="Appendix1">
    <w:name w:val="Appendix 1"/>
    <w:basedOn w:val="Normal"/>
    <w:next w:val="Normal"/>
    <w:uiPriority w:val="18"/>
    <w:rsid w:val="00421773"/>
    <w:pPr>
      <w:pageBreakBefore/>
      <w:framePr w:w="9639" w:wrap="around" w:hAnchor="margin" w:yAlign="top"/>
      <w:numPr>
        <w:numId w:val="55"/>
      </w:numPr>
      <w:spacing w:before="3000" w:after="120" w:line="192" w:lineRule="auto"/>
      <w:outlineLvl w:val="8"/>
    </w:pPr>
    <w:rPr>
      <w:rFonts w:asciiTheme="majorHAnsi" w:eastAsia="Times New Roman" w:hAnsiTheme="majorHAnsi" w:cstheme="majorHAnsi"/>
      <w:b/>
      <w:bCs/>
      <w:sz w:val="48"/>
    </w:rPr>
  </w:style>
  <w:style w:type="numbering" w:customStyle="1" w:styleId="ListAppendix">
    <w:name w:val="List Appendix"/>
    <w:uiPriority w:val="99"/>
    <w:rsid w:val="00421773"/>
    <w:pPr>
      <w:numPr>
        <w:numId w:val="3"/>
      </w:numPr>
    </w:pPr>
  </w:style>
  <w:style w:type="paragraph" w:customStyle="1" w:styleId="CoverText">
    <w:name w:val="Cover Text"/>
    <w:basedOn w:val="Normal"/>
    <w:uiPriority w:val="19"/>
    <w:unhideWhenUsed/>
    <w:rsid w:val="00421773"/>
    <w:pPr>
      <w:framePr w:hSpace="181" w:wrap="around" w:hAnchor="margin" w:yAlign="bottom"/>
      <w:spacing w:after="0"/>
      <w:suppressOverlap/>
    </w:pPr>
    <w:rPr>
      <w:rFonts w:eastAsiaTheme="minorHAnsi"/>
      <w:sz w:val="18"/>
      <w:szCs w:val="18"/>
    </w:rPr>
  </w:style>
  <w:style w:type="paragraph" w:customStyle="1" w:styleId="Stafflisttitle">
    <w:name w:val="Staff list title"/>
    <w:basedOn w:val="Normal"/>
    <w:uiPriority w:val="8"/>
    <w:rsid w:val="00421773"/>
    <w:pPr>
      <w:spacing w:after="120"/>
    </w:pPr>
    <w:rPr>
      <w:b/>
      <w:bCs/>
      <w:caps/>
      <w:sz w:val="18"/>
    </w:rPr>
  </w:style>
  <w:style w:type="paragraph" w:customStyle="1" w:styleId="StaffListtext">
    <w:name w:val="Staff List text"/>
    <w:basedOn w:val="Normal"/>
    <w:uiPriority w:val="8"/>
    <w:rsid w:val="00421773"/>
    <w:pPr>
      <w:spacing w:after="80"/>
    </w:pPr>
    <w:rPr>
      <w:sz w:val="18"/>
    </w:rPr>
  </w:style>
  <w:style w:type="paragraph" w:customStyle="1" w:styleId="Copyright">
    <w:name w:val="Copyright"/>
    <w:basedOn w:val="Normal"/>
    <w:uiPriority w:val="8"/>
    <w:rsid w:val="00421773"/>
    <w:pPr>
      <w:spacing w:after="0"/>
    </w:pPr>
    <w:rPr>
      <w:sz w:val="16"/>
    </w:rPr>
  </w:style>
  <w:style w:type="paragraph" w:customStyle="1" w:styleId="Footertextleft">
    <w:name w:val="Footer text left"/>
    <w:basedOn w:val="Footer"/>
    <w:uiPriority w:val="7"/>
    <w:semiHidden/>
    <w:rsid w:val="00421773"/>
    <w:pPr>
      <w:spacing w:after="40" w:line="240" w:lineRule="auto"/>
    </w:pPr>
    <w:rPr>
      <w:caps/>
      <w:sz w:val="12"/>
    </w:rPr>
  </w:style>
  <w:style w:type="paragraph" w:customStyle="1" w:styleId="Footertextright">
    <w:name w:val="Footer text right"/>
    <w:basedOn w:val="Footertextleft"/>
    <w:uiPriority w:val="7"/>
    <w:semiHidden/>
    <w:rsid w:val="00421773"/>
    <w:pPr>
      <w:jc w:val="right"/>
    </w:pPr>
    <w:rPr>
      <w:szCs w:val="18"/>
    </w:rPr>
  </w:style>
  <w:style w:type="paragraph" w:customStyle="1" w:styleId="ListLetter">
    <w:name w:val="List Letter"/>
    <w:basedOn w:val="Normal"/>
    <w:uiPriority w:val="3"/>
    <w:qFormat/>
    <w:rsid w:val="00421773"/>
    <w:pPr>
      <w:numPr>
        <w:numId w:val="14"/>
      </w:numPr>
    </w:pPr>
  </w:style>
  <w:style w:type="paragraph" w:customStyle="1" w:styleId="ListLetter2">
    <w:name w:val="List Letter 2"/>
    <w:basedOn w:val="ListLetter"/>
    <w:uiPriority w:val="3"/>
    <w:qFormat/>
    <w:rsid w:val="00421773"/>
    <w:pPr>
      <w:numPr>
        <w:ilvl w:val="1"/>
      </w:numPr>
    </w:pPr>
  </w:style>
  <w:style w:type="numbering" w:customStyle="1" w:styleId="ListNumberList">
    <w:name w:val="List Number List"/>
    <w:uiPriority w:val="99"/>
    <w:rsid w:val="00421773"/>
    <w:pPr>
      <w:numPr>
        <w:numId w:val="10"/>
      </w:numPr>
    </w:pPr>
  </w:style>
  <w:style w:type="numbering" w:customStyle="1" w:styleId="ListBullets">
    <w:name w:val="List Bullets"/>
    <w:uiPriority w:val="99"/>
    <w:rsid w:val="00421773"/>
    <w:pPr>
      <w:numPr>
        <w:numId w:val="58"/>
      </w:numPr>
    </w:pPr>
  </w:style>
  <w:style w:type="paragraph" w:customStyle="1" w:styleId="TOCSubheading">
    <w:name w:val="TOC Subheading"/>
    <w:basedOn w:val="Normal"/>
    <w:next w:val="Normal"/>
    <w:uiPriority w:val="39"/>
    <w:qFormat/>
    <w:rsid w:val="00421773"/>
    <w:pPr>
      <w:spacing w:before="80" w:after="80"/>
    </w:pPr>
    <w:rPr>
      <w:b/>
      <w:caps/>
    </w:rPr>
  </w:style>
  <w:style w:type="paragraph" w:customStyle="1" w:styleId="FootnoteSeparator">
    <w:name w:val="Footnote Separator"/>
    <w:basedOn w:val="Normal"/>
    <w:uiPriority w:val="7"/>
    <w:semiHidden/>
    <w:rsid w:val="00421773"/>
    <w:pPr>
      <w:pBdr>
        <w:bottom w:val="single" w:sz="4" w:space="1" w:color="414956"/>
      </w:pBdr>
      <w:spacing w:before="120" w:after="120" w:line="180" w:lineRule="atLeast"/>
    </w:pPr>
    <w:rPr>
      <w:rFonts w:eastAsiaTheme="minorHAnsi"/>
      <w:sz w:val="14"/>
    </w:rPr>
  </w:style>
  <w:style w:type="paragraph" w:customStyle="1" w:styleId="CoverPageSubtitle">
    <w:name w:val="Cover Page Subtitle"/>
    <w:basedOn w:val="Subtitle"/>
    <w:next w:val="Normal"/>
    <w:uiPriority w:val="19"/>
    <w:unhideWhenUsed/>
    <w:qFormat/>
    <w:rsid w:val="00421773"/>
    <w:pPr>
      <w:spacing w:before="220" w:after="0" w:line="192" w:lineRule="auto"/>
    </w:pPr>
    <w:rPr>
      <w:iCs w:val="0"/>
      <w:caps w:val="0"/>
      <w:sz w:val="32"/>
    </w:rPr>
  </w:style>
  <w:style w:type="paragraph" w:customStyle="1" w:styleId="CoverPageTitle">
    <w:name w:val="Cover Page Title"/>
    <w:basedOn w:val="Title"/>
    <w:next w:val="CoverPageSubtitle"/>
    <w:uiPriority w:val="19"/>
    <w:unhideWhenUsed/>
    <w:qFormat/>
    <w:rsid w:val="00421773"/>
    <w:pPr>
      <w:spacing w:before="0" w:after="0" w:line="192" w:lineRule="auto"/>
    </w:pPr>
    <w:rPr>
      <w:rFonts w:asciiTheme="minorHAnsi" w:hAnsiTheme="minorHAnsi" w:cstheme="minorHAnsi"/>
      <w:b/>
      <w:bCs/>
      <w:caps w:val="0"/>
    </w:rPr>
  </w:style>
  <w:style w:type="paragraph" w:customStyle="1" w:styleId="CoverClient">
    <w:name w:val="Cover Client"/>
    <w:uiPriority w:val="19"/>
    <w:unhideWhenUsed/>
    <w:qFormat/>
    <w:rsid w:val="00421773"/>
    <w:pPr>
      <w:spacing w:after="0" w:line="280" w:lineRule="atLeast"/>
    </w:pPr>
    <w:rPr>
      <w:rFonts w:asciiTheme="majorHAnsi" w:eastAsiaTheme="minorHAnsi" w:hAnsiTheme="majorHAnsi" w:cstheme="majorHAnsi"/>
      <w:b/>
      <w:bCs/>
      <w:color w:val="auto"/>
      <w:sz w:val="28"/>
      <w:szCs w:val="18"/>
      <w:lang w:val="en-GB"/>
    </w:rPr>
  </w:style>
  <w:style w:type="paragraph" w:customStyle="1" w:styleId="CoverPageTitle-White">
    <w:name w:val="Cover Page Title - White"/>
    <w:basedOn w:val="CoverPageTitle"/>
    <w:uiPriority w:val="19"/>
    <w:unhideWhenUsed/>
    <w:qFormat/>
    <w:rsid w:val="00421773"/>
    <w:rPr>
      <w:color w:val="FFFFFF" w:themeColor="background1"/>
    </w:rPr>
  </w:style>
  <w:style w:type="paragraph" w:customStyle="1" w:styleId="CoverPageSubtitle-White">
    <w:name w:val="Cover Page Subtitle - White"/>
    <w:basedOn w:val="CoverPageSubtitle"/>
    <w:uiPriority w:val="19"/>
    <w:unhideWhenUsed/>
    <w:qFormat/>
    <w:rsid w:val="00421773"/>
    <w:rPr>
      <w:color w:val="FFFFFF" w:themeColor="background1"/>
    </w:rPr>
  </w:style>
  <w:style w:type="paragraph" w:customStyle="1" w:styleId="CoverClient-White">
    <w:name w:val="Cover Client - White"/>
    <w:basedOn w:val="CoverClient"/>
    <w:uiPriority w:val="19"/>
    <w:unhideWhenUsed/>
    <w:qFormat/>
    <w:rsid w:val="00421773"/>
    <w:rPr>
      <w:color w:val="FFFFFF" w:themeColor="background1"/>
    </w:rPr>
  </w:style>
  <w:style w:type="paragraph" w:customStyle="1" w:styleId="CoverText-White">
    <w:name w:val="Cover Text - White"/>
    <w:basedOn w:val="CoverText"/>
    <w:uiPriority w:val="19"/>
    <w:unhideWhenUsed/>
    <w:qFormat/>
    <w:rsid w:val="00421773"/>
    <w:pPr>
      <w:framePr w:wrap="around"/>
    </w:pPr>
    <w:rPr>
      <w:color w:val="FFFFFF" w:themeColor="background1"/>
    </w:rPr>
  </w:style>
  <w:style w:type="paragraph" w:customStyle="1" w:styleId="Appendix2">
    <w:name w:val="Appendix 2"/>
    <w:basedOn w:val="Normal"/>
    <w:uiPriority w:val="18"/>
    <w:qFormat/>
    <w:rsid w:val="00421773"/>
    <w:pPr>
      <w:numPr>
        <w:ilvl w:val="1"/>
        <w:numId w:val="55"/>
      </w:numPr>
      <w:spacing w:before="400" w:after="120"/>
    </w:pPr>
    <w:rPr>
      <w:b/>
      <w:caps/>
      <w:sz w:val="26"/>
    </w:rPr>
  </w:style>
  <w:style w:type="paragraph" w:customStyle="1" w:styleId="Appendix3">
    <w:name w:val="Appendix 3"/>
    <w:basedOn w:val="Normal"/>
    <w:uiPriority w:val="18"/>
    <w:qFormat/>
    <w:rsid w:val="00421773"/>
    <w:pPr>
      <w:numPr>
        <w:ilvl w:val="2"/>
        <w:numId w:val="55"/>
      </w:numPr>
      <w:spacing w:before="300" w:after="120"/>
    </w:pPr>
    <w:rPr>
      <w:b/>
      <w:caps/>
      <w:sz w:val="24"/>
    </w:rPr>
  </w:style>
  <w:style w:type="paragraph" w:customStyle="1" w:styleId="Appendix4">
    <w:name w:val="Appendix 4"/>
    <w:basedOn w:val="Normal"/>
    <w:uiPriority w:val="18"/>
    <w:qFormat/>
    <w:rsid w:val="00421773"/>
    <w:pPr>
      <w:numPr>
        <w:ilvl w:val="3"/>
        <w:numId w:val="55"/>
      </w:numPr>
      <w:spacing w:before="300" w:after="120"/>
    </w:pPr>
    <w:rPr>
      <w:b/>
      <w:caps/>
    </w:rPr>
  </w:style>
  <w:style w:type="numbering" w:styleId="111111">
    <w:name w:val="Outline List 2"/>
    <w:basedOn w:val="NoList"/>
    <w:semiHidden/>
    <w:unhideWhenUsed/>
    <w:rsid w:val="00421773"/>
    <w:pPr>
      <w:numPr>
        <w:numId w:val="1"/>
      </w:numPr>
    </w:pPr>
  </w:style>
  <w:style w:type="numbering" w:styleId="1ai">
    <w:name w:val="Outline List 1"/>
    <w:basedOn w:val="NoList"/>
    <w:semiHidden/>
    <w:unhideWhenUsed/>
    <w:rsid w:val="00421773"/>
    <w:pPr>
      <w:numPr>
        <w:numId w:val="2"/>
      </w:numPr>
    </w:pPr>
  </w:style>
  <w:style w:type="character" w:customStyle="1" w:styleId="SmartLink1">
    <w:name w:val="SmartLink1"/>
    <w:basedOn w:val="DefaultParagraphFont"/>
    <w:uiPriority w:val="99"/>
    <w:semiHidden/>
    <w:rsid w:val="00250997"/>
    <w:rPr>
      <w:color w:val="69ACDF" w:themeColor="hyperlink"/>
      <w:u w:val="single"/>
      <w:shd w:val="clear" w:color="auto" w:fill="E1DFDD"/>
    </w:rPr>
  </w:style>
  <w:style w:type="paragraph" w:customStyle="1" w:styleId="ImageSource">
    <w:name w:val="Image Source"/>
    <w:basedOn w:val="Normal"/>
    <w:uiPriority w:val="4"/>
    <w:qFormat/>
    <w:rsid w:val="00421773"/>
    <w:rPr>
      <w:i/>
      <w:sz w:val="18"/>
    </w:rPr>
  </w:style>
  <w:style w:type="paragraph" w:customStyle="1" w:styleId="Table-NumberBullet">
    <w:name w:val="Table - Number Bullet"/>
    <w:basedOn w:val="Table"/>
    <w:uiPriority w:val="5"/>
    <w:rsid w:val="00421773"/>
    <w:pPr>
      <w:numPr>
        <w:numId w:val="34"/>
      </w:numPr>
    </w:pPr>
  </w:style>
  <w:style w:type="paragraph" w:customStyle="1" w:styleId="Table-NumberBullet2">
    <w:name w:val="Table - Number Bullet 2"/>
    <w:basedOn w:val="Table"/>
    <w:uiPriority w:val="5"/>
    <w:rsid w:val="00421773"/>
    <w:pPr>
      <w:numPr>
        <w:ilvl w:val="1"/>
        <w:numId w:val="34"/>
      </w:numPr>
    </w:pPr>
  </w:style>
  <w:style w:type="paragraph" w:customStyle="1" w:styleId="Table-NumberBullet3">
    <w:name w:val="Table - Number Bullet 3"/>
    <w:basedOn w:val="Table"/>
    <w:uiPriority w:val="5"/>
    <w:rsid w:val="00421773"/>
    <w:pPr>
      <w:numPr>
        <w:ilvl w:val="2"/>
        <w:numId w:val="34"/>
      </w:numPr>
    </w:pPr>
  </w:style>
  <w:style w:type="numbering" w:customStyle="1" w:styleId="ListTableNumberBullets">
    <w:name w:val="List Table Number Bullets"/>
    <w:uiPriority w:val="99"/>
    <w:rsid w:val="00421773"/>
    <w:pPr>
      <w:numPr>
        <w:numId w:val="12"/>
      </w:numPr>
    </w:pPr>
  </w:style>
  <w:style w:type="paragraph" w:customStyle="1" w:styleId="Tablespacer">
    <w:name w:val="Table spacer"/>
    <w:basedOn w:val="Normal"/>
    <w:uiPriority w:val="99"/>
    <w:semiHidden/>
    <w:qFormat/>
    <w:rsid w:val="00421773"/>
    <w:pPr>
      <w:spacing w:after="0"/>
    </w:pPr>
    <w:rPr>
      <w:sz w:val="12"/>
    </w:rPr>
  </w:style>
  <w:style w:type="numbering" w:customStyle="1" w:styleId="Listbullets0">
    <w:name w:val="List bullets"/>
    <w:uiPriority w:val="99"/>
    <w:rsid w:val="00603EA1"/>
    <w:pPr>
      <w:numPr>
        <w:numId w:val="6"/>
      </w:numPr>
    </w:pPr>
  </w:style>
  <w:style w:type="paragraph" w:customStyle="1" w:styleId="Urbisdisclaimer">
    <w:name w:val="Urbis disclaimer"/>
    <w:basedOn w:val="Normal"/>
    <w:uiPriority w:val="8"/>
    <w:rsid w:val="00603EA1"/>
    <w:pPr>
      <w:spacing w:after="80"/>
    </w:pPr>
    <w:rPr>
      <w:sz w:val="18"/>
    </w:rPr>
  </w:style>
  <w:style w:type="paragraph" w:customStyle="1" w:styleId="Urbisdisclaimertitle">
    <w:name w:val="Urbis disclaimer title"/>
    <w:basedOn w:val="Normal"/>
    <w:uiPriority w:val="8"/>
    <w:rsid w:val="00603EA1"/>
    <w:pPr>
      <w:spacing w:after="120"/>
    </w:pPr>
    <w:rPr>
      <w:b/>
      <w:bCs/>
      <w:caps/>
      <w:sz w:val="18"/>
    </w:rPr>
  </w:style>
  <w:style w:type="table" w:customStyle="1" w:styleId="UrbisTable1">
    <w:name w:val="Urbis Table 1"/>
    <w:basedOn w:val="TableNormal"/>
    <w:rsid w:val="00603EA1"/>
    <w:pPr>
      <w:spacing w:after="200" w:line="280" w:lineRule="atLeast"/>
    </w:pPr>
    <w:rPr>
      <w:rFonts w:eastAsia="Times New Roman" w:cs="Times New Roman"/>
      <w:lang w:eastAsia="en-AU"/>
    </w:rPr>
    <w:tblPr>
      <w:tblStyleRowBandSize w:val="1"/>
      <w:tblBorders>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CellMar>
        <w:left w:w="0" w:type="dxa"/>
        <w:right w:w="0" w:type="dxa"/>
      </w:tblCellMar>
    </w:tblPr>
    <w:tcPr>
      <w:shd w:val="clear" w:color="auto" w:fill="auto"/>
      <w:vAlign w:val="bottom"/>
    </w:tcPr>
    <w:tblStylePr w:type="firstRow">
      <w:pPr>
        <w:wordWrap/>
        <w:spacing w:beforeLines="0" w:before="0" w:beforeAutospacing="0" w:afterLines="0" w:after="200" w:afterAutospacing="0" w:line="280" w:lineRule="atLeast"/>
        <w:ind w:leftChars="0" w:left="0" w:rightChars="0" w:right="0" w:firstLineChars="0" w:firstLine="0"/>
      </w:pPr>
      <w:rPr>
        <w:rFonts w:ascii="Arial" w:hAnsi="Arial"/>
        <w:color w:val="auto"/>
        <w:sz w:val="20"/>
      </w:rPr>
      <w:tblPr/>
      <w:tcPr>
        <w:tcBorders>
          <w:top w:val="single" w:sz="4" w:space="0" w:color="D9D9D9" w:themeColor="background1" w:themeShade="D9"/>
          <w:left w:val="single" w:sz="4" w:space="0" w:color="D9D9D9" w:themeColor="background1" w:themeShade="D9"/>
          <w:bottom w:val="nil"/>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clear" w:color="auto" w:fill="auto"/>
      </w:tcPr>
    </w:tblStylePr>
    <w:tblStylePr w:type="lastRow">
      <w:rPr>
        <w:rFonts w:ascii="Arial" w:hAnsi="Arial"/>
        <w:caps/>
        <w:smallCaps w:val="0"/>
        <w:color w:val="7F7F7F"/>
        <w:sz w:val="16"/>
      </w:rPr>
      <w:tblPr/>
      <w:tcPr>
        <w:tcBorders>
          <w:top w:val="nil"/>
          <w:bottom w:val="dotted" w:sz="4" w:space="0" w:color="0092D2"/>
        </w:tcBorders>
        <w:shd w:val="clear" w:color="auto" w:fill="auto"/>
      </w:tcPr>
    </w:tblStylePr>
    <w:tblStylePr w:type="band1Horz">
      <w:tblPr/>
      <w:tcPr>
        <w:shd w:val="clear" w:color="auto" w:fill="F2F2F2" w:themeFill="background1" w:themeFillShade="F2"/>
      </w:tcPr>
    </w:tblStylePr>
  </w:style>
  <w:style w:type="paragraph" w:styleId="Revision">
    <w:name w:val="Revision"/>
    <w:hidden/>
    <w:uiPriority w:val="99"/>
    <w:semiHidden/>
    <w:rsid w:val="00697FBC"/>
    <w:pPr>
      <w:spacing w:after="0"/>
    </w:pPr>
    <w:rPr>
      <w:lang w:val="en-AU"/>
    </w:rPr>
  </w:style>
  <w:style w:type="paragraph" w:customStyle="1" w:styleId="pf0">
    <w:name w:val="pf0"/>
    <w:basedOn w:val="Normal"/>
    <w:rsid w:val="00697FBC"/>
    <w:pPr>
      <w:spacing w:before="100" w:beforeAutospacing="1" w:after="100" w:afterAutospacing="1"/>
      <w:ind w:left="720"/>
    </w:pPr>
    <w:rPr>
      <w:rFonts w:ascii="Times New Roman" w:eastAsia="Times New Roman" w:hAnsi="Times New Roman" w:cs="Times New Roman"/>
      <w:sz w:val="24"/>
      <w:szCs w:val="24"/>
      <w:lang w:eastAsia="en-AU"/>
    </w:rPr>
  </w:style>
  <w:style w:type="character" w:customStyle="1" w:styleId="cf01">
    <w:name w:val="cf01"/>
    <w:basedOn w:val="DefaultParagraphFont"/>
    <w:rsid w:val="00697FBC"/>
    <w:rPr>
      <w:rFonts w:ascii="Segoe UI" w:hAnsi="Segoe UI" w:cs="Segoe UI" w:hint="default"/>
      <w:b/>
      <w:bCs/>
      <w:color w:val="404040"/>
      <w:sz w:val="18"/>
      <w:szCs w:val="18"/>
    </w:rPr>
  </w:style>
  <w:style w:type="paragraph" w:customStyle="1" w:styleId="pf1">
    <w:name w:val="pf1"/>
    <w:basedOn w:val="Normal"/>
    <w:rsid w:val="00697FB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5556E"/>
    <w:rPr>
      <w:shd w:val="clear" w:color="auto" w:fill="FFFFFF"/>
    </w:rPr>
  </w:style>
  <w:style w:type="paragraph" w:customStyle="1" w:styleId="Default">
    <w:name w:val="Default"/>
    <w:rsid w:val="00E25668"/>
    <w:pPr>
      <w:autoSpaceDE w:val="0"/>
      <w:autoSpaceDN w:val="0"/>
      <w:adjustRightInd w:val="0"/>
      <w:spacing w:after="0"/>
    </w:pPr>
    <w:rPr>
      <w:rFonts w:cs="Arial"/>
      <w:color w:val="000000"/>
      <w:sz w:val="24"/>
      <w:szCs w:val="24"/>
      <w:lang w:val="en-AU"/>
    </w:rPr>
  </w:style>
  <w:style w:type="character" w:customStyle="1" w:styleId="eop">
    <w:name w:val="eop"/>
    <w:basedOn w:val="DefaultParagraphFont"/>
    <w:rsid w:val="0014055B"/>
  </w:style>
  <w:style w:type="paragraph" w:customStyle="1" w:styleId="paragraph">
    <w:name w:val="paragraph"/>
    <w:basedOn w:val="Normal"/>
    <w:rsid w:val="00310373"/>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cf11">
    <w:name w:val="cf11"/>
    <w:basedOn w:val="DefaultParagraphFont"/>
    <w:rsid w:val="006454DC"/>
    <w:rPr>
      <w:rFonts w:ascii="Segoe UI" w:hAnsi="Segoe UI" w:cs="Segoe UI" w:hint="default"/>
      <w:color w:val="1A1919"/>
      <w:sz w:val="18"/>
      <w:szCs w:val="18"/>
    </w:rPr>
  </w:style>
  <w:style w:type="character" w:customStyle="1" w:styleId="ui-provider">
    <w:name w:val="ui-provider"/>
    <w:basedOn w:val="DefaultParagraphFont"/>
    <w:rsid w:val="006D5EA6"/>
  </w:style>
  <w:style w:type="numbering" w:customStyle="1" w:styleId="Listbullets1">
    <w:name w:val="List bullets1"/>
    <w:uiPriority w:val="99"/>
    <w:rsid w:val="00F324C0"/>
  </w:style>
  <w:style w:type="character" w:customStyle="1" w:styleId="Hashtag">
    <w:name w:val="Hashtag"/>
    <w:basedOn w:val="DefaultParagraphFont"/>
    <w:uiPriority w:val="99"/>
    <w:semiHidden/>
    <w:rsid w:val="00421773"/>
    <w:rPr>
      <w:color w:val="2B579A"/>
      <w:shd w:val="clear" w:color="auto" w:fill="E1DFDD"/>
    </w:rPr>
  </w:style>
  <w:style w:type="character" w:customStyle="1" w:styleId="Mention">
    <w:name w:val="Mention"/>
    <w:basedOn w:val="DefaultParagraphFont"/>
    <w:uiPriority w:val="99"/>
    <w:semiHidden/>
    <w:rsid w:val="00421773"/>
    <w:rPr>
      <w:color w:val="2B579A"/>
      <w:shd w:val="clear" w:color="auto" w:fill="E1DFDD"/>
    </w:rPr>
  </w:style>
  <w:style w:type="character" w:customStyle="1" w:styleId="SmartHyperlink">
    <w:name w:val="Smart Hyperlink"/>
    <w:basedOn w:val="DefaultParagraphFont"/>
    <w:uiPriority w:val="99"/>
    <w:semiHidden/>
    <w:rsid w:val="00421773"/>
    <w:rPr>
      <w:u w:val="dotted"/>
    </w:rPr>
  </w:style>
  <w:style w:type="character" w:customStyle="1" w:styleId="UnresolvedMention">
    <w:name w:val="Unresolved Mention"/>
    <w:basedOn w:val="DefaultParagraphFont"/>
    <w:uiPriority w:val="99"/>
    <w:semiHidden/>
    <w:rsid w:val="00421773"/>
    <w:rPr>
      <w:color w:val="605E5C"/>
      <w:shd w:val="clear" w:color="auto" w:fill="E1DFDD"/>
    </w:rPr>
  </w:style>
  <w:style w:type="character" w:customStyle="1" w:styleId="SmartLink">
    <w:name w:val="Smart Link"/>
    <w:basedOn w:val="DefaultParagraphFont"/>
    <w:uiPriority w:val="99"/>
    <w:semiHidden/>
    <w:rsid w:val="00421773"/>
    <w:rPr>
      <w:color w:val="69ACDF" w:themeColor="hyperlink"/>
      <w:u w:val="single"/>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8796">
      <w:bodyDiv w:val="1"/>
      <w:marLeft w:val="0"/>
      <w:marRight w:val="0"/>
      <w:marTop w:val="0"/>
      <w:marBottom w:val="0"/>
      <w:divBdr>
        <w:top w:val="none" w:sz="0" w:space="0" w:color="auto"/>
        <w:left w:val="none" w:sz="0" w:space="0" w:color="auto"/>
        <w:bottom w:val="none" w:sz="0" w:space="0" w:color="auto"/>
        <w:right w:val="none" w:sz="0" w:space="0" w:color="auto"/>
      </w:divBdr>
    </w:div>
    <w:div w:id="64961481">
      <w:bodyDiv w:val="1"/>
      <w:marLeft w:val="0"/>
      <w:marRight w:val="0"/>
      <w:marTop w:val="0"/>
      <w:marBottom w:val="0"/>
      <w:divBdr>
        <w:top w:val="none" w:sz="0" w:space="0" w:color="auto"/>
        <w:left w:val="none" w:sz="0" w:space="0" w:color="auto"/>
        <w:bottom w:val="none" w:sz="0" w:space="0" w:color="auto"/>
        <w:right w:val="none" w:sz="0" w:space="0" w:color="auto"/>
      </w:divBdr>
    </w:div>
    <w:div w:id="233589379">
      <w:bodyDiv w:val="1"/>
      <w:marLeft w:val="0"/>
      <w:marRight w:val="0"/>
      <w:marTop w:val="0"/>
      <w:marBottom w:val="0"/>
      <w:divBdr>
        <w:top w:val="none" w:sz="0" w:space="0" w:color="auto"/>
        <w:left w:val="none" w:sz="0" w:space="0" w:color="auto"/>
        <w:bottom w:val="none" w:sz="0" w:space="0" w:color="auto"/>
        <w:right w:val="none" w:sz="0" w:space="0" w:color="auto"/>
      </w:divBdr>
      <w:divsChild>
        <w:div w:id="33502235">
          <w:marLeft w:val="547"/>
          <w:marRight w:val="0"/>
          <w:marTop w:val="0"/>
          <w:marBottom w:val="0"/>
          <w:divBdr>
            <w:top w:val="none" w:sz="0" w:space="0" w:color="auto"/>
            <w:left w:val="none" w:sz="0" w:space="0" w:color="auto"/>
            <w:bottom w:val="none" w:sz="0" w:space="0" w:color="auto"/>
            <w:right w:val="none" w:sz="0" w:space="0" w:color="auto"/>
          </w:divBdr>
        </w:div>
      </w:divsChild>
    </w:div>
    <w:div w:id="259605721">
      <w:bodyDiv w:val="1"/>
      <w:marLeft w:val="0"/>
      <w:marRight w:val="0"/>
      <w:marTop w:val="0"/>
      <w:marBottom w:val="0"/>
      <w:divBdr>
        <w:top w:val="none" w:sz="0" w:space="0" w:color="auto"/>
        <w:left w:val="none" w:sz="0" w:space="0" w:color="auto"/>
        <w:bottom w:val="none" w:sz="0" w:space="0" w:color="auto"/>
        <w:right w:val="none" w:sz="0" w:space="0" w:color="auto"/>
      </w:divBdr>
    </w:div>
    <w:div w:id="372391515">
      <w:bodyDiv w:val="1"/>
      <w:marLeft w:val="0"/>
      <w:marRight w:val="0"/>
      <w:marTop w:val="0"/>
      <w:marBottom w:val="0"/>
      <w:divBdr>
        <w:top w:val="none" w:sz="0" w:space="0" w:color="auto"/>
        <w:left w:val="none" w:sz="0" w:space="0" w:color="auto"/>
        <w:bottom w:val="none" w:sz="0" w:space="0" w:color="auto"/>
        <w:right w:val="none" w:sz="0" w:space="0" w:color="auto"/>
      </w:divBdr>
    </w:div>
    <w:div w:id="411122174">
      <w:bodyDiv w:val="1"/>
      <w:marLeft w:val="0"/>
      <w:marRight w:val="0"/>
      <w:marTop w:val="0"/>
      <w:marBottom w:val="0"/>
      <w:divBdr>
        <w:top w:val="none" w:sz="0" w:space="0" w:color="auto"/>
        <w:left w:val="none" w:sz="0" w:space="0" w:color="auto"/>
        <w:bottom w:val="none" w:sz="0" w:space="0" w:color="auto"/>
        <w:right w:val="none" w:sz="0" w:space="0" w:color="auto"/>
      </w:divBdr>
    </w:div>
    <w:div w:id="501241535">
      <w:bodyDiv w:val="1"/>
      <w:marLeft w:val="0"/>
      <w:marRight w:val="0"/>
      <w:marTop w:val="0"/>
      <w:marBottom w:val="0"/>
      <w:divBdr>
        <w:top w:val="none" w:sz="0" w:space="0" w:color="auto"/>
        <w:left w:val="none" w:sz="0" w:space="0" w:color="auto"/>
        <w:bottom w:val="none" w:sz="0" w:space="0" w:color="auto"/>
        <w:right w:val="none" w:sz="0" w:space="0" w:color="auto"/>
      </w:divBdr>
    </w:div>
    <w:div w:id="521210816">
      <w:bodyDiv w:val="1"/>
      <w:marLeft w:val="0"/>
      <w:marRight w:val="0"/>
      <w:marTop w:val="0"/>
      <w:marBottom w:val="0"/>
      <w:divBdr>
        <w:top w:val="none" w:sz="0" w:space="0" w:color="auto"/>
        <w:left w:val="none" w:sz="0" w:space="0" w:color="auto"/>
        <w:bottom w:val="none" w:sz="0" w:space="0" w:color="auto"/>
        <w:right w:val="none" w:sz="0" w:space="0" w:color="auto"/>
      </w:divBdr>
      <w:divsChild>
        <w:div w:id="1272855233">
          <w:marLeft w:val="0"/>
          <w:marRight w:val="0"/>
          <w:marTop w:val="0"/>
          <w:marBottom w:val="0"/>
          <w:divBdr>
            <w:top w:val="none" w:sz="0" w:space="0" w:color="auto"/>
            <w:left w:val="none" w:sz="0" w:space="0" w:color="auto"/>
            <w:bottom w:val="none" w:sz="0" w:space="0" w:color="auto"/>
            <w:right w:val="none" w:sz="0" w:space="0" w:color="auto"/>
          </w:divBdr>
        </w:div>
      </w:divsChild>
    </w:div>
    <w:div w:id="781917798">
      <w:bodyDiv w:val="1"/>
      <w:marLeft w:val="0"/>
      <w:marRight w:val="0"/>
      <w:marTop w:val="0"/>
      <w:marBottom w:val="0"/>
      <w:divBdr>
        <w:top w:val="none" w:sz="0" w:space="0" w:color="auto"/>
        <w:left w:val="none" w:sz="0" w:space="0" w:color="auto"/>
        <w:bottom w:val="none" w:sz="0" w:space="0" w:color="auto"/>
        <w:right w:val="none" w:sz="0" w:space="0" w:color="auto"/>
      </w:divBdr>
    </w:div>
    <w:div w:id="843209274">
      <w:bodyDiv w:val="1"/>
      <w:marLeft w:val="0"/>
      <w:marRight w:val="0"/>
      <w:marTop w:val="0"/>
      <w:marBottom w:val="0"/>
      <w:divBdr>
        <w:top w:val="none" w:sz="0" w:space="0" w:color="auto"/>
        <w:left w:val="none" w:sz="0" w:space="0" w:color="auto"/>
        <w:bottom w:val="none" w:sz="0" w:space="0" w:color="auto"/>
        <w:right w:val="none" w:sz="0" w:space="0" w:color="auto"/>
      </w:divBdr>
    </w:div>
    <w:div w:id="855778339">
      <w:bodyDiv w:val="1"/>
      <w:marLeft w:val="0"/>
      <w:marRight w:val="0"/>
      <w:marTop w:val="0"/>
      <w:marBottom w:val="0"/>
      <w:divBdr>
        <w:top w:val="none" w:sz="0" w:space="0" w:color="auto"/>
        <w:left w:val="none" w:sz="0" w:space="0" w:color="auto"/>
        <w:bottom w:val="none" w:sz="0" w:space="0" w:color="auto"/>
        <w:right w:val="none" w:sz="0" w:space="0" w:color="auto"/>
      </w:divBdr>
    </w:div>
    <w:div w:id="893085284">
      <w:bodyDiv w:val="1"/>
      <w:marLeft w:val="0"/>
      <w:marRight w:val="0"/>
      <w:marTop w:val="0"/>
      <w:marBottom w:val="0"/>
      <w:divBdr>
        <w:top w:val="none" w:sz="0" w:space="0" w:color="auto"/>
        <w:left w:val="none" w:sz="0" w:space="0" w:color="auto"/>
        <w:bottom w:val="none" w:sz="0" w:space="0" w:color="auto"/>
        <w:right w:val="none" w:sz="0" w:space="0" w:color="auto"/>
      </w:divBdr>
    </w:div>
    <w:div w:id="1217203774">
      <w:bodyDiv w:val="1"/>
      <w:marLeft w:val="0"/>
      <w:marRight w:val="0"/>
      <w:marTop w:val="0"/>
      <w:marBottom w:val="0"/>
      <w:divBdr>
        <w:top w:val="none" w:sz="0" w:space="0" w:color="auto"/>
        <w:left w:val="none" w:sz="0" w:space="0" w:color="auto"/>
        <w:bottom w:val="none" w:sz="0" w:space="0" w:color="auto"/>
        <w:right w:val="none" w:sz="0" w:space="0" w:color="auto"/>
      </w:divBdr>
    </w:div>
    <w:div w:id="1231191753">
      <w:bodyDiv w:val="1"/>
      <w:marLeft w:val="0"/>
      <w:marRight w:val="0"/>
      <w:marTop w:val="0"/>
      <w:marBottom w:val="0"/>
      <w:divBdr>
        <w:top w:val="none" w:sz="0" w:space="0" w:color="auto"/>
        <w:left w:val="none" w:sz="0" w:space="0" w:color="auto"/>
        <w:bottom w:val="none" w:sz="0" w:space="0" w:color="auto"/>
        <w:right w:val="none" w:sz="0" w:space="0" w:color="auto"/>
      </w:divBdr>
    </w:div>
    <w:div w:id="1301809693">
      <w:bodyDiv w:val="1"/>
      <w:marLeft w:val="0"/>
      <w:marRight w:val="0"/>
      <w:marTop w:val="0"/>
      <w:marBottom w:val="0"/>
      <w:divBdr>
        <w:top w:val="none" w:sz="0" w:space="0" w:color="auto"/>
        <w:left w:val="none" w:sz="0" w:space="0" w:color="auto"/>
        <w:bottom w:val="none" w:sz="0" w:space="0" w:color="auto"/>
        <w:right w:val="none" w:sz="0" w:space="0" w:color="auto"/>
      </w:divBdr>
    </w:div>
    <w:div w:id="1342006690">
      <w:bodyDiv w:val="1"/>
      <w:marLeft w:val="0"/>
      <w:marRight w:val="0"/>
      <w:marTop w:val="0"/>
      <w:marBottom w:val="0"/>
      <w:divBdr>
        <w:top w:val="none" w:sz="0" w:space="0" w:color="auto"/>
        <w:left w:val="none" w:sz="0" w:space="0" w:color="auto"/>
        <w:bottom w:val="none" w:sz="0" w:space="0" w:color="auto"/>
        <w:right w:val="none" w:sz="0" w:space="0" w:color="auto"/>
      </w:divBdr>
    </w:div>
    <w:div w:id="1352147579">
      <w:bodyDiv w:val="1"/>
      <w:marLeft w:val="0"/>
      <w:marRight w:val="0"/>
      <w:marTop w:val="0"/>
      <w:marBottom w:val="0"/>
      <w:divBdr>
        <w:top w:val="none" w:sz="0" w:space="0" w:color="auto"/>
        <w:left w:val="none" w:sz="0" w:space="0" w:color="auto"/>
        <w:bottom w:val="none" w:sz="0" w:space="0" w:color="auto"/>
        <w:right w:val="none" w:sz="0" w:space="0" w:color="auto"/>
      </w:divBdr>
    </w:div>
    <w:div w:id="1410234110">
      <w:bodyDiv w:val="1"/>
      <w:marLeft w:val="0"/>
      <w:marRight w:val="0"/>
      <w:marTop w:val="0"/>
      <w:marBottom w:val="0"/>
      <w:divBdr>
        <w:top w:val="none" w:sz="0" w:space="0" w:color="auto"/>
        <w:left w:val="none" w:sz="0" w:space="0" w:color="auto"/>
        <w:bottom w:val="none" w:sz="0" w:space="0" w:color="auto"/>
        <w:right w:val="none" w:sz="0" w:space="0" w:color="auto"/>
      </w:divBdr>
    </w:div>
    <w:div w:id="1571186123">
      <w:bodyDiv w:val="1"/>
      <w:marLeft w:val="0"/>
      <w:marRight w:val="0"/>
      <w:marTop w:val="0"/>
      <w:marBottom w:val="0"/>
      <w:divBdr>
        <w:top w:val="none" w:sz="0" w:space="0" w:color="auto"/>
        <w:left w:val="none" w:sz="0" w:space="0" w:color="auto"/>
        <w:bottom w:val="none" w:sz="0" w:space="0" w:color="auto"/>
        <w:right w:val="none" w:sz="0" w:space="0" w:color="auto"/>
      </w:divBdr>
    </w:div>
    <w:div w:id="1576620673">
      <w:bodyDiv w:val="1"/>
      <w:marLeft w:val="0"/>
      <w:marRight w:val="0"/>
      <w:marTop w:val="0"/>
      <w:marBottom w:val="0"/>
      <w:divBdr>
        <w:top w:val="none" w:sz="0" w:space="0" w:color="auto"/>
        <w:left w:val="none" w:sz="0" w:space="0" w:color="auto"/>
        <w:bottom w:val="none" w:sz="0" w:space="0" w:color="auto"/>
        <w:right w:val="none" w:sz="0" w:space="0" w:color="auto"/>
      </w:divBdr>
    </w:div>
    <w:div w:id="1579710056">
      <w:bodyDiv w:val="1"/>
      <w:marLeft w:val="0"/>
      <w:marRight w:val="0"/>
      <w:marTop w:val="0"/>
      <w:marBottom w:val="0"/>
      <w:divBdr>
        <w:top w:val="none" w:sz="0" w:space="0" w:color="auto"/>
        <w:left w:val="none" w:sz="0" w:space="0" w:color="auto"/>
        <w:bottom w:val="none" w:sz="0" w:space="0" w:color="auto"/>
        <w:right w:val="none" w:sz="0" w:space="0" w:color="auto"/>
      </w:divBdr>
      <w:divsChild>
        <w:div w:id="52430022">
          <w:marLeft w:val="0"/>
          <w:marRight w:val="0"/>
          <w:marTop w:val="0"/>
          <w:marBottom w:val="0"/>
          <w:divBdr>
            <w:top w:val="none" w:sz="0" w:space="0" w:color="auto"/>
            <w:left w:val="none" w:sz="0" w:space="0" w:color="auto"/>
            <w:bottom w:val="none" w:sz="0" w:space="0" w:color="auto"/>
            <w:right w:val="none" w:sz="0" w:space="0" w:color="auto"/>
          </w:divBdr>
        </w:div>
        <w:div w:id="520363363">
          <w:marLeft w:val="0"/>
          <w:marRight w:val="0"/>
          <w:marTop w:val="0"/>
          <w:marBottom w:val="0"/>
          <w:divBdr>
            <w:top w:val="none" w:sz="0" w:space="0" w:color="auto"/>
            <w:left w:val="none" w:sz="0" w:space="0" w:color="auto"/>
            <w:bottom w:val="none" w:sz="0" w:space="0" w:color="auto"/>
            <w:right w:val="none" w:sz="0" w:space="0" w:color="auto"/>
          </w:divBdr>
        </w:div>
      </w:divsChild>
    </w:div>
    <w:div w:id="1605070570">
      <w:bodyDiv w:val="1"/>
      <w:marLeft w:val="0"/>
      <w:marRight w:val="0"/>
      <w:marTop w:val="0"/>
      <w:marBottom w:val="0"/>
      <w:divBdr>
        <w:top w:val="none" w:sz="0" w:space="0" w:color="auto"/>
        <w:left w:val="none" w:sz="0" w:space="0" w:color="auto"/>
        <w:bottom w:val="none" w:sz="0" w:space="0" w:color="auto"/>
        <w:right w:val="none" w:sz="0" w:space="0" w:color="auto"/>
      </w:divBdr>
    </w:div>
    <w:div w:id="1607811541">
      <w:bodyDiv w:val="1"/>
      <w:marLeft w:val="0"/>
      <w:marRight w:val="0"/>
      <w:marTop w:val="0"/>
      <w:marBottom w:val="0"/>
      <w:divBdr>
        <w:top w:val="none" w:sz="0" w:space="0" w:color="auto"/>
        <w:left w:val="none" w:sz="0" w:space="0" w:color="auto"/>
        <w:bottom w:val="none" w:sz="0" w:space="0" w:color="auto"/>
        <w:right w:val="none" w:sz="0" w:space="0" w:color="auto"/>
      </w:divBdr>
      <w:divsChild>
        <w:div w:id="1624463178">
          <w:marLeft w:val="547"/>
          <w:marRight w:val="0"/>
          <w:marTop w:val="0"/>
          <w:marBottom w:val="0"/>
          <w:divBdr>
            <w:top w:val="none" w:sz="0" w:space="0" w:color="auto"/>
            <w:left w:val="none" w:sz="0" w:space="0" w:color="auto"/>
            <w:bottom w:val="none" w:sz="0" w:space="0" w:color="auto"/>
            <w:right w:val="none" w:sz="0" w:space="0" w:color="auto"/>
          </w:divBdr>
        </w:div>
      </w:divsChild>
    </w:div>
    <w:div w:id="1646423757">
      <w:bodyDiv w:val="1"/>
      <w:marLeft w:val="0"/>
      <w:marRight w:val="0"/>
      <w:marTop w:val="0"/>
      <w:marBottom w:val="0"/>
      <w:divBdr>
        <w:top w:val="none" w:sz="0" w:space="0" w:color="auto"/>
        <w:left w:val="none" w:sz="0" w:space="0" w:color="auto"/>
        <w:bottom w:val="none" w:sz="0" w:space="0" w:color="auto"/>
        <w:right w:val="none" w:sz="0" w:space="0" w:color="auto"/>
      </w:divBdr>
    </w:div>
    <w:div w:id="1673410349">
      <w:bodyDiv w:val="1"/>
      <w:marLeft w:val="0"/>
      <w:marRight w:val="0"/>
      <w:marTop w:val="0"/>
      <w:marBottom w:val="0"/>
      <w:divBdr>
        <w:top w:val="none" w:sz="0" w:space="0" w:color="auto"/>
        <w:left w:val="none" w:sz="0" w:space="0" w:color="auto"/>
        <w:bottom w:val="none" w:sz="0" w:space="0" w:color="auto"/>
        <w:right w:val="none" w:sz="0" w:space="0" w:color="auto"/>
      </w:divBdr>
      <w:divsChild>
        <w:div w:id="721750383">
          <w:marLeft w:val="547"/>
          <w:marRight w:val="0"/>
          <w:marTop w:val="0"/>
          <w:marBottom w:val="0"/>
          <w:divBdr>
            <w:top w:val="none" w:sz="0" w:space="0" w:color="auto"/>
            <w:left w:val="none" w:sz="0" w:space="0" w:color="auto"/>
            <w:bottom w:val="none" w:sz="0" w:space="0" w:color="auto"/>
            <w:right w:val="none" w:sz="0" w:space="0" w:color="auto"/>
          </w:divBdr>
        </w:div>
      </w:divsChild>
    </w:div>
    <w:div w:id="1765690270">
      <w:bodyDiv w:val="1"/>
      <w:marLeft w:val="0"/>
      <w:marRight w:val="0"/>
      <w:marTop w:val="0"/>
      <w:marBottom w:val="0"/>
      <w:divBdr>
        <w:top w:val="none" w:sz="0" w:space="0" w:color="auto"/>
        <w:left w:val="none" w:sz="0" w:space="0" w:color="auto"/>
        <w:bottom w:val="none" w:sz="0" w:space="0" w:color="auto"/>
        <w:right w:val="none" w:sz="0" w:space="0" w:color="auto"/>
      </w:divBdr>
      <w:divsChild>
        <w:div w:id="462969371">
          <w:marLeft w:val="547"/>
          <w:marRight w:val="0"/>
          <w:marTop w:val="0"/>
          <w:marBottom w:val="0"/>
          <w:divBdr>
            <w:top w:val="none" w:sz="0" w:space="0" w:color="auto"/>
            <w:left w:val="none" w:sz="0" w:space="0" w:color="auto"/>
            <w:bottom w:val="none" w:sz="0" w:space="0" w:color="auto"/>
            <w:right w:val="none" w:sz="0" w:space="0" w:color="auto"/>
          </w:divBdr>
        </w:div>
      </w:divsChild>
    </w:div>
    <w:div w:id="1814713948">
      <w:bodyDiv w:val="1"/>
      <w:marLeft w:val="0"/>
      <w:marRight w:val="0"/>
      <w:marTop w:val="0"/>
      <w:marBottom w:val="0"/>
      <w:divBdr>
        <w:top w:val="none" w:sz="0" w:space="0" w:color="auto"/>
        <w:left w:val="none" w:sz="0" w:space="0" w:color="auto"/>
        <w:bottom w:val="none" w:sz="0" w:space="0" w:color="auto"/>
        <w:right w:val="none" w:sz="0" w:space="0" w:color="auto"/>
      </w:divBdr>
    </w:div>
    <w:div w:id="1943561948">
      <w:bodyDiv w:val="1"/>
      <w:marLeft w:val="0"/>
      <w:marRight w:val="0"/>
      <w:marTop w:val="0"/>
      <w:marBottom w:val="0"/>
      <w:divBdr>
        <w:top w:val="none" w:sz="0" w:space="0" w:color="auto"/>
        <w:left w:val="none" w:sz="0" w:space="0" w:color="auto"/>
        <w:bottom w:val="none" w:sz="0" w:space="0" w:color="auto"/>
        <w:right w:val="none" w:sz="0" w:space="0" w:color="auto"/>
      </w:divBdr>
      <w:divsChild>
        <w:div w:id="1229149214">
          <w:marLeft w:val="547"/>
          <w:marRight w:val="0"/>
          <w:marTop w:val="0"/>
          <w:marBottom w:val="0"/>
          <w:divBdr>
            <w:top w:val="none" w:sz="0" w:space="0" w:color="auto"/>
            <w:left w:val="none" w:sz="0" w:space="0" w:color="auto"/>
            <w:bottom w:val="none" w:sz="0" w:space="0" w:color="auto"/>
            <w:right w:val="none" w:sz="0" w:space="0" w:color="auto"/>
          </w:divBdr>
        </w:div>
        <w:div w:id="1719888440">
          <w:marLeft w:val="547"/>
          <w:marRight w:val="0"/>
          <w:marTop w:val="0"/>
          <w:marBottom w:val="0"/>
          <w:divBdr>
            <w:top w:val="none" w:sz="0" w:space="0" w:color="auto"/>
            <w:left w:val="none" w:sz="0" w:space="0" w:color="auto"/>
            <w:bottom w:val="none" w:sz="0" w:space="0" w:color="auto"/>
            <w:right w:val="none" w:sz="0" w:space="0" w:color="auto"/>
          </w:divBdr>
        </w:div>
        <w:div w:id="1848132772">
          <w:marLeft w:val="547"/>
          <w:marRight w:val="0"/>
          <w:marTop w:val="0"/>
          <w:marBottom w:val="0"/>
          <w:divBdr>
            <w:top w:val="none" w:sz="0" w:space="0" w:color="auto"/>
            <w:left w:val="none" w:sz="0" w:space="0" w:color="auto"/>
            <w:bottom w:val="none" w:sz="0" w:space="0" w:color="auto"/>
            <w:right w:val="none" w:sz="0" w:space="0" w:color="auto"/>
          </w:divBdr>
        </w:div>
        <w:div w:id="1991131634">
          <w:marLeft w:val="547"/>
          <w:marRight w:val="0"/>
          <w:marTop w:val="0"/>
          <w:marBottom w:val="0"/>
          <w:divBdr>
            <w:top w:val="none" w:sz="0" w:space="0" w:color="auto"/>
            <w:left w:val="none" w:sz="0" w:space="0" w:color="auto"/>
            <w:bottom w:val="none" w:sz="0" w:space="0" w:color="auto"/>
            <w:right w:val="none" w:sz="0" w:space="0" w:color="auto"/>
          </w:divBdr>
        </w:div>
      </w:divsChild>
    </w:div>
    <w:div w:id="1962689743">
      <w:bodyDiv w:val="1"/>
      <w:marLeft w:val="0"/>
      <w:marRight w:val="0"/>
      <w:marTop w:val="0"/>
      <w:marBottom w:val="0"/>
      <w:divBdr>
        <w:top w:val="none" w:sz="0" w:space="0" w:color="auto"/>
        <w:left w:val="none" w:sz="0" w:space="0" w:color="auto"/>
        <w:bottom w:val="none" w:sz="0" w:space="0" w:color="auto"/>
        <w:right w:val="none" w:sz="0" w:space="0" w:color="auto"/>
      </w:divBdr>
    </w:div>
    <w:div w:id="1967395765">
      <w:bodyDiv w:val="1"/>
      <w:marLeft w:val="0"/>
      <w:marRight w:val="0"/>
      <w:marTop w:val="0"/>
      <w:marBottom w:val="0"/>
      <w:divBdr>
        <w:top w:val="none" w:sz="0" w:space="0" w:color="auto"/>
        <w:left w:val="none" w:sz="0" w:space="0" w:color="auto"/>
        <w:bottom w:val="none" w:sz="0" w:space="0" w:color="auto"/>
        <w:right w:val="none" w:sz="0" w:space="0" w:color="auto"/>
      </w:divBdr>
    </w:div>
    <w:div w:id="2033218189">
      <w:bodyDiv w:val="1"/>
      <w:marLeft w:val="0"/>
      <w:marRight w:val="0"/>
      <w:marTop w:val="0"/>
      <w:marBottom w:val="0"/>
      <w:divBdr>
        <w:top w:val="none" w:sz="0" w:space="0" w:color="auto"/>
        <w:left w:val="none" w:sz="0" w:space="0" w:color="auto"/>
        <w:bottom w:val="none" w:sz="0" w:space="0" w:color="auto"/>
        <w:right w:val="none" w:sz="0" w:space="0" w:color="auto"/>
      </w:divBdr>
    </w:div>
    <w:div w:id="2057511638">
      <w:bodyDiv w:val="1"/>
      <w:marLeft w:val="0"/>
      <w:marRight w:val="0"/>
      <w:marTop w:val="0"/>
      <w:marBottom w:val="0"/>
      <w:divBdr>
        <w:top w:val="none" w:sz="0" w:space="0" w:color="auto"/>
        <w:left w:val="none" w:sz="0" w:space="0" w:color="auto"/>
        <w:bottom w:val="none" w:sz="0" w:space="0" w:color="auto"/>
        <w:right w:val="none" w:sz="0" w:space="0" w:color="auto"/>
      </w:divBdr>
    </w:div>
    <w:div w:id="2117283211">
      <w:bodyDiv w:val="1"/>
      <w:marLeft w:val="0"/>
      <w:marRight w:val="0"/>
      <w:marTop w:val="0"/>
      <w:marBottom w:val="0"/>
      <w:divBdr>
        <w:top w:val="none" w:sz="0" w:space="0" w:color="auto"/>
        <w:left w:val="none" w:sz="0" w:space="0" w:color="auto"/>
        <w:bottom w:val="none" w:sz="0" w:space="0" w:color="auto"/>
        <w:right w:val="none" w:sz="0" w:space="0" w:color="auto"/>
      </w:divBdr>
      <w:divsChild>
        <w:div w:id="69081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federalfinancialrelations.gov.au/sites/federalfinancialrelations.gov.au/files/2021-01/pa_ssi_signed.pdf" TargetMode="External"/><Relationship Id="rId13" Type="http://schemas.openxmlformats.org/officeDocument/2006/relationships/hyperlink" Target="https://www.caf.gov.au/subsidiarity.aspx" TargetMode="External"/><Relationship Id="rId18" Type="http://schemas.openxmlformats.org/officeDocument/2006/relationships/hyperlink" Target="file:///C:\Users\eb0080\AppData\Local\Microsoft\Windows\INetCache\Content.Outlook\ZVJ4BFLS\golab.bsg.ox.ac.uk" TargetMode="External"/><Relationship Id="rId3" Type="http://schemas.openxmlformats.org/officeDocument/2006/relationships/hyperlink" Target="https://www.buyingfor.vic.gov.au/social-procurement-victorian-government-approach" TargetMode="External"/><Relationship Id="rId7" Type="http://schemas.openxmlformats.org/officeDocument/2006/relationships/hyperlink" Target="https://treasury.gov.au/programs-initiatives-consumers-community/social-impact-investing/australian-government-principles-for-social-impact-investing" TargetMode="External"/><Relationship Id="rId12" Type="http://schemas.openxmlformats.org/officeDocument/2006/relationships/hyperlink" Target="https://www.apsreform.gov.au/resources/reports/aps-capability-reinvestment-fund-2023-24" TargetMode="External"/><Relationship Id="rId17" Type="http://schemas.openxmlformats.org/officeDocument/2006/relationships/hyperlink" Target="https://budget.gov.au/content/bp2/index.htm" TargetMode="External"/><Relationship Id="rId2" Type="http://schemas.openxmlformats.org/officeDocument/2006/relationships/hyperlink" Target="https://www.dss.gov.au/communities-and-vulnerable-people-programs-services/social-impact-investing" TargetMode="External"/><Relationship Id="rId16" Type="http://schemas.openxmlformats.org/officeDocument/2006/relationships/hyperlink" Target="https://ministers.treasury.gov.au/ministers/andrew-leigh-2022/media-releases/australian-centre-evaluation-measure-what-works" TargetMode="External"/><Relationship Id="rId1" Type="http://schemas.openxmlformats.org/officeDocument/2006/relationships/hyperlink" Target="https://budget.gov.au/content/overview/index.htm" TargetMode="External"/><Relationship Id="rId6" Type="http://schemas.openxmlformats.org/officeDocument/2006/relationships/hyperlink" Target="https://www.dss.gov.au/communities-and-vulnerable-people-programs-services-social-impact-investing/payment-by-outcomes-trials" TargetMode="External"/><Relationship Id="rId11" Type="http://schemas.openxmlformats.org/officeDocument/2006/relationships/hyperlink" Target="https://www.dss.gov.au/communities-and-vulnerable-people-programs-services-social-impact-investing/outcomes-measurement-initiative" TargetMode="External"/><Relationship Id="rId5" Type="http://schemas.openxmlformats.org/officeDocument/2006/relationships/hyperlink" Target="https://www.socialventures.com.au/sva-quarterly/a-guide-to-outcomes-contracting-and-social-impact-bonds/" TargetMode="External"/><Relationship Id="rId15" Type="http://schemas.openxmlformats.org/officeDocument/2006/relationships/hyperlink" Target="https://www.apsreform.gov.au/about-aps-reform/our-focus-areas" TargetMode="External"/><Relationship Id="rId10" Type="http://schemas.openxmlformats.org/officeDocument/2006/relationships/hyperlink" Target="https://www.dss.gov.au/communities-and-vulnerable-people-programs-services-social-impact-investing/outcomes-measurement-initiative" TargetMode="External"/><Relationship Id="rId19" Type="http://schemas.openxmlformats.org/officeDocument/2006/relationships/hyperlink" Target="https://budget.gov.au/content/bp2/index.htm" TargetMode="External"/><Relationship Id="rId4" Type="http://schemas.openxmlformats.org/officeDocument/2006/relationships/hyperlink" Target="https://budget.gov.au/content/04-opportunity.htm" TargetMode="External"/><Relationship Id="rId9" Type="http://schemas.openxmlformats.org/officeDocument/2006/relationships/hyperlink" Target="https://www.treasury.sa.gov.au/__data/assets/pdf_file/0011/518771/Media-release-Resilient-Families-Dec-2020.pdf" TargetMode="External"/><Relationship Id="rId14" Type="http://schemas.openxmlformats.org/officeDocument/2006/relationships/hyperlink" Target="https://www.pmc.gov.au/resources/social-impact-investing-taskforce-interim-repor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E51E2A3A6FF4D2DA01EEE6A34FA10A3"/>
        <w:category>
          <w:name w:val="General"/>
          <w:gallery w:val="placeholder"/>
        </w:category>
        <w:types>
          <w:type w:val="bbPlcHdr"/>
        </w:types>
        <w:behaviors>
          <w:behavior w:val="content"/>
        </w:behaviors>
        <w:guid w:val="{F3A81A54-DFF5-4535-BCEF-863437CB806E}"/>
      </w:docPartPr>
      <w:docPartBody>
        <w:p w:rsidR="00F6575C" w:rsidRDefault="00F6575C">
          <w:pPr>
            <w:pStyle w:val="2E51E2A3A6FF4D2DA01EEE6A34FA10A3"/>
          </w:pPr>
          <w:r w:rsidRPr="00F31CD7">
            <w:rPr>
              <w:rStyle w:val="PlaceholderText"/>
            </w:rPr>
            <w:t>Click or tap here to enter text.</w:t>
          </w:r>
        </w:p>
      </w:docPartBody>
    </w:docPart>
    <w:docPart>
      <w:docPartPr>
        <w:name w:val="279FAFCFA8D847C19893E2FAE73F3483"/>
        <w:category>
          <w:name w:val="General"/>
          <w:gallery w:val="placeholder"/>
        </w:category>
        <w:types>
          <w:type w:val="bbPlcHdr"/>
        </w:types>
        <w:behaviors>
          <w:behavior w:val="content"/>
        </w:behaviors>
        <w:guid w:val="{A25CD5D0-A4CB-479B-8AA5-3C0EE777C719}"/>
      </w:docPartPr>
      <w:docPartBody>
        <w:p w:rsidR="00F6575C" w:rsidRDefault="00F6575C">
          <w:pPr>
            <w:pStyle w:val="279FAFCFA8D847C19893E2FAE73F3483"/>
          </w:pPr>
          <w:r w:rsidRPr="00056C3B">
            <w:t>Company Name</w:t>
          </w:r>
        </w:p>
      </w:docPartBody>
    </w:docPart>
    <w:docPart>
      <w:docPartPr>
        <w:name w:val="6755D520CD8948559C8FA3F1185D7ADE"/>
        <w:category>
          <w:name w:val="General"/>
          <w:gallery w:val="placeholder"/>
        </w:category>
        <w:types>
          <w:type w:val="bbPlcHdr"/>
        </w:types>
        <w:behaviors>
          <w:behavior w:val="content"/>
        </w:behaviors>
        <w:guid w:val="{0671C018-8C6D-4C8A-A164-2518CE95E558}"/>
      </w:docPartPr>
      <w:docPartBody>
        <w:p w:rsidR="00F6575C" w:rsidRDefault="00F6575C">
          <w:pPr>
            <w:pStyle w:val="6755D520CD8948559C8FA3F1185D7ADE"/>
          </w:pPr>
          <w:r w:rsidRPr="00414308">
            <w:rPr>
              <w:rStyle w:val="PlaceholderText"/>
            </w:rPr>
            <w:t>Client Name</w:t>
          </w:r>
        </w:p>
      </w:docPartBody>
    </w:docPart>
    <w:docPart>
      <w:docPartPr>
        <w:name w:val="019FCDF7F0EE415395F1E5CF37C4569D"/>
        <w:category>
          <w:name w:val="General"/>
          <w:gallery w:val="placeholder"/>
        </w:category>
        <w:types>
          <w:type w:val="bbPlcHdr"/>
        </w:types>
        <w:behaviors>
          <w:behavior w:val="content"/>
        </w:behaviors>
        <w:guid w:val="{49B51DBD-0A60-4CCF-9D17-F3F8BB7F6748}"/>
      </w:docPartPr>
      <w:docPartBody>
        <w:p w:rsidR="00F6575C" w:rsidRDefault="00F6575C">
          <w:pPr>
            <w:pStyle w:val="019FCDF7F0EE415395F1E5CF37C4569D"/>
          </w:pPr>
          <w:r w:rsidRPr="00056C3B">
            <w:t>Report Purpose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lama Cond Bold">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PGothic">
    <w:altName w:val="ＭＳ Ｐゴシック"/>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3C6"/>
    <w:rsid w:val="000726D1"/>
    <w:rsid w:val="000D03C6"/>
    <w:rsid w:val="001044D8"/>
    <w:rsid w:val="001642EB"/>
    <w:rsid w:val="00185B00"/>
    <w:rsid w:val="00212767"/>
    <w:rsid w:val="00282877"/>
    <w:rsid w:val="00290AFB"/>
    <w:rsid w:val="002A23D4"/>
    <w:rsid w:val="003551F1"/>
    <w:rsid w:val="00356E00"/>
    <w:rsid w:val="003906C3"/>
    <w:rsid w:val="003932FC"/>
    <w:rsid w:val="003A0282"/>
    <w:rsid w:val="00413FA5"/>
    <w:rsid w:val="00420DBF"/>
    <w:rsid w:val="004501B0"/>
    <w:rsid w:val="004A44A2"/>
    <w:rsid w:val="00513EC4"/>
    <w:rsid w:val="00516D6E"/>
    <w:rsid w:val="0052203B"/>
    <w:rsid w:val="00544DE1"/>
    <w:rsid w:val="0056231A"/>
    <w:rsid w:val="0067309E"/>
    <w:rsid w:val="00702685"/>
    <w:rsid w:val="00750E83"/>
    <w:rsid w:val="00774489"/>
    <w:rsid w:val="007E3339"/>
    <w:rsid w:val="00830117"/>
    <w:rsid w:val="00896B61"/>
    <w:rsid w:val="008D5C63"/>
    <w:rsid w:val="00920211"/>
    <w:rsid w:val="00932ABC"/>
    <w:rsid w:val="00953D54"/>
    <w:rsid w:val="00974A14"/>
    <w:rsid w:val="009A0E49"/>
    <w:rsid w:val="009A1725"/>
    <w:rsid w:val="009B3F1E"/>
    <w:rsid w:val="009F3D8A"/>
    <w:rsid w:val="00A45582"/>
    <w:rsid w:val="00A766F0"/>
    <w:rsid w:val="00A85BEA"/>
    <w:rsid w:val="00AC1C3D"/>
    <w:rsid w:val="00AD11B4"/>
    <w:rsid w:val="00AF19A4"/>
    <w:rsid w:val="00B14020"/>
    <w:rsid w:val="00B45166"/>
    <w:rsid w:val="00BB49AE"/>
    <w:rsid w:val="00BD36C6"/>
    <w:rsid w:val="00BF213E"/>
    <w:rsid w:val="00C01ECE"/>
    <w:rsid w:val="00C04C74"/>
    <w:rsid w:val="00C84C61"/>
    <w:rsid w:val="00D31EC6"/>
    <w:rsid w:val="00D71672"/>
    <w:rsid w:val="00DC4BA8"/>
    <w:rsid w:val="00DC792A"/>
    <w:rsid w:val="00E3285D"/>
    <w:rsid w:val="00EB0D1A"/>
    <w:rsid w:val="00ED03DA"/>
    <w:rsid w:val="00EF2681"/>
    <w:rsid w:val="00EF53DF"/>
    <w:rsid w:val="00F07C85"/>
    <w:rsid w:val="00F14388"/>
    <w:rsid w:val="00F60B31"/>
    <w:rsid w:val="00F6575C"/>
    <w:rsid w:val="00F87E1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42EB"/>
    <w:rPr>
      <w:color w:val="auto"/>
    </w:rPr>
  </w:style>
  <w:style w:type="paragraph" w:customStyle="1" w:styleId="2E51E2A3A6FF4D2DA01EEE6A34FA10A3">
    <w:name w:val="2E51E2A3A6FF4D2DA01EEE6A34FA10A3"/>
  </w:style>
  <w:style w:type="paragraph" w:customStyle="1" w:styleId="279FAFCFA8D847C19893E2FAE73F3483">
    <w:name w:val="279FAFCFA8D847C19893E2FAE73F3483"/>
  </w:style>
  <w:style w:type="paragraph" w:customStyle="1" w:styleId="6755D520CD8948559C8FA3F1185D7ADE">
    <w:name w:val="6755D520CD8948559C8FA3F1185D7ADE"/>
  </w:style>
  <w:style w:type="paragraph" w:customStyle="1" w:styleId="019FCDF7F0EE415395F1E5CF37C4569D">
    <w:name w:val="019FCDF7F0EE415395F1E5CF37C4569D"/>
  </w:style>
  <w:style w:type="paragraph" w:customStyle="1" w:styleId="9A0D11827B61433CAFD82C9DBE28C6FA">
    <w:name w:val="9A0D11827B61433CAFD82C9DBE28C6FA"/>
    <w:rsid w:val="009A1725"/>
    <w:rPr>
      <w:kern w:val="2"/>
      <w14:ligatures w14:val="standardContextual"/>
    </w:rPr>
  </w:style>
  <w:style w:type="paragraph" w:customStyle="1" w:styleId="9BAE1B4A965849F5A172E4BD6B834BA6">
    <w:name w:val="9BAE1B4A965849F5A172E4BD6B834BA6"/>
    <w:rsid w:val="009A1725"/>
    <w:rPr>
      <w:kern w:val="2"/>
      <w14:ligatures w14:val="standardContextual"/>
    </w:rPr>
  </w:style>
  <w:style w:type="paragraph" w:customStyle="1" w:styleId="11F484706F8648F8A48900DEE25835F7">
    <w:name w:val="11F484706F8648F8A48900DEE25835F7"/>
    <w:rsid w:val="00F87E15"/>
  </w:style>
  <w:style w:type="paragraph" w:customStyle="1" w:styleId="3476A1B7DC714A41AF3821AD119666EE">
    <w:name w:val="3476A1B7DC714A41AF3821AD119666EE"/>
    <w:rsid w:val="00F87E15"/>
  </w:style>
  <w:style w:type="paragraph" w:customStyle="1" w:styleId="7849B3B956DA4BAF980B5ADEE9ED5F4F">
    <w:name w:val="7849B3B956DA4BAF980B5ADEE9ED5F4F"/>
    <w:rsid w:val="00DC4BA8"/>
  </w:style>
  <w:style w:type="paragraph" w:customStyle="1" w:styleId="5D6F5762DEEA4BABAD3217BD1E370DFA">
    <w:name w:val="5D6F5762DEEA4BABAD3217BD1E370DFA"/>
    <w:rsid w:val="001642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Urbis Default">
      <a:dk1>
        <a:srgbClr val="1A1919"/>
      </a:dk1>
      <a:lt1>
        <a:sysClr val="window" lastClr="FFFFFF"/>
      </a:lt1>
      <a:dk2>
        <a:srgbClr val="666666"/>
      </a:dk2>
      <a:lt2>
        <a:srgbClr val="F9F8F8"/>
      </a:lt2>
      <a:accent1>
        <a:srgbClr val="68C0B5"/>
      </a:accent1>
      <a:accent2>
        <a:srgbClr val="69ACDF"/>
      </a:accent2>
      <a:accent3>
        <a:srgbClr val="636AAF"/>
      </a:accent3>
      <a:accent4>
        <a:srgbClr val="B26DAB"/>
      </a:accent4>
      <a:accent5>
        <a:srgbClr val="E7A2C8"/>
      </a:accent5>
      <a:accent6>
        <a:srgbClr val="9CD2F4"/>
      </a:accent6>
      <a:hlink>
        <a:srgbClr val="69ACDF"/>
      </a:hlink>
      <a:folHlink>
        <a:srgbClr val="B26DA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19203</Words>
  <Characters>111525</Characters>
  <Application>Microsoft Office Word</Application>
  <DocSecurity>0</DocSecurity>
  <Lines>1855</Lines>
  <Paragraphs>780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130242</CharactersWithSpaces>
  <SharedDoc>false</SharedDoc>
  <HLinks>
    <vt:vector size="306" baseType="variant">
      <vt:variant>
        <vt:i4>1048631</vt:i4>
      </vt:variant>
      <vt:variant>
        <vt:i4>188</vt:i4>
      </vt:variant>
      <vt:variant>
        <vt:i4>0</vt:i4>
      </vt:variant>
      <vt:variant>
        <vt:i4>5</vt:i4>
      </vt:variant>
      <vt:variant>
        <vt:lpwstr/>
      </vt:variant>
      <vt:variant>
        <vt:lpwstr>_Toc137660725</vt:lpwstr>
      </vt:variant>
      <vt:variant>
        <vt:i4>1048631</vt:i4>
      </vt:variant>
      <vt:variant>
        <vt:i4>182</vt:i4>
      </vt:variant>
      <vt:variant>
        <vt:i4>0</vt:i4>
      </vt:variant>
      <vt:variant>
        <vt:i4>5</vt:i4>
      </vt:variant>
      <vt:variant>
        <vt:lpwstr/>
      </vt:variant>
      <vt:variant>
        <vt:lpwstr>_Toc137660724</vt:lpwstr>
      </vt:variant>
      <vt:variant>
        <vt:i4>1048631</vt:i4>
      </vt:variant>
      <vt:variant>
        <vt:i4>176</vt:i4>
      </vt:variant>
      <vt:variant>
        <vt:i4>0</vt:i4>
      </vt:variant>
      <vt:variant>
        <vt:i4>5</vt:i4>
      </vt:variant>
      <vt:variant>
        <vt:lpwstr/>
      </vt:variant>
      <vt:variant>
        <vt:lpwstr>_Toc137660723</vt:lpwstr>
      </vt:variant>
      <vt:variant>
        <vt:i4>1048631</vt:i4>
      </vt:variant>
      <vt:variant>
        <vt:i4>170</vt:i4>
      </vt:variant>
      <vt:variant>
        <vt:i4>0</vt:i4>
      </vt:variant>
      <vt:variant>
        <vt:i4>5</vt:i4>
      </vt:variant>
      <vt:variant>
        <vt:lpwstr/>
      </vt:variant>
      <vt:variant>
        <vt:lpwstr>_Toc137660722</vt:lpwstr>
      </vt:variant>
      <vt:variant>
        <vt:i4>1048631</vt:i4>
      </vt:variant>
      <vt:variant>
        <vt:i4>164</vt:i4>
      </vt:variant>
      <vt:variant>
        <vt:i4>0</vt:i4>
      </vt:variant>
      <vt:variant>
        <vt:i4>5</vt:i4>
      </vt:variant>
      <vt:variant>
        <vt:lpwstr/>
      </vt:variant>
      <vt:variant>
        <vt:lpwstr>_Toc137660721</vt:lpwstr>
      </vt:variant>
      <vt:variant>
        <vt:i4>1048631</vt:i4>
      </vt:variant>
      <vt:variant>
        <vt:i4>158</vt:i4>
      </vt:variant>
      <vt:variant>
        <vt:i4>0</vt:i4>
      </vt:variant>
      <vt:variant>
        <vt:i4>5</vt:i4>
      </vt:variant>
      <vt:variant>
        <vt:lpwstr/>
      </vt:variant>
      <vt:variant>
        <vt:lpwstr>_Toc137660720</vt:lpwstr>
      </vt:variant>
      <vt:variant>
        <vt:i4>1048631</vt:i4>
      </vt:variant>
      <vt:variant>
        <vt:i4>149</vt:i4>
      </vt:variant>
      <vt:variant>
        <vt:i4>0</vt:i4>
      </vt:variant>
      <vt:variant>
        <vt:i4>5</vt:i4>
      </vt:variant>
      <vt:variant>
        <vt:lpwstr/>
      </vt:variant>
      <vt:variant>
        <vt:lpwstr>_Toc137660728</vt:lpwstr>
      </vt:variant>
      <vt:variant>
        <vt:i4>1048631</vt:i4>
      </vt:variant>
      <vt:variant>
        <vt:i4>143</vt:i4>
      </vt:variant>
      <vt:variant>
        <vt:i4>0</vt:i4>
      </vt:variant>
      <vt:variant>
        <vt:i4>5</vt:i4>
      </vt:variant>
      <vt:variant>
        <vt:lpwstr/>
      </vt:variant>
      <vt:variant>
        <vt:lpwstr>_Toc137660727</vt:lpwstr>
      </vt:variant>
      <vt:variant>
        <vt:i4>3211342</vt:i4>
      </vt:variant>
      <vt:variant>
        <vt:i4>137</vt:i4>
      </vt:variant>
      <vt:variant>
        <vt:i4>0</vt:i4>
      </vt:variant>
      <vt:variant>
        <vt:i4>5</vt:i4>
      </vt:variant>
      <vt:variant>
        <vt:lpwstr>https://urbisau.sharepoint.com/sites/ProjectPortalP0043466/Shared Documents/SII Program Evaluation - Final Report - Draft 2 June 2023.docx</vt:lpwstr>
      </vt:variant>
      <vt:variant>
        <vt:lpwstr>_Toc137660726</vt:lpwstr>
      </vt:variant>
      <vt:variant>
        <vt:i4>1769522</vt:i4>
      </vt:variant>
      <vt:variant>
        <vt:i4>128</vt:i4>
      </vt:variant>
      <vt:variant>
        <vt:i4>0</vt:i4>
      </vt:variant>
      <vt:variant>
        <vt:i4>5</vt:i4>
      </vt:variant>
      <vt:variant>
        <vt:lpwstr/>
      </vt:variant>
      <vt:variant>
        <vt:lpwstr>_Toc140666587</vt:lpwstr>
      </vt:variant>
      <vt:variant>
        <vt:i4>1769522</vt:i4>
      </vt:variant>
      <vt:variant>
        <vt:i4>122</vt:i4>
      </vt:variant>
      <vt:variant>
        <vt:i4>0</vt:i4>
      </vt:variant>
      <vt:variant>
        <vt:i4>5</vt:i4>
      </vt:variant>
      <vt:variant>
        <vt:lpwstr/>
      </vt:variant>
      <vt:variant>
        <vt:lpwstr>_Toc140666586</vt:lpwstr>
      </vt:variant>
      <vt:variant>
        <vt:i4>1769522</vt:i4>
      </vt:variant>
      <vt:variant>
        <vt:i4>116</vt:i4>
      </vt:variant>
      <vt:variant>
        <vt:i4>0</vt:i4>
      </vt:variant>
      <vt:variant>
        <vt:i4>5</vt:i4>
      </vt:variant>
      <vt:variant>
        <vt:lpwstr/>
      </vt:variant>
      <vt:variant>
        <vt:lpwstr>_Toc140666583</vt:lpwstr>
      </vt:variant>
      <vt:variant>
        <vt:i4>1310770</vt:i4>
      </vt:variant>
      <vt:variant>
        <vt:i4>110</vt:i4>
      </vt:variant>
      <vt:variant>
        <vt:i4>0</vt:i4>
      </vt:variant>
      <vt:variant>
        <vt:i4>5</vt:i4>
      </vt:variant>
      <vt:variant>
        <vt:lpwstr/>
      </vt:variant>
      <vt:variant>
        <vt:lpwstr>_Toc140666572</vt:lpwstr>
      </vt:variant>
      <vt:variant>
        <vt:i4>1376306</vt:i4>
      </vt:variant>
      <vt:variant>
        <vt:i4>104</vt:i4>
      </vt:variant>
      <vt:variant>
        <vt:i4>0</vt:i4>
      </vt:variant>
      <vt:variant>
        <vt:i4>5</vt:i4>
      </vt:variant>
      <vt:variant>
        <vt:lpwstr/>
      </vt:variant>
      <vt:variant>
        <vt:lpwstr>_Toc140666565</vt:lpwstr>
      </vt:variant>
      <vt:variant>
        <vt:i4>1376306</vt:i4>
      </vt:variant>
      <vt:variant>
        <vt:i4>98</vt:i4>
      </vt:variant>
      <vt:variant>
        <vt:i4>0</vt:i4>
      </vt:variant>
      <vt:variant>
        <vt:i4>5</vt:i4>
      </vt:variant>
      <vt:variant>
        <vt:lpwstr/>
      </vt:variant>
      <vt:variant>
        <vt:lpwstr>_Toc140666560</vt:lpwstr>
      </vt:variant>
      <vt:variant>
        <vt:i4>1441842</vt:i4>
      </vt:variant>
      <vt:variant>
        <vt:i4>92</vt:i4>
      </vt:variant>
      <vt:variant>
        <vt:i4>0</vt:i4>
      </vt:variant>
      <vt:variant>
        <vt:i4>5</vt:i4>
      </vt:variant>
      <vt:variant>
        <vt:lpwstr/>
      </vt:variant>
      <vt:variant>
        <vt:lpwstr>_Toc140666550</vt:lpwstr>
      </vt:variant>
      <vt:variant>
        <vt:i4>1507378</vt:i4>
      </vt:variant>
      <vt:variant>
        <vt:i4>86</vt:i4>
      </vt:variant>
      <vt:variant>
        <vt:i4>0</vt:i4>
      </vt:variant>
      <vt:variant>
        <vt:i4>5</vt:i4>
      </vt:variant>
      <vt:variant>
        <vt:lpwstr/>
      </vt:variant>
      <vt:variant>
        <vt:lpwstr>_Toc140666549</vt:lpwstr>
      </vt:variant>
      <vt:variant>
        <vt:i4>1507378</vt:i4>
      </vt:variant>
      <vt:variant>
        <vt:i4>80</vt:i4>
      </vt:variant>
      <vt:variant>
        <vt:i4>0</vt:i4>
      </vt:variant>
      <vt:variant>
        <vt:i4>5</vt:i4>
      </vt:variant>
      <vt:variant>
        <vt:lpwstr/>
      </vt:variant>
      <vt:variant>
        <vt:lpwstr>_Toc140666548</vt:lpwstr>
      </vt:variant>
      <vt:variant>
        <vt:i4>1507378</vt:i4>
      </vt:variant>
      <vt:variant>
        <vt:i4>74</vt:i4>
      </vt:variant>
      <vt:variant>
        <vt:i4>0</vt:i4>
      </vt:variant>
      <vt:variant>
        <vt:i4>5</vt:i4>
      </vt:variant>
      <vt:variant>
        <vt:lpwstr/>
      </vt:variant>
      <vt:variant>
        <vt:lpwstr>_Toc140666544</vt:lpwstr>
      </vt:variant>
      <vt:variant>
        <vt:i4>1048626</vt:i4>
      </vt:variant>
      <vt:variant>
        <vt:i4>68</vt:i4>
      </vt:variant>
      <vt:variant>
        <vt:i4>0</vt:i4>
      </vt:variant>
      <vt:variant>
        <vt:i4>5</vt:i4>
      </vt:variant>
      <vt:variant>
        <vt:lpwstr/>
      </vt:variant>
      <vt:variant>
        <vt:lpwstr>_Toc140666534</vt:lpwstr>
      </vt:variant>
      <vt:variant>
        <vt:i4>1114162</vt:i4>
      </vt:variant>
      <vt:variant>
        <vt:i4>62</vt:i4>
      </vt:variant>
      <vt:variant>
        <vt:i4>0</vt:i4>
      </vt:variant>
      <vt:variant>
        <vt:i4>5</vt:i4>
      </vt:variant>
      <vt:variant>
        <vt:lpwstr/>
      </vt:variant>
      <vt:variant>
        <vt:lpwstr>_Toc140666524</vt:lpwstr>
      </vt:variant>
      <vt:variant>
        <vt:i4>1114162</vt:i4>
      </vt:variant>
      <vt:variant>
        <vt:i4>56</vt:i4>
      </vt:variant>
      <vt:variant>
        <vt:i4>0</vt:i4>
      </vt:variant>
      <vt:variant>
        <vt:i4>5</vt:i4>
      </vt:variant>
      <vt:variant>
        <vt:lpwstr/>
      </vt:variant>
      <vt:variant>
        <vt:lpwstr>_Toc140666523</vt:lpwstr>
      </vt:variant>
      <vt:variant>
        <vt:i4>1114162</vt:i4>
      </vt:variant>
      <vt:variant>
        <vt:i4>50</vt:i4>
      </vt:variant>
      <vt:variant>
        <vt:i4>0</vt:i4>
      </vt:variant>
      <vt:variant>
        <vt:i4>5</vt:i4>
      </vt:variant>
      <vt:variant>
        <vt:lpwstr/>
      </vt:variant>
      <vt:variant>
        <vt:lpwstr>_Toc140666522</vt:lpwstr>
      </vt:variant>
      <vt:variant>
        <vt:i4>1114162</vt:i4>
      </vt:variant>
      <vt:variant>
        <vt:i4>44</vt:i4>
      </vt:variant>
      <vt:variant>
        <vt:i4>0</vt:i4>
      </vt:variant>
      <vt:variant>
        <vt:i4>5</vt:i4>
      </vt:variant>
      <vt:variant>
        <vt:lpwstr/>
      </vt:variant>
      <vt:variant>
        <vt:lpwstr>_Toc140666521</vt:lpwstr>
      </vt:variant>
      <vt:variant>
        <vt:i4>1179698</vt:i4>
      </vt:variant>
      <vt:variant>
        <vt:i4>38</vt:i4>
      </vt:variant>
      <vt:variant>
        <vt:i4>0</vt:i4>
      </vt:variant>
      <vt:variant>
        <vt:i4>5</vt:i4>
      </vt:variant>
      <vt:variant>
        <vt:lpwstr/>
      </vt:variant>
      <vt:variant>
        <vt:lpwstr>_Toc140666513</vt:lpwstr>
      </vt:variant>
      <vt:variant>
        <vt:i4>1179698</vt:i4>
      </vt:variant>
      <vt:variant>
        <vt:i4>32</vt:i4>
      </vt:variant>
      <vt:variant>
        <vt:i4>0</vt:i4>
      </vt:variant>
      <vt:variant>
        <vt:i4>5</vt:i4>
      </vt:variant>
      <vt:variant>
        <vt:lpwstr/>
      </vt:variant>
      <vt:variant>
        <vt:lpwstr>_Toc140666512</vt:lpwstr>
      </vt:variant>
      <vt:variant>
        <vt:i4>1179698</vt:i4>
      </vt:variant>
      <vt:variant>
        <vt:i4>26</vt:i4>
      </vt:variant>
      <vt:variant>
        <vt:i4>0</vt:i4>
      </vt:variant>
      <vt:variant>
        <vt:i4>5</vt:i4>
      </vt:variant>
      <vt:variant>
        <vt:lpwstr/>
      </vt:variant>
      <vt:variant>
        <vt:lpwstr>_Toc140666511</vt:lpwstr>
      </vt:variant>
      <vt:variant>
        <vt:i4>1179698</vt:i4>
      </vt:variant>
      <vt:variant>
        <vt:i4>20</vt:i4>
      </vt:variant>
      <vt:variant>
        <vt:i4>0</vt:i4>
      </vt:variant>
      <vt:variant>
        <vt:i4>5</vt:i4>
      </vt:variant>
      <vt:variant>
        <vt:lpwstr/>
      </vt:variant>
      <vt:variant>
        <vt:lpwstr>_Toc140666510</vt:lpwstr>
      </vt:variant>
      <vt:variant>
        <vt:i4>1245234</vt:i4>
      </vt:variant>
      <vt:variant>
        <vt:i4>14</vt:i4>
      </vt:variant>
      <vt:variant>
        <vt:i4>0</vt:i4>
      </vt:variant>
      <vt:variant>
        <vt:i4>5</vt:i4>
      </vt:variant>
      <vt:variant>
        <vt:lpwstr/>
      </vt:variant>
      <vt:variant>
        <vt:lpwstr>_Toc140666509</vt:lpwstr>
      </vt:variant>
      <vt:variant>
        <vt:i4>1245234</vt:i4>
      </vt:variant>
      <vt:variant>
        <vt:i4>8</vt:i4>
      </vt:variant>
      <vt:variant>
        <vt:i4>0</vt:i4>
      </vt:variant>
      <vt:variant>
        <vt:i4>5</vt:i4>
      </vt:variant>
      <vt:variant>
        <vt:lpwstr/>
      </vt:variant>
      <vt:variant>
        <vt:lpwstr>_Toc140666508</vt:lpwstr>
      </vt:variant>
      <vt:variant>
        <vt:i4>1245234</vt:i4>
      </vt:variant>
      <vt:variant>
        <vt:i4>2</vt:i4>
      </vt:variant>
      <vt:variant>
        <vt:i4>0</vt:i4>
      </vt:variant>
      <vt:variant>
        <vt:i4>5</vt:i4>
      </vt:variant>
      <vt:variant>
        <vt:lpwstr/>
      </vt:variant>
      <vt:variant>
        <vt:lpwstr>_Toc140666502</vt:lpwstr>
      </vt:variant>
      <vt:variant>
        <vt:i4>8126568</vt:i4>
      </vt:variant>
      <vt:variant>
        <vt:i4>57</vt:i4>
      </vt:variant>
      <vt:variant>
        <vt:i4>0</vt:i4>
      </vt:variant>
      <vt:variant>
        <vt:i4>5</vt:i4>
      </vt:variant>
      <vt:variant>
        <vt:lpwstr>https://budget.gov.au/content/bp2/index.htm</vt:lpwstr>
      </vt:variant>
      <vt:variant>
        <vt:lpwstr/>
      </vt:variant>
      <vt:variant>
        <vt:i4>2162747</vt:i4>
      </vt:variant>
      <vt:variant>
        <vt:i4>54</vt:i4>
      </vt:variant>
      <vt:variant>
        <vt:i4>0</vt:i4>
      </vt:variant>
      <vt:variant>
        <vt:i4>5</vt:i4>
      </vt:variant>
      <vt:variant>
        <vt:lpwstr>golab.bsg.ox.ac.uk</vt:lpwstr>
      </vt:variant>
      <vt:variant>
        <vt:lpwstr/>
      </vt:variant>
      <vt:variant>
        <vt:i4>8126568</vt:i4>
      </vt:variant>
      <vt:variant>
        <vt:i4>51</vt:i4>
      </vt:variant>
      <vt:variant>
        <vt:i4>0</vt:i4>
      </vt:variant>
      <vt:variant>
        <vt:i4>5</vt:i4>
      </vt:variant>
      <vt:variant>
        <vt:lpwstr>https://budget.gov.au/content/bp2/index.htm</vt:lpwstr>
      </vt:variant>
      <vt:variant>
        <vt:lpwstr/>
      </vt:variant>
      <vt:variant>
        <vt:i4>524317</vt:i4>
      </vt:variant>
      <vt:variant>
        <vt:i4>48</vt:i4>
      </vt:variant>
      <vt:variant>
        <vt:i4>0</vt:i4>
      </vt:variant>
      <vt:variant>
        <vt:i4>5</vt:i4>
      </vt:variant>
      <vt:variant>
        <vt:lpwstr>https://ministers.treasury.gov.au/ministers/andrew-leigh-2022/media-releases/australian-centre-evaluation-measure-what-works</vt:lpwstr>
      </vt:variant>
      <vt:variant>
        <vt:lpwstr/>
      </vt:variant>
      <vt:variant>
        <vt:i4>1638405</vt:i4>
      </vt:variant>
      <vt:variant>
        <vt:i4>45</vt:i4>
      </vt:variant>
      <vt:variant>
        <vt:i4>0</vt:i4>
      </vt:variant>
      <vt:variant>
        <vt:i4>5</vt:i4>
      </vt:variant>
      <vt:variant>
        <vt:lpwstr>https://www.apsreform.gov.au/about-aps-reform/our-focus-areas</vt:lpwstr>
      </vt:variant>
      <vt:variant>
        <vt:lpwstr/>
      </vt:variant>
      <vt:variant>
        <vt:i4>1638481</vt:i4>
      </vt:variant>
      <vt:variant>
        <vt:i4>42</vt:i4>
      </vt:variant>
      <vt:variant>
        <vt:i4>0</vt:i4>
      </vt:variant>
      <vt:variant>
        <vt:i4>5</vt:i4>
      </vt:variant>
      <vt:variant>
        <vt:lpwstr>https://www.pmc.gov.au/resources/social-impact-investing-taskforce-interim-report</vt:lpwstr>
      </vt:variant>
      <vt:variant>
        <vt:lpwstr/>
      </vt:variant>
      <vt:variant>
        <vt:i4>65560</vt:i4>
      </vt:variant>
      <vt:variant>
        <vt:i4>39</vt:i4>
      </vt:variant>
      <vt:variant>
        <vt:i4>0</vt:i4>
      </vt:variant>
      <vt:variant>
        <vt:i4>5</vt:i4>
      </vt:variant>
      <vt:variant>
        <vt:lpwstr>https://www.caf.gov.au/subsidiarity.aspx</vt:lpwstr>
      </vt:variant>
      <vt:variant>
        <vt:lpwstr/>
      </vt:variant>
      <vt:variant>
        <vt:i4>6946849</vt:i4>
      </vt:variant>
      <vt:variant>
        <vt:i4>36</vt:i4>
      </vt:variant>
      <vt:variant>
        <vt:i4>0</vt:i4>
      </vt:variant>
      <vt:variant>
        <vt:i4>5</vt:i4>
      </vt:variant>
      <vt:variant>
        <vt:lpwstr>https://www.apsreform.gov.au/resources/reports/aps-capability-reinvestment-fund-2023-24</vt:lpwstr>
      </vt:variant>
      <vt:variant>
        <vt:lpwstr/>
      </vt:variant>
      <vt:variant>
        <vt:i4>6946913</vt:i4>
      </vt:variant>
      <vt:variant>
        <vt:i4>33</vt:i4>
      </vt:variant>
      <vt:variant>
        <vt:i4>0</vt:i4>
      </vt:variant>
      <vt:variant>
        <vt:i4>5</vt:i4>
      </vt:variant>
      <vt:variant>
        <vt:lpwstr>https://www.dss.gov.au/communities-and-vulnerable-people-programs-services-social-impact-investing/outcomes-measurement-initiative</vt:lpwstr>
      </vt:variant>
      <vt:variant>
        <vt:lpwstr/>
      </vt:variant>
      <vt:variant>
        <vt:i4>6946913</vt:i4>
      </vt:variant>
      <vt:variant>
        <vt:i4>30</vt:i4>
      </vt:variant>
      <vt:variant>
        <vt:i4>0</vt:i4>
      </vt:variant>
      <vt:variant>
        <vt:i4>5</vt:i4>
      </vt:variant>
      <vt:variant>
        <vt:lpwstr>https://www.dss.gov.au/communities-and-vulnerable-people-programs-services-social-impact-investing/outcomes-measurement-initiative</vt:lpwstr>
      </vt:variant>
      <vt:variant>
        <vt:lpwstr/>
      </vt:variant>
      <vt:variant>
        <vt:i4>1704033</vt:i4>
      </vt:variant>
      <vt:variant>
        <vt:i4>27</vt:i4>
      </vt:variant>
      <vt:variant>
        <vt:i4>0</vt:i4>
      </vt:variant>
      <vt:variant>
        <vt:i4>5</vt:i4>
      </vt:variant>
      <vt:variant>
        <vt:lpwstr>https://www.treasury.sa.gov.au/__data/assets/pdf_file/0011/518771/Media-release-Resilient-Families-Dec-2020.pdf</vt:lpwstr>
      </vt:variant>
      <vt:variant>
        <vt:lpwstr/>
      </vt:variant>
      <vt:variant>
        <vt:i4>3932210</vt:i4>
      </vt:variant>
      <vt:variant>
        <vt:i4>24</vt:i4>
      </vt:variant>
      <vt:variant>
        <vt:i4>0</vt:i4>
      </vt:variant>
      <vt:variant>
        <vt:i4>5</vt:i4>
      </vt:variant>
      <vt:variant>
        <vt:lpwstr>https://federalfinancialrelations.gov.au/sites/federalfinancialrelations.gov.au/files/2021-01/pa_ssi_signed.pdf</vt:lpwstr>
      </vt:variant>
      <vt:variant>
        <vt:lpwstr/>
      </vt:variant>
      <vt:variant>
        <vt:i4>1310802</vt:i4>
      </vt:variant>
      <vt:variant>
        <vt:i4>21</vt:i4>
      </vt:variant>
      <vt:variant>
        <vt:i4>0</vt:i4>
      </vt:variant>
      <vt:variant>
        <vt:i4>5</vt:i4>
      </vt:variant>
      <vt:variant>
        <vt:lpwstr>https://treasury.gov.au/programs-initiatives-consumers-community/social-impact-investing/australian-government-principles-for-social-impact-investing</vt:lpwstr>
      </vt:variant>
      <vt:variant>
        <vt:lpwstr/>
      </vt:variant>
      <vt:variant>
        <vt:i4>2556025</vt:i4>
      </vt:variant>
      <vt:variant>
        <vt:i4>18</vt:i4>
      </vt:variant>
      <vt:variant>
        <vt:i4>0</vt:i4>
      </vt:variant>
      <vt:variant>
        <vt:i4>5</vt:i4>
      </vt:variant>
      <vt:variant>
        <vt:lpwstr>https://www.dss.gov.au/communities-and-vulnerable-people-programs-services-social-impact-investing/payment-by-outcomes-trials</vt:lpwstr>
      </vt:variant>
      <vt:variant>
        <vt:lpwstr>:~:text=PBO%20is%20a%20form%20of,on%20achievement%20of%20agreed%20outcomes</vt:lpwstr>
      </vt:variant>
      <vt:variant>
        <vt:i4>6094921</vt:i4>
      </vt:variant>
      <vt:variant>
        <vt:i4>15</vt:i4>
      </vt:variant>
      <vt:variant>
        <vt:i4>0</vt:i4>
      </vt:variant>
      <vt:variant>
        <vt:i4>5</vt:i4>
      </vt:variant>
      <vt:variant>
        <vt:lpwstr>https://www.socialventures.com.au/sva-quarterly/a-guide-to-outcomes-contracting-and-social-impact-bonds/</vt:lpwstr>
      </vt:variant>
      <vt:variant>
        <vt:lpwstr/>
      </vt:variant>
      <vt:variant>
        <vt:i4>65630</vt:i4>
      </vt:variant>
      <vt:variant>
        <vt:i4>12</vt:i4>
      </vt:variant>
      <vt:variant>
        <vt:i4>0</vt:i4>
      </vt:variant>
      <vt:variant>
        <vt:i4>5</vt:i4>
      </vt:variant>
      <vt:variant>
        <vt:lpwstr>https://treasury.gov.au/consultation/social-impact-investing</vt:lpwstr>
      </vt:variant>
      <vt:variant>
        <vt:lpwstr/>
      </vt:variant>
      <vt:variant>
        <vt:i4>4915219</vt:i4>
      </vt:variant>
      <vt:variant>
        <vt:i4>9</vt:i4>
      </vt:variant>
      <vt:variant>
        <vt:i4>0</vt:i4>
      </vt:variant>
      <vt:variant>
        <vt:i4>5</vt:i4>
      </vt:variant>
      <vt:variant>
        <vt:lpwstr>https://budget.gov.au/content/04-opportunity.htm</vt:lpwstr>
      </vt:variant>
      <vt:variant>
        <vt:lpwstr/>
      </vt:variant>
      <vt:variant>
        <vt:i4>983116</vt:i4>
      </vt:variant>
      <vt:variant>
        <vt:i4>6</vt:i4>
      </vt:variant>
      <vt:variant>
        <vt:i4>0</vt:i4>
      </vt:variant>
      <vt:variant>
        <vt:i4>5</vt:i4>
      </vt:variant>
      <vt:variant>
        <vt:lpwstr>https://www.buyingfor.vic.gov.au/social-procurement-victorian-government-approach</vt:lpwstr>
      </vt:variant>
      <vt:variant>
        <vt:lpwstr>definition-of-social-procurement</vt:lpwstr>
      </vt:variant>
      <vt:variant>
        <vt:i4>7012386</vt:i4>
      </vt:variant>
      <vt:variant>
        <vt:i4>3</vt:i4>
      </vt:variant>
      <vt:variant>
        <vt:i4>0</vt:i4>
      </vt:variant>
      <vt:variant>
        <vt:i4>5</vt:i4>
      </vt:variant>
      <vt:variant>
        <vt:lpwstr>https://www.dss.gov.au/communities-and-vulnerable-people-programs-services/social-impact-investing</vt:lpwstr>
      </vt:variant>
      <vt:variant>
        <vt:lpwstr/>
      </vt:variant>
      <vt:variant>
        <vt:i4>1572930</vt:i4>
      </vt:variant>
      <vt:variant>
        <vt:i4>0</vt:i4>
      </vt:variant>
      <vt:variant>
        <vt:i4>0</vt:i4>
      </vt:variant>
      <vt:variant>
        <vt:i4>5</vt:i4>
      </vt:variant>
      <vt:variant>
        <vt:lpwstr>https://budget.gov.au/content/overview/index.htm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cp:lastModifiedBy/>
  <cp:revision>1</cp:revision>
  <dcterms:created xsi:type="dcterms:W3CDTF">2024-01-11T04:18:00Z</dcterms:created>
  <dcterms:modified xsi:type="dcterms:W3CDTF">2024-01-11T04:20:00Z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F2B1A0DBBCFE88AA5B1F312AB77B9B9984DBCA1F</vt:lpwstr>
  </property>
  <property fmtid="{D5CDD505-2E9C-101B-9397-08002B2CF9AE}" pid="9" name="PM_Originating_FileId">
    <vt:lpwstr>572C151D06074D0A99C8511AE27C226A</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2024-01-11T04:20:12Z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095968B96C33BD4FA6DEE07B6EDB48C8</vt:lpwstr>
  </property>
  <property fmtid="{D5CDD505-2E9C-101B-9397-08002B2CF9AE}" pid="21" name="PM_Hash_Salt">
    <vt:lpwstr>6DDD66204B31AD4CA122A19208EF2116</vt:lpwstr>
  </property>
  <property fmtid="{D5CDD505-2E9C-101B-9397-08002B2CF9AE}" pid="22" name="PM_Hash_SHA1">
    <vt:lpwstr>5AD59E0BFB96EB0506D13379A969894525FABE07</vt:lpwstr>
  </property>
  <property fmtid="{D5CDD505-2E9C-101B-9397-08002B2CF9AE}" pid="23" name="PM_OriginatorUserAccountName_SHA256">
    <vt:lpwstr>52B97822998D45A5FE76FBF575035034760AD13EE13D3825DB38D567D3AEDC5E</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