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EADF0" w14:textId="77777777" w:rsidR="00DC7276" w:rsidRPr="00F30A9B" w:rsidRDefault="00DC7276" w:rsidP="00345D03">
      <w:pPr>
        <w:pStyle w:val="Title"/>
        <w:shd w:val="clear" w:color="auto" w:fill="005B70"/>
        <w:ind w:left="-851" w:right="-851"/>
        <w:jc w:val="center"/>
        <w:rPr>
          <w:rFonts w:asciiTheme="minorHAnsi" w:hAnsiTheme="minorHAnsi" w:cstheme="minorHAnsi"/>
          <w:color w:val="FFFFFF" w:themeColor="background1"/>
          <w:sz w:val="40"/>
        </w:rPr>
      </w:pPr>
      <w:bookmarkStart w:id="0" w:name="_GoBack"/>
      <w:bookmarkEnd w:id="0"/>
    </w:p>
    <w:p w14:paraId="2A6399FE" w14:textId="77777777" w:rsidR="00C80192" w:rsidRPr="00DC7276" w:rsidRDefault="00802A2C" w:rsidP="00345D03">
      <w:pPr>
        <w:pStyle w:val="Title"/>
        <w:shd w:val="clear" w:color="auto" w:fill="005B70"/>
        <w:ind w:left="-851" w:right="-851"/>
        <w:jc w:val="center"/>
        <w:rPr>
          <w:color w:val="FFFFFF" w:themeColor="background1"/>
          <w:sz w:val="66"/>
          <w:szCs w:val="66"/>
        </w:rPr>
      </w:pPr>
      <w:r w:rsidRPr="00DC7276">
        <w:rPr>
          <w:color w:val="FFFFFF" w:themeColor="background1"/>
          <w:sz w:val="66"/>
          <w:szCs w:val="66"/>
        </w:rPr>
        <w:t>Fa</w:t>
      </w:r>
      <w:r w:rsidR="00DC7276" w:rsidRPr="00DC7276">
        <w:rPr>
          <w:color w:val="FFFFFF" w:themeColor="background1"/>
          <w:sz w:val="66"/>
          <w:szCs w:val="66"/>
        </w:rPr>
        <w:t xml:space="preserve">milies and Children </w:t>
      </w:r>
      <w:r w:rsidR="0052720F">
        <w:rPr>
          <w:color w:val="FFFFFF" w:themeColor="background1"/>
          <w:sz w:val="66"/>
          <w:szCs w:val="66"/>
        </w:rPr>
        <w:t xml:space="preserve">(FaC) </w:t>
      </w:r>
      <w:r w:rsidR="00DC7276" w:rsidRPr="00DC7276">
        <w:rPr>
          <w:color w:val="FFFFFF" w:themeColor="background1"/>
          <w:sz w:val="66"/>
          <w:szCs w:val="66"/>
        </w:rPr>
        <w:t>Activity</w:t>
      </w:r>
      <w:r w:rsidR="00DC7276" w:rsidRPr="00DC7276">
        <w:rPr>
          <w:color w:val="FFFFFF" w:themeColor="background1"/>
          <w:sz w:val="66"/>
          <w:szCs w:val="66"/>
        </w:rPr>
        <w:br/>
      </w:r>
      <w:r w:rsidRPr="00DC7276">
        <w:rPr>
          <w:color w:val="FFFFFF" w:themeColor="background1"/>
          <w:sz w:val="66"/>
          <w:szCs w:val="66"/>
        </w:rPr>
        <w:t>Newsletter</w:t>
      </w:r>
    </w:p>
    <w:p w14:paraId="4A177BE4" w14:textId="77777777" w:rsidR="00DC7276" w:rsidRPr="007420BD" w:rsidRDefault="00802A2C" w:rsidP="00345D03">
      <w:pPr>
        <w:pStyle w:val="Subtitle"/>
        <w:shd w:val="clear" w:color="auto" w:fill="005B70"/>
        <w:spacing w:after="0"/>
        <w:ind w:left="-851" w:right="-851"/>
        <w:jc w:val="center"/>
        <w:rPr>
          <w:rFonts w:ascii="Calibri" w:hAnsi="Calibri" w:cs="Calibri"/>
          <w:b/>
          <w:color w:val="FFFFFF" w:themeColor="background1"/>
          <w:sz w:val="40"/>
        </w:rPr>
      </w:pPr>
      <w:r w:rsidRPr="007420BD">
        <w:rPr>
          <w:rFonts w:ascii="Calibri" w:hAnsi="Calibri" w:cs="Calibri"/>
          <w:b/>
          <w:color w:val="FFFFFF" w:themeColor="background1"/>
          <w:sz w:val="28"/>
        </w:rPr>
        <w:t xml:space="preserve">Issue </w:t>
      </w:r>
      <w:r w:rsidR="000C7492">
        <w:rPr>
          <w:rFonts w:ascii="Calibri" w:hAnsi="Calibri" w:cs="Calibri"/>
          <w:b/>
          <w:color w:val="FFFFFF" w:themeColor="background1"/>
          <w:sz w:val="28"/>
        </w:rPr>
        <w:t>8</w:t>
      </w:r>
      <w:r w:rsidRPr="007420BD">
        <w:rPr>
          <w:rFonts w:ascii="Calibri" w:hAnsi="Calibri" w:cs="Calibri"/>
          <w:b/>
          <w:color w:val="FFFFFF" w:themeColor="background1"/>
          <w:sz w:val="28"/>
        </w:rPr>
        <w:t xml:space="preserve"> | </w:t>
      </w:r>
      <w:r w:rsidR="00406535">
        <w:rPr>
          <w:rFonts w:ascii="Calibri" w:hAnsi="Calibri" w:cs="Calibri"/>
          <w:b/>
          <w:color w:val="FFFFFF" w:themeColor="background1"/>
          <w:sz w:val="28"/>
        </w:rPr>
        <w:t>January 2024</w:t>
      </w:r>
      <w:r w:rsidR="00DC7276" w:rsidRPr="007420BD">
        <w:rPr>
          <w:rFonts w:ascii="Calibri" w:hAnsi="Calibri" w:cs="Calibri"/>
          <w:b/>
          <w:color w:val="FFFFFF" w:themeColor="background1"/>
          <w:sz w:val="28"/>
        </w:rPr>
        <w:br/>
      </w:r>
    </w:p>
    <w:p w14:paraId="01F8B2C6" w14:textId="77777777" w:rsidR="000C7492" w:rsidRDefault="000C7492" w:rsidP="000C7492">
      <w:pPr>
        <w:pStyle w:val="Smalltext"/>
        <w:spacing w:before="120" w:after="0"/>
        <w:ind w:right="-427"/>
      </w:pPr>
      <w:r w:rsidRPr="00836AF8">
        <w:t>DSS 3095.11</w:t>
      </w:r>
      <w:r>
        <w:t>.23</w:t>
      </w:r>
    </w:p>
    <w:tbl>
      <w:tblPr>
        <w:tblStyle w:val="TableGrid"/>
        <w:tblW w:w="10348" w:type="dxa"/>
        <w:tblInd w:w="-142" w:type="dxa"/>
        <w:tblBorders>
          <w:top w:val="dashed" w:sz="8" w:space="0" w:color="4F81BD" w:themeColor="accent1"/>
          <w:left w:val="dashed" w:sz="8" w:space="0" w:color="4F81BD" w:themeColor="accent1"/>
          <w:bottom w:val="dashed" w:sz="8" w:space="0" w:color="4F81BD" w:themeColor="accent1"/>
          <w:right w:val="dashed" w:sz="8" w:space="0" w:color="4F81BD" w:themeColor="accent1"/>
          <w:insideH w:val="none" w:sz="0" w:space="0" w:color="auto"/>
          <w:insideV w:val="none" w:sz="0" w:space="0" w:color="auto"/>
        </w:tblBorders>
        <w:tblLook w:val="04A0" w:firstRow="1" w:lastRow="0" w:firstColumn="1" w:lastColumn="0" w:noHBand="0" w:noVBand="1"/>
        <w:tblCaption w:val="What is in this issue?"/>
        <w:tblDescription w:val="This section outlines the content of this newsletter."/>
      </w:tblPr>
      <w:tblGrid>
        <w:gridCol w:w="1569"/>
        <w:gridCol w:w="8779"/>
      </w:tblGrid>
      <w:tr w:rsidR="00345D03" w:rsidRPr="00CE5585" w14:paraId="1EC3AA83" w14:textId="77777777" w:rsidTr="00751BBE">
        <w:trPr>
          <w:trHeight w:val="283"/>
          <w:tblHeader/>
        </w:trPr>
        <w:tc>
          <w:tcPr>
            <w:tcW w:w="1569" w:type="dxa"/>
            <w:tcBorders>
              <w:top w:val="nil"/>
              <w:left w:val="nil"/>
              <w:bottom w:val="dashed" w:sz="4" w:space="0" w:color="005B70"/>
            </w:tcBorders>
            <w:vAlign w:val="center"/>
          </w:tcPr>
          <w:p w14:paraId="3CEEFA58" w14:textId="77777777" w:rsidR="00345D03" w:rsidRPr="00345D03" w:rsidRDefault="00345D03" w:rsidP="00345D03">
            <w:pPr>
              <w:spacing w:before="0" w:after="0"/>
              <w:rPr>
                <w:noProof/>
                <w:sz w:val="16"/>
              </w:rPr>
            </w:pPr>
          </w:p>
        </w:tc>
        <w:tc>
          <w:tcPr>
            <w:tcW w:w="8779" w:type="dxa"/>
            <w:tcBorders>
              <w:top w:val="nil"/>
              <w:bottom w:val="dashed" w:sz="4" w:space="0" w:color="005B70"/>
              <w:right w:val="nil"/>
            </w:tcBorders>
            <w:vAlign w:val="center"/>
          </w:tcPr>
          <w:p w14:paraId="3706E673" w14:textId="77777777" w:rsidR="00345D03" w:rsidRPr="00345D03" w:rsidRDefault="00345D03" w:rsidP="00567F06">
            <w:pPr>
              <w:pStyle w:val="Heading1"/>
              <w:rPr>
                <w:noProof/>
              </w:rPr>
            </w:pPr>
          </w:p>
        </w:tc>
      </w:tr>
      <w:tr w:rsidR="00031D92" w:rsidRPr="00CE5585" w14:paraId="329E1BB6" w14:textId="77777777" w:rsidTr="004F0C08">
        <w:trPr>
          <w:trHeight w:val="1247"/>
          <w:tblHeader/>
        </w:trPr>
        <w:tc>
          <w:tcPr>
            <w:tcW w:w="1569" w:type="dxa"/>
            <w:tcBorders>
              <w:top w:val="dashed" w:sz="4" w:space="0" w:color="005B70"/>
              <w:left w:val="dashed" w:sz="4" w:space="0" w:color="005B70"/>
              <w:bottom w:val="dashed" w:sz="4" w:space="0" w:color="005B70"/>
            </w:tcBorders>
          </w:tcPr>
          <w:p w14:paraId="53712A2C" w14:textId="77777777" w:rsidR="00031D92" w:rsidRDefault="001A6A20" w:rsidP="003B6AFB">
            <w:pPr>
              <w:spacing w:before="360" w:after="120"/>
              <w:jc w:val="center"/>
            </w:pPr>
            <w:r w:rsidRPr="00FE7F74">
              <w:rPr>
                <w:noProof/>
              </w:rPr>
              <w:drawing>
                <wp:inline distT="0" distB="0" distL="0" distR="0" wp14:anchorId="74E0FA56" wp14:editId="75F0AAA7">
                  <wp:extent cx="720000" cy="720000"/>
                  <wp:effectExtent l="0" t="0" r="4445" b="4445"/>
                  <wp:docPr id="26" name="Picture 26" title="deco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8779" w:type="dxa"/>
            <w:tcBorders>
              <w:top w:val="dashed" w:sz="4" w:space="0" w:color="005B70"/>
              <w:bottom w:val="dashed" w:sz="4" w:space="0" w:color="005B70"/>
              <w:right w:val="dashed" w:sz="4" w:space="0" w:color="005B70"/>
            </w:tcBorders>
            <w:vAlign w:val="center"/>
          </w:tcPr>
          <w:p w14:paraId="376BB7DF" w14:textId="77777777" w:rsidR="00031D92" w:rsidRPr="006471B5" w:rsidRDefault="00E90DE1" w:rsidP="00567F06">
            <w:pPr>
              <w:pStyle w:val="Heading1"/>
            </w:pPr>
            <w:r>
              <w:t>Contents of this issue</w:t>
            </w:r>
          </w:p>
          <w:p w14:paraId="3A79B057" w14:textId="482AF6E6" w:rsidR="00591CC0" w:rsidRPr="004120BF" w:rsidRDefault="00591CC0" w:rsidP="003B6AFB">
            <w:pPr>
              <w:ind w:left="33" w:right="180"/>
              <w:rPr>
                <w:rFonts w:ascii="Calibri" w:hAnsi="Calibri" w:cs="Calibri"/>
              </w:rPr>
            </w:pPr>
            <w:r w:rsidRPr="004120BF">
              <w:rPr>
                <w:rFonts w:ascii="Calibri" w:hAnsi="Calibri" w:cs="Calibri"/>
              </w:rPr>
              <w:t>A very happy New Year, everyone</w:t>
            </w:r>
            <w:r w:rsidR="0083791E" w:rsidRPr="004120BF">
              <w:rPr>
                <w:rFonts w:ascii="Calibri" w:hAnsi="Calibri" w:cs="Calibri"/>
              </w:rPr>
              <w:t xml:space="preserve">! </w:t>
            </w:r>
            <w:r w:rsidRPr="004120BF">
              <w:rPr>
                <w:rFonts w:ascii="Calibri" w:hAnsi="Calibri" w:cs="Calibri"/>
              </w:rPr>
              <w:t>We hope that you had a well-deserved break over the holiday period. It seems 2024 is off</w:t>
            </w:r>
            <w:r w:rsidR="003D49C1">
              <w:rPr>
                <w:rFonts w:ascii="Calibri" w:hAnsi="Calibri" w:cs="Calibri"/>
              </w:rPr>
              <w:t xml:space="preserve"> and racing! We look forward to </w:t>
            </w:r>
            <w:r w:rsidRPr="004120BF">
              <w:rPr>
                <w:rFonts w:ascii="Calibri" w:hAnsi="Calibri" w:cs="Calibri"/>
              </w:rPr>
              <w:t xml:space="preserve">working together over the coming year. </w:t>
            </w:r>
          </w:p>
          <w:p w14:paraId="696EDAA3" w14:textId="77777777" w:rsidR="000C7492" w:rsidRPr="004120BF" w:rsidRDefault="00591CC0" w:rsidP="003B6AFB">
            <w:pPr>
              <w:ind w:left="33" w:right="180"/>
              <w:rPr>
                <w:rFonts w:ascii="Calibri" w:hAnsi="Calibri" w:cs="Calibri"/>
              </w:rPr>
            </w:pPr>
            <w:r w:rsidRPr="004120BF">
              <w:rPr>
                <w:rFonts w:ascii="Calibri" w:hAnsi="Calibri" w:cs="Calibri"/>
              </w:rPr>
              <w:t>Welcome to the first issue of the FaC Activity newsletter for 2024.</w:t>
            </w:r>
          </w:p>
          <w:p w14:paraId="5CC681AB" w14:textId="77777777" w:rsidR="00031D92" w:rsidRPr="004C73A2" w:rsidRDefault="0083791E" w:rsidP="003B6AFB">
            <w:pPr>
              <w:ind w:left="33" w:right="180"/>
              <w:rPr>
                <w:rFonts w:ascii="Calibri" w:hAnsi="Calibri" w:cs="Calibri"/>
              </w:rPr>
            </w:pPr>
            <w:r>
              <w:rPr>
                <w:rFonts w:ascii="Calibri" w:hAnsi="Calibri" w:cs="Calibri"/>
              </w:rPr>
              <w:t>This issue covers</w:t>
            </w:r>
            <w:r w:rsidR="00031D92" w:rsidRPr="004C73A2">
              <w:rPr>
                <w:rFonts w:ascii="Calibri" w:hAnsi="Calibri" w:cs="Calibri"/>
              </w:rPr>
              <w:t>:</w:t>
            </w:r>
          </w:p>
          <w:p w14:paraId="561C804B" w14:textId="7F4F28D7" w:rsidR="000C7492" w:rsidRPr="004B79A8" w:rsidRDefault="000A1586" w:rsidP="000C7492">
            <w:pPr>
              <w:pStyle w:val="ListParagraph"/>
              <w:numPr>
                <w:ilvl w:val="0"/>
                <w:numId w:val="4"/>
              </w:numPr>
              <w:spacing w:before="180"/>
              <w:ind w:left="567" w:right="181" w:hanging="357"/>
              <w:contextualSpacing w:val="0"/>
              <w:rPr>
                <w:rStyle w:val="Hyperlink"/>
                <w:rFonts w:ascii="Calibri" w:hAnsi="Calibri" w:cs="Calibri"/>
                <w:color w:val="auto"/>
                <w:u w:val="none"/>
              </w:rPr>
            </w:pPr>
            <w:hyperlink w:anchor="_Surveys_for_child," w:history="1">
              <w:r w:rsidR="000C7492" w:rsidRPr="00E808AA">
                <w:rPr>
                  <w:rStyle w:val="Hyperlink"/>
                  <w:rFonts w:ascii="Calibri" w:hAnsi="Calibri" w:cs="Calibri"/>
                </w:rPr>
                <w:t xml:space="preserve">Surveys for child, youth </w:t>
              </w:r>
              <w:r w:rsidR="000C7492" w:rsidRPr="004518C4">
                <w:rPr>
                  <w:rStyle w:val="Hyperlink"/>
                  <w:rFonts w:ascii="Calibri" w:hAnsi="Calibri" w:cs="Calibri"/>
                </w:rPr>
                <w:t>and</w:t>
              </w:r>
              <w:r w:rsidR="000C7492" w:rsidRPr="00E808AA">
                <w:rPr>
                  <w:rStyle w:val="Hyperlink"/>
                  <w:rFonts w:ascii="Calibri" w:hAnsi="Calibri" w:cs="Calibri"/>
                </w:rPr>
                <w:t xml:space="preserve"> parenting services</w:t>
              </w:r>
            </w:hyperlink>
          </w:p>
          <w:p w14:paraId="54D0B263" w14:textId="25C7CD61" w:rsidR="004B79A8" w:rsidRPr="004B79A8" w:rsidRDefault="000A1586" w:rsidP="000C7492">
            <w:pPr>
              <w:pStyle w:val="ListParagraph"/>
              <w:numPr>
                <w:ilvl w:val="0"/>
                <w:numId w:val="4"/>
              </w:numPr>
              <w:spacing w:before="180"/>
              <w:ind w:left="567" w:right="181" w:hanging="357"/>
              <w:contextualSpacing w:val="0"/>
              <w:rPr>
                <w:rStyle w:val="Hyperlink"/>
                <w:rFonts w:ascii="Calibri" w:hAnsi="Calibri" w:cs="Calibri"/>
                <w:color w:val="auto"/>
                <w:u w:val="none"/>
              </w:rPr>
            </w:pPr>
            <w:hyperlink w:anchor="_Early_Years_Strategy" w:history="1">
              <w:r w:rsidR="004B79A8" w:rsidRPr="004B79A8">
                <w:rPr>
                  <w:rStyle w:val="Hyperlink"/>
                  <w:rFonts w:ascii="Calibri" w:hAnsi="Calibri" w:cs="Calibri"/>
                </w:rPr>
                <w:t>Early Years Strategy consultation</w:t>
              </w:r>
            </w:hyperlink>
          </w:p>
          <w:p w14:paraId="7D1EC752" w14:textId="1726E585" w:rsidR="004B79A8" w:rsidRPr="004518C4" w:rsidRDefault="000A1586" w:rsidP="000C7492">
            <w:pPr>
              <w:pStyle w:val="ListParagraph"/>
              <w:numPr>
                <w:ilvl w:val="0"/>
                <w:numId w:val="4"/>
              </w:numPr>
              <w:spacing w:before="180"/>
              <w:ind w:left="567" w:right="181" w:hanging="357"/>
              <w:contextualSpacing w:val="0"/>
              <w:rPr>
                <w:rStyle w:val="Hyperlink"/>
                <w:rFonts w:ascii="Calibri" w:hAnsi="Calibri" w:cs="Calibri"/>
                <w:color w:val="auto"/>
                <w:u w:val="none"/>
              </w:rPr>
            </w:pPr>
            <w:hyperlink w:anchor="_Call_for_evaluation" w:history="1">
              <w:r w:rsidR="004B79A8" w:rsidRPr="004B79A8">
                <w:rPr>
                  <w:rStyle w:val="Hyperlink"/>
                  <w:rFonts w:ascii="Calibri" w:hAnsi="Calibri" w:cs="Calibri"/>
                </w:rPr>
                <w:t>Call for evaluation reports</w:t>
              </w:r>
            </w:hyperlink>
          </w:p>
          <w:p w14:paraId="1E729032" w14:textId="77777777" w:rsidR="004518C4" w:rsidRPr="00E808AA" w:rsidRDefault="000A1586" w:rsidP="004518C4">
            <w:pPr>
              <w:pStyle w:val="ListParagraph"/>
              <w:numPr>
                <w:ilvl w:val="0"/>
                <w:numId w:val="4"/>
              </w:numPr>
              <w:spacing w:before="180"/>
              <w:ind w:left="567" w:right="181" w:hanging="357"/>
              <w:contextualSpacing w:val="0"/>
              <w:rPr>
                <w:rStyle w:val="Hyperlink"/>
                <w:rFonts w:ascii="Calibri" w:hAnsi="Calibri" w:cs="Calibri"/>
                <w:color w:val="auto"/>
                <w:u w:val="none"/>
              </w:rPr>
            </w:pPr>
            <w:hyperlink w:anchor="_Resources_and_webinars" w:history="1">
              <w:r w:rsidR="004518C4" w:rsidRPr="00E808AA">
                <w:rPr>
                  <w:rStyle w:val="Hyperlink"/>
                  <w:rFonts w:ascii="Calibri" w:hAnsi="Calibri" w:cs="Calibri"/>
                </w:rPr>
                <w:t>Resource and webinars</w:t>
              </w:r>
            </w:hyperlink>
          </w:p>
          <w:p w14:paraId="2C128490" w14:textId="77777777" w:rsidR="000C7492" w:rsidRPr="0071687B" w:rsidRDefault="0071687B" w:rsidP="000C7492">
            <w:pPr>
              <w:pStyle w:val="ListParagraph"/>
              <w:numPr>
                <w:ilvl w:val="0"/>
                <w:numId w:val="4"/>
              </w:numPr>
              <w:spacing w:before="180"/>
              <w:ind w:left="567" w:right="181" w:hanging="357"/>
              <w:contextualSpacing w:val="0"/>
              <w:rPr>
                <w:rStyle w:val="Hyperlink"/>
                <w:rFonts w:ascii="Calibri" w:hAnsi="Calibri" w:cs="Calibri"/>
              </w:rPr>
            </w:pPr>
            <w:r>
              <w:rPr>
                <w:rFonts w:ascii="Calibri" w:hAnsi="Calibri" w:cs="Calibri"/>
              </w:rPr>
              <w:fldChar w:fldCharType="begin"/>
            </w:r>
            <w:r>
              <w:rPr>
                <w:rFonts w:ascii="Calibri" w:hAnsi="Calibri" w:cs="Calibri"/>
              </w:rPr>
              <w:instrText xml:space="preserve"> HYPERLINK  \l "_Stronger_ACCOs,_Stronger" </w:instrText>
            </w:r>
            <w:r>
              <w:rPr>
                <w:rFonts w:ascii="Calibri" w:hAnsi="Calibri" w:cs="Calibri"/>
              </w:rPr>
              <w:fldChar w:fldCharType="separate"/>
            </w:r>
            <w:r w:rsidR="000C7492" w:rsidRPr="0071687B">
              <w:rPr>
                <w:rStyle w:val="Hyperlink"/>
                <w:rFonts w:ascii="Calibri" w:hAnsi="Calibri" w:cs="Calibri"/>
              </w:rPr>
              <w:t>Stronger ACCOs, Stronger Families</w:t>
            </w:r>
            <w:r w:rsidRPr="0071687B">
              <w:rPr>
                <w:rStyle w:val="Hyperlink"/>
                <w:rFonts w:ascii="Calibri" w:hAnsi="Calibri" w:cs="Calibri"/>
              </w:rPr>
              <w:t xml:space="preserve"> project update</w:t>
            </w:r>
          </w:p>
          <w:p w14:paraId="5D745D34" w14:textId="77777777" w:rsidR="000C7492" w:rsidRPr="00AF56AB" w:rsidRDefault="0071687B" w:rsidP="000C7492">
            <w:pPr>
              <w:pStyle w:val="ListParagraph"/>
              <w:numPr>
                <w:ilvl w:val="0"/>
                <w:numId w:val="4"/>
              </w:numPr>
              <w:spacing w:before="180"/>
              <w:ind w:left="567" w:right="181" w:hanging="357"/>
              <w:contextualSpacing w:val="0"/>
              <w:rPr>
                <w:rFonts w:ascii="Calibri" w:hAnsi="Calibri" w:cs="Calibri"/>
              </w:rPr>
            </w:pPr>
            <w:r>
              <w:rPr>
                <w:rFonts w:ascii="Calibri" w:hAnsi="Calibri" w:cs="Calibri"/>
              </w:rPr>
              <w:fldChar w:fldCharType="end"/>
            </w:r>
            <w:hyperlink w:anchor="_Data_Exchange_(DEX)" w:history="1">
              <w:r w:rsidR="000C7492" w:rsidRPr="00E808AA">
                <w:rPr>
                  <w:rStyle w:val="Hyperlink"/>
                  <w:rFonts w:ascii="Calibri" w:hAnsi="Calibri" w:cs="Calibri"/>
                </w:rPr>
                <w:t>Data Exchange (DEX) update</w:t>
              </w:r>
            </w:hyperlink>
          </w:p>
          <w:p w14:paraId="54288C60" w14:textId="77777777" w:rsidR="00031D92" w:rsidRPr="00CE5585" w:rsidRDefault="004518C4" w:rsidP="00770959">
            <w:pPr>
              <w:spacing w:after="360"/>
              <w:ind w:left="33" w:right="180"/>
            </w:pPr>
            <w:r>
              <w:rPr>
                <w:rFonts w:ascii="Calibri" w:hAnsi="Calibri" w:cs="Calibri"/>
              </w:rPr>
              <w:t xml:space="preserve">Please feel free to </w:t>
            </w:r>
            <w:r w:rsidR="00062771">
              <w:rPr>
                <w:rFonts w:ascii="Calibri" w:hAnsi="Calibri" w:cs="Calibri"/>
              </w:rPr>
              <w:t>share</w:t>
            </w:r>
            <w:r w:rsidR="00062771" w:rsidRPr="004C73A2">
              <w:rPr>
                <w:rFonts w:ascii="Calibri" w:hAnsi="Calibri" w:cs="Calibri"/>
              </w:rPr>
              <w:t xml:space="preserve"> </w:t>
            </w:r>
            <w:r w:rsidRPr="004C73A2">
              <w:rPr>
                <w:rFonts w:ascii="Calibri" w:hAnsi="Calibri" w:cs="Calibri"/>
              </w:rPr>
              <w:t xml:space="preserve">this newsletter </w:t>
            </w:r>
            <w:r w:rsidR="00062771">
              <w:rPr>
                <w:rFonts w:ascii="Calibri" w:hAnsi="Calibri" w:cs="Calibri"/>
              </w:rPr>
              <w:t>with</w:t>
            </w:r>
            <w:r w:rsidR="00062771" w:rsidRPr="004C73A2">
              <w:rPr>
                <w:rFonts w:ascii="Calibri" w:hAnsi="Calibri" w:cs="Calibri"/>
              </w:rPr>
              <w:t xml:space="preserve"> </w:t>
            </w:r>
            <w:r>
              <w:rPr>
                <w:rFonts w:ascii="Calibri" w:hAnsi="Calibri" w:cs="Calibri"/>
              </w:rPr>
              <w:t xml:space="preserve">other </w:t>
            </w:r>
            <w:r w:rsidRPr="004C73A2">
              <w:rPr>
                <w:rFonts w:ascii="Calibri" w:hAnsi="Calibri" w:cs="Calibri"/>
              </w:rPr>
              <w:t>staff</w:t>
            </w:r>
            <w:r>
              <w:rPr>
                <w:rFonts w:ascii="Calibri" w:hAnsi="Calibri" w:cs="Calibri"/>
              </w:rPr>
              <w:t xml:space="preserve"> in your organisation. If </w:t>
            </w:r>
            <w:r w:rsidRPr="004C73A2">
              <w:rPr>
                <w:rFonts w:ascii="Calibri" w:hAnsi="Calibri" w:cs="Calibri"/>
              </w:rPr>
              <w:t xml:space="preserve">staff would like to receive the newsletter directly, they can send a request </w:t>
            </w:r>
            <w:r w:rsidR="00770959">
              <w:rPr>
                <w:rFonts w:ascii="Calibri" w:hAnsi="Calibri" w:cs="Calibri"/>
              </w:rPr>
              <w:t>by</w:t>
            </w:r>
            <w:r w:rsidR="00486057">
              <w:rPr>
                <w:rFonts w:ascii="Calibri" w:hAnsi="Calibri" w:cs="Calibri"/>
              </w:rPr>
              <w:t> </w:t>
            </w:r>
            <w:r w:rsidRPr="004C73A2">
              <w:rPr>
                <w:rFonts w:ascii="Calibri" w:hAnsi="Calibri" w:cs="Calibri"/>
              </w:rPr>
              <w:t>email</w:t>
            </w:r>
            <w:r w:rsidR="00770959">
              <w:rPr>
                <w:rFonts w:ascii="Calibri" w:hAnsi="Calibri" w:cs="Calibri"/>
              </w:rPr>
              <w:t>ing</w:t>
            </w:r>
            <w:r w:rsidRPr="004C73A2">
              <w:rPr>
                <w:rFonts w:ascii="Calibri" w:hAnsi="Calibri" w:cs="Calibri"/>
              </w:rPr>
              <w:t xml:space="preserve"> </w:t>
            </w:r>
            <w:hyperlink r:id="rId9" w:history="1">
              <w:r w:rsidR="00031D92" w:rsidRPr="004C73A2">
                <w:rPr>
                  <w:rStyle w:val="Hyperlink"/>
                  <w:rFonts w:ascii="Calibri" w:hAnsi="Calibri" w:cs="Calibri"/>
                </w:rPr>
                <w:t>families@dss.gov.au</w:t>
              </w:r>
            </w:hyperlink>
            <w:r w:rsidR="00031D92" w:rsidRPr="004C73A2">
              <w:rPr>
                <w:rFonts w:ascii="Calibri" w:hAnsi="Calibri" w:cs="Calibri"/>
              </w:rPr>
              <w:t>.</w:t>
            </w:r>
          </w:p>
        </w:tc>
      </w:tr>
      <w:tr w:rsidR="000C7492" w:rsidRPr="00CE5585" w14:paraId="4D54375C" w14:textId="77777777" w:rsidTr="004F0C08">
        <w:trPr>
          <w:trHeight w:val="567"/>
          <w:tblHeader/>
        </w:trPr>
        <w:tc>
          <w:tcPr>
            <w:tcW w:w="1569" w:type="dxa"/>
            <w:tcBorders>
              <w:top w:val="dashed" w:sz="4" w:space="0" w:color="005B70"/>
              <w:left w:val="nil"/>
              <w:bottom w:val="nil"/>
            </w:tcBorders>
            <w:vAlign w:val="center"/>
          </w:tcPr>
          <w:p w14:paraId="7699F0FA" w14:textId="77777777" w:rsidR="000C7492" w:rsidRPr="000C7492" w:rsidRDefault="000C7492" w:rsidP="000C7492">
            <w:pPr>
              <w:spacing w:before="0" w:after="0"/>
              <w:jc w:val="center"/>
              <w:rPr>
                <w:noProof/>
                <w:sz w:val="20"/>
                <w:szCs w:val="20"/>
              </w:rPr>
            </w:pPr>
          </w:p>
        </w:tc>
        <w:tc>
          <w:tcPr>
            <w:tcW w:w="8779" w:type="dxa"/>
            <w:tcBorders>
              <w:top w:val="dashed" w:sz="4" w:space="0" w:color="005B70"/>
              <w:bottom w:val="nil"/>
              <w:right w:val="nil"/>
            </w:tcBorders>
            <w:vAlign w:val="center"/>
          </w:tcPr>
          <w:p w14:paraId="0ABE9B30" w14:textId="77777777" w:rsidR="000C7492" w:rsidRPr="000C7492" w:rsidRDefault="000C7492" w:rsidP="00567F06">
            <w:pPr>
              <w:pStyle w:val="Heading1"/>
            </w:pPr>
          </w:p>
        </w:tc>
      </w:tr>
    </w:tbl>
    <w:p w14:paraId="7FDBE268" w14:textId="77777777" w:rsidR="000C7492" w:rsidRDefault="000C7492"/>
    <w:tbl>
      <w:tblPr>
        <w:tblStyle w:val="TableGrid"/>
        <w:tblW w:w="10348" w:type="dxa"/>
        <w:tblInd w:w="-162" w:type="dxa"/>
        <w:tblBorders>
          <w:top w:val="dashed" w:sz="8" w:space="0" w:color="4F81BD" w:themeColor="accent1"/>
          <w:left w:val="dashed" w:sz="8" w:space="0" w:color="4F81BD" w:themeColor="accent1"/>
          <w:bottom w:val="dashed" w:sz="8" w:space="0" w:color="4F81BD" w:themeColor="accent1"/>
          <w:right w:val="dashed" w:sz="8" w:space="0" w:color="4F81BD" w:themeColor="accent1"/>
          <w:insideH w:val="none" w:sz="0" w:space="0" w:color="auto"/>
          <w:insideV w:val="none" w:sz="0" w:space="0" w:color="auto"/>
        </w:tblBorders>
        <w:tblLook w:val="04A0" w:firstRow="1" w:lastRow="0" w:firstColumn="1" w:lastColumn="0" w:noHBand="0" w:noVBand="1"/>
        <w:tblCaption w:val="What is in this issue?"/>
        <w:tblDescription w:val="This section outlines the content of this newsletter."/>
      </w:tblPr>
      <w:tblGrid>
        <w:gridCol w:w="2109"/>
        <w:gridCol w:w="8239"/>
      </w:tblGrid>
      <w:tr w:rsidR="00B1721F" w:rsidRPr="00CE5585" w14:paraId="720C9931" w14:textId="77777777" w:rsidTr="001E489B">
        <w:trPr>
          <w:cantSplit/>
          <w:trHeight w:val="1247"/>
          <w:tblHeader/>
        </w:trPr>
        <w:tc>
          <w:tcPr>
            <w:tcW w:w="2109" w:type="dxa"/>
            <w:tcBorders>
              <w:top w:val="dashed" w:sz="4" w:space="0" w:color="005B70"/>
              <w:left w:val="dashed" w:sz="4" w:space="0" w:color="005B70"/>
              <w:bottom w:val="dashed" w:sz="4" w:space="0" w:color="005B70"/>
            </w:tcBorders>
          </w:tcPr>
          <w:p w14:paraId="3189A113" w14:textId="77777777" w:rsidR="00B1721F" w:rsidRPr="00CE5585" w:rsidRDefault="001A6A20" w:rsidP="00B1721F">
            <w:pPr>
              <w:spacing w:before="360" w:after="120"/>
              <w:jc w:val="center"/>
              <w:rPr>
                <w:noProof/>
              </w:rPr>
            </w:pPr>
            <w:r w:rsidRPr="00A842FF">
              <w:rPr>
                <w:noProof/>
              </w:rPr>
              <w:lastRenderedPageBreak/>
              <w:drawing>
                <wp:inline distT="0" distB="0" distL="0" distR="0" wp14:anchorId="29F40364" wp14:editId="1132E3BB">
                  <wp:extent cx="719455" cy="719455"/>
                  <wp:effectExtent l="0" t="0" r="4445" b="4445"/>
                  <wp:docPr id="25" name="Picture 25" title="deco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inline>
              </w:drawing>
            </w:r>
          </w:p>
        </w:tc>
        <w:tc>
          <w:tcPr>
            <w:tcW w:w="8239" w:type="dxa"/>
            <w:tcBorders>
              <w:top w:val="dashed" w:sz="4" w:space="0" w:color="005B70"/>
              <w:bottom w:val="dashed" w:sz="4" w:space="0" w:color="005B70"/>
              <w:right w:val="dashed" w:sz="4" w:space="0" w:color="005B70"/>
            </w:tcBorders>
            <w:vAlign w:val="center"/>
          </w:tcPr>
          <w:p w14:paraId="07F521F5" w14:textId="77777777" w:rsidR="00B1721F" w:rsidRDefault="000C7492" w:rsidP="00567F06">
            <w:pPr>
              <w:pStyle w:val="Heading1"/>
            </w:pPr>
            <w:bookmarkStart w:id="1" w:name="_Surveys_for_child,"/>
            <w:bookmarkEnd w:id="1"/>
            <w:r>
              <w:t>Surveys for child, youth and parenting services</w:t>
            </w:r>
          </w:p>
          <w:p w14:paraId="6224757D" w14:textId="56ED6DC4" w:rsidR="000C7492" w:rsidRDefault="000C7492" w:rsidP="000C7492">
            <w:pPr>
              <w:spacing w:before="180"/>
              <w:ind w:right="180"/>
              <w:rPr>
                <w:rFonts w:ascii="Calibri" w:hAnsi="Calibri" w:cs="Calibri"/>
              </w:rPr>
            </w:pPr>
            <w:r>
              <w:rPr>
                <w:rFonts w:ascii="Calibri" w:hAnsi="Calibri" w:cs="Calibri"/>
              </w:rPr>
              <w:t>Thank you to</w:t>
            </w:r>
            <w:r w:rsidR="00062771">
              <w:rPr>
                <w:rFonts w:ascii="Calibri" w:hAnsi="Calibri" w:cs="Calibri"/>
              </w:rPr>
              <w:t xml:space="preserve"> all</w:t>
            </w:r>
            <w:r>
              <w:rPr>
                <w:rFonts w:ascii="Calibri" w:hAnsi="Calibri" w:cs="Calibri"/>
              </w:rPr>
              <w:t xml:space="preserve"> Child</w:t>
            </w:r>
            <w:r w:rsidR="00F9420E">
              <w:rPr>
                <w:rFonts w:ascii="Calibri" w:hAnsi="Calibri" w:cs="Calibri"/>
              </w:rPr>
              <w:t>ren and Parenting Support</w:t>
            </w:r>
            <w:r>
              <w:rPr>
                <w:rFonts w:ascii="Calibri" w:hAnsi="Calibri" w:cs="Calibri"/>
              </w:rPr>
              <w:t>, Communities for Child</w:t>
            </w:r>
            <w:r w:rsidR="00F9420E">
              <w:rPr>
                <w:rFonts w:ascii="Calibri" w:hAnsi="Calibri" w:cs="Calibri"/>
              </w:rPr>
              <w:t>ren Facilitating Partner</w:t>
            </w:r>
            <w:r>
              <w:rPr>
                <w:rFonts w:ascii="Calibri" w:hAnsi="Calibri" w:cs="Calibri"/>
              </w:rPr>
              <w:t xml:space="preserve"> and Family Mental </w:t>
            </w:r>
            <w:r w:rsidR="00F9420E">
              <w:rPr>
                <w:rFonts w:ascii="Calibri" w:hAnsi="Calibri" w:cs="Calibri"/>
              </w:rPr>
              <w:t xml:space="preserve">Health Support Services </w:t>
            </w:r>
            <w:r w:rsidR="00062771">
              <w:rPr>
                <w:rFonts w:ascii="Calibri" w:hAnsi="Calibri" w:cs="Calibri"/>
              </w:rPr>
              <w:t xml:space="preserve">providers who participated in our recent surveys </w:t>
            </w:r>
            <w:r w:rsidR="007C3584">
              <w:rPr>
                <w:rFonts w:ascii="Calibri" w:hAnsi="Calibri" w:cs="Calibri"/>
              </w:rPr>
              <w:t>for child, youth and parenting services</w:t>
            </w:r>
            <w:r>
              <w:rPr>
                <w:rFonts w:ascii="Calibri" w:hAnsi="Calibri" w:cs="Calibri"/>
              </w:rPr>
              <w:t>.</w:t>
            </w:r>
          </w:p>
          <w:p w14:paraId="2BBC332C" w14:textId="77777777" w:rsidR="000C7492" w:rsidRDefault="000C7492" w:rsidP="000C7492">
            <w:pPr>
              <w:spacing w:before="180"/>
              <w:ind w:right="180"/>
              <w:rPr>
                <w:rFonts w:ascii="Calibri" w:hAnsi="Calibri" w:cs="Calibri"/>
              </w:rPr>
            </w:pPr>
            <w:r>
              <w:rPr>
                <w:rFonts w:ascii="Calibri" w:hAnsi="Calibri" w:cs="Calibri"/>
              </w:rPr>
              <w:t>The survey</w:t>
            </w:r>
            <w:r w:rsidR="00062771">
              <w:rPr>
                <w:rFonts w:ascii="Calibri" w:hAnsi="Calibri" w:cs="Calibri"/>
              </w:rPr>
              <w:t>s</w:t>
            </w:r>
            <w:r>
              <w:rPr>
                <w:rFonts w:ascii="Calibri" w:hAnsi="Calibri" w:cs="Calibri"/>
              </w:rPr>
              <w:t xml:space="preserve"> are now closed. We </w:t>
            </w:r>
            <w:r w:rsidR="00062771">
              <w:rPr>
                <w:rFonts w:ascii="Calibri" w:hAnsi="Calibri" w:cs="Calibri"/>
              </w:rPr>
              <w:t>are</w:t>
            </w:r>
            <w:r>
              <w:rPr>
                <w:rFonts w:ascii="Calibri" w:hAnsi="Calibri" w:cs="Calibri"/>
              </w:rPr>
              <w:t xml:space="preserve"> </w:t>
            </w:r>
            <w:r w:rsidR="00770959">
              <w:rPr>
                <w:rFonts w:ascii="Calibri" w:hAnsi="Calibri" w:cs="Calibri"/>
              </w:rPr>
              <w:t xml:space="preserve">delighted </w:t>
            </w:r>
            <w:r>
              <w:rPr>
                <w:rFonts w:ascii="Calibri" w:hAnsi="Calibri" w:cs="Calibri"/>
              </w:rPr>
              <w:t>with the number of responses the Australian Institute of Family Studies (AIFS) received.</w:t>
            </w:r>
          </w:p>
          <w:p w14:paraId="6E03F500" w14:textId="50C8888C" w:rsidR="000C7492" w:rsidRDefault="000C7492" w:rsidP="000C7492">
            <w:pPr>
              <w:spacing w:before="180"/>
              <w:ind w:right="180"/>
              <w:rPr>
                <w:rFonts w:ascii="Calibri" w:hAnsi="Calibri" w:cs="Calibri"/>
              </w:rPr>
            </w:pPr>
            <w:r>
              <w:rPr>
                <w:rFonts w:ascii="Calibri" w:hAnsi="Calibri" w:cs="Calibri"/>
              </w:rPr>
              <w:t xml:space="preserve">We look forward to </w:t>
            </w:r>
            <w:r w:rsidR="00126BA3">
              <w:rPr>
                <w:rFonts w:ascii="Calibri" w:hAnsi="Calibri" w:cs="Calibri"/>
              </w:rPr>
              <w:t xml:space="preserve">learning </w:t>
            </w:r>
            <w:r>
              <w:rPr>
                <w:rFonts w:ascii="Calibri" w:hAnsi="Calibri" w:cs="Calibri"/>
              </w:rPr>
              <w:t xml:space="preserve">more about the valuable services you provide for children and families around Australia. </w:t>
            </w:r>
            <w:r w:rsidR="00F36AA0" w:rsidRPr="00F36AA0">
              <w:rPr>
                <w:rFonts w:ascii="Calibri" w:hAnsi="Calibri" w:cs="Calibri"/>
              </w:rPr>
              <w:t>Your input to these surveys, along with other activities the department is undertaking over the coming months, will improve our understanding of the children, youth and parents/carers programs delivered under the FaC Activity. These activities will include</w:t>
            </w:r>
            <w:r w:rsidR="004120BF">
              <w:rPr>
                <w:rFonts w:ascii="Calibri" w:hAnsi="Calibri" w:cs="Calibri"/>
              </w:rPr>
              <w:t xml:space="preserve"> in</w:t>
            </w:r>
            <w:r w:rsidR="004120BF">
              <w:rPr>
                <w:rFonts w:ascii="Calibri" w:hAnsi="Calibri" w:cs="Calibri"/>
              </w:rPr>
              <w:noBreakHyphen/>
            </w:r>
            <w:r w:rsidR="00F36AA0">
              <w:rPr>
                <w:rFonts w:ascii="Calibri" w:hAnsi="Calibri" w:cs="Calibri"/>
              </w:rPr>
              <w:t>house research, as </w:t>
            </w:r>
            <w:r w:rsidR="00F36AA0" w:rsidRPr="00F36AA0">
              <w:rPr>
                <w:rFonts w:ascii="Calibri" w:hAnsi="Calibri" w:cs="Calibri"/>
              </w:rPr>
              <w:t>well as external engagement with service provid</w:t>
            </w:r>
            <w:r w:rsidR="00F36AA0">
              <w:rPr>
                <w:rFonts w:ascii="Calibri" w:hAnsi="Calibri" w:cs="Calibri"/>
              </w:rPr>
              <w:t>ers, clients and stakeholders. AIFS</w:t>
            </w:r>
            <w:r w:rsidR="00F36AA0" w:rsidRPr="00F36AA0">
              <w:rPr>
                <w:rFonts w:ascii="Calibri" w:hAnsi="Calibri" w:cs="Calibri"/>
              </w:rPr>
              <w:t xml:space="preserve"> is supporting the department with a number of these activities.</w:t>
            </w:r>
          </w:p>
          <w:p w14:paraId="28DAEEEC" w14:textId="0901A11D" w:rsidR="00B1721F" w:rsidRPr="000C7492" w:rsidRDefault="00126BA3" w:rsidP="00126BA3">
            <w:pPr>
              <w:spacing w:before="180" w:after="360"/>
              <w:ind w:right="180"/>
              <w:rPr>
                <w:rFonts w:ascii="Calibri" w:hAnsi="Calibri" w:cs="Calibri"/>
              </w:rPr>
            </w:pPr>
            <w:r>
              <w:rPr>
                <w:rFonts w:ascii="Calibri" w:hAnsi="Calibri" w:cs="Calibri"/>
              </w:rPr>
              <w:t>The department will</w:t>
            </w:r>
            <w:r w:rsidR="000C7492">
              <w:rPr>
                <w:rFonts w:ascii="Calibri" w:hAnsi="Calibri" w:cs="Calibri"/>
              </w:rPr>
              <w:t xml:space="preserve"> </w:t>
            </w:r>
            <w:r>
              <w:rPr>
                <w:rFonts w:ascii="Calibri" w:hAnsi="Calibri" w:cs="Calibri"/>
              </w:rPr>
              <w:t>share</w:t>
            </w:r>
            <w:r w:rsidR="000C7492">
              <w:rPr>
                <w:rFonts w:ascii="Calibri" w:hAnsi="Calibri" w:cs="Calibri"/>
              </w:rPr>
              <w:t xml:space="preserve"> any key insights </w:t>
            </w:r>
            <w:r w:rsidR="004120BF">
              <w:rPr>
                <w:rFonts w:ascii="Calibri" w:hAnsi="Calibri" w:cs="Calibri"/>
              </w:rPr>
              <w:t>from the review in mid-2024. We </w:t>
            </w:r>
            <w:r w:rsidR="000C7492">
              <w:rPr>
                <w:rFonts w:ascii="Calibri" w:hAnsi="Calibri" w:cs="Calibri"/>
              </w:rPr>
              <w:t>will continue to keep the sector updated on how this work progresses.</w:t>
            </w:r>
          </w:p>
        </w:tc>
      </w:tr>
      <w:tr w:rsidR="004F3781" w:rsidRPr="00CE5585" w14:paraId="6B21000F" w14:textId="77777777" w:rsidTr="004F0C08">
        <w:trPr>
          <w:cantSplit/>
          <w:trHeight w:val="567"/>
          <w:tblHeader/>
        </w:trPr>
        <w:tc>
          <w:tcPr>
            <w:tcW w:w="2109" w:type="dxa"/>
            <w:tcBorders>
              <w:top w:val="dashed" w:sz="4" w:space="0" w:color="005B70"/>
              <w:left w:val="nil"/>
              <w:bottom w:val="dashed" w:sz="4" w:space="0" w:color="005B70"/>
            </w:tcBorders>
          </w:tcPr>
          <w:p w14:paraId="685DD540" w14:textId="77777777" w:rsidR="004F3781" w:rsidRPr="004F3781" w:rsidRDefault="004F3781" w:rsidP="009750D0"/>
        </w:tc>
        <w:tc>
          <w:tcPr>
            <w:tcW w:w="8239" w:type="dxa"/>
            <w:tcBorders>
              <w:top w:val="dashed" w:sz="4" w:space="0" w:color="005B70"/>
              <w:bottom w:val="dashed" w:sz="4" w:space="0" w:color="005A70"/>
              <w:right w:val="nil"/>
            </w:tcBorders>
            <w:vAlign w:val="center"/>
          </w:tcPr>
          <w:p w14:paraId="72CADA2E" w14:textId="77777777" w:rsidR="004F3781" w:rsidRPr="004F3781" w:rsidRDefault="004F3781" w:rsidP="009750D0"/>
        </w:tc>
      </w:tr>
      <w:tr w:rsidR="004F0C08" w:rsidRPr="00CE5585" w14:paraId="54DD5016" w14:textId="77777777" w:rsidTr="004F0C08">
        <w:trPr>
          <w:cantSplit/>
          <w:trHeight w:val="567"/>
          <w:tblHeader/>
        </w:trPr>
        <w:tc>
          <w:tcPr>
            <w:tcW w:w="2109" w:type="dxa"/>
            <w:tcBorders>
              <w:top w:val="dashed" w:sz="4" w:space="0" w:color="005B70"/>
              <w:left w:val="dashed" w:sz="4" w:space="0" w:color="005A70"/>
              <w:bottom w:val="dashed" w:sz="4" w:space="0" w:color="005B70"/>
            </w:tcBorders>
          </w:tcPr>
          <w:p w14:paraId="1182A335" w14:textId="59DCFC6F" w:rsidR="004F0C08" w:rsidRPr="004F3781" w:rsidRDefault="004F0C08" w:rsidP="004F0C08">
            <w:pPr>
              <w:spacing w:before="360"/>
              <w:jc w:val="center"/>
            </w:pPr>
            <w:r>
              <w:rPr>
                <w:noProof/>
              </w:rPr>
              <w:drawing>
                <wp:inline distT="0" distB="0" distL="0" distR="0" wp14:anchorId="0DCD173A" wp14:editId="1000CAF0">
                  <wp:extent cx="1066800" cy="899614"/>
                  <wp:effectExtent l="0" t="0" r="0" b="0"/>
                  <wp:docPr id="2" name="Picture 2" descr="Early Years Strategy | engage.dss.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ly Years Strategy | engage.dss.gov.au"/>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1067258" cy="90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239" w:type="dxa"/>
            <w:tcBorders>
              <w:top w:val="dashed" w:sz="4" w:space="0" w:color="005A70"/>
              <w:bottom w:val="dashed" w:sz="4" w:space="0" w:color="005B70"/>
              <w:right w:val="dashed" w:sz="4" w:space="0" w:color="005A70"/>
            </w:tcBorders>
            <w:vAlign w:val="center"/>
          </w:tcPr>
          <w:p w14:paraId="09761BE1" w14:textId="77777777" w:rsidR="004F0C08" w:rsidRPr="001E489B" w:rsidRDefault="004F0C08" w:rsidP="004F0C08">
            <w:pPr>
              <w:pStyle w:val="Heading1"/>
              <w:ind w:left="34" w:right="181"/>
              <w:contextualSpacing w:val="0"/>
            </w:pPr>
            <w:bookmarkStart w:id="2" w:name="_Early_Years_Strategy"/>
            <w:bookmarkEnd w:id="2"/>
            <w:r>
              <w:t>Early Years Strategy consultation</w:t>
            </w:r>
          </w:p>
          <w:p w14:paraId="13182D2E" w14:textId="77777777" w:rsidR="004F0C08" w:rsidRDefault="004F0C08" w:rsidP="004F0C08">
            <w:pPr>
              <w:spacing w:before="180"/>
              <w:ind w:right="181"/>
              <w:rPr>
                <w:rFonts w:ascii="Calibri" w:hAnsi="Calibri" w:cs="Calibri"/>
              </w:rPr>
            </w:pPr>
            <w:r>
              <w:rPr>
                <w:rFonts w:ascii="Calibri" w:hAnsi="Calibri" w:cs="Calibri"/>
              </w:rPr>
              <w:t xml:space="preserve">The department has released the draft </w:t>
            </w:r>
            <w:hyperlink r:id="rId12" w:history="1">
              <w:r w:rsidRPr="001E489B">
                <w:rPr>
                  <w:rStyle w:val="Hyperlink"/>
                  <w:rFonts w:ascii="Calibri" w:hAnsi="Calibri" w:cs="Calibri"/>
                </w:rPr>
                <w:t>Early Years Strategy</w:t>
              </w:r>
            </w:hyperlink>
            <w:r>
              <w:rPr>
                <w:rFonts w:ascii="Calibri" w:hAnsi="Calibri" w:cs="Calibri"/>
              </w:rPr>
              <w:t xml:space="preserve"> (the Strategy) for consultation. The Strategy aims to deliver the best outcomes for Australia’s children into the future. It highlights how important the early years are for a child’s development and success.</w:t>
            </w:r>
          </w:p>
          <w:p w14:paraId="2189F828" w14:textId="77777777" w:rsidR="004F0C08" w:rsidRDefault="004F0C08" w:rsidP="004F0C08">
            <w:pPr>
              <w:spacing w:before="180"/>
              <w:ind w:right="181"/>
              <w:rPr>
                <w:rFonts w:ascii="Calibri" w:hAnsi="Calibri" w:cs="Calibri"/>
              </w:rPr>
            </w:pPr>
            <w:r>
              <w:rPr>
                <w:rFonts w:ascii="Calibri" w:hAnsi="Calibri" w:cs="Calibri"/>
              </w:rPr>
              <w:t xml:space="preserve">In addition to the draft Strategy, the department has also released the </w:t>
            </w:r>
            <w:hyperlink r:id="rId13" w:history="1">
              <w:r w:rsidRPr="001E489B">
                <w:rPr>
                  <w:rStyle w:val="Hyperlink"/>
                  <w:rFonts w:ascii="Calibri" w:hAnsi="Calibri" w:cs="Calibri"/>
                </w:rPr>
                <w:t>Early Years Strategy Consultation Report 2023</w:t>
              </w:r>
            </w:hyperlink>
            <w:r>
              <w:rPr>
                <w:rFonts w:ascii="Calibri" w:hAnsi="Calibri" w:cs="Calibri"/>
              </w:rPr>
              <w:t>. The report synthesises the views of a range of stakeholders, including children, parents and families, who participated in consultations over a 7-month period to inform the Early Years Strategy.</w:t>
            </w:r>
          </w:p>
          <w:p w14:paraId="4501E415" w14:textId="77777777" w:rsidR="004F0C08" w:rsidRDefault="004F0C08" w:rsidP="004F0C08">
            <w:pPr>
              <w:spacing w:before="180"/>
              <w:ind w:right="181"/>
              <w:rPr>
                <w:rFonts w:ascii="Calibri" w:hAnsi="Calibri" w:cs="Calibri"/>
              </w:rPr>
            </w:pPr>
            <w:r>
              <w:rPr>
                <w:rFonts w:ascii="Calibri" w:hAnsi="Calibri" w:cs="Calibri"/>
              </w:rPr>
              <w:t xml:space="preserve">To give your feedback on the draft Strategy, visit the </w:t>
            </w:r>
            <w:hyperlink r:id="rId14" w:history="1">
              <w:r w:rsidRPr="001E489B">
                <w:rPr>
                  <w:rStyle w:val="Hyperlink"/>
                  <w:rFonts w:ascii="Calibri" w:hAnsi="Calibri" w:cs="Calibri"/>
                </w:rPr>
                <w:t>Early Years Strategy page on the DSS Engage website</w:t>
              </w:r>
            </w:hyperlink>
            <w:r>
              <w:rPr>
                <w:rFonts w:ascii="Calibri" w:hAnsi="Calibri" w:cs="Calibri"/>
              </w:rPr>
              <w:t xml:space="preserve"> before 9 February 2024. Please feel free to tell your stakeholder networks about the survey for their opportunity to have their say.</w:t>
            </w:r>
          </w:p>
          <w:p w14:paraId="5BBBF61B" w14:textId="7497D364" w:rsidR="004F0C08" w:rsidRPr="00F9420E" w:rsidRDefault="004F0C08" w:rsidP="004F0C08">
            <w:pPr>
              <w:spacing w:before="180" w:after="360"/>
              <w:ind w:right="180"/>
              <w:rPr>
                <w:rFonts w:ascii="Calibri" w:hAnsi="Calibri" w:cs="Calibri"/>
              </w:rPr>
            </w:pPr>
            <w:r>
              <w:rPr>
                <w:rFonts w:ascii="Calibri" w:hAnsi="Calibri" w:cs="Calibri"/>
              </w:rPr>
              <w:t xml:space="preserve">Further information on the Strategy can be found on the </w:t>
            </w:r>
            <w:hyperlink r:id="rId15" w:history="1">
              <w:r w:rsidRPr="001E489B">
                <w:rPr>
                  <w:rStyle w:val="Hyperlink"/>
                  <w:rFonts w:ascii="Calibri" w:hAnsi="Calibri" w:cs="Calibri"/>
                </w:rPr>
                <w:t>DSS website</w:t>
              </w:r>
            </w:hyperlink>
            <w:r>
              <w:rPr>
                <w:rFonts w:ascii="Calibri" w:hAnsi="Calibri" w:cs="Calibri"/>
              </w:rPr>
              <w:t>.</w:t>
            </w:r>
          </w:p>
        </w:tc>
      </w:tr>
      <w:tr w:rsidR="004F0C08" w:rsidRPr="00CE5585" w14:paraId="0873E02A" w14:textId="77777777" w:rsidTr="004F0C08">
        <w:trPr>
          <w:cantSplit/>
          <w:trHeight w:val="567"/>
          <w:tblHeader/>
        </w:trPr>
        <w:tc>
          <w:tcPr>
            <w:tcW w:w="2109" w:type="dxa"/>
            <w:tcBorders>
              <w:top w:val="dashed" w:sz="4" w:space="0" w:color="005A70"/>
              <w:left w:val="dashed" w:sz="4" w:space="0" w:color="005A70"/>
              <w:bottom w:val="dashed" w:sz="4" w:space="0" w:color="005B70"/>
            </w:tcBorders>
          </w:tcPr>
          <w:p w14:paraId="4C54BCAF" w14:textId="1D3C4CB0" w:rsidR="004F0C08" w:rsidRPr="00F9420E" w:rsidRDefault="004F0C08" w:rsidP="004F0C08">
            <w:pPr>
              <w:spacing w:before="360"/>
              <w:jc w:val="center"/>
            </w:pPr>
            <w:r w:rsidRPr="00F9420E">
              <w:rPr>
                <w:noProof/>
              </w:rPr>
              <w:lastRenderedPageBreak/>
              <w:drawing>
                <wp:inline distT="0" distB="0" distL="0" distR="0" wp14:anchorId="2D56C91D" wp14:editId="756E3AD1">
                  <wp:extent cx="720000" cy="720000"/>
                  <wp:effectExtent l="0" t="0" r="4445" b="4445"/>
                  <wp:docPr id="3" name="Picture 3" title="deco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20000" cy="720000"/>
                          </a:xfrm>
                          <a:prstGeom prst="rect">
                            <a:avLst/>
                          </a:prstGeom>
                        </pic:spPr>
                      </pic:pic>
                    </a:graphicData>
                  </a:graphic>
                </wp:inline>
              </w:drawing>
            </w:r>
          </w:p>
        </w:tc>
        <w:tc>
          <w:tcPr>
            <w:tcW w:w="8239" w:type="dxa"/>
            <w:tcBorders>
              <w:top w:val="dashed" w:sz="4" w:space="0" w:color="005A70"/>
              <w:bottom w:val="dashed" w:sz="4" w:space="0" w:color="005B70"/>
              <w:right w:val="dashed" w:sz="4" w:space="0" w:color="005A70"/>
            </w:tcBorders>
            <w:vAlign w:val="center"/>
          </w:tcPr>
          <w:p w14:paraId="20D3699A" w14:textId="77777777" w:rsidR="004F0C08" w:rsidRDefault="004F0C08" w:rsidP="004F0C08">
            <w:pPr>
              <w:pStyle w:val="Heading1"/>
            </w:pPr>
            <w:bookmarkStart w:id="3" w:name="_Call_for_evaluation"/>
            <w:bookmarkEnd w:id="3"/>
            <w:r>
              <w:t xml:space="preserve">Call </w:t>
            </w:r>
            <w:r w:rsidRPr="004F0C08">
              <w:t>for</w:t>
            </w:r>
            <w:r>
              <w:t xml:space="preserve"> evaluation reports on DSS-funded children and parenting programs</w:t>
            </w:r>
          </w:p>
          <w:p w14:paraId="6986EE38" w14:textId="77777777" w:rsidR="004F0C08" w:rsidRDefault="004F0C08" w:rsidP="004F0C08">
            <w:pPr>
              <w:spacing w:before="180"/>
              <w:ind w:right="180"/>
              <w:rPr>
                <w:rFonts w:ascii="Calibri" w:hAnsi="Calibri" w:cs="Calibri"/>
              </w:rPr>
            </w:pPr>
            <w:r>
              <w:rPr>
                <w:rFonts w:ascii="Calibri" w:hAnsi="Calibri" w:cs="Calibri"/>
              </w:rPr>
              <w:t>Please email us any completed evaluations you have commissioned or undertaken from 2018 and onwards, on any of the following programs:</w:t>
            </w:r>
          </w:p>
          <w:p w14:paraId="786DB9CD" w14:textId="77777777" w:rsidR="004F0C08" w:rsidRDefault="004F0C08" w:rsidP="004F0C08">
            <w:pPr>
              <w:pStyle w:val="ListParagraph"/>
              <w:numPr>
                <w:ilvl w:val="0"/>
                <w:numId w:val="15"/>
              </w:numPr>
              <w:spacing w:before="180"/>
              <w:ind w:right="180"/>
              <w:rPr>
                <w:rFonts w:ascii="Calibri" w:hAnsi="Calibri" w:cs="Calibri"/>
              </w:rPr>
            </w:pPr>
            <w:r>
              <w:rPr>
                <w:rFonts w:ascii="Calibri" w:hAnsi="Calibri" w:cs="Calibri"/>
              </w:rPr>
              <w:t>Children and Parenting Support</w:t>
            </w:r>
          </w:p>
          <w:p w14:paraId="247DD70C" w14:textId="77777777" w:rsidR="004F0C08" w:rsidRDefault="004F0C08" w:rsidP="004F0C08">
            <w:pPr>
              <w:pStyle w:val="ListParagraph"/>
              <w:numPr>
                <w:ilvl w:val="0"/>
                <w:numId w:val="15"/>
              </w:numPr>
              <w:spacing w:before="180"/>
              <w:ind w:right="180"/>
              <w:rPr>
                <w:rFonts w:ascii="Calibri" w:hAnsi="Calibri" w:cs="Calibri"/>
              </w:rPr>
            </w:pPr>
            <w:r>
              <w:rPr>
                <w:rFonts w:ascii="Calibri" w:hAnsi="Calibri" w:cs="Calibri"/>
              </w:rPr>
              <w:t>Communities for Children Facilitating Partner</w:t>
            </w:r>
          </w:p>
          <w:p w14:paraId="0AAFBEA8" w14:textId="77777777" w:rsidR="004F0C08" w:rsidRDefault="004F0C08" w:rsidP="004F0C08">
            <w:pPr>
              <w:pStyle w:val="ListParagraph"/>
              <w:numPr>
                <w:ilvl w:val="0"/>
                <w:numId w:val="15"/>
              </w:numPr>
              <w:spacing w:before="180"/>
              <w:ind w:right="180"/>
              <w:rPr>
                <w:rFonts w:ascii="Calibri" w:hAnsi="Calibri" w:cs="Calibri"/>
              </w:rPr>
            </w:pPr>
            <w:r>
              <w:rPr>
                <w:rFonts w:ascii="Calibri" w:hAnsi="Calibri" w:cs="Calibri"/>
              </w:rPr>
              <w:t>Family Mental Health Support Services.</w:t>
            </w:r>
          </w:p>
          <w:p w14:paraId="06C86C27" w14:textId="77777777" w:rsidR="00B70AF3" w:rsidRDefault="004F0C08" w:rsidP="00B70AF3">
            <w:pPr>
              <w:spacing w:before="180"/>
              <w:ind w:right="180"/>
              <w:rPr>
                <w:rFonts w:ascii="Calibri" w:hAnsi="Calibri" w:cs="Calibri"/>
              </w:rPr>
            </w:pPr>
            <w:r>
              <w:rPr>
                <w:rFonts w:ascii="Calibri" w:hAnsi="Calibri" w:cs="Calibri"/>
              </w:rPr>
              <w:t xml:space="preserve">If you have any evaluation reports </w:t>
            </w:r>
            <w:r w:rsidR="00B70AF3">
              <w:rPr>
                <w:rFonts w:ascii="Calibri" w:hAnsi="Calibri" w:cs="Calibri"/>
              </w:rPr>
              <w:t xml:space="preserve">you would like </w:t>
            </w:r>
            <w:r>
              <w:rPr>
                <w:rFonts w:ascii="Calibri" w:hAnsi="Calibri" w:cs="Calibri"/>
              </w:rPr>
              <w:t xml:space="preserve">to share, please send them through </w:t>
            </w:r>
            <w:r w:rsidR="00B70AF3">
              <w:rPr>
                <w:rFonts w:ascii="Calibri" w:hAnsi="Calibri" w:cs="Calibri"/>
              </w:rPr>
              <w:t xml:space="preserve">by </w:t>
            </w:r>
            <w:r w:rsidR="00B70AF3" w:rsidRPr="00B70AF3">
              <w:rPr>
                <w:rFonts w:ascii="Calibri" w:hAnsi="Calibri" w:cs="Calibri"/>
                <w:b/>
              </w:rPr>
              <w:t>27 February</w:t>
            </w:r>
            <w:r w:rsidR="00B70AF3">
              <w:rPr>
                <w:rFonts w:ascii="Calibri" w:hAnsi="Calibri" w:cs="Calibri"/>
              </w:rPr>
              <w:t xml:space="preserve"> </w:t>
            </w:r>
            <w:r>
              <w:rPr>
                <w:rFonts w:ascii="Calibri" w:hAnsi="Calibri" w:cs="Calibri"/>
              </w:rPr>
              <w:t xml:space="preserve">to </w:t>
            </w:r>
            <w:hyperlink r:id="rId17" w:history="1">
              <w:r w:rsidRPr="00007BB4">
                <w:rPr>
                  <w:rStyle w:val="Hyperlink"/>
                  <w:rFonts w:ascii="Calibri" w:hAnsi="Calibri" w:cs="Calibri"/>
                </w:rPr>
                <w:t>families@dss.gov.au</w:t>
              </w:r>
            </w:hyperlink>
            <w:r>
              <w:rPr>
                <w:rFonts w:ascii="Calibri" w:hAnsi="Calibri" w:cs="Calibri"/>
              </w:rPr>
              <w:t xml:space="preserve">. </w:t>
            </w:r>
          </w:p>
          <w:p w14:paraId="69D76CC0" w14:textId="5D41C2C1" w:rsidR="004F0C08" w:rsidRDefault="00B70AF3" w:rsidP="00B70AF3">
            <w:pPr>
              <w:spacing w:before="180"/>
              <w:ind w:right="180"/>
            </w:pPr>
            <w:r>
              <w:rPr>
                <w:rFonts w:ascii="Calibri" w:hAnsi="Calibri" w:cs="Calibri"/>
              </w:rPr>
              <w:t>These insights from evaluations will help us to learn more about the valuable services you deliver and what works for families and children.</w:t>
            </w:r>
          </w:p>
        </w:tc>
      </w:tr>
      <w:tr w:rsidR="00F9420E" w:rsidRPr="00CE5585" w14:paraId="305BD748" w14:textId="77777777" w:rsidTr="004F0C08">
        <w:trPr>
          <w:cantSplit/>
          <w:trHeight w:val="567"/>
          <w:tblHeader/>
        </w:trPr>
        <w:tc>
          <w:tcPr>
            <w:tcW w:w="2109" w:type="dxa"/>
            <w:tcBorders>
              <w:top w:val="dashed" w:sz="4" w:space="0" w:color="005B70"/>
              <w:left w:val="nil"/>
              <w:bottom w:val="nil"/>
            </w:tcBorders>
          </w:tcPr>
          <w:p w14:paraId="62E133C4" w14:textId="77777777" w:rsidR="00F9420E" w:rsidRPr="004F3781" w:rsidRDefault="00F9420E" w:rsidP="009750D0"/>
        </w:tc>
        <w:tc>
          <w:tcPr>
            <w:tcW w:w="8239" w:type="dxa"/>
            <w:tcBorders>
              <w:top w:val="dashed" w:sz="4" w:space="0" w:color="005B70"/>
              <w:bottom w:val="nil"/>
              <w:right w:val="nil"/>
            </w:tcBorders>
            <w:vAlign w:val="center"/>
          </w:tcPr>
          <w:p w14:paraId="748BC044" w14:textId="77777777" w:rsidR="00F9420E" w:rsidRPr="004F3781" w:rsidRDefault="00F9420E" w:rsidP="009750D0"/>
        </w:tc>
      </w:tr>
      <w:tr w:rsidR="004F3781" w:rsidRPr="00CE5585" w14:paraId="6FA6FF37" w14:textId="77777777" w:rsidTr="001E489B">
        <w:trPr>
          <w:cantSplit/>
          <w:trHeight w:val="1247"/>
          <w:tblHeader/>
        </w:trPr>
        <w:tc>
          <w:tcPr>
            <w:tcW w:w="2109" w:type="dxa"/>
            <w:tcBorders>
              <w:top w:val="dashed" w:sz="4" w:space="0" w:color="005B70"/>
              <w:left w:val="dashed" w:sz="4" w:space="0" w:color="005B70"/>
              <w:bottom w:val="dashed" w:sz="4" w:space="0" w:color="005B70"/>
            </w:tcBorders>
          </w:tcPr>
          <w:p w14:paraId="59763228" w14:textId="77777777" w:rsidR="004F3781" w:rsidRPr="00CE5585" w:rsidRDefault="001A6A20" w:rsidP="001A6A20">
            <w:pPr>
              <w:spacing w:before="360" w:after="0"/>
              <w:jc w:val="center"/>
              <w:rPr>
                <w:noProof/>
              </w:rPr>
            </w:pPr>
            <w:r w:rsidRPr="001A6A20">
              <w:rPr>
                <w:noProof/>
              </w:rPr>
              <w:drawing>
                <wp:inline distT="0" distB="0" distL="0" distR="0" wp14:anchorId="5456FBE4" wp14:editId="280A3B76">
                  <wp:extent cx="720000" cy="720000"/>
                  <wp:effectExtent l="0" t="0" r="4445" b="4445"/>
                  <wp:docPr id="11" name="Picture 11" title="deco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720000" cy="720000"/>
                          </a:xfrm>
                          <a:prstGeom prst="rect">
                            <a:avLst/>
                          </a:prstGeom>
                        </pic:spPr>
                      </pic:pic>
                    </a:graphicData>
                  </a:graphic>
                </wp:inline>
              </w:drawing>
            </w:r>
          </w:p>
        </w:tc>
        <w:tc>
          <w:tcPr>
            <w:tcW w:w="8239" w:type="dxa"/>
            <w:tcBorders>
              <w:top w:val="dashed" w:sz="4" w:space="0" w:color="005B70"/>
              <w:bottom w:val="dashed" w:sz="4" w:space="0" w:color="005B70"/>
              <w:right w:val="dashed" w:sz="4" w:space="0" w:color="005B70"/>
            </w:tcBorders>
            <w:vAlign w:val="center"/>
          </w:tcPr>
          <w:p w14:paraId="266F109C" w14:textId="77777777" w:rsidR="004F3781" w:rsidRDefault="004F3781" w:rsidP="00567F06">
            <w:pPr>
              <w:pStyle w:val="Heading1"/>
            </w:pPr>
            <w:bookmarkStart w:id="4" w:name="_Resources_and_webinars"/>
            <w:bookmarkEnd w:id="4"/>
            <w:r>
              <w:t>Resources and webinars</w:t>
            </w:r>
          </w:p>
          <w:p w14:paraId="0DDCEF9D" w14:textId="77777777" w:rsidR="004F3781" w:rsidRDefault="004F3781" w:rsidP="004F3781">
            <w:pPr>
              <w:spacing w:before="180"/>
              <w:ind w:left="34"/>
              <w:rPr>
                <w:rFonts w:ascii="Calibri" w:hAnsi="Calibri" w:cs="Calibri"/>
              </w:rPr>
            </w:pPr>
            <w:r w:rsidRPr="00A166A0">
              <w:rPr>
                <w:rFonts w:ascii="Calibri" w:hAnsi="Calibri" w:cs="Calibri"/>
              </w:rPr>
              <w:t xml:space="preserve">The </w:t>
            </w:r>
            <w:hyperlink r:id="rId19" w:history="1">
              <w:r w:rsidRPr="003B1896">
                <w:rPr>
                  <w:rStyle w:val="Hyperlink"/>
                  <w:rFonts w:ascii="Calibri" w:hAnsi="Calibri" w:cs="Calibri"/>
                </w:rPr>
                <w:t>Child Family Community Australia Information Exchange</w:t>
              </w:r>
            </w:hyperlink>
            <w:r w:rsidRPr="00A166A0">
              <w:rPr>
                <w:rFonts w:ascii="Calibri" w:hAnsi="Calibri" w:cs="Calibri"/>
              </w:rPr>
              <w:t xml:space="preserve"> (CFCA) </w:t>
            </w:r>
            <w:r>
              <w:rPr>
                <w:rFonts w:ascii="Calibri" w:hAnsi="Calibri" w:cs="Calibri"/>
              </w:rPr>
              <w:t>from AIFS publishes a range of resources</w:t>
            </w:r>
            <w:r w:rsidRPr="00A166A0">
              <w:rPr>
                <w:rFonts w:ascii="Calibri" w:hAnsi="Calibri" w:cs="Calibri"/>
              </w:rPr>
              <w:t xml:space="preserve"> on their </w:t>
            </w:r>
            <w:r>
              <w:rPr>
                <w:rFonts w:ascii="Calibri" w:hAnsi="Calibri" w:cs="Calibri"/>
              </w:rPr>
              <w:t>website.</w:t>
            </w:r>
          </w:p>
          <w:p w14:paraId="6FE123B0" w14:textId="77777777" w:rsidR="004F3781" w:rsidRDefault="004F3781" w:rsidP="004F3781">
            <w:pPr>
              <w:spacing w:before="180"/>
              <w:ind w:left="34"/>
              <w:rPr>
                <w:rFonts w:ascii="Calibri" w:hAnsi="Calibri" w:cs="Calibri"/>
              </w:rPr>
            </w:pPr>
            <w:r>
              <w:rPr>
                <w:rFonts w:ascii="Calibri" w:hAnsi="Calibri" w:cs="Calibri"/>
              </w:rPr>
              <w:t xml:space="preserve">Recent CFCA </w:t>
            </w:r>
            <w:r w:rsidR="00F27812">
              <w:rPr>
                <w:rFonts w:ascii="Calibri" w:hAnsi="Calibri" w:cs="Calibri"/>
              </w:rPr>
              <w:t>resources</w:t>
            </w:r>
            <w:r>
              <w:rPr>
                <w:rFonts w:ascii="Calibri" w:hAnsi="Calibri" w:cs="Calibri"/>
              </w:rPr>
              <w:t xml:space="preserve"> you may want to check out:</w:t>
            </w:r>
          </w:p>
          <w:p w14:paraId="2B2305FC" w14:textId="77777777" w:rsidR="00F27812" w:rsidRPr="00F27812" w:rsidRDefault="000A1586" w:rsidP="004F3781">
            <w:pPr>
              <w:pStyle w:val="ListParagraph"/>
              <w:numPr>
                <w:ilvl w:val="0"/>
                <w:numId w:val="3"/>
              </w:numPr>
              <w:ind w:left="743" w:right="181" w:hanging="357"/>
              <w:contextualSpacing w:val="0"/>
              <w:rPr>
                <w:rFonts w:ascii="Calibri" w:hAnsi="Calibri" w:cs="Calibri"/>
              </w:rPr>
            </w:pPr>
            <w:hyperlink r:id="rId20" w:history="1">
              <w:r w:rsidR="00F27812" w:rsidRPr="00F27812">
                <w:rPr>
                  <w:rStyle w:val="Hyperlink"/>
                  <w:rFonts w:ascii="Calibri" w:hAnsi="Calibri" w:cs="Calibri"/>
                </w:rPr>
                <w:t>How to recognise complex trauma in infants and children and promote wellbeing</w:t>
              </w:r>
            </w:hyperlink>
            <w:r w:rsidR="00F27812">
              <w:rPr>
                <w:rFonts w:ascii="Calibri" w:hAnsi="Calibri" w:cs="Calibri"/>
              </w:rPr>
              <w:br/>
              <w:t xml:space="preserve">Webinar, Dec 2023 </w:t>
            </w:r>
          </w:p>
          <w:p w14:paraId="79A94F83" w14:textId="77777777" w:rsidR="004F3781" w:rsidRPr="004C73A2" w:rsidRDefault="000A1586" w:rsidP="004F3781">
            <w:pPr>
              <w:pStyle w:val="ListParagraph"/>
              <w:numPr>
                <w:ilvl w:val="0"/>
                <w:numId w:val="3"/>
              </w:numPr>
              <w:ind w:left="743" w:right="181" w:hanging="357"/>
              <w:contextualSpacing w:val="0"/>
              <w:rPr>
                <w:rFonts w:ascii="Calibri" w:hAnsi="Calibri" w:cs="Calibri"/>
              </w:rPr>
            </w:pPr>
            <w:hyperlink r:id="rId21" w:history="1">
              <w:r w:rsidR="004F3781" w:rsidRPr="003B1896">
                <w:rPr>
                  <w:rStyle w:val="Hyperlink"/>
                  <w:rFonts w:ascii="Calibri" w:hAnsi="Calibri" w:cs="Calibri"/>
                </w:rPr>
                <w:t>Engaging young children (0-5 years) in nature play</w:t>
              </w:r>
            </w:hyperlink>
            <w:r w:rsidR="004F3781" w:rsidRPr="004C73A2">
              <w:rPr>
                <w:rFonts w:ascii="Calibri" w:hAnsi="Calibri" w:cs="Calibri"/>
              </w:rPr>
              <w:br/>
            </w:r>
            <w:r w:rsidR="004F3781">
              <w:rPr>
                <w:rFonts w:ascii="Calibri" w:hAnsi="Calibri" w:cs="Calibri"/>
              </w:rPr>
              <w:t>Practice guide, Nov 2023</w:t>
            </w:r>
          </w:p>
          <w:p w14:paraId="6F5C52EB" w14:textId="77777777" w:rsidR="004F3781" w:rsidRPr="004C73A2" w:rsidRDefault="000A1586" w:rsidP="004F3781">
            <w:pPr>
              <w:pStyle w:val="ListParagraph"/>
              <w:numPr>
                <w:ilvl w:val="0"/>
                <w:numId w:val="3"/>
              </w:numPr>
              <w:ind w:left="743" w:right="181" w:hanging="357"/>
              <w:contextualSpacing w:val="0"/>
              <w:rPr>
                <w:rFonts w:ascii="Calibri" w:hAnsi="Calibri" w:cs="Calibri"/>
              </w:rPr>
            </w:pPr>
            <w:hyperlink r:id="rId22" w:history="1">
              <w:r w:rsidR="004F3781" w:rsidRPr="003B1896">
                <w:rPr>
                  <w:rStyle w:val="Hyperlink"/>
                  <w:rFonts w:ascii="Calibri" w:hAnsi="Calibri" w:cs="Calibri"/>
                </w:rPr>
                <w:t>The impact of vaping on adolescent mental health</w:t>
              </w:r>
            </w:hyperlink>
            <w:r w:rsidR="004F3781" w:rsidRPr="004C73A2">
              <w:rPr>
                <w:rFonts w:ascii="Calibri" w:hAnsi="Calibri" w:cs="Calibri"/>
              </w:rPr>
              <w:br/>
            </w:r>
            <w:r w:rsidR="004F3781">
              <w:rPr>
                <w:rFonts w:ascii="Calibri" w:hAnsi="Calibri" w:cs="Calibri"/>
              </w:rPr>
              <w:t>Policy and practice paper, Oct 2023</w:t>
            </w:r>
          </w:p>
          <w:p w14:paraId="43E5E4CD" w14:textId="77777777" w:rsidR="004F3781" w:rsidRDefault="000A1586" w:rsidP="004F3781">
            <w:pPr>
              <w:pStyle w:val="ListParagraph"/>
              <w:numPr>
                <w:ilvl w:val="0"/>
                <w:numId w:val="3"/>
              </w:numPr>
              <w:ind w:left="743" w:right="181" w:hanging="357"/>
              <w:contextualSpacing w:val="0"/>
              <w:rPr>
                <w:rFonts w:ascii="Calibri" w:hAnsi="Calibri" w:cs="Calibri"/>
              </w:rPr>
            </w:pPr>
            <w:hyperlink r:id="rId23" w:history="1">
              <w:r w:rsidR="004F3781" w:rsidRPr="003B1896">
                <w:rPr>
                  <w:rStyle w:val="Hyperlink"/>
                  <w:rFonts w:ascii="Calibri" w:hAnsi="Calibri" w:cs="Calibri"/>
                </w:rPr>
                <w:t>What influences supportive peer relationships in the middle years?</w:t>
              </w:r>
            </w:hyperlink>
            <w:r w:rsidR="004F3781" w:rsidRPr="004C73A2">
              <w:rPr>
                <w:rFonts w:ascii="Calibri" w:hAnsi="Calibri" w:cs="Calibri"/>
              </w:rPr>
              <w:br/>
            </w:r>
            <w:r w:rsidR="004F3781">
              <w:rPr>
                <w:rFonts w:ascii="Calibri" w:hAnsi="Calibri" w:cs="Calibri"/>
              </w:rPr>
              <w:t>Short article, Sept 2023</w:t>
            </w:r>
          </w:p>
          <w:p w14:paraId="658767CF" w14:textId="77777777" w:rsidR="004F3781" w:rsidRDefault="004F3781" w:rsidP="004F3781">
            <w:pPr>
              <w:spacing w:before="180"/>
              <w:ind w:left="56" w:right="180"/>
              <w:rPr>
                <w:rFonts w:ascii="Calibri" w:hAnsi="Calibri" w:cs="Calibri"/>
              </w:rPr>
            </w:pPr>
            <w:r>
              <w:rPr>
                <w:rFonts w:ascii="Calibri" w:hAnsi="Calibri" w:cs="Calibri"/>
              </w:rPr>
              <w:t xml:space="preserve">The AIFS </w:t>
            </w:r>
            <w:hyperlink r:id="rId24" w:history="1">
              <w:r w:rsidRPr="00E740E9">
                <w:rPr>
                  <w:rStyle w:val="Hyperlink"/>
                  <w:rFonts w:ascii="Calibri" w:hAnsi="Calibri" w:cs="Calibri"/>
                </w:rPr>
                <w:t>Evidence and Evaluation Support</w:t>
              </w:r>
            </w:hyperlink>
            <w:r>
              <w:rPr>
                <w:rFonts w:ascii="Calibri" w:hAnsi="Calibri" w:cs="Calibri"/>
              </w:rPr>
              <w:t xml:space="preserve"> team held a webinar </w:t>
            </w:r>
            <w:r w:rsidR="00F27812">
              <w:rPr>
                <w:rFonts w:ascii="Calibri" w:hAnsi="Calibri" w:cs="Calibri"/>
              </w:rPr>
              <w:t xml:space="preserve">in November </w:t>
            </w:r>
            <w:r>
              <w:rPr>
                <w:rFonts w:ascii="Calibri" w:hAnsi="Calibri" w:cs="Calibri"/>
              </w:rPr>
              <w:t xml:space="preserve">on </w:t>
            </w:r>
            <w:hyperlink r:id="rId25" w:history="1">
              <w:r w:rsidR="008D0197">
                <w:rPr>
                  <w:rStyle w:val="Hyperlink"/>
                  <w:rFonts w:ascii="Calibri" w:hAnsi="Calibri" w:cs="Calibri"/>
                </w:rPr>
                <w:t>Using </w:t>
              </w:r>
              <w:r w:rsidRPr="003B1896">
                <w:rPr>
                  <w:rStyle w:val="Hyperlink"/>
                  <w:rFonts w:ascii="Calibri" w:hAnsi="Calibri" w:cs="Calibri"/>
                </w:rPr>
                <w:t>surveys to understand your service: Research and practice perspectives</w:t>
              </w:r>
            </w:hyperlink>
            <w:r>
              <w:rPr>
                <w:rFonts w:ascii="Calibri" w:hAnsi="Calibri" w:cs="Calibri"/>
              </w:rPr>
              <w:t xml:space="preserve">. This webinar provided valuable insights into how service providers can use surveys to better understand </w:t>
            </w:r>
            <w:r w:rsidR="00C611F8">
              <w:rPr>
                <w:rFonts w:ascii="Calibri" w:hAnsi="Calibri" w:cs="Calibri"/>
              </w:rPr>
              <w:t xml:space="preserve">their </w:t>
            </w:r>
            <w:r>
              <w:rPr>
                <w:rFonts w:ascii="Calibri" w:hAnsi="Calibri" w:cs="Calibri"/>
              </w:rPr>
              <w:t xml:space="preserve">clients’ needs and whether </w:t>
            </w:r>
            <w:r w:rsidR="00126BA3">
              <w:rPr>
                <w:rFonts w:ascii="Calibri" w:hAnsi="Calibri" w:cs="Calibri"/>
              </w:rPr>
              <w:t xml:space="preserve">they </w:t>
            </w:r>
            <w:r>
              <w:rPr>
                <w:rFonts w:ascii="Calibri" w:hAnsi="Calibri" w:cs="Calibri"/>
              </w:rPr>
              <w:t>are being met.</w:t>
            </w:r>
            <w:r w:rsidR="00874F96">
              <w:rPr>
                <w:rFonts w:ascii="Calibri" w:hAnsi="Calibri" w:cs="Calibri"/>
              </w:rPr>
              <w:t xml:space="preserve"> A video and transcript of the webinar are available on the </w:t>
            </w:r>
            <w:hyperlink r:id="rId26" w:history="1">
              <w:r w:rsidR="00874F96" w:rsidRPr="00874F96">
                <w:rPr>
                  <w:rStyle w:val="Hyperlink"/>
                  <w:rFonts w:ascii="Calibri" w:hAnsi="Calibri" w:cs="Calibri"/>
                </w:rPr>
                <w:t>AIFS website</w:t>
              </w:r>
            </w:hyperlink>
            <w:r w:rsidR="00874F96">
              <w:rPr>
                <w:rFonts w:ascii="Calibri" w:hAnsi="Calibri" w:cs="Calibri"/>
              </w:rPr>
              <w:t>.</w:t>
            </w:r>
          </w:p>
          <w:p w14:paraId="16A65A27" w14:textId="77777777" w:rsidR="004F3781" w:rsidRDefault="004F3781" w:rsidP="004F3781">
            <w:pPr>
              <w:spacing w:before="180"/>
              <w:ind w:left="56" w:right="180"/>
              <w:rPr>
                <w:rFonts w:ascii="Calibri" w:hAnsi="Calibri" w:cs="Calibri"/>
              </w:rPr>
            </w:pPr>
            <w:r>
              <w:rPr>
                <w:rFonts w:ascii="Calibri" w:hAnsi="Calibri" w:cs="Calibri"/>
              </w:rPr>
              <w:t xml:space="preserve">You can watch other past and upcoming </w:t>
            </w:r>
            <w:hyperlink r:id="rId27" w:history="1">
              <w:r w:rsidRPr="003B1896">
                <w:rPr>
                  <w:rStyle w:val="Hyperlink"/>
                  <w:rFonts w:ascii="Calibri" w:hAnsi="Calibri" w:cs="Calibri"/>
                </w:rPr>
                <w:t>webinars</w:t>
              </w:r>
            </w:hyperlink>
            <w:r>
              <w:rPr>
                <w:rFonts w:ascii="Calibri" w:hAnsi="Calibri" w:cs="Calibri"/>
              </w:rPr>
              <w:t xml:space="preserve"> on the AIFS website.</w:t>
            </w:r>
          </w:p>
          <w:p w14:paraId="06DD3781" w14:textId="77777777" w:rsidR="004F3781" w:rsidRPr="004F3781" w:rsidRDefault="004F3781" w:rsidP="004F3781">
            <w:pPr>
              <w:spacing w:before="180" w:after="360"/>
              <w:ind w:left="56" w:right="180"/>
              <w:rPr>
                <w:rFonts w:ascii="Calibri" w:hAnsi="Calibri" w:cs="Calibri"/>
              </w:rPr>
            </w:pPr>
            <w:r w:rsidRPr="004C73A2">
              <w:rPr>
                <w:rFonts w:ascii="Calibri" w:hAnsi="Calibri" w:cs="Calibri"/>
              </w:rPr>
              <w:t>You can</w:t>
            </w:r>
            <w:r>
              <w:rPr>
                <w:rFonts w:ascii="Calibri" w:hAnsi="Calibri" w:cs="Calibri"/>
              </w:rPr>
              <w:t xml:space="preserve"> also</w:t>
            </w:r>
            <w:r w:rsidRPr="004C73A2">
              <w:rPr>
                <w:rFonts w:ascii="Calibri" w:hAnsi="Calibri" w:cs="Calibri"/>
              </w:rPr>
              <w:t xml:space="preserve"> </w:t>
            </w:r>
            <w:hyperlink r:id="rId28" w:history="1">
              <w:r w:rsidRPr="00911B42">
                <w:rPr>
                  <w:rStyle w:val="Hyperlink"/>
                  <w:rFonts w:ascii="Calibri" w:hAnsi="Calibri" w:cs="Calibri"/>
                </w:rPr>
                <w:t>subscribe to the AIFS newsletter</w:t>
              </w:r>
            </w:hyperlink>
            <w:r w:rsidRPr="004C73A2">
              <w:rPr>
                <w:rFonts w:ascii="Calibri" w:hAnsi="Calibri" w:cs="Calibri"/>
              </w:rPr>
              <w:t xml:space="preserve"> to keep up to date with resources available from AIFS.</w:t>
            </w:r>
          </w:p>
        </w:tc>
      </w:tr>
      <w:tr w:rsidR="00345D03" w:rsidRPr="00CE5585" w14:paraId="2A9B9BA2" w14:textId="77777777" w:rsidTr="001E489B">
        <w:trPr>
          <w:cantSplit/>
          <w:trHeight w:val="567"/>
          <w:tblHeader/>
        </w:trPr>
        <w:tc>
          <w:tcPr>
            <w:tcW w:w="2109" w:type="dxa"/>
            <w:tcBorders>
              <w:top w:val="dashed" w:sz="4" w:space="0" w:color="005B70"/>
              <w:left w:val="dashed" w:sz="4" w:space="0" w:color="005B70"/>
              <w:bottom w:val="dashed" w:sz="4" w:space="0" w:color="005B70"/>
            </w:tcBorders>
          </w:tcPr>
          <w:p w14:paraId="7499D963" w14:textId="77777777" w:rsidR="00345D03" w:rsidRPr="00345D03" w:rsidRDefault="001A6A20" w:rsidP="00406DF0">
            <w:pPr>
              <w:spacing w:before="360" w:after="0"/>
              <w:jc w:val="center"/>
              <w:rPr>
                <w:noProof/>
                <w:sz w:val="20"/>
              </w:rPr>
            </w:pPr>
            <w:r w:rsidRPr="005C1DF4">
              <w:rPr>
                <w:noProof/>
              </w:rPr>
              <w:lastRenderedPageBreak/>
              <w:drawing>
                <wp:inline distT="0" distB="0" distL="0" distR="0" wp14:anchorId="2B97EB58" wp14:editId="7E2C61C3">
                  <wp:extent cx="719455" cy="719455"/>
                  <wp:effectExtent l="0" t="0" r="4445" b="4445"/>
                  <wp:docPr id="28" name="Picture 28" title="deco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inline>
              </w:drawing>
            </w:r>
          </w:p>
        </w:tc>
        <w:tc>
          <w:tcPr>
            <w:tcW w:w="8239" w:type="dxa"/>
            <w:tcBorders>
              <w:top w:val="dashed" w:sz="4" w:space="0" w:color="005B70"/>
              <w:bottom w:val="dashed" w:sz="4" w:space="0" w:color="005B70"/>
              <w:right w:val="dashed" w:sz="4" w:space="0" w:color="005B70"/>
            </w:tcBorders>
            <w:vAlign w:val="center"/>
          </w:tcPr>
          <w:p w14:paraId="4D35A745" w14:textId="77777777" w:rsidR="00345D03" w:rsidRDefault="000C7492" w:rsidP="00567F06">
            <w:pPr>
              <w:pStyle w:val="Heading1"/>
            </w:pPr>
            <w:bookmarkStart w:id="5" w:name="_Stronger_ACCOs,_Stronger"/>
            <w:bookmarkEnd w:id="5"/>
            <w:r w:rsidRPr="00567F06">
              <w:t>Stronger</w:t>
            </w:r>
            <w:r>
              <w:t xml:space="preserve"> ACCOs, Stronger Families</w:t>
            </w:r>
            <w:r w:rsidR="00FB5BC9">
              <w:t xml:space="preserve"> update</w:t>
            </w:r>
          </w:p>
          <w:p w14:paraId="1E5EE918" w14:textId="77777777" w:rsidR="000C7492" w:rsidRDefault="000C7492" w:rsidP="000C7492">
            <w:pPr>
              <w:spacing w:before="180"/>
              <w:ind w:right="180"/>
              <w:rPr>
                <w:rFonts w:ascii="Calibri" w:hAnsi="Calibri" w:cs="Calibri"/>
              </w:rPr>
            </w:pPr>
            <w:r>
              <w:rPr>
                <w:rFonts w:ascii="Calibri" w:hAnsi="Calibri" w:cs="Calibri"/>
              </w:rPr>
              <w:t>Stronger A</w:t>
            </w:r>
            <w:r w:rsidR="00EB178C">
              <w:rPr>
                <w:rFonts w:ascii="Calibri" w:hAnsi="Calibri" w:cs="Calibri"/>
              </w:rPr>
              <w:t xml:space="preserve">boriginal </w:t>
            </w:r>
            <w:r>
              <w:rPr>
                <w:rFonts w:ascii="Calibri" w:hAnsi="Calibri" w:cs="Calibri"/>
              </w:rPr>
              <w:t>C</w:t>
            </w:r>
            <w:r w:rsidR="00EB178C">
              <w:rPr>
                <w:rFonts w:ascii="Calibri" w:hAnsi="Calibri" w:cs="Calibri"/>
              </w:rPr>
              <w:t xml:space="preserve">ommunity </w:t>
            </w:r>
            <w:r>
              <w:rPr>
                <w:rFonts w:ascii="Calibri" w:hAnsi="Calibri" w:cs="Calibri"/>
              </w:rPr>
              <w:t>C</w:t>
            </w:r>
            <w:r w:rsidR="00EB178C">
              <w:rPr>
                <w:rFonts w:ascii="Calibri" w:hAnsi="Calibri" w:cs="Calibri"/>
              </w:rPr>
              <w:t xml:space="preserve">ontrolled </w:t>
            </w:r>
            <w:r>
              <w:rPr>
                <w:rFonts w:ascii="Calibri" w:hAnsi="Calibri" w:cs="Calibri"/>
              </w:rPr>
              <w:t>O</w:t>
            </w:r>
            <w:r w:rsidR="00EB178C">
              <w:rPr>
                <w:rFonts w:ascii="Calibri" w:hAnsi="Calibri" w:cs="Calibri"/>
              </w:rPr>
              <w:t>rganisations (ACCOs)</w:t>
            </w:r>
            <w:r>
              <w:rPr>
                <w:rFonts w:ascii="Calibri" w:hAnsi="Calibri" w:cs="Calibri"/>
              </w:rPr>
              <w:t>, Stronger Families</w:t>
            </w:r>
            <w:r w:rsidR="00C85008">
              <w:rPr>
                <w:rFonts w:ascii="Calibri" w:hAnsi="Calibri" w:cs="Calibri"/>
              </w:rPr>
              <w:t xml:space="preserve"> (SASF)</w:t>
            </w:r>
            <w:r>
              <w:rPr>
                <w:rFonts w:ascii="Calibri" w:hAnsi="Calibri" w:cs="Calibri"/>
              </w:rPr>
              <w:t xml:space="preserve"> Part 2</w:t>
            </w:r>
            <w:r w:rsidR="00486057">
              <w:rPr>
                <w:rFonts w:ascii="Calibri" w:hAnsi="Calibri" w:cs="Calibri"/>
              </w:rPr>
              <w:t xml:space="preserve"> </w:t>
            </w:r>
            <w:r w:rsidR="00751141">
              <w:rPr>
                <w:rFonts w:ascii="Calibri" w:hAnsi="Calibri" w:cs="Calibri"/>
              </w:rPr>
              <w:t>is being delivered</w:t>
            </w:r>
            <w:r w:rsidR="004D602A">
              <w:rPr>
                <w:rFonts w:ascii="Calibri" w:hAnsi="Calibri" w:cs="Calibri"/>
              </w:rPr>
              <w:t xml:space="preserve"> by </w:t>
            </w:r>
            <w:r w:rsidR="00751141">
              <w:rPr>
                <w:rFonts w:ascii="Calibri" w:hAnsi="Calibri" w:cs="Calibri"/>
              </w:rPr>
              <w:t>Wunan Foundation, an</w:t>
            </w:r>
            <w:r w:rsidR="004D602A">
              <w:rPr>
                <w:rFonts w:ascii="Calibri" w:hAnsi="Calibri" w:cs="Calibri"/>
              </w:rPr>
              <w:t xml:space="preserve"> </w:t>
            </w:r>
            <w:r w:rsidR="00751141">
              <w:rPr>
                <w:rFonts w:ascii="Calibri" w:hAnsi="Calibri" w:cs="Calibri"/>
              </w:rPr>
              <w:t>Aboriginal Corporation based in </w:t>
            </w:r>
            <w:r w:rsidR="004D602A">
              <w:rPr>
                <w:rFonts w:ascii="Calibri" w:hAnsi="Calibri" w:cs="Calibri"/>
              </w:rPr>
              <w:t>the East Kimberly</w:t>
            </w:r>
            <w:r>
              <w:rPr>
                <w:rFonts w:ascii="Calibri" w:hAnsi="Calibri" w:cs="Calibri"/>
              </w:rPr>
              <w:t xml:space="preserve">. You can find more information about this project on the </w:t>
            </w:r>
            <w:hyperlink r:id="rId30" w:history="1">
              <w:r w:rsidRPr="00FE3B6C">
                <w:rPr>
                  <w:rStyle w:val="Hyperlink"/>
                  <w:rFonts w:ascii="Calibri" w:hAnsi="Calibri" w:cs="Calibri"/>
                </w:rPr>
                <w:t>DSS website</w:t>
              </w:r>
            </w:hyperlink>
            <w:r>
              <w:rPr>
                <w:rFonts w:ascii="Calibri" w:hAnsi="Calibri" w:cs="Calibri"/>
              </w:rPr>
              <w:t>.</w:t>
            </w:r>
          </w:p>
          <w:p w14:paraId="3A210E31" w14:textId="77777777" w:rsidR="000C7492" w:rsidRPr="001E489B" w:rsidRDefault="00FB5BC9" w:rsidP="00FB5BC9">
            <w:pPr>
              <w:pStyle w:val="Heading3"/>
              <w:ind w:left="0"/>
              <w:rPr>
                <w:sz w:val="24"/>
              </w:rPr>
            </w:pPr>
            <w:r w:rsidRPr="001E489B">
              <w:rPr>
                <w:sz w:val="24"/>
              </w:rPr>
              <w:t>Tranche 2 is beginning</w:t>
            </w:r>
          </w:p>
          <w:p w14:paraId="212A4ACA" w14:textId="77777777" w:rsidR="000C7492" w:rsidRDefault="00324CC0" w:rsidP="000C7492">
            <w:pPr>
              <w:spacing w:before="180"/>
              <w:ind w:right="180"/>
              <w:rPr>
                <w:rFonts w:ascii="Calibri" w:hAnsi="Calibri" w:cs="Calibri"/>
              </w:rPr>
            </w:pPr>
            <w:r>
              <w:rPr>
                <w:rFonts w:ascii="Calibri" w:hAnsi="Calibri" w:cs="Calibri"/>
              </w:rPr>
              <w:t>The first set of 5</w:t>
            </w:r>
            <w:r w:rsidR="000C7492">
              <w:rPr>
                <w:rFonts w:ascii="Calibri" w:hAnsi="Calibri" w:cs="Calibri"/>
              </w:rPr>
              <w:t xml:space="preserve"> sites</w:t>
            </w:r>
            <w:r w:rsidR="004D602A">
              <w:rPr>
                <w:rFonts w:ascii="Calibri" w:hAnsi="Calibri" w:cs="Calibri"/>
              </w:rPr>
              <w:t xml:space="preserve"> (Tranche 1)</w:t>
            </w:r>
            <w:r w:rsidR="000C7492">
              <w:rPr>
                <w:rFonts w:ascii="Calibri" w:hAnsi="Calibri" w:cs="Calibri"/>
              </w:rPr>
              <w:t xml:space="preserve"> are nearing the end of their engagement period</w:t>
            </w:r>
            <w:r w:rsidR="00C611F8">
              <w:rPr>
                <w:rFonts w:ascii="Calibri" w:hAnsi="Calibri" w:cs="Calibri"/>
              </w:rPr>
              <w:t>.</w:t>
            </w:r>
            <w:r w:rsidR="000C7492">
              <w:rPr>
                <w:rFonts w:ascii="Calibri" w:hAnsi="Calibri" w:cs="Calibri"/>
              </w:rPr>
              <w:t xml:space="preserve"> </w:t>
            </w:r>
            <w:r w:rsidR="00C611F8">
              <w:rPr>
                <w:rFonts w:ascii="Calibri" w:hAnsi="Calibri" w:cs="Calibri"/>
              </w:rPr>
              <w:t>T</w:t>
            </w:r>
            <w:r w:rsidR="000C7492">
              <w:rPr>
                <w:rFonts w:ascii="Calibri" w:hAnsi="Calibri" w:cs="Calibri"/>
              </w:rPr>
              <w:t xml:space="preserve">here have been positive developments in all sites towards a closer relationship between </w:t>
            </w:r>
            <w:r w:rsidR="00C85008">
              <w:rPr>
                <w:rFonts w:ascii="Calibri" w:hAnsi="Calibri" w:cs="Calibri"/>
              </w:rPr>
              <w:t>each</w:t>
            </w:r>
            <w:r w:rsidR="000C7492">
              <w:rPr>
                <w:rFonts w:ascii="Calibri" w:hAnsi="Calibri" w:cs="Calibri"/>
              </w:rPr>
              <w:t xml:space="preserve"> funded partner and the respective ACCO.</w:t>
            </w:r>
          </w:p>
          <w:p w14:paraId="6E83EAD1" w14:textId="77777777" w:rsidR="000C7492" w:rsidRDefault="000C7492" w:rsidP="000C7492">
            <w:pPr>
              <w:spacing w:before="180"/>
              <w:ind w:right="180"/>
              <w:rPr>
                <w:rFonts w:ascii="Calibri" w:hAnsi="Calibri" w:cs="Calibri"/>
              </w:rPr>
            </w:pPr>
            <w:r>
              <w:rPr>
                <w:rFonts w:ascii="Calibri" w:hAnsi="Calibri" w:cs="Calibri"/>
              </w:rPr>
              <w:t xml:space="preserve">Following an expression of interest process, 5 CfC FP providers have been </w:t>
            </w:r>
            <w:r w:rsidR="004E3D8B">
              <w:rPr>
                <w:rFonts w:ascii="Calibri" w:hAnsi="Calibri" w:cs="Calibri"/>
              </w:rPr>
              <w:t xml:space="preserve">selected </w:t>
            </w:r>
            <w:r>
              <w:rPr>
                <w:rFonts w:ascii="Calibri" w:hAnsi="Calibri" w:cs="Calibri"/>
              </w:rPr>
              <w:t xml:space="preserve">to be part of </w:t>
            </w:r>
            <w:r w:rsidR="00324CC0">
              <w:rPr>
                <w:rFonts w:ascii="Calibri" w:hAnsi="Calibri" w:cs="Calibri"/>
              </w:rPr>
              <w:t>the second set of sites</w:t>
            </w:r>
            <w:r w:rsidR="004D602A">
              <w:rPr>
                <w:rFonts w:ascii="Calibri" w:hAnsi="Calibri" w:cs="Calibri"/>
              </w:rPr>
              <w:t xml:space="preserve"> (Tranche 2)</w:t>
            </w:r>
            <w:r w:rsidR="004E3D8B">
              <w:rPr>
                <w:rFonts w:ascii="Calibri" w:hAnsi="Calibri" w:cs="Calibri"/>
              </w:rPr>
              <w:t xml:space="preserve">. </w:t>
            </w:r>
            <w:r w:rsidR="00C85008">
              <w:rPr>
                <w:rFonts w:ascii="Calibri" w:hAnsi="Calibri" w:cs="Calibri"/>
              </w:rPr>
              <w:t xml:space="preserve">Tranche 2 </w:t>
            </w:r>
            <w:r>
              <w:rPr>
                <w:rFonts w:ascii="Calibri" w:hAnsi="Calibri" w:cs="Calibri"/>
              </w:rPr>
              <w:t xml:space="preserve">will begin </w:t>
            </w:r>
            <w:r w:rsidR="00751141">
              <w:rPr>
                <w:rFonts w:ascii="Calibri" w:hAnsi="Calibri" w:cs="Calibri"/>
              </w:rPr>
              <w:t>in </w:t>
            </w:r>
            <w:r>
              <w:rPr>
                <w:rFonts w:ascii="Calibri" w:hAnsi="Calibri" w:cs="Calibri"/>
              </w:rPr>
              <w:t>January 2024, and continue until the project ends in June 2024.</w:t>
            </w:r>
            <w:r w:rsidR="00324CC0">
              <w:rPr>
                <w:rFonts w:ascii="Calibri" w:hAnsi="Calibri" w:cs="Calibri"/>
              </w:rPr>
              <w:t xml:space="preserve"> </w:t>
            </w:r>
          </w:p>
          <w:p w14:paraId="55D4400C" w14:textId="77777777" w:rsidR="004D602A" w:rsidRDefault="00486057" w:rsidP="000C7492">
            <w:pPr>
              <w:spacing w:before="180"/>
              <w:ind w:right="180"/>
              <w:rPr>
                <w:rFonts w:ascii="Calibri" w:hAnsi="Calibri" w:cs="Calibri"/>
              </w:rPr>
            </w:pPr>
            <w:r>
              <w:rPr>
                <w:rFonts w:ascii="Calibri" w:hAnsi="Calibri" w:cs="Calibri"/>
              </w:rPr>
              <w:t>The selected</w:t>
            </w:r>
            <w:r w:rsidR="004D602A">
              <w:rPr>
                <w:rFonts w:ascii="Calibri" w:hAnsi="Calibri" w:cs="Calibri"/>
              </w:rPr>
              <w:t xml:space="preserve"> sites and organisations </w:t>
            </w:r>
            <w:r>
              <w:rPr>
                <w:rFonts w:ascii="Calibri" w:hAnsi="Calibri" w:cs="Calibri"/>
              </w:rPr>
              <w:t xml:space="preserve">are listed </w:t>
            </w:r>
            <w:r w:rsidR="004D602A">
              <w:rPr>
                <w:rFonts w:ascii="Calibri" w:hAnsi="Calibri" w:cs="Calibri"/>
              </w:rPr>
              <w:t>below</w:t>
            </w:r>
            <w:r>
              <w:rPr>
                <w:rFonts w:ascii="Calibri" w:hAnsi="Calibri" w:cs="Calibri"/>
              </w:rPr>
              <w:t>. Please note</w:t>
            </w:r>
            <w:r w:rsidR="004D602A">
              <w:rPr>
                <w:rFonts w:ascii="Calibri" w:hAnsi="Calibri" w:cs="Calibri"/>
              </w:rPr>
              <w:t xml:space="preserve"> that Tranche 2 sites are in the early stages of engagement</w:t>
            </w:r>
            <w:r>
              <w:rPr>
                <w:rFonts w:ascii="Calibri" w:hAnsi="Calibri" w:cs="Calibri"/>
              </w:rPr>
              <w:t xml:space="preserve">, and </w:t>
            </w:r>
            <w:r w:rsidR="004D602A">
              <w:rPr>
                <w:rFonts w:ascii="Calibri" w:hAnsi="Calibri" w:cs="Calibri"/>
              </w:rPr>
              <w:t>the exact sites and ACCO</w:t>
            </w:r>
            <w:r>
              <w:rPr>
                <w:rFonts w:ascii="Calibri" w:hAnsi="Calibri" w:cs="Calibri"/>
              </w:rPr>
              <w:t>s are</w:t>
            </w:r>
            <w:r w:rsidR="004D602A">
              <w:rPr>
                <w:rFonts w:ascii="Calibri" w:hAnsi="Calibri" w:cs="Calibri"/>
              </w:rPr>
              <w:t xml:space="preserve"> still being determined.</w:t>
            </w:r>
          </w:p>
          <w:p w14:paraId="4AA9EA65" w14:textId="77777777" w:rsidR="006842A9" w:rsidRDefault="006842A9" w:rsidP="00751141">
            <w:pPr>
              <w:pStyle w:val="ListParagraph"/>
              <w:numPr>
                <w:ilvl w:val="0"/>
                <w:numId w:val="13"/>
              </w:numPr>
              <w:spacing w:before="180"/>
              <w:ind w:left="714" w:right="181" w:hanging="357"/>
              <w:rPr>
                <w:rFonts w:ascii="Calibri" w:hAnsi="Calibri" w:cs="Calibri"/>
              </w:rPr>
            </w:pPr>
            <w:r>
              <w:rPr>
                <w:rFonts w:ascii="Calibri" w:hAnsi="Calibri" w:cs="Calibri"/>
                <w:b/>
              </w:rPr>
              <w:t>L</w:t>
            </w:r>
            <w:r w:rsidR="00C85008">
              <w:rPr>
                <w:rFonts w:ascii="Calibri" w:hAnsi="Calibri" w:cs="Calibri"/>
                <w:b/>
              </w:rPr>
              <w:t xml:space="preserve">ismore, NSW </w:t>
            </w:r>
            <w:r w:rsidR="00C85008" w:rsidRPr="00C85008">
              <w:rPr>
                <w:rFonts w:ascii="Calibri" w:hAnsi="Calibri" w:cs="Calibri"/>
              </w:rPr>
              <w:t>– YWCA</w:t>
            </w:r>
            <w:r w:rsidR="00C85008">
              <w:rPr>
                <w:rFonts w:ascii="Calibri" w:hAnsi="Calibri" w:cs="Calibri"/>
              </w:rPr>
              <w:t xml:space="preserve"> Australia</w:t>
            </w:r>
          </w:p>
          <w:p w14:paraId="7391FCF4" w14:textId="77777777" w:rsidR="006842A9" w:rsidRDefault="00C85008" w:rsidP="00751141">
            <w:pPr>
              <w:pStyle w:val="ListParagraph"/>
              <w:numPr>
                <w:ilvl w:val="0"/>
                <w:numId w:val="13"/>
              </w:numPr>
              <w:spacing w:before="180"/>
              <w:ind w:left="714" w:right="181" w:hanging="357"/>
              <w:rPr>
                <w:rFonts w:ascii="Calibri" w:hAnsi="Calibri" w:cs="Calibri"/>
              </w:rPr>
            </w:pPr>
            <w:r>
              <w:rPr>
                <w:rFonts w:ascii="Calibri" w:hAnsi="Calibri" w:cs="Calibri"/>
                <w:b/>
              </w:rPr>
              <w:t>Dubbo, NSW</w:t>
            </w:r>
            <w:r>
              <w:rPr>
                <w:rFonts w:ascii="Calibri" w:hAnsi="Calibri" w:cs="Calibri"/>
              </w:rPr>
              <w:t xml:space="preserve"> – CatholicCare Wilcannia-Forbes</w:t>
            </w:r>
          </w:p>
          <w:p w14:paraId="42A21BCB" w14:textId="77777777" w:rsidR="00C85008" w:rsidRDefault="00C85008" w:rsidP="00751141">
            <w:pPr>
              <w:pStyle w:val="ListParagraph"/>
              <w:numPr>
                <w:ilvl w:val="0"/>
                <w:numId w:val="13"/>
              </w:numPr>
              <w:spacing w:before="180"/>
              <w:ind w:left="714" w:right="181" w:hanging="357"/>
              <w:rPr>
                <w:rFonts w:ascii="Calibri" w:hAnsi="Calibri" w:cs="Calibri"/>
              </w:rPr>
            </w:pPr>
            <w:r>
              <w:rPr>
                <w:rFonts w:ascii="Calibri" w:hAnsi="Calibri" w:cs="Calibri"/>
                <w:b/>
              </w:rPr>
              <w:t>East Kimberly, WA</w:t>
            </w:r>
            <w:r>
              <w:rPr>
                <w:rFonts w:ascii="Calibri" w:hAnsi="Calibri" w:cs="Calibri"/>
              </w:rPr>
              <w:t xml:space="preserve"> – Save the Children – 54 Reasons</w:t>
            </w:r>
          </w:p>
          <w:p w14:paraId="60111E06" w14:textId="77777777" w:rsidR="00C85008" w:rsidRDefault="00C85008" w:rsidP="00751141">
            <w:pPr>
              <w:pStyle w:val="ListParagraph"/>
              <w:numPr>
                <w:ilvl w:val="0"/>
                <w:numId w:val="13"/>
              </w:numPr>
              <w:spacing w:before="180"/>
              <w:ind w:left="714" w:right="181" w:hanging="357"/>
              <w:rPr>
                <w:rFonts w:ascii="Calibri" w:hAnsi="Calibri" w:cs="Calibri"/>
              </w:rPr>
            </w:pPr>
            <w:r>
              <w:rPr>
                <w:rFonts w:ascii="Calibri" w:hAnsi="Calibri" w:cs="Calibri"/>
                <w:b/>
              </w:rPr>
              <w:t>TBC</w:t>
            </w:r>
            <w:r>
              <w:rPr>
                <w:rFonts w:ascii="Calibri" w:hAnsi="Calibri" w:cs="Calibri"/>
              </w:rPr>
              <w:t xml:space="preserve"> – Mission Australia</w:t>
            </w:r>
          </w:p>
          <w:p w14:paraId="0BB9BFDF" w14:textId="77777777" w:rsidR="00C85008" w:rsidRPr="00C85008" w:rsidRDefault="00C85008" w:rsidP="00751141">
            <w:pPr>
              <w:pStyle w:val="ListParagraph"/>
              <w:numPr>
                <w:ilvl w:val="0"/>
                <w:numId w:val="13"/>
              </w:numPr>
              <w:spacing w:before="180"/>
              <w:ind w:left="714" w:right="181" w:hanging="357"/>
              <w:rPr>
                <w:rFonts w:ascii="Calibri" w:hAnsi="Calibri" w:cs="Calibri"/>
              </w:rPr>
            </w:pPr>
            <w:r>
              <w:rPr>
                <w:rFonts w:ascii="Calibri" w:hAnsi="Calibri" w:cs="Calibri"/>
                <w:b/>
              </w:rPr>
              <w:t>East Gippsland, VIC</w:t>
            </w:r>
            <w:r>
              <w:rPr>
                <w:rFonts w:ascii="Calibri" w:hAnsi="Calibri" w:cs="Calibri"/>
              </w:rPr>
              <w:t xml:space="preserve"> – Uniting Vic Tas</w:t>
            </w:r>
          </w:p>
          <w:p w14:paraId="700292DE" w14:textId="71D73B64" w:rsidR="00FB5BC9" w:rsidRPr="00FB5BC9" w:rsidRDefault="00FB5BC9" w:rsidP="00FB5BC9">
            <w:pPr>
              <w:spacing w:before="180"/>
              <w:ind w:right="180"/>
              <w:rPr>
                <w:rFonts w:ascii="Calibri" w:hAnsi="Calibri" w:cs="Calibri"/>
              </w:rPr>
            </w:pPr>
            <w:r>
              <w:rPr>
                <w:rFonts w:ascii="Calibri" w:hAnsi="Calibri" w:cs="Calibri"/>
              </w:rPr>
              <w:t>On 30 November 2023, Wunan Foundation organised an all-day workshop,</w:t>
            </w:r>
            <w:r w:rsidR="00EB178C">
              <w:rPr>
                <w:rFonts w:ascii="Calibri" w:hAnsi="Calibri" w:cs="Calibri"/>
              </w:rPr>
              <w:t xml:space="preserve"> in </w:t>
            </w:r>
            <w:r>
              <w:rPr>
                <w:rFonts w:ascii="Calibri" w:hAnsi="Calibri" w:cs="Calibri"/>
              </w:rPr>
              <w:t>Adelaide. This provided an opportunity for Tranche 1 participants to meet in person and share learnings from t</w:t>
            </w:r>
            <w:r w:rsidR="00567F06">
              <w:rPr>
                <w:rFonts w:ascii="Calibri" w:hAnsi="Calibri" w:cs="Calibri"/>
              </w:rPr>
              <w:t>he project with each other, the </w:t>
            </w:r>
            <w:r>
              <w:rPr>
                <w:rFonts w:ascii="Calibri" w:hAnsi="Calibri" w:cs="Calibri"/>
              </w:rPr>
              <w:t>department, Wunan Foundation and Tranche 2 participants. The important discussions held showed the real impact</w:t>
            </w:r>
            <w:r w:rsidR="00535714">
              <w:rPr>
                <w:rFonts w:ascii="Calibri" w:hAnsi="Calibri" w:cs="Calibri"/>
              </w:rPr>
              <w:t>s</w:t>
            </w:r>
            <w:r w:rsidR="004120BF">
              <w:rPr>
                <w:rFonts w:ascii="Calibri" w:hAnsi="Calibri" w:cs="Calibri"/>
              </w:rPr>
              <w:t xml:space="preserve"> of this project, and </w:t>
            </w:r>
            <w:r>
              <w:rPr>
                <w:rFonts w:ascii="Calibri" w:hAnsi="Calibri" w:cs="Calibri"/>
              </w:rPr>
              <w:t>the hard work and trust all participants have put into this project.</w:t>
            </w:r>
          </w:p>
          <w:p w14:paraId="2DC94C14" w14:textId="77777777" w:rsidR="000C7492" w:rsidRPr="001E489B" w:rsidRDefault="00FB5BC9" w:rsidP="00567F06">
            <w:pPr>
              <w:pStyle w:val="Heading3"/>
              <w:ind w:left="0"/>
              <w:rPr>
                <w:sz w:val="24"/>
              </w:rPr>
            </w:pPr>
            <w:r w:rsidRPr="001E489B">
              <w:rPr>
                <w:sz w:val="24"/>
              </w:rPr>
              <w:t>E</w:t>
            </w:r>
            <w:r w:rsidR="000C7492" w:rsidRPr="001E489B">
              <w:rPr>
                <w:sz w:val="24"/>
              </w:rPr>
              <w:t xml:space="preserve">arly learnings from the </w:t>
            </w:r>
            <w:r w:rsidR="00C85008" w:rsidRPr="001E489B">
              <w:rPr>
                <w:sz w:val="24"/>
              </w:rPr>
              <w:t>SASF</w:t>
            </w:r>
            <w:r w:rsidR="000C7492" w:rsidRPr="001E489B">
              <w:rPr>
                <w:sz w:val="24"/>
              </w:rPr>
              <w:t xml:space="preserve"> Part </w:t>
            </w:r>
            <w:r w:rsidR="00C85008" w:rsidRPr="001E489B">
              <w:rPr>
                <w:sz w:val="24"/>
              </w:rPr>
              <w:t>2 project so </w:t>
            </w:r>
            <w:r w:rsidRPr="001E489B">
              <w:rPr>
                <w:sz w:val="24"/>
              </w:rPr>
              <w:t>far</w:t>
            </w:r>
            <w:r w:rsidR="000C7492" w:rsidRPr="001E489B">
              <w:rPr>
                <w:sz w:val="24"/>
              </w:rPr>
              <w:t>:</w:t>
            </w:r>
          </w:p>
          <w:p w14:paraId="1E7877CE" w14:textId="77777777" w:rsidR="000C7492" w:rsidRDefault="000C7492" w:rsidP="00567F06">
            <w:pPr>
              <w:pStyle w:val="ListParagraph"/>
              <w:numPr>
                <w:ilvl w:val="0"/>
                <w:numId w:val="12"/>
              </w:numPr>
              <w:spacing w:after="120"/>
              <w:ind w:left="349" w:right="181" w:hanging="357"/>
              <w:contextualSpacing w:val="0"/>
              <w:rPr>
                <w:rFonts w:ascii="Calibri" w:hAnsi="Calibri" w:cs="Calibri"/>
              </w:rPr>
            </w:pPr>
            <w:r>
              <w:rPr>
                <w:rFonts w:ascii="Calibri" w:hAnsi="Calibri" w:cs="Calibri"/>
              </w:rPr>
              <w:t>The unique strengths of AC</w:t>
            </w:r>
            <w:r w:rsidR="00C85008">
              <w:rPr>
                <w:rFonts w:ascii="Calibri" w:hAnsi="Calibri" w:cs="Calibri"/>
              </w:rPr>
              <w:t xml:space="preserve">CO providers are generally well </w:t>
            </w:r>
            <w:r>
              <w:rPr>
                <w:rFonts w:ascii="Calibri" w:hAnsi="Calibri" w:cs="Calibri"/>
              </w:rPr>
              <w:t>recognised, understood, and supported by non-ACCO partners with a desire to preference ACCO ways of knowing and doing.</w:t>
            </w:r>
          </w:p>
          <w:p w14:paraId="0E98D9D4" w14:textId="77777777" w:rsidR="000C7492" w:rsidRDefault="000C7492" w:rsidP="00567F06">
            <w:pPr>
              <w:pStyle w:val="ListParagraph"/>
              <w:numPr>
                <w:ilvl w:val="0"/>
                <w:numId w:val="12"/>
              </w:numPr>
              <w:spacing w:after="120"/>
              <w:ind w:left="349" w:right="181" w:hanging="357"/>
              <w:contextualSpacing w:val="0"/>
              <w:rPr>
                <w:rFonts w:ascii="Calibri" w:hAnsi="Calibri" w:cs="Calibri"/>
              </w:rPr>
            </w:pPr>
            <w:r>
              <w:rPr>
                <w:rFonts w:ascii="Calibri" w:hAnsi="Calibri" w:cs="Calibri"/>
              </w:rPr>
              <w:t>All Leading Regions locations continue to develop their partnership at different paces, depending on their history and operating environment.</w:t>
            </w:r>
          </w:p>
          <w:p w14:paraId="18E95224" w14:textId="77777777" w:rsidR="000C7492" w:rsidRDefault="000C7492" w:rsidP="00567F06">
            <w:pPr>
              <w:pStyle w:val="ListParagraph"/>
              <w:numPr>
                <w:ilvl w:val="0"/>
                <w:numId w:val="12"/>
              </w:numPr>
              <w:spacing w:after="120"/>
              <w:ind w:left="349" w:right="181" w:hanging="357"/>
              <w:contextualSpacing w:val="0"/>
              <w:rPr>
                <w:rFonts w:ascii="Calibri" w:hAnsi="Calibri" w:cs="Calibri"/>
              </w:rPr>
            </w:pPr>
            <w:r>
              <w:rPr>
                <w:rFonts w:ascii="Calibri" w:hAnsi="Calibri" w:cs="Calibri"/>
              </w:rPr>
              <w:t>Generating enough staff capacity for ACCOs (particularly those in more remote areas) is a key challenge for expanding their service delivery footprint.</w:t>
            </w:r>
          </w:p>
          <w:p w14:paraId="4A00E46D" w14:textId="77777777" w:rsidR="000C7492" w:rsidRDefault="000C7492" w:rsidP="00567F06">
            <w:pPr>
              <w:pStyle w:val="ListParagraph"/>
              <w:numPr>
                <w:ilvl w:val="0"/>
                <w:numId w:val="12"/>
              </w:numPr>
              <w:spacing w:after="120"/>
              <w:ind w:left="349" w:right="181" w:hanging="357"/>
              <w:contextualSpacing w:val="0"/>
              <w:rPr>
                <w:rFonts w:ascii="Calibri" w:hAnsi="Calibri" w:cs="Calibri"/>
              </w:rPr>
            </w:pPr>
            <w:r>
              <w:rPr>
                <w:rFonts w:ascii="Calibri" w:hAnsi="Calibri" w:cs="Calibri"/>
              </w:rPr>
              <w:t>The voice of community needs to be centred in best practice approach to partner identification (and will be integrated into the Tranche 2 process).</w:t>
            </w:r>
          </w:p>
          <w:p w14:paraId="1F481007" w14:textId="5060B467" w:rsidR="00EB178C" w:rsidRPr="00EB178C" w:rsidRDefault="000C7492" w:rsidP="00567F06">
            <w:pPr>
              <w:pStyle w:val="ListParagraph"/>
              <w:numPr>
                <w:ilvl w:val="0"/>
                <w:numId w:val="12"/>
              </w:numPr>
              <w:spacing w:after="240"/>
              <w:ind w:left="349" w:right="181" w:hanging="357"/>
              <w:contextualSpacing w:val="0"/>
              <w:rPr>
                <w:rFonts w:ascii="Calibri" w:hAnsi="Calibri" w:cs="Calibri"/>
              </w:rPr>
            </w:pPr>
            <w:r>
              <w:rPr>
                <w:rFonts w:ascii="Calibri" w:hAnsi="Calibri" w:cs="Calibri"/>
              </w:rPr>
              <w:t>Tools and resources developed through this project need to build on the existing evidence base and support es</w:t>
            </w:r>
            <w:r w:rsidR="004120BF">
              <w:rPr>
                <w:rFonts w:ascii="Calibri" w:hAnsi="Calibri" w:cs="Calibri"/>
              </w:rPr>
              <w:t>tablishment of sustainable ACCO</w:t>
            </w:r>
            <w:r w:rsidR="004120BF">
              <w:rPr>
                <w:rFonts w:ascii="Calibri" w:hAnsi="Calibri" w:cs="Calibri"/>
              </w:rPr>
              <w:noBreakHyphen/>
            </w:r>
            <w:r>
              <w:rPr>
                <w:rFonts w:ascii="Calibri" w:hAnsi="Calibri" w:cs="Calibri"/>
              </w:rPr>
              <w:t>led delivery.</w:t>
            </w:r>
            <w:r w:rsidR="00EB178C">
              <w:rPr>
                <w:rFonts w:ascii="Calibri" w:hAnsi="Calibri" w:cs="Calibri"/>
              </w:rPr>
              <w:t xml:space="preserve"> </w:t>
            </w:r>
          </w:p>
        </w:tc>
      </w:tr>
      <w:tr w:rsidR="00436DC3" w:rsidRPr="00CE5585" w14:paraId="4D268553" w14:textId="77777777" w:rsidTr="001E489B">
        <w:trPr>
          <w:cantSplit/>
          <w:trHeight w:val="567"/>
          <w:tblHeader/>
        </w:trPr>
        <w:tc>
          <w:tcPr>
            <w:tcW w:w="2109" w:type="dxa"/>
            <w:tcBorders>
              <w:top w:val="dashed" w:sz="4" w:space="0" w:color="005B70"/>
              <w:left w:val="dashed" w:sz="4" w:space="0" w:color="005B70"/>
              <w:bottom w:val="dashed" w:sz="4" w:space="0" w:color="005B70"/>
            </w:tcBorders>
          </w:tcPr>
          <w:p w14:paraId="2EAE6D72" w14:textId="77777777" w:rsidR="00436DC3" w:rsidRPr="00CE5585" w:rsidRDefault="001A6A20" w:rsidP="001A6A20">
            <w:pPr>
              <w:spacing w:before="360" w:after="0"/>
              <w:jc w:val="center"/>
              <w:rPr>
                <w:noProof/>
              </w:rPr>
            </w:pPr>
            <w:r w:rsidRPr="00A166A0">
              <w:rPr>
                <w:noProof/>
              </w:rPr>
              <w:lastRenderedPageBreak/>
              <w:drawing>
                <wp:inline distT="0" distB="0" distL="0" distR="0" wp14:anchorId="07AF6B08" wp14:editId="6FA9C8AD">
                  <wp:extent cx="719455" cy="719455"/>
                  <wp:effectExtent l="0" t="0" r="4445" b="4445"/>
                  <wp:docPr id="31" name="Picture 31" title="deco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inline>
              </w:drawing>
            </w:r>
          </w:p>
        </w:tc>
        <w:tc>
          <w:tcPr>
            <w:tcW w:w="8239" w:type="dxa"/>
            <w:tcBorders>
              <w:top w:val="dashed" w:sz="4" w:space="0" w:color="005B70"/>
              <w:bottom w:val="dashed" w:sz="4" w:space="0" w:color="005B70"/>
              <w:right w:val="dashed" w:sz="4" w:space="0" w:color="005B70"/>
            </w:tcBorders>
            <w:vAlign w:val="center"/>
          </w:tcPr>
          <w:p w14:paraId="74A96ED9" w14:textId="77777777" w:rsidR="00436DC3" w:rsidRPr="008D59D1" w:rsidRDefault="004F3781" w:rsidP="00567F06">
            <w:pPr>
              <w:pStyle w:val="Heading1"/>
            </w:pPr>
            <w:bookmarkStart w:id="6" w:name="_Survey_for_child,"/>
            <w:bookmarkStart w:id="7" w:name="_Data_Exchange_(DEX)"/>
            <w:bookmarkEnd w:id="6"/>
            <w:bookmarkEnd w:id="7"/>
            <w:r>
              <w:t>Data Exchange (DEX) update</w:t>
            </w:r>
          </w:p>
          <w:p w14:paraId="230E8321" w14:textId="77777777" w:rsidR="004F3781" w:rsidRPr="00A166A0" w:rsidRDefault="004F3781" w:rsidP="00FB5BC9">
            <w:pPr>
              <w:pStyle w:val="Heading3"/>
            </w:pPr>
            <w:r w:rsidRPr="00A166A0">
              <w:t>Data Exchange Recording Gender Values</w:t>
            </w:r>
          </w:p>
          <w:p w14:paraId="7EC94C0C" w14:textId="4D9B68C0" w:rsidR="004F3781" w:rsidRPr="00A166A0" w:rsidRDefault="004F3781" w:rsidP="004F3781">
            <w:pPr>
              <w:ind w:left="33"/>
              <w:rPr>
                <w:rFonts w:ascii="Calibri" w:hAnsi="Calibri" w:cs="Calibri"/>
              </w:rPr>
            </w:pPr>
            <w:r w:rsidRPr="00A166A0">
              <w:rPr>
                <w:rFonts w:ascii="Calibri" w:hAnsi="Calibri" w:cs="Calibri"/>
              </w:rPr>
              <w:t xml:space="preserve">In response to consultations held in 2022, about implementation of the </w:t>
            </w:r>
            <w:hyperlink r:id="rId32" w:history="1">
              <w:r w:rsidR="004120BF">
                <w:rPr>
                  <w:rStyle w:val="Hyperlink"/>
                  <w:rFonts w:ascii="Calibri" w:hAnsi="Calibri" w:cs="Calibri"/>
                </w:rPr>
                <w:t>ABS' </w:t>
              </w:r>
              <w:r w:rsidRPr="00A166A0">
                <w:rPr>
                  <w:rStyle w:val="Hyperlink"/>
                  <w:rFonts w:ascii="Calibri" w:hAnsi="Calibri" w:cs="Calibri"/>
                </w:rPr>
                <w:t>latest Standards for Sex, Gender, Variations of Sex Characteristics and Sexual Orientation Variables</w:t>
              </w:r>
            </w:hyperlink>
            <w:r w:rsidRPr="00A166A0">
              <w:rPr>
                <w:rFonts w:ascii="Calibri" w:hAnsi="Calibri" w:cs="Calibri"/>
              </w:rPr>
              <w:t>, the way gender is reported into</w:t>
            </w:r>
            <w:r w:rsidR="004120BF">
              <w:rPr>
                <w:rFonts w:ascii="Calibri" w:hAnsi="Calibri" w:cs="Calibri"/>
              </w:rPr>
              <w:t xml:space="preserve"> the Data </w:t>
            </w:r>
            <w:r>
              <w:rPr>
                <w:rFonts w:ascii="Calibri" w:hAnsi="Calibri" w:cs="Calibri"/>
              </w:rPr>
              <w:t>Exchange is changing.</w:t>
            </w:r>
          </w:p>
          <w:p w14:paraId="0B775802" w14:textId="77777777" w:rsidR="004F3781" w:rsidRPr="00A166A0" w:rsidRDefault="004F3781" w:rsidP="004F3781">
            <w:pPr>
              <w:ind w:left="33"/>
              <w:rPr>
                <w:rFonts w:ascii="Calibri" w:hAnsi="Calibri" w:cs="Calibri"/>
              </w:rPr>
            </w:pPr>
            <w:r w:rsidRPr="00A166A0">
              <w:rPr>
                <w:rFonts w:ascii="Calibri" w:hAnsi="Calibri" w:cs="Calibri"/>
              </w:rPr>
              <w:t>On Tuesday 14 November 2023, the Data Exchange team released gender value changes into the Data Exchange 'staging environment'. This will allow service providers to test how these changes will impact repor</w:t>
            </w:r>
            <w:r>
              <w:rPr>
                <w:rFonts w:ascii="Calibri" w:hAnsi="Calibri" w:cs="Calibri"/>
              </w:rPr>
              <w:t>ting into the Data Exchange for </w:t>
            </w:r>
            <w:r w:rsidRPr="00A166A0">
              <w:rPr>
                <w:rFonts w:ascii="Calibri" w:hAnsi="Calibri" w:cs="Calibri"/>
              </w:rPr>
              <w:t>those organisations who report using a Bulk File Upload method or a Sy</w:t>
            </w:r>
            <w:r>
              <w:rPr>
                <w:rFonts w:ascii="Calibri" w:hAnsi="Calibri" w:cs="Calibri"/>
              </w:rPr>
              <w:t>stem to System Transfer method.</w:t>
            </w:r>
          </w:p>
          <w:p w14:paraId="7C77EAB6" w14:textId="77777777" w:rsidR="004F3781" w:rsidRDefault="004F3781" w:rsidP="004F3781">
            <w:pPr>
              <w:ind w:left="33"/>
              <w:rPr>
                <w:rFonts w:ascii="Calibri" w:hAnsi="Calibri" w:cs="Calibri"/>
              </w:rPr>
            </w:pPr>
            <w:r w:rsidRPr="00A166A0">
              <w:rPr>
                <w:rFonts w:ascii="Calibri" w:hAnsi="Calibri" w:cs="Calibri"/>
              </w:rPr>
              <w:t>The main change will be the retiring of 'Intersex indeterminate' as a value and introducing 'Non-binary' and '[I/They] use a different term'. It is anticipated the gender value change will be implemented into the 'live' Data Exchange reporting environment from 2 March 2024, which will be c</w:t>
            </w:r>
            <w:r>
              <w:rPr>
                <w:rFonts w:ascii="Calibri" w:hAnsi="Calibri" w:cs="Calibri"/>
              </w:rPr>
              <w:t xml:space="preserve">onfirmed in a future update. </w:t>
            </w:r>
          </w:p>
          <w:p w14:paraId="1F744BD8" w14:textId="77777777" w:rsidR="004F3781" w:rsidRPr="00A166A0" w:rsidRDefault="004F3781" w:rsidP="004F3781">
            <w:pPr>
              <w:ind w:left="33"/>
              <w:rPr>
                <w:rFonts w:ascii="Calibri" w:hAnsi="Calibri" w:cs="Calibri"/>
              </w:rPr>
            </w:pPr>
            <w:r>
              <w:rPr>
                <w:rFonts w:ascii="Calibri" w:hAnsi="Calibri" w:cs="Calibri"/>
              </w:rPr>
              <w:t>To </w:t>
            </w:r>
            <w:r w:rsidRPr="00A166A0">
              <w:rPr>
                <w:rFonts w:ascii="Calibri" w:hAnsi="Calibri" w:cs="Calibri"/>
              </w:rPr>
              <w:t xml:space="preserve">subscribe to the Data Exchange Updates go the </w:t>
            </w:r>
            <w:hyperlink r:id="rId33" w:history="1">
              <w:r w:rsidRPr="00A166A0">
                <w:rPr>
                  <w:rStyle w:val="Hyperlink"/>
                  <w:rFonts w:ascii="Calibri" w:hAnsi="Calibri" w:cs="Calibri"/>
                </w:rPr>
                <w:t>notifications and updates</w:t>
              </w:r>
            </w:hyperlink>
            <w:r>
              <w:rPr>
                <w:rFonts w:ascii="Calibri" w:hAnsi="Calibri" w:cs="Calibri"/>
              </w:rPr>
              <w:t xml:space="preserve"> page of the DEX website.</w:t>
            </w:r>
          </w:p>
          <w:p w14:paraId="4B8E5D88" w14:textId="77777777" w:rsidR="004F3781" w:rsidRDefault="004F3781" w:rsidP="004F3781">
            <w:pPr>
              <w:ind w:left="33"/>
              <w:rPr>
                <w:rFonts w:ascii="Calibri" w:hAnsi="Calibri" w:cs="Calibri"/>
              </w:rPr>
            </w:pPr>
            <w:r w:rsidRPr="00A166A0">
              <w:rPr>
                <w:rFonts w:ascii="Calibri" w:hAnsi="Calibri" w:cs="Calibri"/>
              </w:rPr>
              <w:t>To support service providers to start testing the ge</w:t>
            </w:r>
            <w:r w:rsidR="008D0197">
              <w:rPr>
                <w:rFonts w:ascii="Calibri" w:hAnsi="Calibri" w:cs="Calibri"/>
              </w:rPr>
              <w:t>nder values changes in the Data </w:t>
            </w:r>
            <w:r w:rsidRPr="00A166A0">
              <w:rPr>
                <w:rFonts w:ascii="Calibri" w:hAnsi="Calibri" w:cs="Calibri"/>
              </w:rPr>
              <w:t xml:space="preserve">Exchange, a staging environment technical specifications document for both </w:t>
            </w:r>
            <w:hyperlink r:id="rId34" w:history="1">
              <w:r w:rsidRPr="00A166A0">
                <w:rPr>
                  <w:rStyle w:val="Hyperlink"/>
                  <w:rFonts w:ascii="Calibri" w:hAnsi="Calibri" w:cs="Calibri"/>
                </w:rPr>
                <w:t>Bulk File Upload</w:t>
              </w:r>
            </w:hyperlink>
            <w:r w:rsidRPr="00A166A0">
              <w:rPr>
                <w:rFonts w:ascii="Calibri" w:hAnsi="Calibri" w:cs="Calibri"/>
              </w:rPr>
              <w:t xml:space="preserve"> and </w:t>
            </w:r>
            <w:hyperlink r:id="rId35" w:history="1">
              <w:r w:rsidRPr="00A166A0">
                <w:rPr>
                  <w:rStyle w:val="Hyperlink"/>
                  <w:rFonts w:ascii="Calibri" w:hAnsi="Calibri" w:cs="Calibri"/>
                </w:rPr>
                <w:t>Web Services</w:t>
              </w:r>
            </w:hyperlink>
            <w:r w:rsidRPr="00A166A0">
              <w:rPr>
                <w:rFonts w:ascii="Calibri" w:hAnsi="Calibri" w:cs="Calibri"/>
              </w:rPr>
              <w:t xml:space="preserve"> is now available on the </w:t>
            </w:r>
            <w:hyperlink r:id="rId36" w:history="1">
              <w:r w:rsidRPr="00A166A0">
                <w:rPr>
                  <w:rStyle w:val="Hyperlink"/>
                  <w:rFonts w:ascii="Calibri" w:hAnsi="Calibri" w:cs="Calibri"/>
                </w:rPr>
                <w:t>Data Exchange website</w:t>
              </w:r>
            </w:hyperlink>
            <w:r w:rsidRPr="00A166A0">
              <w:rPr>
                <w:rFonts w:ascii="Calibri" w:hAnsi="Calibri" w:cs="Calibri"/>
              </w:rPr>
              <w:t>.</w:t>
            </w:r>
          </w:p>
          <w:p w14:paraId="2FA70FDC" w14:textId="77777777" w:rsidR="004F3781" w:rsidRPr="004F3781" w:rsidRDefault="004F3781" w:rsidP="00FB5BC9">
            <w:pPr>
              <w:pStyle w:val="Heading3"/>
            </w:pPr>
            <w:r>
              <w:t>End of Reporting period</w:t>
            </w:r>
          </w:p>
          <w:p w14:paraId="37184284" w14:textId="77777777" w:rsidR="004F3781" w:rsidRPr="00A166A0" w:rsidRDefault="004F3781" w:rsidP="004F3781">
            <w:pPr>
              <w:ind w:left="33"/>
              <w:rPr>
                <w:rFonts w:ascii="Calibri" w:hAnsi="Calibri" w:cs="Calibri"/>
              </w:rPr>
            </w:pPr>
            <w:r w:rsidRPr="00A166A0">
              <w:rPr>
                <w:rFonts w:ascii="Calibri" w:hAnsi="Calibri" w:cs="Calibri"/>
              </w:rPr>
              <w:t>A friendly reminder that all service providers must enter data into the Data Exchange for the current reporting period (1 July to 31 Dec</w:t>
            </w:r>
            <w:r w:rsidR="008D0197">
              <w:rPr>
                <w:rFonts w:ascii="Calibri" w:hAnsi="Calibri" w:cs="Calibri"/>
              </w:rPr>
              <w:t>ember 2023) by 30 </w:t>
            </w:r>
            <w:r>
              <w:rPr>
                <w:rFonts w:ascii="Calibri" w:hAnsi="Calibri" w:cs="Calibri"/>
              </w:rPr>
              <w:t>January 2024.</w:t>
            </w:r>
          </w:p>
          <w:p w14:paraId="38BC8264" w14:textId="77777777" w:rsidR="004F3781" w:rsidRPr="00A166A0" w:rsidRDefault="004F3781" w:rsidP="004F3781">
            <w:pPr>
              <w:ind w:left="33"/>
              <w:rPr>
                <w:rFonts w:ascii="Calibri" w:hAnsi="Calibri" w:cs="Calibri"/>
              </w:rPr>
            </w:pPr>
            <w:r w:rsidRPr="00A166A0">
              <w:rPr>
                <w:rFonts w:ascii="Calibri" w:hAnsi="Calibri" w:cs="Calibri"/>
              </w:rPr>
              <w:t>The department strongly encourages providers to en</w:t>
            </w:r>
            <w:r>
              <w:rPr>
                <w:rFonts w:ascii="Calibri" w:hAnsi="Calibri" w:cs="Calibri"/>
              </w:rPr>
              <w:t>ter data as soon as possible to </w:t>
            </w:r>
            <w:r w:rsidRPr="00A166A0">
              <w:rPr>
                <w:rFonts w:ascii="Calibri" w:hAnsi="Calibri" w:cs="Calibri"/>
              </w:rPr>
              <w:t>avoid any last minute issues that m</w:t>
            </w:r>
            <w:r>
              <w:rPr>
                <w:rFonts w:ascii="Calibri" w:hAnsi="Calibri" w:cs="Calibri"/>
              </w:rPr>
              <w:t>ight occur when uploading data.</w:t>
            </w:r>
          </w:p>
          <w:p w14:paraId="32E31843" w14:textId="780ED728" w:rsidR="00436DC3" w:rsidRDefault="004F3781" w:rsidP="004F3781">
            <w:pPr>
              <w:spacing w:after="360"/>
              <w:ind w:left="33"/>
            </w:pPr>
            <w:r w:rsidRPr="00A166A0">
              <w:rPr>
                <w:rFonts w:ascii="Calibri" w:hAnsi="Calibri" w:cs="Calibri"/>
              </w:rPr>
              <w:t xml:space="preserve">If you need help, please contact the Data Exchange </w:t>
            </w:r>
            <w:r w:rsidR="004120BF">
              <w:rPr>
                <w:rFonts w:ascii="Calibri" w:hAnsi="Calibri" w:cs="Calibri"/>
              </w:rPr>
              <w:t>Helpdesk by sending an </w:t>
            </w:r>
            <w:r>
              <w:rPr>
                <w:rFonts w:ascii="Calibri" w:hAnsi="Calibri" w:cs="Calibri"/>
              </w:rPr>
              <w:t>email to </w:t>
            </w:r>
            <w:hyperlink r:id="rId37" w:history="1">
              <w:r w:rsidRPr="00A166A0">
                <w:rPr>
                  <w:rStyle w:val="Hyperlink"/>
                  <w:rFonts w:ascii="Calibri" w:hAnsi="Calibri" w:cs="Calibri"/>
                </w:rPr>
                <w:t>dssdataexchange.helpdesk@dss.gov.au</w:t>
              </w:r>
            </w:hyperlink>
            <w:r w:rsidRPr="00A166A0">
              <w:rPr>
                <w:rFonts w:ascii="Calibri" w:hAnsi="Calibri" w:cs="Calibri"/>
              </w:rPr>
              <w:t xml:space="preserve"> o</w:t>
            </w:r>
            <w:r>
              <w:rPr>
                <w:rFonts w:ascii="Calibri" w:hAnsi="Calibri" w:cs="Calibri"/>
              </w:rPr>
              <w:t xml:space="preserve">r calling 1800 020 283 between </w:t>
            </w:r>
            <w:r w:rsidR="008D0197">
              <w:rPr>
                <w:rFonts w:ascii="Calibri" w:hAnsi="Calibri" w:cs="Calibri"/>
              </w:rPr>
              <w:t>9.00am </w:t>
            </w:r>
            <w:r w:rsidRPr="00A166A0">
              <w:rPr>
                <w:rFonts w:ascii="Calibri" w:hAnsi="Calibri" w:cs="Calibri"/>
              </w:rPr>
              <w:t>– 5.00pm Monday to Friday.</w:t>
            </w:r>
          </w:p>
        </w:tc>
      </w:tr>
    </w:tbl>
    <w:p w14:paraId="59D5A9D3" w14:textId="77777777" w:rsidR="008D59D1" w:rsidRPr="008D59D1" w:rsidRDefault="008D59D1" w:rsidP="008D59D1">
      <w:pPr>
        <w:rPr>
          <w:rFonts w:ascii="Calibri" w:hAnsi="Calibri" w:cs="Calibri"/>
        </w:rPr>
      </w:pPr>
    </w:p>
    <w:sectPr w:rsidR="008D59D1" w:rsidRPr="008D59D1" w:rsidSect="00567F06">
      <w:headerReference w:type="even" r:id="rId38"/>
      <w:headerReference w:type="default" r:id="rId39"/>
      <w:footerReference w:type="even" r:id="rId40"/>
      <w:footerReference w:type="default" r:id="rId41"/>
      <w:headerReference w:type="first" r:id="rId42"/>
      <w:footerReference w:type="first" r:id="rId43"/>
      <w:pgSz w:w="11906" w:h="16838" w:code="9"/>
      <w:pgMar w:top="794" w:right="851" w:bottom="567" w:left="851" w:header="0"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BC740" w14:textId="77777777" w:rsidR="000A1586" w:rsidRDefault="000A1586">
      <w:r>
        <w:separator/>
      </w:r>
    </w:p>
  </w:endnote>
  <w:endnote w:type="continuationSeparator" w:id="0">
    <w:p w14:paraId="01D76045" w14:textId="77777777" w:rsidR="000A1586" w:rsidRDefault="000A1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097BE" w14:textId="77777777" w:rsidR="00235468" w:rsidRDefault="002354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415F0" w14:textId="447E5A92" w:rsidR="00D317A3" w:rsidRPr="00131A98" w:rsidRDefault="00D317A3" w:rsidP="00D317A3">
    <w:pPr>
      <w:pStyle w:val="Footer"/>
      <w:rPr>
        <w:rFonts w:ascii="Calibri" w:hAnsi="Calibri" w:cs="Calibri"/>
      </w:rPr>
    </w:pPr>
    <w:r w:rsidRPr="00131A98">
      <w:rPr>
        <w:rFonts w:ascii="Calibri" w:hAnsi="Calibri" w:cs="Calibri"/>
      </w:rPr>
      <w:t xml:space="preserve">Families and Children Activity Newsletter | </w:t>
    </w:r>
    <w:r w:rsidR="001E489B">
      <w:rPr>
        <w:rFonts w:ascii="Calibri" w:hAnsi="Calibri" w:cs="Calibri"/>
      </w:rPr>
      <w:t>January 2024</w:t>
    </w:r>
    <w:r w:rsidRPr="00131A98">
      <w:rPr>
        <w:rFonts w:ascii="Calibri" w:hAnsi="Calibri" w:cs="Calibri"/>
      </w:rPr>
      <w:ptab w:relativeTo="margin" w:alignment="center" w:leader="none"/>
    </w:r>
    <w:r w:rsidRPr="00131A98">
      <w:rPr>
        <w:rFonts w:ascii="Calibri" w:hAnsi="Calibri" w:cs="Calibri"/>
      </w:rPr>
      <w:ptab w:relativeTo="margin" w:alignment="right" w:leader="none"/>
    </w:r>
    <w:r w:rsidRPr="00131A98">
      <w:rPr>
        <w:rFonts w:ascii="Calibri" w:hAnsi="Calibri" w:cs="Calibri"/>
      </w:rPr>
      <w:fldChar w:fldCharType="begin"/>
    </w:r>
    <w:r w:rsidRPr="00131A98">
      <w:rPr>
        <w:rFonts w:ascii="Calibri" w:hAnsi="Calibri" w:cs="Calibri"/>
      </w:rPr>
      <w:instrText xml:space="preserve"> PAGE   \* MERGEFORMAT </w:instrText>
    </w:r>
    <w:r w:rsidRPr="00131A98">
      <w:rPr>
        <w:rFonts w:ascii="Calibri" w:hAnsi="Calibri" w:cs="Calibri"/>
      </w:rPr>
      <w:fldChar w:fldCharType="separate"/>
    </w:r>
    <w:r w:rsidR="00235468">
      <w:rPr>
        <w:rFonts w:ascii="Calibri" w:hAnsi="Calibri" w:cs="Calibri"/>
        <w:noProof/>
      </w:rPr>
      <w:t>2</w:t>
    </w:r>
    <w:r w:rsidRPr="00131A98">
      <w:rPr>
        <w:rFonts w:ascii="Calibri" w:hAnsi="Calibri" w:cs="Calibr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24F82" w14:textId="54877FFA" w:rsidR="00D317A3" w:rsidRPr="00D317A3" w:rsidRDefault="00D317A3" w:rsidP="00D317A3">
    <w:pPr>
      <w:pStyle w:val="Footer"/>
    </w:pPr>
    <w:r>
      <w:t xml:space="preserve">Families and Children Activity Newsletter | </w:t>
    </w:r>
    <w:r w:rsidR="001A6A20">
      <w:t>December</w:t>
    </w:r>
    <w:r>
      <w:t xml:space="preserve"> 2023</w:t>
    </w:r>
    <w:r>
      <w:ptab w:relativeTo="margin" w:alignment="center" w:leader="none"/>
    </w:r>
    <w:r>
      <w:ptab w:relativeTo="margin" w:alignment="right" w:leader="none"/>
    </w:r>
    <w:r>
      <w:fldChar w:fldCharType="begin"/>
    </w:r>
    <w:r>
      <w:instrText xml:space="preserve"> PAGE   \* MERGEFORMAT </w:instrText>
    </w:r>
    <w:r>
      <w:fldChar w:fldCharType="separate"/>
    </w:r>
    <w:r w:rsidR="00235468">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A782C" w14:textId="77777777" w:rsidR="000A1586" w:rsidRDefault="000A1586">
      <w:r>
        <w:separator/>
      </w:r>
    </w:p>
  </w:footnote>
  <w:footnote w:type="continuationSeparator" w:id="0">
    <w:p w14:paraId="1BC4A0B1" w14:textId="77777777" w:rsidR="000A1586" w:rsidRDefault="000A1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40FEA" w14:textId="77777777" w:rsidR="00235468" w:rsidRDefault="002354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E67B8" w14:textId="77777777" w:rsidR="002C4222" w:rsidRDefault="002C4222">
    <w:pPr>
      <w:pStyle w:val="Header"/>
    </w:pPr>
  </w:p>
  <w:p w14:paraId="569DDC07" w14:textId="77777777" w:rsidR="002C4222" w:rsidRDefault="002C42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9A47A" w14:textId="77777777" w:rsidR="002C4222" w:rsidRDefault="002C4222" w:rsidP="002C4222">
    <w:pPr>
      <w:pStyle w:val="Header"/>
      <w:spacing w:before="360"/>
      <w:ind w:hanging="851"/>
    </w:pPr>
    <w:r>
      <w:rPr>
        <w:noProof/>
      </w:rPr>
      <w:drawing>
        <wp:inline distT="0" distB="0" distL="0" distR="0" wp14:anchorId="704633C8" wp14:editId="503D68C8">
          <wp:extent cx="7534800" cy="975600"/>
          <wp:effectExtent l="0" t="0" r="0" b="0"/>
          <wp:docPr id="1" name="Picture 1" title="Depart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rotWithShape="1">
                  <a:blip r:embed="rId1">
                    <a:extLst>
                      <a:ext uri="{28A0092B-C50C-407E-A947-70E740481C1C}">
                        <a14:useLocalDpi xmlns:a14="http://schemas.microsoft.com/office/drawing/2010/main" val="0"/>
                      </a:ext>
                    </a:extLst>
                  </a:blip>
                  <a:srcRect b="31969"/>
                  <a:stretch/>
                </pic:blipFill>
                <pic:spPr bwMode="auto">
                  <a:xfrm>
                    <a:off x="0" y="0"/>
                    <a:ext cx="7534800" cy="9756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6277D7"/>
    <w:multiLevelType w:val="hybridMultilevel"/>
    <w:tmpl w:val="ABBE2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DC4828"/>
    <w:multiLevelType w:val="hybridMultilevel"/>
    <w:tmpl w:val="E7ECF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DE2373"/>
    <w:multiLevelType w:val="hybridMultilevel"/>
    <w:tmpl w:val="4254F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E64BBD"/>
    <w:multiLevelType w:val="hybridMultilevel"/>
    <w:tmpl w:val="B85C4F44"/>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5" w15:restartNumberingAfterBreak="0">
    <w:nsid w:val="30EC7F16"/>
    <w:multiLevelType w:val="hybridMultilevel"/>
    <w:tmpl w:val="655CDCCE"/>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6" w15:restartNumberingAfterBreak="0">
    <w:nsid w:val="36593FAE"/>
    <w:multiLevelType w:val="hybridMultilevel"/>
    <w:tmpl w:val="5134B94C"/>
    <w:lvl w:ilvl="0" w:tplc="A182A0EE">
      <w:start w:val="25"/>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AD006F5"/>
    <w:multiLevelType w:val="multilevel"/>
    <w:tmpl w:val="35489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8F0215"/>
    <w:multiLevelType w:val="hybridMultilevel"/>
    <w:tmpl w:val="2452C30A"/>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9"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36A381B"/>
    <w:multiLevelType w:val="hybridMultilevel"/>
    <w:tmpl w:val="59708E5C"/>
    <w:lvl w:ilvl="0" w:tplc="0C09000F">
      <w:start w:val="1"/>
      <w:numFmt w:val="decimal"/>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1" w15:restartNumberingAfterBreak="0">
    <w:nsid w:val="63F216D8"/>
    <w:multiLevelType w:val="hybridMultilevel"/>
    <w:tmpl w:val="41DE435A"/>
    <w:lvl w:ilvl="0" w:tplc="0C09000F">
      <w:start w:val="1"/>
      <w:numFmt w:val="decimal"/>
      <w:lvlText w:val="%1."/>
      <w:lvlJc w:val="left"/>
      <w:pPr>
        <w:ind w:left="753" w:hanging="360"/>
      </w:pPr>
      <w:rPr>
        <w:rFonts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12" w15:restartNumberingAfterBreak="0">
    <w:nsid w:val="728C2CDD"/>
    <w:multiLevelType w:val="hybridMultilevel"/>
    <w:tmpl w:val="927AE2D2"/>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13" w15:restartNumberingAfterBreak="0">
    <w:nsid w:val="78275375"/>
    <w:multiLevelType w:val="hybridMultilevel"/>
    <w:tmpl w:val="E8ACA686"/>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14" w15:restartNumberingAfterBreak="0">
    <w:nsid w:val="7C7B5636"/>
    <w:multiLevelType w:val="hybridMultilevel"/>
    <w:tmpl w:val="55C62040"/>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num w:numId="1">
    <w:abstractNumId w:val="9"/>
  </w:num>
  <w:num w:numId="2">
    <w:abstractNumId w:val="0"/>
  </w:num>
  <w:num w:numId="3">
    <w:abstractNumId w:val="5"/>
  </w:num>
  <w:num w:numId="4">
    <w:abstractNumId w:val="4"/>
  </w:num>
  <w:num w:numId="5">
    <w:abstractNumId w:val="12"/>
  </w:num>
  <w:num w:numId="6">
    <w:abstractNumId w:val="14"/>
  </w:num>
  <w:num w:numId="7">
    <w:abstractNumId w:val="7"/>
  </w:num>
  <w:num w:numId="8">
    <w:abstractNumId w:val="1"/>
  </w:num>
  <w:num w:numId="9">
    <w:abstractNumId w:val="11"/>
  </w:num>
  <w:num w:numId="10">
    <w:abstractNumId w:val="6"/>
  </w:num>
  <w:num w:numId="11">
    <w:abstractNumId w:val="13"/>
  </w:num>
  <w:num w:numId="12">
    <w:abstractNumId w:val="10"/>
  </w:num>
  <w:num w:numId="13">
    <w:abstractNumId w:val="2"/>
  </w:num>
  <w:num w:numId="14">
    <w:abstractNumId w:val="8"/>
  </w:num>
  <w:num w:numId="1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A2C"/>
    <w:rsid w:val="00002C18"/>
    <w:rsid w:val="000053D9"/>
    <w:rsid w:val="0000687C"/>
    <w:rsid w:val="00010549"/>
    <w:rsid w:val="00012F84"/>
    <w:rsid w:val="00013ED9"/>
    <w:rsid w:val="00013F99"/>
    <w:rsid w:val="00025376"/>
    <w:rsid w:val="0002781C"/>
    <w:rsid w:val="00027B26"/>
    <w:rsid w:val="0003089B"/>
    <w:rsid w:val="0003104E"/>
    <w:rsid w:val="00031195"/>
    <w:rsid w:val="00031D92"/>
    <w:rsid w:val="00032861"/>
    <w:rsid w:val="000358C2"/>
    <w:rsid w:val="00035CA1"/>
    <w:rsid w:val="00035FBD"/>
    <w:rsid w:val="0003679F"/>
    <w:rsid w:val="000435BB"/>
    <w:rsid w:val="00045CCD"/>
    <w:rsid w:val="00047524"/>
    <w:rsid w:val="00047ACD"/>
    <w:rsid w:val="000505B2"/>
    <w:rsid w:val="00050E5B"/>
    <w:rsid w:val="00053659"/>
    <w:rsid w:val="00054614"/>
    <w:rsid w:val="000547EF"/>
    <w:rsid w:val="00054B89"/>
    <w:rsid w:val="00061B6F"/>
    <w:rsid w:val="0006264C"/>
    <w:rsid w:val="00062771"/>
    <w:rsid w:val="00067CD0"/>
    <w:rsid w:val="00067E58"/>
    <w:rsid w:val="00071E78"/>
    <w:rsid w:val="00080F2E"/>
    <w:rsid w:val="000814E9"/>
    <w:rsid w:val="00081CEB"/>
    <w:rsid w:val="00081D10"/>
    <w:rsid w:val="00083791"/>
    <w:rsid w:val="00086E3C"/>
    <w:rsid w:val="00087B2C"/>
    <w:rsid w:val="00087DBD"/>
    <w:rsid w:val="00090570"/>
    <w:rsid w:val="00090753"/>
    <w:rsid w:val="00096F54"/>
    <w:rsid w:val="0009706C"/>
    <w:rsid w:val="00097BFF"/>
    <w:rsid w:val="000A1586"/>
    <w:rsid w:val="000A669D"/>
    <w:rsid w:val="000A66A8"/>
    <w:rsid w:val="000B3B0C"/>
    <w:rsid w:val="000C014D"/>
    <w:rsid w:val="000C6C62"/>
    <w:rsid w:val="000C7492"/>
    <w:rsid w:val="000D0178"/>
    <w:rsid w:val="000D1546"/>
    <w:rsid w:val="000D4703"/>
    <w:rsid w:val="000D63CC"/>
    <w:rsid w:val="000D693C"/>
    <w:rsid w:val="000E12D4"/>
    <w:rsid w:val="000E1BB1"/>
    <w:rsid w:val="00104669"/>
    <w:rsid w:val="00110028"/>
    <w:rsid w:val="00116EDF"/>
    <w:rsid w:val="00124B26"/>
    <w:rsid w:val="00126BA3"/>
    <w:rsid w:val="00130C4E"/>
    <w:rsid w:val="00131A98"/>
    <w:rsid w:val="00131B54"/>
    <w:rsid w:val="0013252C"/>
    <w:rsid w:val="001354B7"/>
    <w:rsid w:val="001404FA"/>
    <w:rsid w:val="001413C5"/>
    <w:rsid w:val="00141B09"/>
    <w:rsid w:val="00142956"/>
    <w:rsid w:val="00143502"/>
    <w:rsid w:val="00144494"/>
    <w:rsid w:val="00144868"/>
    <w:rsid w:val="00157709"/>
    <w:rsid w:val="00165877"/>
    <w:rsid w:val="00167330"/>
    <w:rsid w:val="00167CF4"/>
    <w:rsid w:val="00174B86"/>
    <w:rsid w:val="00183469"/>
    <w:rsid w:val="00185F6A"/>
    <w:rsid w:val="001943DD"/>
    <w:rsid w:val="00195374"/>
    <w:rsid w:val="001A127F"/>
    <w:rsid w:val="001A1F53"/>
    <w:rsid w:val="001A3CA4"/>
    <w:rsid w:val="001A3EA4"/>
    <w:rsid w:val="001A6A20"/>
    <w:rsid w:val="001A72E2"/>
    <w:rsid w:val="001B3AEC"/>
    <w:rsid w:val="001B5000"/>
    <w:rsid w:val="001B6F28"/>
    <w:rsid w:val="001D02C8"/>
    <w:rsid w:val="001D4585"/>
    <w:rsid w:val="001D5D29"/>
    <w:rsid w:val="001D5D54"/>
    <w:rsid w:val="001E1114"/>
    <w:rsid w:val="001E41C8"/>
    <w:rsid w:val="001E489B"/>
    <w:rsid w:val="001F3AD7"/>
    <w:rsid w:val="001F45EB"/>
    <w:rsid w:val="00207630"/>
    <w:rsid w:val="00213082"/>
    <w:rsid w:val="0021714E"/>
    <w:rsid w:val="002173E3"/>
    <w:rsid w:val="00222187"/>
    <w:rsid w:val="00222851"/>
    <w:rsid w:val="00222C8D"/>
    <w:rsid w:val="00222E33"/>
    <w:rsid w:val="00227B95"/>
    <w:rsid w:val="0023523A"/>
    <w:rsid w:val="002353DF"/>
    <w:rsid w:val="00235468"/>
    <w:rsid w:val="00235F71"/>
    <w:rsid w:val="002503DE"/>
    <w:rsid w:val="0025272A"/>
    <w:rsid w:val="00263D5D"/>
    <w:rsid w:val="00271922"/>
    <w:rsid w:val="0027204E"/>
    <w:rsid w:val="00273412"/>
    <w:rsid w:val="00274ACF"/>
    <w:rsid w:val="00285F1B"/>
    <w:rsid w:val="00295831"/>
    <w:rsid w:val="00296F1B"/>
    <w:rsid w:val="00297D17"/>
    <w:rsid w:val="002A5892"/>
    <w:rsid w:val="002A6AD5"/>
    <w:rsid w:val="002A6DF5"/>
    <w:rsid w:val="002C4222"/>
    <w:rsid w:val="002D00B0"/>
    <w:rsid w:val="002D2E16"/>
    <w:rsid w:val="002D3CDC"/>
    <w:rsid w:val="002E1748"/>
    <w:rsid w:val="002E76FA"/>
    <w:rsid w:val="002F19EF"/>
    <w:rsid w:val="002F5973"/>
    <w:rsid w:val="003011DD"/>
    <w:rsid w:val="00302415"/>
    <w:rsid w:val="0030693C"/>
    <w:rsid w:val="003102F6"/>
    <w:rsid w:val="00311A50"/>
    <w:rsid w:val="003122A3"/>
    <w:rsid w:val="00313304"/>
    <w:rsid w:val="00313C48"/>
    <w:rsid w:val="00314D15"/>
    <w:rsid w:val="003162AD"/>
    <w:rsid w:val="00321148"/>
    <w:rsid w:val="00321798"/>
    <w:rsid w:val="00324CC0"/>
    <w:rsid w:val="00325B13"/>
    <w:rsid w:val="00325F44"/>
    <w:rsid w:val="00326976"/>
    <w:rsid w:val="003311D7"/>
    <w:rsid w:val="00332B8B"/>
    <w:rsid w:val="00342476"/>
    <w:rsid w:val="00345D03"/>
    <w:rsid w:val="00347104"/>
    <w:rsid w:val="00351F14"/>
    <w:rsid w:val="0035213F"/>
    <w:rsid w:val="003555D2"/>
    <w:rsid w:val="0036094C"/>
    <w:rsid w:val="00363DF3"/>
    <w:rsid w:val="003656B1"/>
    <w:rsid w:val="003675A3"/>
    <w:rsid w:val="0037056B"/>
    <w:rsid w:val="00377173"/>
    <w:rsid w:val="003774DA"/>
    <w:rsid w:val="00392557"/>
    <w:rsid w:val="003945C0"/>
    <w:rsid w:val="00396F81"/>
    <w:rsid w:val="003A06C2"/>
    <w:rsid w:val="003A3096"/>
    <w:rsid w:val="003B6D2E"/>
    <w:rsid w:val="003C430D"/>
    <w:rsid w:val="003C7404"/>
    <w:rsid w:val="003D3C5A"/>
    <w:rsid w:val="003D404A"/>
    <w:rsid w:val="003D49C1"/>
    <w:rsid w:val="003E60B0"/>
    <w:rsid w:val="003E6FDA"/>
    <w:rsid w:val="003F3072"/>
    <w:rsid w:val="003F3C9C"/>
    <w:rsid w:val="00401A2A"/>
    <w:rsid w:val="00406535"/>
    <w:rsid w:val="00406DF0"/>
    <w:rsid w:val="004103D7"/>
    <w:rsid w:val="004120BF"/>
    <w:rsid w:val="0041307C"/>
    <w:rsid w:val="00414C92"/>
    <w:rsid w:val="004167B4"/>
    <w:rsid w:val="004230F1"/>
    <w:rsid w:val="00430D7E"/>
    <w:rsid w:val="00433B04"/>
    <w:rsid w:val="00436DC3"/>
    <w:rsid w:val="00440BD3"/>
    <w:rsid w:val="004461B0"/>
    <w:rsid w:val="00446F93"/>
    <w:rsid w:val="004518C4"/>
    <w:rsid w:val="00460285"/>
    <w:rsid w:val="004649E2"/>
    <w:rsid w:val="00464E8C"/>
    <w:rsid w:val="00466D36"/>
    <w:rsid w:val="00467185"/>
    <w:rsid w:val="0047050C"/>
    <w:rsid w:val="00475504"/>
    <w:rsid w:val="00480F21"/>
    <w:rsid w:val="00484FED"/>
    <w:rsid w:val="00486057"/>
    <w:rsid w:val="00492344"/>
    <w:rsid w:val="00494F12"/>
    <w:rsid w:val="00495AF1"/>
    <w:rsid w:val="004B4952"/>
    <w:rsid w:val="004B79A8"/>
    <w:rsid w:val="004C5A38"/>
    <w:rsid w:val="004C73A2"/>
    <w:rsid w:val="004C7494"/>
    <w:rsid w:val="004D1A29"/>
    <w:rsid w:val="004D44E8"/>
    <w:rsid w:val="004D5FBF"/>
    <w:rsid w:val="004D602A"/>
    <w:rsid w:val="004E3D8B"/>
    <w:rsid w:val="004E7239"/>
    <w:rsid w:val="004F0C08"/>
    <w:rsid w:val="004F3781"/>
    <w:rsid w:val="004F58C1"/>
    <w:rsid w:val="004F775C"/>
    <w:rsid w:val="004F77BF"/>
    <w:rsid w:val="005015E4"/>
    <w:rsid w:val="0050291D"/>
    <w:rsid w:val="0050697E"/>
    <w:rsid w:val="00511006"/>
    <w:rsid w:val="00524B3C"/>
    <w:rsid w:val="0052720F"/>
    <w:rsid w:val="005300B9"/>
    <w:rsid w:val="005315A9"/>
    <w:rsid w:val="005316BE"/>
    <w:rsid w:val="00532B56"/>
    <w:rsid w:val="00533286"/>
    <w:rsid w:val="00535714"/>
    <w:rsid w:val="00537B50"/>
    <w:rsid w:val="00540AD0"/>
    <w:rsid w:val="0054195A"/>
    <w:rsid w:val="0054322A"/>
    <w:rsid w:val="00543923"/>
    <w:rsid w:val="005519C9"/>
    <w:rsid w:val="005523D1"/>
    <w:rsid w:val="005537E5"/>
    <w:rsid w:val="00554A9C"/>
    <w:rsid w:val="00557624"/>
    <w:rsid w:val="0056023E"/>
    <w:rsid w:val="005658EF"/>
    <w:rsid w:val="00567F06"/>
    <w:rsid w:val="0057494D"/>
    <w:rsid w:val="0057745E"/>
    <w:rsid w:val="00577EEB"/>
    <w:rsid w:val="005822A3"/>
    <w:rsid w:val="00583971"/>
    <w:rsid w:val="0059070B"/>
    <w:rsid w:val="00591CC0"/>
    <w:rsid w:val="00594445"/>
    <w:rsid w:val="00594B80"/>
    <w:rsid w:val="005B1225"/>
    <w:rsid w:val="005B33FF"/>
    <w:rsid w:val="005C09F4"/>
    <w:rsid w:val="005C561A"/>
    <w:rsid w:val="005C5B93"/>
    <w:rsid w:val="005C66FF"/>
    <w:rsid w:val="005C785A"/>
    <w:rsid w:val="005D03CA"/>
    <w:rsid w:val="005D45AB"/>
    <w:rsid w:val="005E073E"/>
    <w:rsid w:val="005E4662"/>
    <w:rsid w:val="005E763A"/>
    <w:rsid w:val="005F093F"/>
    <w:rsid w:val="005F214A"/>
    <w:rsid w:val="005F39D9"/>
    <w:rsid w:val="005F6BD6"/>
    <w:rsid w:val="00601C99"/>
    <w:rsid w:val="00607597"/>
    <w:rsid w:val="00624210"/>
    <w:rsid w:val="006255E4"/>
    <w:rsid w:val="006325E2"/>
    <w:rsid w:val="00641020"/>
    <w:rsid w:val="006410C1"/>
    <w:rsid w:val="006471B5"/>
    <w:rsid w:val="00647F05"/>
    <w:rsid w:val="006530EF"/>
    <w:rsid w:val="00654D06"/>
    <w:rsid w:val="00661536"/>
    <w:rsid w:val="006678ED"/>
    <w:rsid w:val="0067233D"/>
    <w:rsid w:val="006745AE"/>
    <w:rsid w:val="00675BEF"/>
    <w:rsid w:val="00676AF3"/>
    <w:rsid w:val="00676D10"/>
    <w:rsid w:val="00680F71"/>
    <w:rsid w:val="00682A53"/>
    <w:rsid w:val="00683243"/>
    <w:rsid w:val="006842A9"/>
    <w:rsid w:val="006903A8"/>
    <w:rsid w:val="0069174B"/>
    <w:rsid w:val="00693FA1"/>
    <w:rsid w:val="006B05E3"/>
    <w:rsid w:val="006B09BC"/>
    <w:rsid w:val="006B42A0"/>
    <w:rsid w:val="006B4E59"/>
    <w:rsid w:val="006B6383"/>
    <w:rsid w:val="006C049F"/>
    <w:rsid w:val="006C3402"/>
    <w:rsid w:val="006C3622"/>
    <w:rsid w:val="006C395C"/>
    <w:rsid w:val="006C45D4"/>
    <w:rsid w:val="006E1F3C"/>
    <w:rsid w:val="006E6073"/>
    <w:rsid w:val="006F2FC3"/>
    <w:rsid w:val="006F7300"/>
    <w:rsid w:val="0070292A"/>
    <w:rsid w:val="00703C09"/>
    <w:rsid w:val="007044D0"/>
    <w:rsid w:val="00712300"/>
    <w:rsid w:val="0071687B"/>
    <w:rsid w:val="00717D7A"/>
    <w:rsid w:val="00720739"/>
    <w:rsid w:val="00721695"/>
    <w:rsid w:val="007242B4"/>
    <w:rsid w:val="00725FB2"/>
    <w:rsid w:val="007270D6"/>
    <w:rsid w:val="00730C64"/>
    <w:rsid w:val="007322AF"/>
    <w:rsid w:val="00735477"/>
    <w:rsid w:val="00736DCA"/>
    <w:rsid w:val="007420BD"/>
    <w:rsid w:val="00742399"/>
    <w:rsid w:val="007457E8"/>
    <w:rsid w:val="0074640C"/>
    <w:rsid w:val="0075003D"/>
    <w:rsid w:val="00751141"/>
    <w:rsid w:val="00751B37"/>
    <w:rsid w:val="00751BBE"/>
    <w:rsid w:val="00754D44"/>
    <w:rsid w:val="00767B7E"/>
    <w:rsid w:val="00770959"/>
    <w:rsid w:val="007746A9"/>
    <w:rsid w:val="00782959"/>
    <w:rsid w:val="00785465"/>
    <w:rsid w:val="00787656"/>
    <w:rsid w:val="007A41E6"/>
    <w:rsid w:val="007A4C5F"/>
    <w:rsid w:val="007A67EA"/>
    <w:rsid w:val="007B15AF"/>
    <w:rsid w:val="007B7E83"/>
    <w:rsid w:val="007C1631"/>
    <w:rsid w:val="007C2216"/>
    <w:rsid w:val="007C3584"/>
    <w:rsid w:val="007C5DFF"/>
    <w:rsid w:val="007C636F"/>
    <w:rsid w:val="007D0EF8"/>
    <w:rsid w:val="007D39EB"/>
    <w:rsid w:val="007D3F7B"/>
    <w:rsid w:val="007D7672"/>
    <w:rsid w:val="00800A4D"/>
    <w:rsid w:val="008012F6"/>
    <w:rsid w:val="00802A2C"/>
    <w:rsid w:val="0080483C"/>
    <w:rsid w:val="008131E7"/>
    <w:rsid w:val="00813711"/>
    <w:rsid w:val="00814279"/>
    <w:rsid w:val="008209A5"/>
    <w:rsid w:val="008263C2"/>
    <w:rsid w:val="00831CA2"/>
    <w:rsid w:val="0083791E"/>
    <w:rsid w:val="00842959"/>
    <w:rsid w:val="008451DC"/>
    <w:rsid w:val="008451FE"/>
    <w:rsid w:val="008466A1"/>
    <w:rsid w:val="00846C1D"/>
    <w:rsid w:val="00850E9C"/>
    <w:rsid w:val="00851758"/>
    <w:rsid w:val="00856D5A"/>
    <w:rsid w:val="008609EB"/>
    <w:rsid w:val="00862D6D"/>
    <w:rsid w:val="008653E0"/>
    <w:rsid w:val="008657FB"/>
    <w:rsid w:val="00871D4F"/>
    <w:rsid w:val="00874F96"/>
    <w:rsid w:val="00874FB3"/>
    <w:rsid w:val="00880BE3"/>
    <w:rsid w:val="00882588"/>
    <w:rsid w:val="00895792"/>
    <w:rsid w:val="00896A3B"/>
    <w:rsid w:val="008A0792"/>
    <w:rsid w:val="008A3738"/>
    <w:rsid w:val="008A384C"/>
    <w:rsid w:val="008A6981"/>
    <w:rsid w:val="008B298F"/>
    <w:rsid w:val="008B645B"/>
    <w:rsid w:val="008B67B8"/>
    <w:rsid w:val="008B774D"/>
    <w:rsid w:val="008C123E"/>
    <w:rsid w:val="008C3ED0"/>
    <w:rsid w:val="008C5585"/>
    <w:rsid w:val="008C5E94"/>
    <w:rsid w:val="008D0197"/>
    <w:rsid w:val="008D081F"/>
    <w:rsid w:val="008D4E4B"/>
    <w:rsid w:val="008D59D1"/>
    <w:rsid w:val="008D60AA"/>
    <w:rsid w:val="008E6E9D"/>
    <w:rsid w:val="008F1897"/>
    <w:rsid w:val="008F2D1A"/>
    <w:rsid w:val="008F4774"/>
    <w:rsid w:val="008F68F7"/>
    <w:rsid w:val="008F7480"/>
    <w:rsid w:val="009037B6"/>
    <w:rsid w:val="00906CBE"/>
    <w:rsid w:val="00906FFA"/>
    <w:rsid w:val="00910384"/>
    <w:rsid w:val="00911B42"/>
    <w:rsid w:val="00913652"/>
    <w:rsid w:val="009139C0"/>
    <w:rsid w:val="00914152"/>
    <w:rsid w:val="009161C8"/>
    <w:rsid w:val="009164AD"/>
    <w:rsid w:val="0092039A"/>
    <w:rsid w:val="00922289"/>
    <w:rsid w:val="00925E13"/>
    <w:rsid w:val="00936F46"/>
    <w:rsid w:val="00941B99"/>
    <w:rsid w:val="0094271E"/>
    <w:rsid w:val="00943142"/>
    <w:rsid w:val="00943A29"/>
    <w:rsid w:val="009446A1"/>
    <w:rsid w:val="009515C5"/>
    <w:rsid w:val="0095197E"/>
    <w:rsid w:val="00952AB2"/>
    <w:rsid w:val="009551E0"/>
    <w:rsid w:val="00955801"/>
    <w:rsid w:val="0095654E"/>
    <w:rsid w:val="00956F3C"/>
    <w:rsid w:val="0095779B"/>
    <w:rsid w:val="0096485D"/>
    <w:rsid w:val="009665FC"/>
    <w:rsid w:val="009750D0"/>
    <w:rsid w:val="009869FA"/>
    <w:rsid w:val="009900F0"/>
    <w:rsid w:val="00991769"/>
    <w:rsid w:val="00994E9F"/>
    <w:rsid w:val="00996931"/>
    <w:rsid w:val="00997ADF"/>
    <w:rsid w:val="009A0F18"/>
    <w:rsid w:val="009A14C8"/>
    <w:rsid w:val="009A33AB"/>
    <w:rsid w:val="009A4CD8"/>
    <w:rsid w:val="009A6AFA"/>
    <w:rsid w:val="009B3ED1"/>
    <w:rsid w:val="009C206F"/>
    <w:rsid w:val="009C433C"/>
    <w:rsid w:val="009C76CF"/>
    <w:rsid w:val="009D28B7"/>
    <w:rsid w:val="009D7E1A"/>
    <w:rsid w:val="009E2162"/>
    <w:rsid w:val="009F17E2"/>
    <w:rsid w:val="009F2F95"/>
    <w:rsid w:val="00A006EB"/>
    <w:rsid w:val="00A03709"/>
    <w:rsid w:val="00A06C77"/>
    <w:rsid w:val="00A10147"/>
    <w:rsid w:val="00A13D26"/>
    <w:rsid w:val="00A146A5"/>
    <w:rsid w:val="00A17411"/>
    <w:rsid w:val="00A2223D"/>
    <w:rsid w:val="00A223EF"/>
    <w:rsid w:val="00A34A74"/>
    <w:rsid w:val="00A35351"/>
    <w:rsid w:val="00A41AB5"/>
    <w:rsid w:val="00A426DD"/>
    <w:rsid w:val="00A42761"/>
    <w:rsid w:val="00A42ADE"/>
    <w:rsid w:val="00A60693"/>
    <w:rsid w:val="00A63CBE"/>
    <w:rsid w:val="00A67728"/>
    <w:rsid w:val="00A70B62"/>
    <w:rsid w:val="00A75CC1"/>
    <w:rsid w:val="00A81A4F"/>
    <w:rsid w:val="00A82E14"/>
    <w:rsid w:val="00A901E9"/>
    <w:rsid w:val="00A9762C"/>
    <w:rsid w:val="00AA4067"/>
    <w:rsid w:val="00AB1A5B"/>
    <w:rsid w:val="00AC0A54"/>
    <w:rsid w:val="00AC125E"/>
    <w:rsid w:val="00AC45DF"/>
    <w:rsid w:val="00AC474D"/>
    <w:rsid w:val="00AC4DFD"/>
    <w:rsid w:val="00AC58FD"/>
    <w:rsid w:val="00AC60CD"/>
    <w:rsid w:val="00AD43A3"/>
    <w:rsid w:val="00AD60E6"/>
    <w:rsid w:val="00AD793A"/>
    <w:rsid w:val="00AE457D"/>
    <w:rsid w:val="00AE5956"/>
    <w:rsid w:val="00AE619F"/>
    <w:rsid w:val="00AF373A"/>
    <w:rsid w:val="00AF7EFE"/>
    <w:rsid w:val="00B03BEE"/>
    <w:rsid w:val="00B049AA"/>
    <w:rsid w:val="00B0517E"/>
    <w:rsid w:val="00B056E2"/>
    <w:rsid w:val="00B11314"/>
    <w:rsid w:val="00B118C3"/>
    <w:rsid w:val="00B1192C"/>
    <w:rsid w:val="00B11D0B"/>
    <w:rsid w:val="00B138E3"/>
    <w:rsid w:val="00B1427B"/>
    <w:rsid w:val="00B1721F"/>
    <w:rsid w:val="00B23267"/>
    <w:rsid w:val="00B25891"/>
    <w:rsid w:val="00B27149"/>
    <w:rsid w:val="00B37638"/>
    <w:rsid w:val="00B40D26"/>
    <w:rsid w:val="00B4451B"/>
    <w:rsid w:val="00B51316"/>
    <w:rsid w:val="00B70AF3"/>
    <w:rsid w:val="00B72D62"/>
    <w:rsid w:val="00B843C8"/>
    <w:rsid w:val="00B951E2"/>
    <w:rsid w:val="00B96F37"/>
    <w:rsid w:val="00BA607C"/>
    <w:rsid w:val="00BB3E2A"/>
    <w:rsid w:val="00BB6D5B"/>
    <w:rsid w:val="00BC16F5"/>
    <w:rsid w:val="00BC287D"/>
    <w:rsid w:val="00BC4A76"/>
    <w:rsid w:val="00BC6E4F"/>
    <w:rsid w:val="00BC7320"/>
    <w:rsid w:val="00BD32E5"/>
    <w:rsid w:val="00BD7ADD"/>
    <w:rsid w:val="00BE2473"/>
    <w:rsid w:val="00BE41C3"/>
    <w:rsid w:val="00BE6767"/>
    <w:rsid w:val="00BE68D7"/>
    <w:rsid w:val="00BF0784"/>
    <w:rsid w:val="00BF50F0"/>
    <w:rsid w:val="00BF7763"/>
    <w:rsid w:val="00C02100"/>
    <w:rsid w:val="00C04D5E"/>
    <w:rsid w:val="00C206E0"/>
    <w:rsid w:val="00C24EA2"/>
    <w:rsid w:val="00C24F70"/>
    <w:rsid w:val="00C25D5B"/>
    <w:rsid w:val="00C325C4"/>
    <w:rsid w:val="00C33479"/>
    <w:rsid w:val="00C36A67"/>
    <w:rsid w:val="00C467E2"/>
    <w:rsid w:val="00C47BA2"/>
    <w:rsid w:val="00C60533"/>
    <w:rsid w:val="00C611F8"/>
    <w:rsid w:val="00C612DC"/>
    <w:rsid w:val="00C622CB"/>
    <w:rsid w:val="00C64D15"/>
    <w:rsid w:val="00C67ED2"/>
    <w:rsid w:val="00C74F74"/>
    <w:rsid w:val="00C7554B"/>
    <w:rsid w:val="00C80192"/>
    <w:rsid w:val="00C83E31"/>
    <w:rsid w:val="00C840E5"/>
    <w:rsid w:val="00C85008"/>
    <w:rsid w:val="00C916A4"/>
    <w:rsid w:val="00C97073"/>
    <w:rsid w:val="00CA2A52"/>
    <w:rsid w:val="00CA2B15"/>
    <w:rsid w:val="00CA52AB"/>
    <w:rsid w:val="00CA6490"/>
    <w:rsid w:val="00CB05BE"/>
    <w:rsid w:val="00CB5744"/>
    <w:rsid w:val="00CB7022"/>
    <w:rsid w:val="00CD1937"/>
    <w:rsid w:val="00CE214C"/>
    <w:rsid w:val="00CE5585"/>
    <w:rsid w:val="00CE6858"/>
    <w:rsid w:val="00CF50BE"/>
    <w:rsid w:val="00CF553B"/>
    <w:rsid w:val="00CF5C8E"/>
    <w:rsid w:val="00CF6A52"/>
    <w:rsid w:val="00D012C0"/>
    <w:rsid w:val="00D03583"/>
    <w:rsid w:val="00D117B4"/>
    <w:rsid w:val="00D12A55"/>
    <w:rsid w:val="00D169F7"/>
    <w:rsid w:val="00D21382"/>
    <w:rsid w:val="00D26D01"/>
    <w:rsid w:val="00D317A3"/>
    <w:rsid w:val="00D33DA3"/>
    <w:rsid w:val="00D45D9D"/>
    <w:rsid w:val="00D4723B"/>
    <w:rsid w:val="00D47632"/>
    <w:rsid w:val="00D51A8B"/>
    <w:rsid w:val="00D55EE8"/>
    <w:rsid w:val="00D5785A"/>
    <w:rsid w:val="00D64C48"/>
    <w:rsid w:val="00D7215A"/>
    <w:rsid w:val="00D72452"/>
    <w:rsid w:val="00D731C4"/>
    <w:rsid w:val="00D76BB8"/>
    <w:rsid w:val="00D81BAA"/>
    <w:rsid w:val="00D8465B"/>
    <w:rsid w:val="00D854FF"/>
    <w:rsid w:val="00D85BE0"/>
    <w:rsid w:val="00D87C1A"/>
    <w:rsid w:val="00D87F42"/>
    <w:rsid w:val="00D87FD7"/>
    <w:rsid w:val="00D92167"/>
    <w:rsid w:val="00D9502B"/>
    <w:rsid w:val="00D95E07"/>
    <w:rsid w:val="00D97047"/>
    <w:rsid w:val="00D97108"/>
    <w:rsid w:val="00DC5665"/>
    <w:rsid w:val="00DC7276"/>
    <w:rsid w:val="00DD46FC"/>
    <w:rsid w:val="00DD4F44"/>
    <w:rsid w:val="00DD5D8B"/>
    <w:rsid w:val="00DE0F9E"/>
    <w:rsid w:val="00DE5D76"/>
    <w:rsid w:val="00E04C8D"/>
    <w:rsid w:val="00E11C84"/>
    <w:rsid w:val="00E128D8"/>
    <w:rsid w:val="00E16FF5"/>
    <w:rsid w:val="00E22EB1"/>
    <w:rsid w:val="00E30493"/>
    <w:rsid w:val="00E30D45"/>
    <w:rsid w:val="00E42FE4"/>
    <w:rsid w:val="00E4609D"/>
    <w:rsid w:val="00E46FAA"/>
    <w:rsid w:val="00E50FB5"/>
    <w:rsid w:val="00E5750B"/>
    <w:rsid w:val="00E60E2E"/>
    <w:rsid w:val="00E6223E"/>
    <w:rsid w:val="00E63A24"/>
    <w:rsid w:val="00E65371"/>
    <w:rsid w:val="00E67913"/>
    <w:rsid w:val="00E71A2D"/>
    <w:rsid w:val="00E775E6"/>
    <w:rsid w:val="00E8698A"/>
    <w:rsid w:val="00E90DE1"/>
    <w:rsid w:val="00E923F2"/>
    <w:rsid w:val="00E93161"/>
    <w:rsid w:val="00E965B9"/>
    <w:rsid w:val="00EA31CC"/>
    <w:rsid w:val="00EB14DF"/>
    <w:rsid w:val="00EB178C"/>
    <w:rsid w:val="00EB2B64"/>
    <w:rsid w:val="00EB3A07"/>
    <w:rsid w:val="00EB4143"/>
    <w:rsid w:val="00EB4728"/>
    <w:rsid w:val="00EB4E7F"/>
    <w:rsid w:val="00EC207A"/>
    <w:rsid w:val="00EC3F31"/>
    <w:rsid w:val="00EC6360"/>
    <w:rsid w:val="00ED3C91"/>
    <w:rsid w:val="00ED4112"/>
    <w:rsid w:val="00EE7890"/>
    <w:rsid w:val="00EF1347"/>
    <w:rsid w:val="00EF2BEB"/>
    <w:rsid w:val="00F01129"/>
    <w:rsid w:val="00F03D93"/>
    <w:rsid w:val="00F03D9E"/>
    <w:rsid w:val="00F06828"/>
    <w:rsid w:val="00F227BF"/>
    <w:rsid w:val="00F271AF"/>
    <w:rsid w:val="00F27812"/>
    <w:rsid w:val="00F30A9B"/>
    <w:rsid w:val="00F36AA0"/>
    <w:rsid w:val="00F374B2"/>
    <w:rsid w:val="00F40AFC"/>
    <w:rsid w:val="00F4730E"/>
    <w:rsid w:val="00F50A92"/>
    <w:rsid w:val="00F537F5"/>
    <w:rsid w:val="00F53F24"/>
    <w:rsid w:val="00F63341"/>
    <w:rsid w:val="00F7536E"/>
    <w:rsid w:val="00F81F93"/>
    <w:rsid w:val="00F839A8"/>
    <w:rsid w:val="00F86F1B"/>
    <w:rsid w:val="00F92A21"/>
    <w:rsid w:val="00F92E9B"/>
    <w:rsid w:val="00F9420E"/>
    <w:rsid w:val="00F95814"/>
    <w:rsid w:val="00FA01D9"/>
    <w:rsid w:val="00FA031C"/>
    <w:rsid w:val="00FB13C1"/>
    <w:rsid w:val="00FB1D99"/>
    <w:rsid w:val="00FB420B"/>
    <w:rsid w:val="00FB5BC9"/>
    <w:rsid w:val="00FC1C5F"/>
    <w:rsid w:val="00FC5A4D"/>
    <w:rsid w:val="00FC5C0C"/>
    <w:rsid w:val="00FC635A"/>
    <w:rsid w:val="00FC64EF"/>
    <w:rsid w:val="00FD2673"/>
    <w:rsid w:val="00FE22FA"/>
    <w:rsid w:val="00FE26C9"/>
    <w:rsid w:val="00FE2A29"/>
    <w:rsid w:val="00FE3B6C"/>
    <w:rsid w:val="00FE77DC"/>
    <w:rsid w:val="00FF3801"/>
    <w:rsid w:val="00FF4F6B"/>
    <w:rsid w:val="00FF5460"/>
    <w:rsid w:val="00FF63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513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uiPriority="2"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567F06"/>
    <w:pPr>
      <w:keepNext/>
      <w:keepLines/>
      <w:spacing w:before="240" w:after="240" w:line="240" w:lineRule="auto"/>
      <w:ind w:left="33" w:right="180"/>
      <w:contextualSpacing/>
      <w:outlineLvl w:val="0"/>
    </w:pPr>
    <w:rPr>
      <w:rFonts w:ascii="Georgia" w:hAnsi="Georgia" w:cs="Arial"/>
      <w:bCs/>
      <w:color w:val="005A70"/>
      <w:kern w:val="32"/>
      <w:sz w:val="36"/>
      <w:szCs w:val="32"/>
    </w:rPr>
  </w:style>
  <w:style w:type="paragraph" w:styleId="Heading2">
    <w:name w:val="heading 2"/>
    <w:basedOn w:val="Normal"/>
    <w:next w:val="Normal"/>
    <w:link w:val="Heading2Char"/>
    <w:uiPriority w:val="2"/>
    <w:qFormat/>
    <w:rsid w:val="008D4E4B"/>
    <w:pPr>
      <w:keepNext/>
      <w:keepLines/>
      <w:spacing w:before="240" w:line="240" w:lineRule="auto"/>
      <w:contextualSpacing/>
      <w:outlineLvl w:val="1"/>
    </w:pPr>
    <w:rPr>
      <w:rFonts w:ascii="Georgia" w:hAnsi="Georgia" w:cs="Arial"/>
      <w:bCs/>
      <w:iCs/>
      <w:color w:val="005A70"/>
      <w:sz w:val="32"/>
      <w:szCs w:val="28"/>
    </w:rPr>
  </w:style>
  <w:style w:type="paragraph" w:styleId="Heading3">
    <w:name w:val="heading 3"/>
    <w:basedOn w:val="Normal"/>
    <w:next w:val="Normal"/>
    <w:link w:val="Heading3Char"/>
    <w:uiPriority w:val="2"/>
    <w:qFormat/>
    <w:rsid w:val="00FB5BC9"/>
    <w:pPr>
      <w:ind w:left="33" w:right="180"/>
      <w:outlineLvl w:val="2"/>
    </w:pPr>
    <w:rPr>
      <w:rFonts w:ascii="Calibri" w:hAnsi="Calibri" w:cs="Calibri"/>
      <w:b/>
      <w:sz w:val="28"/>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4F77BF"/>
    <w:pPr>
      <w:spacing w:before="240" w:line="240" w:lineRule="auto"/>
      <w:contextualSpacing/>
      <w:outlineLvl w:val="0"/>
    </w:pPr>
    <w:rPr>
      <w:rFonts w:ascii="Georgia" w:hAnsi="Georgia" w:cs="Arial"/>
      <w:bCs/>
      <w:color w:val="005A70"/>
      <w:spacing w:val="0"/>
      <w:kern w:val="28"/>
      <w:sz w:val="72"/>
      <w:szCs w:val="32"/>
    </w:rPr>
  </w:style>
  <w:style w:type="paragraph" w:styleId="ListBullet">
    <w:name w:val="List Bullet"/>
    <w:basedOn w:val="Normal"/>
    <w:uiPriority w:val="1"/>
    <w:qFormat/>
    <w:rsid w:val="008D4E4B"/>
    <w:pPr>
      <w:numPr>
        <w:numId w:val="2"/>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qFormat/>
    <w:rsid w:val="00297D17"/>
    <w:rPr>
      <w:rFonts w:ascii="Arial" w:hAnsi="Arial"/>
      <w:b w:val="0"/>
      <w:color w:val="005B70"/>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8A384C"/>
    <w:pPr>
      <w:spacing w:before="120" w:after="120"/>
      <w:ind w:left="397"/>
      <w:contextualSpacing/>
    </w:pPr>
    <w:rPr>
      <w:rFonts w:ascii="Georgia" w:hAnsi="Georgia" w:cs="Arial"/>
      <w:bCs/>
      <w:iCs/>
      <w:color w:val="005A70"/>
      <w:sz w:val="24"/>
      <w:szCs w:val="28"/>
    </w:rPr>
  </w:style>
  <w:style w:type="character" w:customStyle="1" w:styleId="Heading2Char">
    <w:name w:val="Heading 2 Char"/>
    <w:basedOn w:val="DefaultParagraphFont"/>
    <w:link w:val="Heading2"/>
    <w:uiPriority w:val="2"/>
    <w:rsid w:val="008D4E4B"/>
    <w:rPr>
      <w:rFonts w:ascii="Georgia" w:hAnsi="Georgia" w:cs="Arial"/>
      <w:bCs/>
      <w:iCs/>
      <w:color w:val="005A70"/>
      <w:spacing w:val="4"/>
      <w:sz w:val="32"/>
      <w:szCs w:val="28"/>
    </w:rPr>
  </w:style>
  <w:style w:type="character" w:customStyle="1" w:styleId="PullouttextChar">
    <w:name w:val="Pullout text Char"/>
    <w:basedOn w:val="Heading2Char"/>
    <w:link w:val="Pullouttext"/>
    <w:uiPriority w:val="3"/>
    <w:rsid w:val="008A384C"/>
    <w:rPr>
      <w:rFonts w:ascii="Georgia" w:hAnsi="Georgia" w:cs="Arial"/>
      <w:bCs/>
      <w:iCs/>
      <w:color w:val="005A70"/>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567F06"/>
    <w:rPr>
      <w:rFonts w:ascii="Georgia" w:hAnsi="Georgia" w:cs="Arial"/>
      <w:bCs/>
      <w:color w:val="005A70"/>
      <w:spacing w:val="4"/>
      <w:kern w:val="32"/>
      <w:sz w:val="36"/>
      <w:szCs w:val="32"/>
    </w:rPr>
  </w:style>
  <w:style w:type="character" w:customStyle="1" w:styleId="Heading3Char">
    <w:name w:val="Heading 3 Char"/>
    <w:basedOn w:val="DefaultParagraphFont"/>
    <w:link w:val="Heading3"/>
    <w:uiPriority w:val="2"/>
    <w:rsid w:val="00FB5BC9"/>
    <w:rPr>
      <w:rFonts w:ascii="Calibri" w:hAnsi="Calibri" w:cs="Calibri"/>
      <w:b/>
      <w:spacing w:val="4"/>
      <w:sz w:val="28"/>
      <w:szCs w:val="24"/>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4F77BF"/>
    <w:rPr>
      <w:rFonts w:ascii="Georgia" w:hAnsi="Georgia" w:cs="Arial"/>
      <w:bCs/>
      <w:color w:val="005A70"/>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E4609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609D"/>
    <w:rPr>
      <w:rFonts w:ascii="Tahoma" w:hAnsi="Tahoma" w:cs="Tahoma"/>
      <w:spacing w:val="4"/>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link w:val="ListParagraphChar"/>
    <w:uiPriority w:val="34"/>
    <w:qFormat/>
    <w:rsid w:val="00C80192"/>
    <w:pPr>
      <w:ind w:left="720"/>
      <w:contextualSpacing/>
    </w:pPr>
  </w:style>
  <w:style w:type="table" w:styleId="ColorfulList-Accent2">
    <w:name w:val="Colorful List Accent 2"/>
    <w:basedOn w:val="TableNormal"/>
    <w:uiPriority w:val="72"/>
    <w:rsid w:val="008451DC"/>
    <w:rPr>
      <w:rFonts w:ascii="Arial" w:hAnsi="Arial"/>
      <w:color w:val="000000" w:themeColor="text1"/>
      <w:sz w:val="24"/>
    </w:rPr>
    <w:tblPr>
      <w:tblStyleRowBandSize w:val="1"/>
      <w:tblStyleColBandSize w:val="1"/>
    </w:tblPr>
    <w:tcPr>
      <w:shd w:val="clear" w:color="auto" w:fill="auto"/>
    </w:tcPr>
    <w:tblStylePr w:type="firstRow">
      <w:rPr>
        <w:rFonts w:ascii="Arial" w:hAnsi="Arial"/>
        <w:b/>
        <w:bCs/>
        <w:color w:val="FFFFFF" w:themeColor="background1"/>
        <w:sz w:val="24"/>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2Horz">
      <w:rPr>
        <w:rFonts w:ascii="Arial" w:hAnsi="Arial"/>
        <w:sz w:val="24"/>
      </w:rPr>
    </w:tblStylePr>
  </w:style>
  <w:style w:type="table" w:customStyle="1" w:styleId="DSSDatatablestyle">
    <w:name w:val="DSS Data table style"/>
    <w:basedOn w:val="TableNormal"/>
    <w:uiPriority w:val="99"/>
    <w:rsid w:val="008451DC"/>
    <w:rPr>
      <w:rFonts w:ascii="Arial" w:eastAsia="Arial" w:hAnsi="Arial"/>
      <w:sz w:val="24"/>
      <w:szCs w:val="22"/>
      <w:lang w:eastAsia="en-US"/>
    </w:rPr>
    <w:tblPr>
      <w:tblStyleRowBandSize w:val="1"/>
      <w:tblInd w:w="113" w:type="dxa"/>
    </w:tblPr>
    <w:tblStylePr w:type="firstRow">
      <w:rPr>
        <w:rFonts w:ascii="Arial" w:hAnsi="Arial"/>
        <w:b/>
        <w:color w:val="FFFFFF"/>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character" w:styleId="CommentReference">
    <w:name w:val="annotation reference"/>
    <w:basedOn w:val="DefaultParagraphFont"/>
    <w:semiHidden/>
    <w:unhideWhenUsed/>
    <w:rsid w:val="002C4222"/>
    <w:rPr>
      <w:sz w:val="16"/>
      <w:szCs w:val="16"/>
    </w:rPr>
  </w:style>
  <w:style w:type="paragraph" w:styleId="CommentText">
    <w:name w:val="annotation text"/>
    <w:basedOn w:val="Normal"/>
    <w:link w:val="CommentTextChar"/>
    <w:semiHidden/>
    <w:unhideWhenUsed/>
    <w:rsid w:val="002C4222"/>
    <w:pPr>
      <w:spacing w:line="240" w:lineRule="auto"/>
    </w:pPr>
    <w:rPr>
      <w:sz w:val="20"/>
      <w:szCs w:val="20"/>
    </w:rPr>
  </w:style>
  <w:style w:type="character" w:customStyle="1" w:styleId="CommentTextChar">
    <w:name w:val="Comment Text Char"/>
    <w:basedOn w:val="DefaultParagraphFont"/>
    <w:link w:val="CommentText"/>
    <w:semiHidden/>
    <w:rsid w:val="002C4222"/>
    <w:rPr>
      <w:rFonts w:ascii="Arial" w:hAnsi="Arial"/>
      <w:spacing w:val="4"/>
    </w:rPr>
  </w:style>
  <w:style w:type="paragraph" w:styleId="CommentSubject">
    <w:name w:val="annotation subject"/>
    <w:basedOn w:val="CommentText"/>
    <w:next w:val="CommentText"/>
    <w:link w:val="CommentSubjectChar"/>
    <w:semiHidden/>
    <w:unhideWhenUsed/>
    <w:rsid w:val="002C4222"/>
    <w:rPr>
      <w:b/>
      <w:bCs/>
    </w:rPr>
  </w:style>
  <w:style w:type="character" w:customStyle="1" w:styleId="CommentSubjectChar">
    <w:name w:val="Comment Subject Char"/>
    <w:basedOn w:val="CommentTextChar"/>
    <w:link w:val="CommentSubject"/>
    <w:semiHidden/>
    <w:rsid w:val="002C4222"/>
    <w:rPr>
      <w:rFonts w:ascii="Arial" w:hAnsi="Arial"/>
      <w:b/>
      <w:bCs/>
      <w:spacing w:val="4"/>
    </w:rPr>
  </w:style>
  <w:style w:type="character" w:styleId="FollowedHyperlink">
    <w:name w:val="FollowedHyperlink"/>
    <w:basedOn w:val="DefaultParagraphFont"/>
    <w:uiPriority w:val="99"/>
    <w:semiHidden/>
    <w:unhideWhenUsed/>
    <w:rsid w:val="00222851"/>
    <w:rPr>
      <w:color w:val="800080" w:themeColor="followedHyperlink"/>
      <w:u w:val="single"/>
    </w:rPr>
  </w:style>
  <w:style w:type="character" w:customStyle="1" w:styleId="ListParagraphChar">
    <w:name w:val="List Paragraph Char"/>
    <w:basedOn w:val="DefaultParagraphFont"/>
    <w:link w:val="ListParagraph"/>
    <w:uiPriority w:val="34"/>
    <w:locked/>
    <w:rsid w:val="004D5FBF"/>
    <w:rPr>
      <w:rFonts w:ascii="Arial" w:hAnsi="Arial"/>
      <w:spacing w:val="4"/>
      <w:sz w:val="24"/>
      <w:szCs w:val="24"/>
    </w:rPr>
  </w:style>
  <w:style w:type="paragraph" w:styleId="NormalWeb">
    <w:name w:val="Normal (Web)"/>
    <w:basedOn w:val="Normal"/>
    <w:uiPriority w:val="99"/>
    <w:semiHidden/>
    <w:unhideWhenUsed/>
    <w:rsid w:val="008D59D1"/>
    <w:pPr>
      <w:spacing w:before="100" w:beforeAutospacing="1" w:after="100" w:afterAutospacing="1" w:line="240" w:lineRule="auto"/>
    </w:pPr>
    <w:rPr>
      <w:rFonts w:ascii="Times New Roman" w:eastAsiaTheme="minorHAnsi" w:hAnsi="Times New Roman"/>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77">
      <w:bodyDiv w:val="1"/>
      <w:marLeft w:val="0"/>
      <w:marRight w:val="0"/>
      <w:marTop w:val="0"/>
      <w:marBottom w:val="0"/>
      <w:divBdr>
        <w:top w:val="none" w:sz="0" w:space="0" w:color="auto"/>
        <w:left w:val="none" w:sz="0" w:space="0" w:color="auto"/>
        <w:bottom w:val="none" w:sz="0" w:space="0" w:color="auto"/>
        <w:right w:val="none" w:sz="0" w:space="0" w:color="auto"/>
      </w:divBdr>
    </w:div>
    <w:div w:id="229580434">
      <w:bodyDiv w:val="1"/>
      <w:marLeft w:val="0"/>
      <w:marRight w:val="0"/>
      <w:marTop w:val="0"/>
      <w:marBottom w:val="0"/>
      <w:divBdr>
        <w:top w:val="none" w:sz="0" w:space="0" w:color="auto"/>
        <w:left w:val="none" w:sz="0" w:space="0" w:color="auto"/>
        <w:bottom w:val="none" w:sz="0" w:space="0" w:color="auto"/>
        <w:right w:val="none" w:sz="0" w:space="0" w:color="auto"/>
      </w:divBdr>
    </w:div>
    <w:div w:id="374543433">
      <w:bodyDiv w:val="1"/>
      <w:marLeft w:val="0"/>
      <w:marRight w:val="0"/>
      <w:marTop w:val="0"/>
      <w:marBottom w:val="0"/>
      <w:divBdr>
        <w:top w:val="none" w:sz="0" w:space="0" w:color="auto"/>
        <w:left w:val="none" w:sz="0" w:space="0" w:color="auto"/>
        <w:bottom w:val="none" w:sz="0" w:space="0" w:color="auto"/>
        <w:right w:val="none" w:sz="0" w:space="0" w:color="auto"/>
      </w:divBdr>
    </w:div>
    <w:div w:id="453331892">
      <w:bodyDiv w:val="1"/>
      <w:marLeft w:val="0"/>
      <w:marRight w:val="0"/>
      <w:marTop w:val="0"/>
      <w:marBottom w:val="0"/>
      <w:divBdr>
        <w:top w:val="none" w:sz="0" w:space="0" w:color="auto"/>
        <w:left w:val="none" w:sz="0" w:space="0" w:color="auto"/>
        <w:bottom w:val="none" w:sz="0" w:space="0" w:color="auto"/>
        <w:right w:val="none" w:sz="0" w:space="0" w:color="auto"/>
      </w:divBdr>
    </w:div>
    <w:div w:id="482819170">
      <w:bodyDiv w:val="1"/>
      <w:marLeft w:val="0"/>
      <w:marRight w:val="0"/>
      <w:marTop w:val="0"/>
      <w:marBottom w:val="0"/>
      <w:divBdr>
        <w:top w:val="none" w:sz="0" w:space="0" w:color="auto"/>
        <w:left w:val="none" w:sz="0" w:space="0" w:color="auto"/>
        <w:bottom w:val="none" w:sz="0" w:space="0" w:color="auto"/>
        <w:right w:val="none" w:sz="0" w:space="0" w:color="auto"/>
      </w:divBdr>
    </w:div>
    <w:div w:id="537471171">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327322688">
      <w:bodyDiv w:val="1"/>
      <w:marLeft w:val="0"/>
      <w:marRight w:val="0"/>
      <w:marTop w:val="0"/>
      <w:marBottom w:val="0"/>
      <w:divBdr>
        <w:top w:val="none" w:sz="0" w:space="0" w:color="auto"/>
        <w:left w:val="none" w:sz="0" w:space="0" w:color="auto"/>
        <w:bottom w:val="none" w:sz="0" w:space="0" w:color="auto"/>
        <w:right w:val="none" w:sz="0" w:space="0" w:color="auto"/>
      </w:divBdr>
    </w:div>
    <w:div w:id="1460034453">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1504278576">
      <w:bodyDiv w:val="1"/>
      <w:marLeft w:val="0"/>
      <w:marRight w:val="0"/>
      <w:marTop w:val="0"/>
      <w:marBottom w:val="0"/>
      <w:divBdr>
        <w:top w:val="none" w:sz="0" w:space="0" w:color="auto"/>
        <w:left w:val="none" w:sz="0" w:space="0" w:color="auto"/>
        <w:bottom w:val="none" w:sz="0" w:space="0" w:color="auto"/>
        <w:right w:val="none" w:sz="0" w:space="0" w:color="auto"/>
      </w:divBdr>
    </w:div>
    <w:div w:id="1576429273">
      <w:bodyDiv w:val="1"/>
      <w:marLeft w:val="0"/>
      <w:marRight w:val="0"/>
      <w:marTop w:val="0"/>
      <w:marBottom w:val="0"/>
      <w:divBdr>
        <w:top w:val="none" w:sz="0" w:space="0" w:color="auto"/>
        <w:left w:val="none" w:sz="0" w:space="0" w:color="auto"/>
        <w:bottom w:val="none" w:sz="0" w:space="0" w:color="auto"/>
        <w:right w:val="none" w:sz="0" w:space="0" w:color="auto"/>
      </w:divBdr>
    </w:div>
    <w:div w:id="1961715655">
      <w:bodyDiv w:val="1"/>
      <w:marLeft w:val="0"/>
      <w:marRight w:val="0"/>
      <w:marTop w:val="0"/>
      <w:marBottom w:val="0"/>
      <w:divBdr>
        <w:top w:val="none" w:sz="0" w:space="0" w:color="auto"/>
        <w:left w:val="none" w:sz="0" w:space="0" w:color="auto"/>
        <w:bottom w:val="none" w:sz="0" w:space="0" w:color="auto"/>
        <w:right w:val="none" w:sz="0" w:space="0" w:color="auto"/>
      </w:divBdr>
    </w:div>
    <w:div w:id="2046520791">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ss.gov.au/families-and-children-programs-services-early-years-strategy/the-early-years-strategy-consultation-report-2023" TargetMode="External"/><Relationship Id="rId18" Type="http://schemas.openxmlformats.org/officeDocument/2006/relationships/image" Target="media/image5.png"/><Relationship Id="rId26" Type="http://schemas.openxmlformats.org/officeDocument/2006/relationships/hyperlink" Target="mailto:https://aifs.gov.au/webinars/using-surveys-understand-your-service-research-and-practice-perspectives"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aifs.gov.au/engaging-young-children-nature-play" TargetMode="External"/><Relationship Id="rId34" Type="http://schemas.openxmlformats.org/officeDocument/2006/relationships/hyperlink" Target="https://dex.dss.gov.au/document/131"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engage.dss.gov.au/early-years-strategy-2/" TargetMode="External"/><Relationship Id="rId17" Type="http://schemas.openxmlformats.org/officeDocument/2006/relationships/hyperlink" Target="mailto:families@dss.gov.au" TargetMode="External"/><Relationship Id="rId25" Type="http://schemas.openxmlformats.org/officeDocument/2006/relationships/hyperlink" Target="https://aifs.gov.au/webinars/using-surveys-understand-your-service-research-and-practice-perspectives" TargetMode="External"/><Relationship Id="rId33" Type="http://schemas.openxmlformats.org/officeDocument/2006/relationships/hyperlink" Target="https://dex.dss.gov.au/updates"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aifs.gov.au/webinars/how-recognise-complex-trauma-infants-and-children-and-promote-wellbeing" TargetMode="External"/><Relationship Id="rId29" Type="http://schemas.openxmlformats.org/officeDocument/2006/relationships/image" Target="media/image6.pn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aifs.gov.au/research_programs/evidence-and-evaluation-support/cfc-program-profiles/triple-p-positive-parenting-program" TargetMode="External"/><Relationship Id="rId32" Type="http://schemas.openxmlformats.org/officeDocument/2006/relationships/hyperlink" Target="https://www.abs.gov.au/statistics/standards/standard-sex-gender-variations-sex-characteristics-and-sexual-orientation-variables/2020" TargetMode="External"/><Relationship Id="rId37" Type="http://schemas.openxmlformats.org/officeDocument/2006/relationships/hyperlink" Target="mailto:dssdataexchange.helpdesk@dss.gov.au"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ss.gov.au/families-and-children-programs-services/early-years-strategy" TargetMode="External"/><Relationship Id="rId23" Type="http://schemas.openxmlformats.org/officeDocument/2006/relationships/hyperlink" Target="https://aifs.gov.au/resources/short-articles/what-influences-supportive-peer-relationships-middle-years" TargetMode="External"/><Relationship Id="rId28" Type="http://schemas.openxmlformats.org/officeDocument/2006/relationships/hyperlink" Target="https://aifs.us3.list-manage.com/subscribe?u=7d4f5060bba06cf69555b0936&amp;id=1b7c44a2dc" TargetMode="External"/><Relationship Id="rId36" Type="http://schemas.openxmlformats.org/officeDocument/2006/relationships/hyperlink" Target="https://dex.dss.gov.au/" TargetMode="External"/><Relationship Id="rId10" Type="http://schemas.openxmlformats.org/officeDocument/2006/relationships/image" Target="media/image2.png"/><Relationship Id="rId19" Type="http://schemas.openxmlformats.org/officeDocument/2006/relationships/hyperlink" Target="https://aifs.gov.au/research_programs/child-family-community-australia" TargetMode="External"/><Relationship Id="rId31" Type="http://schemas.openxmlformats.org/officeDocument/2006/relationships/image" Target="media/image7.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amilies@dss.gov.au" TargetMode="External"/><Relationship Id="rId14" Type="http://schemas.openxmlformats.org/officeDocument/2006/relationships/hyperlink" Target="https://engage.dss.gov.au/early-years-strategy-2/" TargetMode="External"/><Relationship Id="rId22" Type="http://schemas.openxmlformats.org/officeDocument/2006/relationships/hyperlink" Target="https://aifs.gov.au/resources/policy-and-practice-papers/impact-vaping-adolescent-mental-health" TargetMode="External"/><Relationship Id="rId27" Type="http://schemas.openxmlformats.org/officeDocument/2006/relationships/hyperlink" Target="https://aifs.gov.au/webinars" TargetMode="External"/><Relationship Id="rId30" Type="http://schemas.openxmlformats.org/officeDocument/2006/relationships/hyperlink" Target="https://www.dss.gov.au/families-and-children-programs-services-families-and-children-activity/stronger-accos-stronger-families-part-2" TargetMode="External"/><Relationship Id="rId35" Type="http://schemas.openxmlformats.org/officeDocument/2006/relationships/hyperlink" Target="https://dex.dss.gov.au/document/126" TargetMode="External"/><Relationship Id="rId43"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2C532-59CE-44E5-ABF8-054A2190E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1356</Words>
  <Characters>7378</Characters>
  <Application>Microsoft Office Word</Application>
  <DocSecurity>0</DocSecurity>
  <Lines>175</Lines>
  <Paragraphs>70</Paragraphs>
  <ScaleCrop>false</ScaleCrop>
  <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cp:lastModifiedBy/>
  <cp:revision>1</cp:revision>
  <dcterms:created xsi:type="dcterms:W3CDTF">2024-01-29T22:10:00Z</dcterms:created>
  <dcterms:modified xsi:type="dcterms:W3CDTF">2024-01-29T22:10:00Z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29B317ACE86B4ADFB5B74D281CB32D34</vt:lpwstr>
  </property>
  <property fmtid="{D5CDD505-2E9C-101B-9397-08002B2CF9AE}" pid="9" name="PM_ProtectiveMarkingValue_Footer">
    <vt:lpwstr>OFFICIAL</vt:lpwstr>
  </property>
  <property fmtid="{D5CDD505-2E9C-101B-9397-08002B2CF9AE}" pid="10" name="PM_Originator_Hash_SHA1">
    <vt:lpwstr>9CFEDE0AD9FDAE0286D351E87B4647470E8026DF</vt:lpwstr>
  </property>
  <property fmtid="{D5CDD505-2E9C-101B-9397-08002B2CF9AE}" pid="11" name="PM_OriginationTimeStamp">
    <vt:lpwstr>2024-01-29T22:10:56Z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74864F56D12CCA0D0E8C1F83B9A3F17E</vt:lpwstr>
  </property>
  <property fmtid="{D5CDD505-2E9C-101B-9397-08002B2CF9AE}" pid="21" name="PM_Hash_Salt">
    <vt:lpwstr>666E893CC6CE3195743632CE7502C3EA</vt:lpwstr>
  </property>
  <property fmtid="{D5CDD505-2E9C-101B-9397-08002B2CF9AE}" pid="22" name="PM_Hash_SHA1">
    <vt:lpwstr>605FB50C14C3B7272A98D20F91BA34EC55C65D9B</vt:lpwstr>
  </property>
  <property fmtid="{D5CDD505-2E9C-101B-9397-08002B2CF9AE}" pid="23" name="PM_OriginatorUserAccountName_SHA256">
    <vt:lpwstr>56084DE7D87471392F5BD2235C8043EAEC8018D05D094D5A8468DE8533D8A2CE</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